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363" w:type="dxa"/>
        <w:tblInd w:w="-147" w:type="dxa"/>
        <w:tblLook w:val="04A0" w:firstRow="1" w:lastRow="0" w:firstColumn="1" w:lastColumn="0" w:noHBand="0" w:noVBand="1"/>
      </w:tblPr>
      <w:tblGrid>
        <w:gridCol w:w="8363"/>
      </w:tblGrid>
      <w:tr w:rsidR="0093679D" w:rsidRPr="00A17AC8" w14:paraId="0695E644" w14:textId="77777777" w:rsidTr="0093679D">
        <w:tc>
          <w:tcPr>
            <w:tcW w:w="8363" w:type="dxa"/>
          </w:tcPr>
          <w:p w14:paraId="3397BAA8" w14:textId="77777777" w:rsidR="0093679D" w:rsidRDefault="0093679D" w:rsidP="003616ED">
            <w:pPr>
              <w:widowControl w:val="0"/>
            </w:pPr>
            <w:r>
              <w:t xml:space="preserve">Ce document constitue les informations sur le produit approuvées pour </w:t>
            </w:r>
            <w:proofErr w:type="spellStart"/>
            <w:r w:rsidRPr="00E30AE8">
              <w:t>Amsparity</w:t>
            </w:r>
            <w:proofErr w:type="spellEnd"/>
            <w:r>
              <w:t>, les modifications apportées depuis la procédure précédente qui ont une incidence sur les informations sur le produit (</w:t>
            </w:r>
            <w:r w:rsidRPr="00613AFE">
              <w:t>EMEA</w:t>
            </w:r>
            <w:r w:rsidRPr="001E1075">
              <w:t>/</w:t>
            </w:r>
            <w:r w:rsidRPr="00613AFE">
              <w:t>H</w:t>
            </w:r>
            <w:r w:rsidRPr="001E1075">
              <w:t>/</w:t>
            </w:r>
            <w:r w:rsidRPr="00613AFE">
              <w:t>C</w:t>
            </w:r>
            <w:r w:rsidRPr="001E1075">
              <w:t>/004879/</w:t>
            </w:r>
            <w:r w:rsidRPr="00613AFE">
              <w:t>IB</w:t>
            </w:r>
            <w:r w:rsidRPr="001E1075">
              <w:t>/0009/</w:t>
            </w:r>
            <w:r w:rsidRPr="00613AFE">
              <w:t>G</w:t>
            </w:r>
            <w:r>
              <w:t>) étant mises en évidence.</w:t>
            </w:r>
          </w:p>
          <w:p w14:paraId="5EE0A11C" w14:textId="77777777" w:rsidR="0093679D" w:rsidRDefault="0093679D" w:rsidP="003616ED">
            <w:pPr>
              <w:widowControl w:val="0"/>
            </w:pPr>
          </w:p>
          <w:p w14:paraId="6A91A675" w14:textId="77777777" w:rsidR="0093679D" w:rsidRPr="00A17AC8" w:rsidRDefault="0093679D" w:rsidP="003616ED">
            <w:pPr>
              <w:pStyle w:val="Style1"/>
              <w:pBdr>
                <w:top w:val="none" w:sz="0" w:space="0" w:color="auto"/>
                <w:left w:val="none" w:sz="0" w:space="0" w:color="auto"/>
                <w:bottom w:val="none" w:sz="0" w:space="0" w:color="auto"/>
                <w:right w:val="none" w:sz="0" w:space="0" w:color="auto"/>
              </w:pBdr>
              <w:rPr>
                <w:lang w:val="fr-FR"/>
              </w:rPr>
            </w:pPr>
            <w:r>
              <w:t xml:space="preserve">Pour plus d’informations, voir le site web de l’Agence européenne des médicaments: : </w:t>
            </w:r>
            <w:hyperlink r:id="rId8" w:history="1">
              <w:r w:rsidRPr="00A17AC8">
                <w:rPr>
                  <w:rStyle w:val="Hyperlink"/>
                  <w:lang w:val="fr-FR"/>
                </w:rPr>
                <w:t>https</w:t>
              </w:r>
              <w:r w:rsidRPr="00EF54A5">
                <w:rPr>
                  <w:rStyle w:val="Hyperlink"/>
                </w:rPr>
                <w:t>://</w:t>
              </w:r>
              <w:r w:rsidRPr="00A17AC8">
                <w:rPr>
                  <w:rStyle w:val="Hyperlink"/>
                  <w:lang w:val="fr-FR"/>
                </w:rPr>
                <w:t>www</w:t>
              </w:r>
              <w:r w:rsidRPr="00EF54A5">
                <w:rPr>
                  <w:rStyle w:val="Hyperlink"/>
                </w:rPr>
                <w:t>.</w:t>
              </w:r>
              <w:proofErr w:type="spellStart"/>
              <w:r w:rsidRPr="00A17AC8">
                <w:rPr>
                  <w:rStyle w:val="Hyperlink"/>
                  <w:lang w:val="fr-FR"/>
                </w:rPr>
                <w:t>ema</w:t>
              </w:r>
              <w:proofErr w:type="spellEnd"/>
              <w:r w:rsidRPr="00EF54A5">
                <w:rPr>
                  <w:rStyle w:val="Hyperlink"/>
                </w:rPr>
                <w:t>.</w:t>
              </w:r>
              <w:proofErr w:type="spellStart"/>
              <w:r w:rsidRPr="00A17AC8">
                <w:rPr>
                  <w:rStyle w:val="Hyperlink"/>
                  <w:lang w:val="fr-FR"/>
                </w:rPr>
                <w:t>europa</w:t>
              </w:r>
              <w:proofErr w:type="spellEnd"/>
              <w:r w:rsidRPr="00EF54A5">
                <w:rPr>
                  <w:rStyle w:val="Hyperlink"/>
                </w:rPr>
                <w:t>.</w:t>
              </w:r>
              <w:r w:rsidRPr="00A17AC8">
                <w:rPr>
                  <w:rStyle w:val="Hyperlink"/>
                  <w:lang w:val="fr-FR"/>
                </w:rPr>
                <w:t>eu</w:t>
              </w:r>
              <w:r w:rsidRPr="00EF54A5">
                <w:rPr>
                  <w:rStyle w:val="Hyperlink"/>
                </w:rPr>
                <w:t>/</w:t>
              </w:r>
              <w:r w:rsidRPr="00A17AC8">
                <w:rPr>
                  <w:rStyle w:val="Hyperlink"/>
                  <w:lang w:val="fr-FR"/>
                </w:rPr>
                <w:t>en</w:t>
              </w:r>
              <w:r w:rsidRPr="00EF54A5">
                <w:rPr>
                  <w:rStyle w:val="Hyperlink"/>
                </w:rPr>
                <w:t>/</w:t>
              </w:r>
              <w:proofErr w:type="spellStart"/>
              <w:r w:rsidRPr="00A17AC8">
                <w:rPr>
                  <w:rStyle w:val="Hyperlink"/>
                  <w:lang w:val="fr-FR"/>
                </w:rPr>
                <w:t>medicines</w:t>
              </w:r>
              <w:proofErr w:type="spellEnd"/>
              <w:r w:rsidRPr="00EF54A5">
                <w:rPr>
                  <w:rStyle w:val="Hyperlink"/>
                </w:rPr>
                <w:t>/</w:t>
              </w:r>
              <w:proofErr w:type="spellStart"/>
              <w:r w:rsidRPr="00A17AC8">
                <w:rPr>
                  <w:rStyle w:val="Hyperlink"/>
                  <w:lang w:val="fr-FR"/>
                </w:rPr>
                <w:t>human</w:t>
              </w:r>
              <w:proofErr w:type="spellEnd"/>
              <w:r w:rsidRPr="00EF54A5">
                <w:rPr>
                  <w:rStyle w:val="Hyperlink"/>
                </w:rPr>
                <w:t>/</w:t>
              </w:r>
              <w:proofErr w:type="spellStart"/>
              <w:r w:rsidRPr="00A17AC8">
                <w:rPr>
                  <w:rStyle w:val="Hyperlink"/>
                  <w:lang w:val="fr-FR"/>
                </w:rPr>
                <w:t>epar</w:t>
              </w:r>
              <w:proofErr w:type="spellEnd"/>
              <w:r w:rsidRPr="00EF54A5">
                <w:rPr>
                  <w:rStyle w:val="Hyperlink"/>
                </w:rPr>
                <w:t>/</w:t>
              </w:r>
              <w:proofErr w:type="spellStart"/>
              <w:r w:rsidRPr="00A17AC8">
                <w:rPr>
                  <w:rStyle w:val="Hyperlink"/>
                  <w:lang w:val="fr-FR"/>
                </w:rPr>
                <w:t>amsparity</w:t>
              </w:r>
              <w:proofErr w:type="spellEnd"/>
            </w:hyperlink>
          </w:p>
          <w:p w14:paraId="70ABB6EF" w14:textId="77777777" w:rsidR="0093679D" w:rsidRPr="00A17AC8" w:rsidRDefault="0093679D" w:rsidP="003616ED">
            <w:pPr>
              <w:pStyle w:val="Style1"/>
              <w:pBdr>
                <w:top w:val="none" w:sz="0" w:space="0" w:color="auto"/>
                <w:left w:val="none" w:sz="0" w:space="0" w:color="auto"/>
                <w:bottom w:val="none" w:sz="0" w:space="0" w:color="auto"/>
                <w:right w:val="none" w:sz="0" w:space="0" w:color="auto"/>
              </w:pBdr>
              <w:rPr>
                <w:lang w:val="fr-FR"/>
              </w:rPr>
            </w:pPr>
          </w:p>
        </w:tc>
      </w:tr>
    </w:tbl>
    <w:p w14:paraId="0737CA6A" w14:textId="77777777" w:rsidR="00C46587" w:rsidRPr="0058432E" w:rsidRDefault="00C46587" w:rsidP="00982118">
      <w:pPr>
        <w:jc w:val="center"/>
        <w:rPr>
          <w:color w:val="000000" w:themeColor="text1"/>
        </w:rPr>
      </w:pPr>
    </w:p>
    <w:p w14:paraId="025CF225" w14:textId="77777777" w:rsidR="00C46587" w:rsidRPr="0058432E" w:rsidRDefault="00C46587" w:rsidP="00982118">
      <w:pPr>
        <w:jc w:val="center"/>
        <w:rPr>
          <w:color w:val="000000" w:themeColor="text1"/>
        </w:rPr>
      </w:pPr>
    </w:p>
    <w:p w14:paraId="42C21A4E" w14:textId="77777777" w:rsidR="00C46587" w:rsidRPr="0058432E" w:rsidRDefault="00C46587" w:rsidP="00982118">
      <w:pPr>
        <w:jc w:val="center"/>
        <w:rPr>
          <w:color w:val="000000" w:themeColor="text1"/>
        </w:rPr>
      </w:pPr>
    </w:p>
    <w:p w14:paraId="2B780A44" w14:textId="77777777" w:rsidR="00C46587" w:rsidRPr="0058432E" w:rsidRDefault="00C46587" w:rsidP="00982118">
      <w:pPr>
        <w:jc w:val="center"/>
        <w:rPr>
          <w:color w:val="000000" w:themeColor="text1"/>
        </w:rPr>
      </w:pPr>
    </w:p>
    <w:p w14:paraId="372E9AB6" w14:textId="77777777" w:rsidR="00C46587" w:rsidRPr="0058432E" w:rsidRDefault="00C46587" w:rsidP="00982118">
      <w:pPr>
        <w:jc w:val="center"/>
        <w:rPr>
          <w:color w:val="000000" w:themeColor="text1"/>
        </w:rPr>
      </w:pPr>
    </w:p>
    <w:p w14:paraId="767F2D0E" w14:textId="77777777" w:rsidR="00C46587" w:rsidRPr="0058432E" w:rsidRDefault="00C46587" w:rsidP="00982118">
      <w:pPr>
        <w:jc w:val="center"/>
        <w:rPr>
          <w:color w:val="000000" w:themeColor="text1"/>
        </w:rPr>
      </w:pPr>
    </w:p>
    <w:p w14:paraId="07F07630" w14:textId="77777777" w:rsidR="00C46587" w:rsidRPr="0058432E" w:rsidRDefault="00C46587" w:rsidP="00982118">
      <w:pPr>
        <w:jc w:val="center"/>
        <w:rPr>
          <w:color w:val="000000" w:themeColor="text1"/>
        </w:rPr>
      </w:pPr>
    </w:p>
    <w:p w14:paraId="2EF2CBE8" w14:textId="77777777" w:rsidR="00C46587" w:rsidRPr="0058432E" w:rsidRDefault="00C46587" w:rsidP="00982118">
      <w:pPr>
        <w:jc w:val="center"/>
        <w:rPr>
          <w:color w:val="000000" w:themeColor="text1"/>
        </w:rPr>
      </w:pPr>
    </w:p>
    <w:p w14:paraId="33854D29" w14:textId="77777777" w:rsidR="00C46587" w:rsidRPr="0058432E" w:rsidRDefault="00C46587" w:rsidP="00982118">
      <w:pPr>
        <w:jc w:val="center"/>
        <w:rPr>
          <w:color w:val="000000" w:themeColor="text1"/>
        </w:rPr>
      </w:pPr>
    </w:p>
    <w:p w14:paraId="1BEDFB7C" w14:textId="77777777" w:rsidR="00C46587" w:rsidRPr="0058432E" w:rsidRDefault="00C46587" w:rsidP="00982118">
      <w:pPr>
        <w:jc w:val="center"/>
        <w:rPr>
          <w:color w:val="000000" w:themeColor="text1"/>
        </w:rPr>
      </w:pPr>
    </w:p>
    <w:p w14:paraId="7E968A03" w14:textId="77777777" w:rsidR="00C46587" w:rsidRPr="0058432E" w:rsidRDefault="00C46587" w:rsidP="00982118">
      <w:pPr>
        <w:jc w:val="center"/>
        <w:rPr>
          <w:color w:val="000000" w:themeColor="text1"/>
        </w:rPr>
      </w:pPr>
    </w:p>
    <w:p w14:paraId="70399C68" w14:textId="77777777" w:rsidR="00C46587" w:rsidRPr="0058432E" w:rsidRDefault="00C46587" w:rsidP="00982118">
      <w:pPr>
        <w:jc w:val="center"/>
        <w:rPr>
          <w:color w:val="000000" w:themeColor="text1"/>
        </w:rPr>
      </w:pPr>
    </w:p>
    <w:p w14:paraId="6D3243C8" w14:textId="77777777" w:rsidR="00C46587" w:rsidRPr="0058432E" w:rsidRDefault="00C46587" w:rsidP="00982118">
      <w:pPr>
        <w:jc w:val="center"/>
        <w:rPr>
          <w:color w:val="000000" w:themeColor="text1"/>
        </w:rPr>
      </w:pPr>
    </w:p>
    <w:p w14:paraId="3C5F2F31" w14:textId="77777777" w:rsidR="00C46587" w:rsidRPr="0058432E" w:rsidRDefault="00C46587" w:rsidP="00982118">
      <w:pPr>
        <w:jc w:val="center"/>
        <w:rPr>
          <w:color w:val="000000" w:themeColor="text1"/>
        </w:rPr>
      </w:pPr>
    </w:p>
    <w:p w14:paraId="2AA2350E" w14:textId="77777777" w:rsidR="00C46587" w:rsidRDefault="00C46587" w:rsidP="00982118">
      <w:pPr>
        <w:jc w:val="center"/>
        <w:rPr>
          <w:color w:val="000000" w:themeColor="text1"/>
        </w:rPr>
      </w:pPr>
    </w:p>
    <w:p w14:paraId="4DDDE33C" w14:textId="77777777" w:rsidR="00B03C37" w:rsidRPr="0058432E" w:rsidRDefault="00B03C37" w:rsidP="00982118">
      <w:pPr>
        <w:jc w:val="center"/>
        <w:rPr>
          <w:color w:val="000000" w:themeColor="text1"/>
        </w:rPr>
      </w:pPr>
    </w:p>
    <w:p w14:paraId="6D0F7C61" w14:textId="77777777" w:rsidR="00C46587" w:rsidRPr="0058432E" w:rsidRDefault="00C46587" w:rsidP="00982118">
      <w:pPr>
        <w:jc w:val="center"/>
        <w:rPr>
          <w:b/>
          <w:color w:val="000000" w:themeColor="text1"/>
        </w:rPr>
      </w:pPr>
      <w:r w:rsidRPr="0058432E">
        <w:rPr>
          <w:b/>
          <w:color w:val="000000" w:themeColor="text1"/>
        </w:rPr>
        <w:t>ANNEXE I</w:t>
      </w:r>
    </w:p>
    <w:p w14:paraId="062388A2" w14:textId="77777777" w:rsidR="00C46587" w:rsidRPr="0058432E" w:rsidRDefault="00C46587" w:rsidP="00982118">
      <w:pPr>
        <w:jc w:val="center"/>
        <w:rPr>
          <w:b/>
          <w:color w:val="000000" w:themeColor="text1"/>
        </w:rPr>
      </w:pPr>
    </w:p>
    <w:p w14:paraId="1C3D57D7" w14:textId="77777777" w:rsidR="00996001" w:rsidRPr="0058432E" w:rsidRDefault="00C46587" w:rsidP="00C831C4">
      <w:pPr>
        <w:pStyle w:val="Heading1"/>
        <w:jc w:val="center"/>
        <w:rPr>
          <w:color w:val="000000" w:themeColor="text1"/>
        </w:rPr>
      </w:pPr>
      <w:r w:rsidRPr="0058432E">
        <w:rPr>
          <w:color w:val="000000" w:themeColor="text1"/>
        </w:rPr>
        <w:t>RÉSUMÉ DES CARACTÉRISTIQUES DU PRODUIT</w:t>
      </w:r>
    </w:p>
    <w:p w14:paraId="785F944A" w14:textId="78FE8474" w:rsidR="00C46587" w:rsidRPr="0058432E" w:rsidRDefault="00C46587" w:rsidP="001439EF">
      <w:pPr>
        <w:rPr>
          <w:color w:val="000000" w:themeColor="text1"/>
        </w:rPr>
      </w:pPr>
      <w:r w:rsidRPr="0058432E">
        <w:rPr>
          <w:color w:val="000000" w:themeColor="text1"/>
        </w:rPr>
        <w:br w:type="page"/>
      </w:r>
    </w:p>
    <w:p w14:paraId="158E797D" w14:textId="77777777" w:rsidR="008D74DD" w:rsidRPr="0058432E" w:rsidRDefault="008D74DD" w:rsidP="001439EF">
      <w:pPr>
        <w:pStyle w:val="BodyText"/>
        <w:keepNext/>
        <w:widowControl/>
        <w:numPr>
          <w:ilvl w:val="0"/>
          <w:numId w:val="21"/>
        </w:numPr>
        <w:kinsoku w:val="0"/>
        <w:overflowPunct w:val="0"/>
        <w:autoSpaceDE w:val="0"/>
        <w:autoSpaceDN w:val="0"/>
        <w:adjustRightInd w:val="0"/>
        <w:ind w:left="0" w:firstLine="0"/>
        <w:rPr>
          <w:color w:val="000000" w:themeColor="text1"/>
        </w:rPr>
      </w:pPr>
      <w:r w:rsidRPr="0058432E">
        <w:rPr>
          <w:b/>
          <w:bCs/>
          <w:color w:val="000000" w:themeColor="text1"/>
        </w:rPr>
        <w:lastRenderedPageBreak/>
        <w:t>DÉNOMINATION DU MÉDICAMENT</w:t>
      </w:r>
    </w:p>
    <w:p w14:paraId="15D77FC3" w14:textId="77777777" w:rsidR="008D74DD" w:rsidRPr="0058432E" w:rsidRDefault="008D74DD" w:rsidP="001439EF">
      <w:pPr>
        <w:pStyle w:val="BodyText"/>
        <w:keepNext/>
        <w:widowControl/>
        <w:kinsoku w:val="0"/>
        <w:overflowPunct w:val="0"/>
        <w:ind w:left="0"/>
        <w:rPr>
          <w:bCs/>
          <w:color w:val="000000" w:themeColor="text1"/>
          <w:szCs w:val="21"/>
        </w:rPr>
      </w:pPr>
    </w:p>
    <w:p w14:paraId="074D1D08" w14:textId="77777777" w:rsidR="008D74DD" w:rsidRPr="0058432E" w:rsidRDefault="006A1144" w:rsidP="001439EF">
      <w:pPr>
        <w:pStyle w:val="BodyText"/>
        <w:widowControl/>
        <w:kinsoku w:val="0"/>
        <w:overflowPunct w:val="0"/>
        <w:ind w:left="0"/>
        <w:rPr>
          <w:color w:val="000000" w:themeColor="text1"/>
        </w:rPr>
      </w:pPr>
      <w:r w:rsidRPr="0058432E">
        <w:rPr>
          <w:color w:val="000000" w:themeColor="text1"/>
        </w:rPr>
        <w:t>Amsparity 20 mg, solution injectable en seringue préremplie</w:t>
      </w:r>
    </w:p>
    <w:p w14:paraId="345F706F" w14:textId="77777777" w:rsidR="008D74DD" w:rsidRPr="0058432E" w:rsidRDefault="008D74DD" w:rsidP="001439EF">
      <w:pPr>
        <w:pStyle w:val="BodyText"/>
        <w:widowControl/>
        <w:kinsoku w:val="0"/>
        <w:overflowPunct w:val="0"/>
        <w:ind w:left="0"/>
        <w:rPr>
          <w:color w:val="000000" w:themeColor="text1"/>
        </w:rPr>
      </w:pPr>
    </w:p>
    <w:p w14:paraId="4C691276" w14:textId="77777777" w:rsidR="008D74DD" w:rsidRPr="0058432E" w:rsidRDefault="008D74DD" w:rsidP="001439EF">
      <w:pPr>
        <w:pStyle w:val="BodyText"/>
        <w:widowControl/>
        <w:kinsoku w:val="0"/>
        <w:overflowPunct w:val="0"/>
        <w:ind w:left="0"/>
        <w:rPr>
          <w:color w:val="000000" w:themeColor="text1"/>
        </w:rPr>
      </w:pPr>
    </w:p>
    <w:p w14:paraId="75F62549" w14:textId="77777777" w:rsidR="008D74DD" w:rsidRPr="0058432E" w:rsidRDefault="008D74D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t>COMPOSITION QUALITATIVE ET QUANTITATIVE</w:t>
      </w:r>
    </w:p>
    <w:p w14:paraId="7F015B59" w14:textId="77777777" w:rsidR="008D74DD" w:rsidRPr="0058432E" w:rsidRDefault="008D74DD" w:rsidP="001439EF">
      <w:pPr>
        <w:pStyle w:val="BodyText"/>
        <w:keepNext/>
        <w:widowControl/>
        <w:kinsoku w:val="0"/>
        <w:overflowPunct w:val="0"/>
        <w:ind w:left="0"/>
        <w:rPr>
          <w:b/>
          <w:bCs/>
          <w:color w:val="000000" w:themeColor="text1"/>
          <w:szCs w:val="21"/>
        </w:rPr>
      </w:pPr>
    </w:p>
    <w:p w14:paraId="721A7305"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rPr>
        <w:t xml:space="preserve">Chaque </w:t>
      </w:r>
      <w:r w:rsidR="00953253" w:rsidRPr="0058432E">
        <w:rPr>
          <w:color w:val="000000" w:themeColor="text1"/>
        </w:rPr>
        <w:t xml:space="preserve">seringue préremplie unidose </w:t>
      </w:r>
      <w:r w:rsidRPr="0058432E">
        <w:rPr>
          <w:color w:val="000000" w:themeColor="text1"/>
        </w:rPr>
        <w:t>de 0,4 ml contient 20 mg d’adalimumab.</w:t>
      </w:r>
    </w:p>
    <w:p w14:paraId="7BBB733C" w14:textId="77777777" w:rsidR="008D74DD" w:rsidRPr="0058432E" w:rsidRDefault="008D74DD" w:rsidP="001439EF">
      <w:pPr>
        <w:pStyle w:val="BodyText"/>
        <w:widowControl/>
        <w:kinsoku w:val="0"/>
        <w:overflowPunct w:val="0"/>
        <w:ind w:left="0"/>
        <w:rPr>
          <w:color w:val="000000" w:themeColor="text1"/>
        </w:rPr>
      </w:pPr>
    </w:p>
    <w:p w14:paraId="6140BEB4"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rPr>
        <w:t xml:space="preserve">L’adalimumab est un anticorps monoclonal humain recombinant produit dans des cellules ovariennes de hamster chinois. </w:t>
      </w:r>
    </w:p>
    <w:p w14:paraId="0BE0ED9D" w14:textId="77777777" w:rsidR="008D74DD" w:rsidRPr="0058432E" w:rsidRDefault="008D74DD" w:rsidP="001439EF">
      <w:pPr>
        <w:pStyle w:val="BodyText"/>
        <w:widowControl/>
        <w:kinsoku w:val="0"/>
        <w:overflowPunct w:val="0"/>
        <w:ind w:left="0"/>
        <w:rPr>
          <w:color w:val="000000" w:themeColor="text1"/>
        </w:rPr>
      </w:pPr>
    </w:p>
    <w:p w14:paraId="1F1F9054" w14:textId="1B5737F0" w:rsidR="000A7DF0" w:rsidRPr="0058432E" w:rsidRDefault="000A7DF0" w:rsidP="00DC2AFA">
      <w:pPr>
        <w:rPr>
          <w:color w:val="000000" w:themeColor="text1"/>
        </w:rPr>
      </w:pPr>
      <w:bookmarkStart w:id="0" w:name="_Hlk178158618"/>
      <w:r w:rsidRPr="0058432E">
        <w:rPr>
          <w:color w:val="000000" w:themeColor="text1"/>
          <w:u w:val="single"/>
        </w:rPr>
        <w:t>Excipient</w:t>
      </w:r>
      <w:r w:rsidR="00DC2AFA" w:rsidRPr="0058432E">
        <w:rPr>
          <w:color w:val="000000" w:themeColor="text1"/>
          <w:u w:val="single"/>
        </w:rPr>
        <w:t>s</w:t>
      </w:r>
      <w:r w:rsidRPr="0058432E">
        <w:rPr>
          <w:color w:val="000000" w:themeColor="text1"/>
          <w:u w:val="single"/>
        </w:rPr>
        <w:t xml:space="preserve"> à effet notoire</w:t>
      </w:r>
      <w:r w:rsidR="00DC2AFA" w:rsidRPr="0058432E">
        <w:rPr>
          <w:color w:val="000000" w:themeColor="text1"/>
          <w:u w:val="single"/>
        </w:rPr>
        <w:t> :</w:t>
      </w:r>
      <w:r w:rsidRPr="0058432E">
        <w:rPr>
          <w:color w:val="000000" w:themeColor="text1"/>
          <w:u w:val="single"/>
        </w:rPr>
        <w:br/>
      </w:r>
    </w:p>
    <w:p w14:paraId="152EF574" w14:textId="796E52F4" w:rsidR="000A7DF0" w:rsidRPr="0058432E" w:rsidRDefault="000A7DF0" w:rsidP="001439EF">
      <w:pPr>
        <w:pStyle w:val="BodyText"/>
        <w:widowControl/>
        <w:kinsoku w:val="0"/>
        <w:overflowPunct w:val="0"/>
        <w:ind w:left="0"/>
        <w:rPr>
          <w:color w:val="000000" w:themeColor="text1"/>
        </w:rPr>
      </w:pPr>
      <w:r w:rsidRPr="0058432E">
        <w:rPr>
          <w:color w:val="000000" w:themeColor="text1"/>
        </w:rPr>
        <w:t xml:space="preserve">Amsparity 20 mg, solution injectable contient 0,08 mg de polysorbate 80 </w:t>
      </w:r>
      <w:r w:rsidR="008637ED" w:rsidRPr="0058432E">
        <w:rPr>
          <w:color w:val="000000" w:themeColor="text1"/>
        </w:rPr>
        <w:t xml:space="preserve">par </w:t>
      </w:r>
      <w:r w:rsidRPr="0058432E">
        <w:rPr>
          <w:color w:val="000000" w:themeColor="text1"/>
        </w:rPr>
        <w:t xml:space="preserve">seringue préremplie unidose de 0,4 ml, </w:t>
      </w:r>
      <w:r w:rsidR="005C3FBC" w:rsidRPr="0058432E">
        <w:rPr>
          <w:color w:val="000000" w:themeColor="text1"/>
        </w:rPr>
        <w:t>équiva</w:t>
      </w:r>
      <w:r w:rsidR="008637ED" w:rsidRPr="0058432E">
        <w:rPr>
          <w:color w:val="000000" w:themeColor="text1"/>
        </w:rPr>
        <w:t xml:space="preserve">lant </w:t>
      </w:r>
      <w:r w:rsidRPr="0058432E">
        <w:rPr>
          <w:color w:val="000000" w:themeColor="text1"/>
        </w:rPr>
        <w:t>à 0,2 mg/ml de polysorbate 80.</w:t>
      </w:r>
    </w:p>
    <w:bookmarkEnd w:id="0"/>
    <w:p w14:paraId="2B49D5BF" w14:textId="77777777" w:rsidR="000A7DF0" w:rsidRPr="0058432E" w:rsidRDefault="000A7DF0" w:rsidP="001439EF">
      <w:pPr>
        <w:pStyle w:val="BodyText"/>
        <w:widowControl/>
        <w:kinsoku w:val="0"/>
        <w:overflowPunct w:val="0"/>
        <w:ind w:left="0"/>
        <w:rPr>
          <w:color w:val="000000" w:themeColor="text1"/>
        </w:rPr>
      </w:pPr>
    </w:p>
    <w:p w14:paraId="4F085AEE" w14:textId="7FBA0A06" w:rsidR="008D74DD" w:rsidRPr="0058432E" w:rsidRDefault="008D74DD" w:rsidP="001439EF">
      <w:pPr>
        <w:pStyle w:val="BodyText"/>
        <w:widowControl/>
        <w:kinsoku w:val="0"/>
        <w:overflowPunct w:val="0"/>
        <w:ind w:left="0"/>
        <w:rPr>
          <w:color w:val="000000" w:themeColor="text1"/>
        </w:rPr>
      </w:pPr>
      <w:r w:rsidRPr="0058432E">
        <w:rPr>
          <w:color w:val="000000" w:themeColor="text1"/>
        </w:rPr>
        <w:t>Pour la liste complète des excipients, voir rubrique 6.1.</w:t>
      </w:r>
    </w:p>
    <w:p w14:paraId="0E952D76" w14:textId="77777777" w:rsidR="008D74DD" w:rsidRPr="0058432E" w:rsidRDefault="008D74DD" w:rsidP="001439EF">
      <w:pPr>
        <w:pStyle w:val="BodyText"/>
        <w:widowControl/>
        <w:kinsoku w:val="0"/>
        <w:overflowPunct w:val="0"/>
        <w:ind w:left="0"/>
        <w:rPr>
          <w:color w:val="000000" w:themeColor="text1"/>
        </w:rPr>
      </w:pPr>
    </w:p>
    <w:p w14:paraId="0BFDC8E9" w14:textId="77777777" w:rsidR="008D74DD" w:rsidRPr="0058432E" w:rsidRDefault="008D74DD" w:rsidP="001439EF">
      <w:pPr>
        <w:pStyle w:val="BodyText"/>
        <w:widowControl/>
        <w:kinsoku w:val="0"/>
        <w:overflowPunct w:val="0"/>
        <w:ind w:left="0"/>
        <w:rPr>
          <w:color w:val="000000" w:themeColor="text1"/>
          <w:szCs w:val="23"/>
        </w:rPr>
      </w:pPr>
    </w:p>
    <w:p w14:paraId="2211393C" w14:textId="77777777" w:rsidR="008D74DD" w:rsidRPr="0058432E" w:rsidRDefault="008D74DD" w:rsidP="001439EF">
      <w:pPr>
        <w:pStyle w:val="BodyText"/>
        <w:keepNext/>
        <w:widowControl/>
        <w:numPr>
          <w:ilvl w:val="0"/>
          <w:numId w:val="21"/>
        </w:numPr>
        <w:kinsoku w:val="0"/>
        <w:overflowPunct w:val="0"/>
        <w:spacing w:before="8"/>
        <w:ind w:left="0" w:firstLine="0"/>
        <w:rPr>
          <w:color w:val="000000" w:themeColor="text1"/>
        </w:rPr>
      </w:pPr>
      <w:r w:rsidRPr="0058432E">
        <w:rPr>
          <w:b/>
          <w:bCs/>
          <w:color w:val="000000" w:themeColor="text1"/>
        </w:rPr>
        <w:t xml:space="preserve">FORME PHARMACEUTIQUE </w:t>
      </w:r>
    </w:p>
    <w:p w14:paraId="09CD7B2E" w14:textId="77777777" w:rsidR="008D74DD" w:rsidRPr="0058432E" w:rsidRDefault="008D74DD" w:rsidP="001439EF">
      <w:pPr>
        <w:pStyle w:val="BodyText"/>
        <w:keepNext/>
        <w:widowControl/>
        <w:tabs>
          <w:tab w:val="left" w:pos="673"/>
        </w:tabs>
        <w:kinsoku w:val="0"/>
        <w:overflowPunct w:val="0"/>
        <w:spacing w:before="8"/>
        <w:ind w:left="0"/>
        <w:rPr>
          <w:bCs/>
          <w:color w:val="000000" w:themeColor="text1"/>
        </w:rPr>
      </w:pPr>
    </w:p>
    <w:p w14:paraId="2AFB5905" w14:textId="77777777" w:rsidR="008D74DD" w:rsidRPr="0058432E" w:rsidRDefault="008D74DD" w:rsidP="001439EF">
      <w:pPr>
        <w:pStyle w:val="BodyText"/>
        <w:widowControl/>
        <w:tabs>
          <w:tab w:val="left" w:pos="673"/>
        </w:tabs>
        <w:kinsoku w:val="0"/>
        <w:overflowPunct w:val="0"/>
        <w:autoSpaceDE w:val="0"/>
        <w:autoSpaceDN w:val="0"/>
        <w:adjustRightInd w:val="0"/>
        <w:ind w:left="0"/>
        <w:rPr>
          <w:color w:val="000000" w:themeColor="text1"/>
        </w:rPr>
      </w:pPr>
      <w:r w:rsidRPr="0058432E">
        <w:rPr>
          <w:color w:val="000000" w:themeColor="text1"/>
        </w:rPr>
        <w:t>Solution injectable. (</w:t>
      </w:r>
      <w:proofErr w:type="gramStart"/>
      <w:r w:rsidRPr="0058432E">
        <w:rPr>
          <w:color w:val="000000" w:themeColor="text1"/>
        </w:rPr>
        <w:t>injection</w:t>
      </w:r>
      <w:proofErr w:type="gramEnd"/>
      <w:r w:rsidRPr="0058432E">
        <w:rPr>
          <w:color w:val="000000" w:themeColor="text1"/>
        </w:rPr>
        <w:t xml:space="preserve">) </w:t>
      </w:r>
    </w:p>
    <w:p w14:paraId="0792EF55" w14:textId="77777777" w:rsidR="008D74DD" w:rsidRPr="0058432E" w:rsidRDefault="008D74DD" w:rsidP="001439EF">
      <w:pPr>
        <w:pStyle w:val="BodyText"/>
        <w:widowControl/>
        <w:tabs>
          <w:tab w:val="left" w:pos="673"/>
        </w:tabs>
        <w:kinsoku w:val="0"/>
        <w:overflowPunct w:val="0"/>
        <w:autoSpaceDE w:val="0"/>
        <w:autoSpaceDN w:val="0"/>
        <w:adjustRightInd w:val="0"/>
        <w:ind w:left="0"/>
        <w:rPr>
          <w:color w:val="000000" w:themeColor="text1"/>
        </w:rPr>
      </w:pPr>
    </w:p>
    <w:p w14:paraId="2AF4538A" w14:textId="77777777" w:rsidR="008D74DD" w:rsidRPr="0058432E" w:rsidRDefault="008D74DD" w:rsidP="001439EF">
      <w:pPr>
        <w:pStyle w:val="BodyText"/>
        <w:widowControl/>
        <w:tabs>
          <w:tab w:val="left" w:pos="673"/>
        </w:tabs>
        <w:kinsoku w:val="0"/>
        <w:overflowPunct w:val="0"/>
        <w:autoSpaceDE w:val="0"/>
        <w:autoSpaceDN w:val="0"/>
        <w:adjustRightInd w:val="0"/>
        <w:ind w:left="0"/>
        <w:rPr>
          <w:color w:val="000000" w:themeColor="text1"/>
        </w:rPr>
      </w:pPr>
      <w:r w:rsidRPr="0058432E">
        <w:rPr>
          <w:color w:val="000000" w:themeColor="text1"/>
        </w:rPr>
        <w:t>Solution limpide, incolore à brun très clair.</w:t>
      </w:r>
    </w:p>
    <w:p w14:paraId="7A35AFCB" w14:textId="77777777" w:rsidR="008D74DD" w:rsidRPr="0058432E" w:rsidRDefault="008D74DD" w:rsidP="001439EF">
      <w:pPr>
        <w:pStyle w:val="BodyText"/>
        <w:widowControl/>
        <w:tabs>
          <w:tab w:val="left" w:pos="673"/>
        </w:tabs>
        <w:kinsoku w:val="0"/>
        <w:overflowPunct w:val="0"/>
        <w:autoSpaceDE w:val="0"/>
        <w:autoSpaceDN w:val="0"/>
        <w:adjustRightInd w:val="0"/>
        <w:ind w:left="0"/>
        <w:rPr>
          <w:color w:val="000000" w:themeColor="text1"/>
        </w:rPr>
      </w:pPr>
    </w:p>
    <w:p w14:paraId="78A5F6B4" w14:textId="77777777" w:rsidR="008D74DD" w:rsidRPr="0058432E" w:rsidRDefault="008D74DD" w:rsidP="001439EF">
      <w:pPr>
        <w:pStyle w:val="BodyText"/>
        <w:widowControl/>
        <w:kinsoku w:val="0"/>
        <w:overflowPunct w:val="0"/>
        <w:ind w:left="0"/>
        <w:rPr>
          <w:color w:val="000000" w:themeColor="text1"/>
        </w:rPr>
      </w:pPr>
    </w:p>
    <w:p w14:paraId="11F65041" w14:textId="77777777" w:rsidR="008D74DD" w:rsidRPr="0058432E" w:rsidRDefault="008D74D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t>INFORMATIONS CLINIQUES</w:t>
      </w:r>
    </w:p>
    <w:p w14:paraId="317180A4" w14:textId="77777777" w:rsidR="008D74DD" w:rsidRPr="0058432E" w:rsidRDefault="008D74DD" w:rsidP="001439EF">
      <w:pPr>
        <w:pStyle w:val="BodyText"/>
        <w:keepNext/>
        <w:widowControl/>
        <w:kinsoku w:val="0"/>
        <w:overflowPunct w:val="0"/>
        <w:spacing w:before="8"/>
        <w:ind w:left="0"/>
        <w:rPr>
          <w:bCs/>
          <w:color w:val="000000" w:themeColor="text1"/>
        </w:rPr>
      </w:pPr>
    </w:p>
    <w:p w14:paraId="6A60E1CD" w14:textId="77777777" w:rsidR="008D74DD" w:rsidRPr="0058432E" w:rsidRDefault="008D74DD" w:rsidP="001439EF">
      <w:pPr>
        <w:pStyle w:val="BodyText"/>
        <w:keepNext/>
        <w:widowControl/>
        <w:numPr>
          <w:ilvl w:val="1"/>
          <w:numId w:val="21"/>
        </w:numPr>
        <w:kinsoku w:val="0"/>
        <w:overflowPunct w:val="0"/>
        <w:spacing w:before="8"/>
        <w:ind w:left="0" w:firstLine="0"/>
        <w:rPr>
          <w:color w:val="000000" w:themeColor="text1"/>
        </w:rPr>
      </w:pPr>
      <w:r w:rsidRPr="0058432E">
        <w:rPr>
          <w:b/>
          <w:bCs/>
          <w:color w:val="000000" w:themeColor="text1"/>
        </w:rPr>
        <w:t>Indications thérapeutiques</w:t>
      </w:r>
    </w:p>
    <w:p w14:paraId="21C36797" w14:textId="77777777" w:rsidR="008D74DD" w:rsidRPr="0058432E" w:rsidRDefault="008D74DD" w:rsidP="001439EF">
      <w:pPr>
        <w:pStyle w:val="BodyText"/>
        <w:keepNext/>
        <w:widowControl/>
        <w:kinsoku w:val="0"/>
        <w:overflowPunct w:val="0"/>
        <w:spacing w:before="8"/>
        <w:ind w:left="0"/>
        <w:rPr>
          <w:bCs/>
          <w:color w:val="000000" w:themeColor="text1"/>
          <w:szCs w:val="21"/>
        </w:rPr>
      </w:pPr>
    </w:p>
    <w:p w14:paraId="6069D7D5" w14:textId="77777777" w:rsidR="008D74DD" w:rsidRPr="0058432E" w:rsidRDefault="008D74DD" w:rsidP="001439EF">
      <w:pPr>
        <w:pStyle w:val="BodyText"/>
        <w:keepNext/>
        <w:widowControl/>
        <w:kinsoku w:val="0"/>
        <w:overflowPunct w:val="0"/>
        <w:spacing w:before="8"/>
        <w:ind w:left="0"/>
        <w:rPr>
          <w:color w:val="000000" w:themeColor="text1"/>
        </w:rPr>
      </w:pPr>
      <w:r w:rsidRPr="0058432E">
        <w:rPr>
          <w:color w:val="000000" w:themeColor="text1"/>
          <w:u w:val="single"/>
        </w:rPr>
        <w:t>Arthrite juvénile idiopathique</w:t>
      </w:r>
    </w:p>
    <w:p w14:paraId="5789E743" w14:textId="77777777" w:rsidR="008D74DD" w:rsidRPr="0058432E" w:rsidRDefault="008D74DD" w:rsidP="001439EF">
      <w:pPr>
        <w:pStyle w:val="BodyText"/>
        <w:keepNext/>
        <w:widowControl/>
        <w:kinsoku w:val="0"/>
        <w:overflowPunct w:val="0"/>
        <w:spacing w:before="8"/>
        <w:ind w:left="0"/>
        <w:rPr>
          <w:color w:val="000000" w:themeColor="text1"/>
          <w:szCs w:val="15"/>
        </w:rPr>
      </w:pPr>
    </w:p>
    <w:p w14:paraId="6079C9DB" w14:textId="77777777" w:rsidR="008D74DD" w:rsidRPr="0058432E" w:rsidRDefault="008D74DD" w:rsidP="001439EF">
      <w:pPr>
        <w:pStyle w:val="BodyText"/>
        <w:keepNext/>
        <w:widowControl/>
        <w:kinsoku w:val="0"/>
        <w:overflowPunct w:val="0"/>
        <w:spacing w:before="8"/>
        <w:ind w:left="0"/>
        <w:rPr>
          <w:color w:val="000000" w:themeColor="text1"/>
        </w:rPr>
      </w:pPr>
      <w:r w:rsidRPr="0058432E">
        <w:rPr>
          <w:i/>
          <w:iCs/>
          <w:color w:val="000000" w:themeColor="text1"/>
        </w:rPr>
        <w:t>Arthrite juvénile idiopathique polyarticulaire</w:t>
      </w:r>
    </w:p>
    <w:p w14:paraId="3B41D291" w14:textId="77777777" w:rsidR="008D74DD" w:rsidRPr="0058432E" w:rsidRDefault="008D74DD" w:rsidP="001439EF">
      <w:pPr>
        <w:pStyle w:val="BodyText"/>
        <w:keepNext/>
        <w:widowControl/>
        <w:kinsoku w:val="0"/>
        <w:overflowPunct w:val="0"/>
        <w:spacing w:before="8"/>
        <w:ind w:left="0"/>
        <w:rPr>
          <w:i/>
          <w:iCs/>
          <w:color w:val="000000" w:themeColor="text1"/>
          <w:szCs w:val="21"/>
        </w:rPr>
      </w:pPr>
    </w:p>
    <w:p w14:paraId="6737CFC0" w14:textId="77777777" w:rsidR="008D74DD" w:rsidRPr="0058432E" w:rsidRDefault="006A1144" w:rsidP="001439EF">
      <w:pPr>
        <w:pStyle w:val="BodyText"/>
        <w:widowControl/>
        <w:kinsoku w:val="0"/>
        <w:overflowPunct w:val="0"/>
        <w:ind w:left="0"/>
        <w:rPr>
          <w:color w:val="000000" w:themeColor="text1"/>
        </w:rPr>
      </w:pPr>
      <w:r w:rsidRPr="0058432E">
        <w:rPr>
          <w:color w:val="000000" w:themeColor="text1"/>
        </w:rPr>
        <w:t xml:space="preserve">Amsparity en association au méthotrexate est indiqué pour le traitement de l’arthrite juvénile idiopathique polyarticulaire </w:t>
      </w:r>
      <w:r w:rsidR="0084514B" w:rsidRPr="0058432E">
        <w:rPr>
          <w:color w:val="000000" w:themeColor="text1"/>
        </w:rPr>
        <w:t xml:space="preserve">active </w:t>
      </w:r>
      <w:r w:rsidRPr="0058432E">
        <w:rPr>
          <w:color w:val="000000" w:themeColor="text1"/>
        </w:rPr>
        <w:t xml:space="preserve">chez les patients à partir de 2 ans en cas de réponse insuffisante à un ou plusieurs traitements </w:t>
      </w:r>
      <w:r w:rsidR="00727CBB" w:rsidRPr="0058432E">
        <w:rPr>
          <w:color w:val="000000" w:themeColor="text1"/>
        </w:rPr>
        <w:t xml:space="preserve">de fond antirhumatismaux (DMARDs : </w:t>
      </w:r>
      <w:r w:rsidR="00727CBB" w:rsidRPr="0058432E">
        <w:rPr>
          <w:i/>
          <w:color w:val="000000" w:themeColor="text1"/>
        </w:rPr>
        <w:t>Disease-Modifying Antirheumatic Drugs</w:t>
      </w:r>
      <w:r w:rsidR="00727CBB" w:rsidRPr="0058432E">
        <w:rPr>
          <w:color w:val="000000" w:themeColor="text1"/>
        </w:rPr>
        <w:t>)</w:t>
      </w:r>
      <w:r w:rsidRPr="0058432E">
        <w:rPr>
          <w:color w:val="000000" w:themeColor="text1"/>
        </w:rPr>
        <w:t>. Amsparity peut être administré en monothérapie en cas d’intolérance au méthotrexate ou lorsque la poursuite du traitement par le méthotrexate est inadaptée (pour l’efficacité en monothérapie</w:t>
      </w:r>
      <w:r w:rsidR="0084514B" w:rsidRPr="0058432E">
        <w:rPr>
          <w:color w:val="000000" w:themeColor="text1"/>
        </w:rPr>
        <w:t>,</w:t>
      </w:r>
      <w:r w:rsidRPr="0058432E">
        <w:rPr>
          <w:color w:val="000000" w:themeColor="text1"/>
        </w:rPr>
        <w:t xml:space="preserve"> voir rubrique 5.1). L’adalimumab n’a pas été étudié chez les patients de moins de 2 ans.</w:t>
      </w:r>
    </w:p>
    <w:p w14:paraId="6329F91A" w14:textId="77777777" w:rsidR="008D74DD" w:rsidRPr="0058432E" w:rsidRDefault="008D74DD" w:rsidP="001439EF">
      <w:pPr>
        <w:pStyle w:val="BodyText"/>
        <w:widowControl/>
        <w:kinsoku w:val="0"/>
        <w:overflowPunct w:val="0"/>
        <w:ind w:left="0"/>
        <w:rPr>
          <w:color w:val="000000" w:themeColor="text1"/>
        </w:rPr>
      </w:pPr>
    </w:p>
    <w:p w14:paraId="5C463A0D" w14:textId="77777777" w:rsidR="008D74DD" w:rsidRPr="0058432E" w:rsidRDefault="008D74DD" w:rsidP="001439EF">
      <w:pPr>
        <w:pStyle w:val="BodyText"/>
        <w:keepNext/>
        <w:widowControl/>
        <w:kinsoku w:val="0"/>
        <w:overflowPunct w:val="0"/>
        <w:spacing w:before="8"/>
        <w:ind w:left="0"/>
        <w:rPr>
          <w:color w:val="000000" w:themeColor="text1"/>
        </w:rPr>
      </w:pPr>
      <w:r w:rsidRPr="0058432E">
        <w:rPr>
          <w:i/>
          <w:iCs/>
          <w:color w:val="000000" w:themeColor="text1"/>
        </w:rPr>
        <w:t>Arthrite liée à l’enthésite</w:t>
      </w:r>
    </w:p>
    <w:p w14:paraId="0D2DFC3D" w14:textId="77777777" w:rsidR="008D74DD" w:rsidRPr="0058432E" w:rsidRDefault="008D74DD" w:rsidP="001439EF">
      <w:pPr>
        <w:pStyle w:val="BodyText"/>
        <w:keepNext/>
        <w:widowControl/>
        <w:kinsoku w:val="0"/>
        <w:overflowPunct w:val="0"/>
        <w:spacing w:before="8"/>
        <w:ind w:left="0"/>
        <w:rPr>
          <w:i/>
          <w:iCs/>
          <w:color w:val="000000" w:themeColor="text1"/>
          <w:szCs w:val="21"/>
        </w:rPr>
      </w:pPr>
    </w:p>
    <w:p w14:paraId="383258C6" w14:textId="77777777" w:rsidR="008D74DD" w:rsidRPr="0058432E" w:rsidRDefault="006A1144" w:rsidP="001439EF">
      <w:pPr>
        <w:pStyle w:val="BodyText"/>
        <w:widowControl/>
        <w:kinsoku w:val="0"/>
        <w:overflowPunct w:val="0"/>
        <w:ind w:left="0"/>
        <w:rPr>
          <w:color w:val="000000" w:themeColor="text1"/>
        </w:rPr>
      </w:pPr>
      <w:r w:rsidRPr="0058432E">
        <w:rPr>
          <w:color w:val="000000" w:themeColor="text1"/>
        </w:rPr>
        <w:t>Amsparity est indiqué pour le traitement de l’arthrite active liée à l’enthésite chez les patients à partir de 6 ans en cas de réponse insuffisante ou d’intolérance au traitement conventionnel (voir rubrique 5.1).</w:t>
      </w:r>
    </w:p>
    <w:p w14:paraId="7E8468A3" w14:textId="77777777" w:rsidR="008D74DD" w:rsidRPr="0058432E" w:rsidRDefault="008D74DD" w:rsidP="001439EF">
      <w:pPr>
        <w:pStyle w:val="BodyText"/>
        <w:widowControl/>
        <w:kinsoku w:val="0"/>
        <w:overflowPunct w:val="0"/>
        <w:ind w:left="0"/>
        <w:rPr>
          <w:color w:val="000000" w:themeColor="text1"/>
        </w:rPr>
      </w:pPr>
    </w:p>
    <w:p w14:paraId="38AF24B5" w14:textId="77777777" w:rsidR="008D74DD" w:rsidRPr="0058432E" w:rsidRDefault="008D74DD" w:rsidP="001439EF">
      <w:pPr>
        <w:pStyle w:val="BodyText"/>
        <w:keepNext/>
        <w:widowControl/>
        <w:kinsoku w:val="0"/>
        <w:overflowPunct w:val="0"/>
        <w:spacing w:before="8"/>
        <w:ind w:left="0"/>
        <w:rPr>
          <w:color w:val="000000" w:themeColor="text1"/>
        </w:rPr>
      </w:pPr>
      <w:r w:rsidRPr="0058432E">
        <w:rPr>
          <w:color w:val="000000" w:themeColor="text1"/>
          <w:u w:val="single"/>
        </w:rPr>
        <w:t xml:space="preserve">Psoriasis en plaques </w:t>
      </w:r>
      <w:r w:rsidR="00A91F80" w:rsidRPr="0058432E">
        <w:rPr>
          <w:color w:val="000000" w:themeColor="text1"/>
          <w:u w:val="single"/>
        </w:rPr>
        <w:t>pédiatrique</w:t>
      </w:r>
    </w:p>
    <w:p w14:paraId="32201862" w14:textId="77777777" w:rsidR="008D74DD" w:rsidRPr="0058432E" w:rsidRDefault="008D74DD" w:rsidP="001439EF">
      <w:pPr>
        <w:pStyle w:val="BodyText"/>
        <w:keepNext/>
        <w:widowControl/>
        <w:kinsoku w:val="0"/>
        <w:overflowPunct w:val="0"/>
        <w:spacing w:before="8"/>
        <w:ind w:left="0"/>
        <w:rPr>
          <w:color w:val="000000" w:themeColor="text1"/>
          <w:szCs w:val="15"/>
        </w:rPr>
      </w:pPr>
    </w:p>
    <w:p w14:paraId="14543F45" w14:textId="77777777" w:rsidR="008D74DD" w:rsidRPr="0058432E" w:rsidRDefault="006A1144" w:rsidP="00F22DAF">
      <w:pPr>
        <w:pStyle w:val="BodyText"/>
        <w:widowControl/>
        <w:kinsoku w:val="0"/>
        <w:overflowPunct w:val="0"/>
        <w:ind w:left="0"/>
        <w:rPr>
          <w:color w:val="000000" w:themeColor="text1"/>
        </w:rPr>
      </w:pPr>
      <w:r w:rsidRPr="0058432E">
        <w:rPr>
          <w:color w:val="000000" w:themeColor="text1"/>
        </w:rPr>
        <w:t>Amsparity est indiqué dans le traitement du psoriasis en plaques chronique sévère chez les enfants à partir de 4 ans et les adolescents en cas de réponse insuffisante à un traitement topique et aux photothérapies ou lorsque ces traitements sont inappropriés.</w:t>
      </w:r>
    </w:p>
    <w:p w14:paraId="7F0C0178" w14:textId="77777777" w:rsidR="003E1B8A" w:rsidRPr="0058432E" w:rsidRDefault="003E1B8A" w:rsidP="006B001C">
      <w:pPr>
        <w:pStyle w:val="BodyText"/>
        <w:widowControl/>
        <w:kinsoku w:val="0"/>
        <w:overflowPunct w:val="0"/>
        <w:ind w:left="0"/>
        <w:rPr>
          <w:color w:val="000000" w:themeColor="text1"/>
        </w:rPr>
      </w:pPr>
    </w:p>
    <w:p w14:paraId="0AA15CC5" w14:textId="77777777" w:rsidR="008D74DD" w:rsidRPr="0058432E" w:rsidRDefault="008D74DD" w:rsidP="006B001C">
      <w:pPr>
        <w:pStyle w:val="BodyText"/>
        <w:keepNext/>
        <w:widowControl/>
        <w:kinsoku w:val="0"/>
        <w:overflowPunct w:val="0"/>
        <w:ind w:left="0"/>
        <w:rPr>
          <w:color w:val="000000" w:themeColor="text1"/>
        </w:rPr>
      </w:pPr>
      <w:r w:rsidRPr="0058432E">
        <w:rPr>
          <w:color w:val="000000" w:themeColor="text1"/>
          <w:u w:val="single"/>
        </w:rPr>
        <w:lastRenderedPageBreak/>
        <w:t xml:space="preserve">Maladie de Crohn </w:t>
      </w:r>
      <w:r w:rsidR="008E4907" w:rsidRPr="0058432E">
        <w:rPr>
          <w:color w:val="000000" w:themeColor="text1"/>
          <w:u w:val="single"/>
        </w:rPr>
        <w:t>pédiatrique</w:t>
      </w:r>
    </w:p>
    <w:p w14:paraId="6B70B4ED" w14:textId="77777777" w:rsidR="008D74DD" w:rsidRPr="0058432E" w:rsidRDefault="008D74DD" w:rsidP="006B001C">
      <w:pPr>
        <w:pStyle w:val="BodyText"/>
        <w:keepNext/>
        <w:widowControl/>
        <w:kinsoku w:val="0"/>
        <w:overflowPunct w:val="0"/>
        <w:ind w:left="0"/>
        <w:rPr>
          <w:color w:val="000000" w:themeColor="text1"/>
        </w:rPr>
      </w:pPr>
    </w:p>
    <w:p w14:paraId="5DD9CD40" w14:textId="77777777" w:rsidR="008D74DD" w:rsidRPr="0058432E" w:rsidRDefault="006A1144" w:rsidP="006B001C">
      <w:pPr>
        <w:pStyle w:val="BodyText"/>
        <w:widowControl/>
        <w:kinsoku w:val="0"/>
        <w:overflowPunct w:val="0"/>
        <w:ind w:left="0"/>
        <w:rPr>
          <w:color w:val="000000" w:themeColor="text1"/>
        </w:rPr>
      </w:pPr>
      <w:r w:rsidRPr="0058432E">
        <w:rPr>
          <w:color w:val="000000" w:themeColor="text1"/>
        </w:rPr>
        <w:t>Amsparity est indiqué dans le traitement de la maladie de Crohn active</w:t>
      </w:r>
      <w:r w:rsidR="000A628E" w:rsidRPr="0058432E">
        <w:rPr>
          <w:color w:val="000000" w:themeColor="text1"/>
        </w:rPr>
        <w:t xml:space="preserve"> modéré</w:t>
      </w:r>
      <w:r w:rsidR="000D461D" w:rsidRPr="0058432E">
        <w:rPr>
          <w:color w:val="000000" w:themeColor="text1"/>
        </w:rPr>
        <w:t>e</w:t>
      </w:r>
      <w:r w:rsidR="000A628E" w:rsidRPr="0058432E">
        <w:rPr>
          <w:color w:val="000000" w:themeColor="text1"/>
        </w:rPr>
        <w:t xml:space="preserve"> à sévère</w:t>
      </w:r>
      <w:r w:rsidRPr="0058432E">
        <w:rPr>
          <w:color w:val="000000" w:themeColor="text1"/>
        </w:rPr>
        <w:t>, chez les enfants et les adolescents à partir de 6 ans, qui n’ont pas répondu à un traitement conventionnel comprenant un traitement nutritionnel de première intention et un corticoïde et/ou un immunomodulateur, ou chez lesquels ces traitements sont mal tolérés ou contre-indiqués.</w:t>
      </w:r>
    </w:p>
    <w:p w14:paraId="07A3F27C" w14:textId="77777777" w:rsidR="008D74DD" w:rsidRPr="0058432E" w:rsidRDefault="008D74DD" w:rsidP="006B001C">
      <w:pPr>
        <w:pStyle w:val="BodyText"/>
        <w:widowControl/>
        <w:kinsoku w:val="0"/>
        <w:overflowPunct w:val="0"/>
        <w:ind w:left="0"/>
        <w:rPr>
          <w:color w:val="000000" w:themeColor="text1"/>
        </w:rPr>
      </w:pPr>
    </w:p>
    <w:p w14:paraId="379A378B" w14:textId="77777777" w:rsidR="008D74DD" w:rsidRPr="0058432E" w:rsidRDefault="008D74DD" w:rsidP="0075475A">
      <w:pPr>
        <w:pStyle w:val="BodyText"/>
        <w:keepNext/>
        <w:widowControl/>
        <w:kinsoku w:val="0"/>
        <w:overflowPunct w:val="0"/>
        <w:ind w:left="0"/>
        <w:rPr>
          <w:color w:val="000000" w:themeColor="text1"/>
        </w:rPr>
      </w:pPr>
      <w:r w:rsidRPr="0058432E">
        <w:rPr>
          <w:color w:val="000000" w:themeColor="text1"/>
          <w:u w:val="single"/>
        </w:rPr>
        <w:t xml:space="preserve">Uvéite </w:t>
      </w:r>
      <w:r w:rsidR="00B6254D" w:rsidRPr="0058432E">
        <w:rPr>
          <w:color w:val="000000" w:themeColor="text1"/>
          <w:u w:val="single"/>
        </w:rPr>
        <w:t>pédiatrique</w:t>
      </w:r>
    </w:p>
    <w:p w14:paraId="3251A7B0" w14:textId="77777777" w:rsidR="008D74DD" w:rsidRPr="0058432E" w:rsidRDefault="008D74DD" w:rsidP="0075475A">
      <w:pPr>
        <w:pStyle w:val="BodyText"/>
        <w:keepNext/>
        <w:widowControl/>
        <w:kinsoku w:val="0"/>
        <w:overflowPunct w:val="0"/>
        <w:ind w:left="0"/>
        <w:rPr>
          <w:color w:val="000000" w:themeColor="text1"/>
        </w:rPr>
      </w:pPr>
    </w:p>
    <w:p w14:paraId="019ADCC3" w14:textId="77777777" w:rsidR="008D74DD" w:rsidRPr="0058432E" w:rsidRDefault="006A1144" w:rsidP="001439EF">
      <w:pPr>
        <w:pStyle w:val="BodyText"/>
        <w:widowControl/>
        <w:kinsoku w:val="0"/>
        <w:overflowPunct w:val="0"/>
        <w:ind w:left="0"/>
        <w:rPr>
          <w:color w:val="000000" w:themeColor="text1"/>
        </w:rPr>
      </w:pPr>
      <w:r w:rsidRPr="0058432E">
        <w:rPr>
          <w:color w:val="000000" w:themeColor="text1"/>
        </w:rPr>
        <w:t xml:space="preserve">Amsparity est indiqué dans le traitement de l’uvéite </w:t>
      </w:r>
      <w:r w:rsidR="00EF23BF" w:rsidRPr="0058432E">
        <w:rPr>
          <w:color w:val="000000" w:themeColor="text1"/>
        </w:rPr>
        <w:t xml:space="preserve">pédiatrique </w:t>
      </w:r>
      <w:r w:rsidRPr="0058432E">
        <w:rPr>
          <w:color w:val="000000" w:themeColor="text1"/>
        </w:rPr>
        <w:t xml:space="preserve">antérieure chronique non infectieuse chez les </w:t>
      </w:r>
      <w:r w:rsidR="00EF23BF" w:rsidRPr="0058432E">
        <w:rPr>
          <w:color w:val="000000" w:themeColor="text1"/>
        </w:rPr>
        <w:t>patients</w:t>
      </w:r>
      <w:r w:rsidRPr="0058432E">
        <w:rPr>
          <w:color w:val="000000" w:themeColor="text1"/>
        </w:rPr>
        <w:t xml:space="preserve"> à partir de 2 ans en cas de réponse insuffisante ou d’intolérance au traitement conventionnel ou pour lesquels un traitement conventionnel est inapproprié.</w:t>
      </w:r>
    </w:p>
    <w:p w14:paraId="2D13E5CE" w14:textId="77777777" w:rsidR="008D74DD" w:rsidRPr="0058432E" w:rsidRDefault="008D74DD" w:rsidP="001439EF">
      <w:pPr>
        <w:rPr>
          <w:color w:val="000000" w:themeColor="text1"/>
        </w:rPr>
      </w:pPr>
    </w:p>
    <w:p w14:paraId="6F63D5D1" w14:textId="77777777" w:rsidR="008D74DD" w:rsidRPr="0058432E" w:rsidRDefault="008D74DD"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Posologie et mode d’administration</w:t>
      </w:r>
    </w:p>
    <w:p w14:paraId="640EB14A" w14:textId="77777777" w:rsidR="008D74DD" w:rsidRPr="0058432E" w:rsidRDefault="008D74DD" w:rsidP="0075475A">
      <w:pPr>
        <w:pStyle w:val="BodyText"/>
        <w:keepNext/>
        <w:widowControl/>
        <w:kinsoku w:val="0"/>
        <w:overflowPunct w:val="0"/>
        <w:ind w:left="0"/>
        <w:rPr>
          <w:bCs/>
          <w:color w:val="000000" w:themeColor="text1"/>
        </w:rPr>
      </w:pPr>
    </w:p>
    <w:p w14:paraId="22B45DF1" w14:textId="77777777" w:rsidR="008D74DD" w:rsidRPr="0058432E" w:rsidRDefault="006A1144" w:rsidP="001439EF">
      <w:pPr>
        <w:pStyle w:val="BodyText"/>
        <w:widowControl/>
        <w:kinsoku w:val="0"/>
        <w:overflowPunct w:val="0"/>
        <w:ind w:left="0"/>
        <w:rPr>
          <w:color w:val="000000" w:themeColor="text1"/>
        </w:rPr>
      </w:pPr>
      <w:r w:rsidRPr="0058432E">
        <w:rPr>
          <w:color w:val="000000" w:themeColor="text1"/>
        </w:rPr>
        <w:t xml:space="preserve">Le traitement par Amsparity doit être instauré et supervisé par un médecin spécialiste qualifié en matière de diagnostic et de traitement des pathologies dans lesquelles Amsparity est indiqué. Il est recommandé aux ophtalmologistes de consulter un spécialiste approprié avant d’instaurer un traitement par Amsparity (voir rubrique 4.4). Une carte </w:t>
      </w:r>
      <w:r w:rsidR="00803751" w:rsidRPr="0058432E">
        <w:rPr>
          <w:color w:val="000000" w:themeColor="text1"/>
        </w:rPr>
        <w:t>de rappel patient</w:t>
      </w:r>
      <w:r w:rsidRPr="0058432E">
        <w:rPr>
          <w:color w:val="000000" w:themeColor="text1"/>
        </w:rPr>
        <w:t xml:space="preserve"> sera remise aux patients traités par Amsparity.</w:t>
      </w:r>
    </w:p>
    <w:p w14:paraId="7C84BC44" w14:textId="77777777" w:rsidR="00850B4B" w:rsidRPr="0058432E" w:rsidRDefault="00850B4B" w:rsidP="001439EF">
      <w:pPr>
        <w:pStyle w:val="BodyText"/>
        <w:widowControl/>
        <w:kinsoku w:val="0"/>
        <w:overflowPunct w:val="0"/>
        <w:ind w:left="0"/>
        <w:rPr>
          <w:color w:val="000000" w:themeColor="text1"/>
        </w:rPr>
      </w:pPr>
    </w:p>
    <w:p w14:paraId="0B37751E" w14:textId="77777777" w:rsidR="008D74DD" w:rsidRPr="0058432E" w:rsidRDefault="003526B6" w:rsidP="001439EF">
      <w:pPr>
        <w:pStyle w:val="BodyText"/>
        <w:widowControl/>
        <w:kinsoku w:val="0"/>
        <w:overflowPunct w:val="0"/>
        <w:ind w:left="0"/>
        <w:rPr>
          <w:color w:val="000000" w:themeColor="text1"/>
        </w:rPr>
      </w:pPr>
      <w:r w:rsidRPr="0058432E">
        <w:rPr>
          <w:color w:val="000000" w:themeColor="text1"/>
        </w:rPr>
        <w:t xml:space="preserve">Après une formation </w:t>
      </w:r>
      <w:r w:rsidR="00F3146E" w:rsidRPr="0058432E">
        <w:rPr>
          <w:color w:val="000000" w:themeColor="text1"/>
        </w:rPr>
        <w:t xml:space="preserve">correcte à la </w:t>
      </w:r>
      <w:r w:rsidRPr="0058432E">
        <w:rPr>
          <w:color w:val="000000" w:themeColor="text1"/>
        </w:rPr>
        <w:t>technique d'injection, l</w:t>
      </w:r>
      <w:r w:rsidR="00F25353" w:rsidRPr="0058432E">
        <w:rPr>
          <w:color w:val="000000" w:themeColor="text1"/>
        </w:rPr>
        <w:t>es patients peuvent s’auto-injecter Amsparity, si leur médecin l’estime possible, sous le couvert d’un suivi médical approprié.</w:t>
      </w:r>
    </w:p>
    <w:p w14:paraId="6994AF7A" w14:textId="77777777" w:rsidR="008D74DD" w:rsidRPr="0058432E" w:rsidRDefault="008D74DD" w:rsidP="001439EF">
      <w:pPr>
        <w:pStyle w:val="BodyText"/>
        <w:widowControl/>
        <w:kinsoku w:val="0"/>
        <w:overflowPunct w:val="0"/>
        <w:ind w:left="0"/>
        <w:rPr>
          <w:color w:val="000000" w:themeColor="text1"/>
          <w:szCs w:val="21"/>
        </w:rPr>
      </w:pPr>
    </w:p>
    <w:p w14:paraId="081CC247"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rPr>
        <w:t>Pendant le traitement par Amsparity, les autres traitements concomitants (tels que les corticoïdes et/ou immunomodulateurs) devront être optimisés.</w:t>
      </w:r>
    </w:p>
    <w:p w14:paraId="5255C0EF" w14:textId="77777777" w:rsidR="008D74DD" w:rsidRPr="0058432E" w:rsidRDefault="008D74DD" w:rsidP="001439EF">
      <w:pPr>
        <w:pStyle w:val="BodyText"/>
        <w:widowControl/>
        <w:kinsoku w:val="0"/>
        <w:overflowPunct w:val="0"/>
        <w:ind w:left="0"/>
        <w:rPr>
          <w:color w:val="000000" w:themeColor="text1"/>
        </w:rPr>
      </w:pPr>
    </w:p>
    <w:p w14:paraId="3ED771EF"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u w:val="single"/>
        </w:rPr>
        <w:t>Posologie</w:t>
      </w:r>
    </w:p>
    <w:p w14:paraId="6A3AA0E2" w14:textId="77777777" w:rsidR="008D74DD" w:rsidRPr="0058432E" w:rsidRDefault="008D74DD" w:rsidP="001439EF">
      <w:pPr>
        <w:pStyle w:val="BodyText"/>
        <w:widowControl/>
        <w:kinsoku w:val="0"/>
        <w:overflowPunct w:val="0"/>
        <w:ind w:left="0"/>
        <w:rPr>
          <w:color w:val="000000" w:themeColor="text1"/>
          <w:szCs w:val="15"/>
        </w:rPr>
      </w:pPr>
    </w:p>
    <w:p w14:paraId="663AEDBE"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u w:val="single"/>
        </w:rPr>
        <w:t>Population pédiatrique</w:t>
      </w:r>
    </w:p>
    <w:p w14:paraId="7DBF8496" w14:textId="77777777" w:rsidR="008D74DD" w:rsidRPr="0058432E" w:rsidRDefault="008D74DD" w:rsidP="001439EF">
      <w:pPr>
        <w:pStyle w:val="BodyText"/>
        <w:widowControl/>
        <w:kinsoku w:val="0"/>
        <w:overflowPunct w:val="0"/>
        <w:ind w:left="0"/>
        <w:rPr>
          <w:color w:val="000000" w:themeColor="text1"/>
          <w:szCs w:val="15"/>
        </w:rPr>
      </w:pPr>
    </w:p>
    <w:p w14:paraId="374E6448" w14:textId="77777777" w:rsidR="008D74DD" w:rsidRPr="0058432E" w:rsidRDefault="008D74DD" w:rsidP="001439EF">
      <w:pPr>
        <w:pStyle w:val="BodyText"/>
        <w:widowControl/>
        <w:kinsoku w:val="0"/>
        <w:overflowPunct w:val="0"/>
        <w:ind w:left="0"/>
        <w:rPr>
          <w:color w:val="000000" w:themeColor="text1"/>
        </w:rPr>
      </w:pPr>
      <w:r w:rsidRPr="0058432E">
        <w:rPr>
          <w:i/>
          <w:iCs/>
          <w:color w:val="000000" w:themeColor="text1"/>
        </w:rPr>
        <w:t>Arthrite juvénile idiopathique</w:t>
      </w:r>
    </w:p>
    <w:p w14:paraId="5569E650" w14:textId="77777777" w:rsidR="008D74DD" w:rsidRPr="0058432E" w:rsidRDefault="008D74DD" w:rsidP="001439EF">
      <w:pPr>
        <w:pStyle w:val="BodyText"/>
        <w:widowControl/>
        <w:kinsoku w:val="0"/>
        <w:overflowPunct w:val="0"/>
        <w:ind w:left="0"/>
        <w:rPr>
          <w:i/>
          <w:iCs/>
          <w:color w:val="000000" w:themeColor="text1"/>
        </w:rPr>
      </w:pPr>
    </w:p>
    <w:p w14:paraId="5AB561D4" w14:textId="77777777" w:rsidR="008D74DD" w:rsidRPr="0058432E" w:rsidRDefault="008D74DD" w:rsidP="001439EF">
      <w:pPr>
        <w:pStyle w:val="BodyText"/>
        <w:widowControl/>
        <w:kinsoku w:val="0"/>
        <w:overflowPunct w:val="0"/>
        <w:ind w:left="0"/>
        <w:rPr>
          <w:color w:val="000000" w:themeColor="text1"/>
        </w:rPr>
      </w:pPr>
      <w:r w:rsidRPr="0058432E">
        <w:rPr>
          <w:i/>
          <w:iCs/>
          <w:color w:val="000000" w:themeColor="text1"/>
          <w:u w:val="single"/>
        </w:rPr>
        <w:t>Arthrite juvénile idiopathique polyarticulaire à partir de 2 ans</w:t>
      </w:r>
    </w:p>
    <w:p w14:paraId="7B76E8E4" w14:textId="77777777" w:rsidR="008D74DD" w:rsidRPr="0058432E" w:rsidRDefault="008D74DD" w:rsidP="001439EF">
      <w:pPr>
        <w:pStyle w:val="BodyText"/>
        <w:widowControl/>
        <w:kinsoku w:val="0"/>
        <w:overflowPunct w:val="0"/>
        <w:ind w:left="0"/>
        <w:rPr>
          <w:i/>
          <w:iCs/>
          <w:color w:val="000000" w:themeColor="text1"/>
          <w:szCs w:val="15"/>
        </w:rPr>
      </w:pPr>
    </w:p>
    <w:p w14:paraId="1BD15BBB" w14:textId="77777777" w:rsidR="00337D78" w:rsidRPr="0058432E" w:rsidRDefault="008D74DD" w:rsidP="001439EF">
      <w:pPr>
        <w:pStyle w:val="BodyText"/>
        <w:widowControl/>
        <w:kinsoku w:val="0"/>
        <w:overflowPunct w:val="0"/>
        <w:ind w:left="0"/>
        <w:rPr>
          <w:color w:val="000000" w:themeColor="text1"/>
        </w:rPr>
      </w:pPr>
      <w:r w:rsidRPr="0058432E">
        <w:rPr>
          <w:color w:val="000000" w:themeColor="text1"/>
        </w:rPr>
        <w:t xml:space="preserve">La posologie recommandée d’Amsparity pour les patients atteints d’arthrite juvénile idiopathique polyarticulaire à partir de l’âge de 2 ans dépend du poids corporel (tableau 1). Amsparity est administré toutes les deux semaines en injection sous-cutanée. </w:t>
      </w:r>
    </w:p>
    <w:p w14:paraId="49B8D3CC" w14:textId="77777777" w:rsidR="00337D78" w:rsidRPr="0058432E" w:rsidRDefault="00337D78" w:rsidP="001439EF">
      <w:pPr>
        <w:pStyle w:val="BodyText"/>
        <w:widowControl/>
        <w:kinsoku w:val="0"/>
        <w:overflowPunct w:val="0"/>
        <w:ind w:left="0"/>
        <w:rPr>
          <w:color w:val="000000" w:themeColor="text1"/>
        </w:rPr>
      </w:pPr>
    </w:p>
    <w:p w14:paraId="52A22228" w14:textId="77777777" w:rsidR="007E0DEB" w:rsidRPr="0058432E" w:rsidRDefault="00095A76" w:rsidP="00A53E17">
      <w:pPr>
        <w:pStyle w:val="BodyText"/>
        <w:widowControl/>
        <w:kinsoku w:val="0"/>
        <w:overflowPunct w:val="0"/>
        <w:ind w:left="0"/>
        <w:rPr>
          <w:b/>
          <w:bCs/>
          <w:color w:val="000000" w:themeColor="text1"/>
        </w:rPr>
      </w:pPr>
      <w:r w:rsidRPr="0058432E">
        <w:rPr>
          <w:b/>
          <w:bCs/>
          <w:color w:val="000000" w:themeColor="text1"/>
        </w:rPr>
        <w:t>Tableau 1</w:t>
      </w:r>
      <w:r w:rsidR="002A7CDF" w:rsidRPr="0058432E">
        <w:rPr>
          <w:b/>
          <w:color w:val="000000" w:themeColor="text1"/>
        </w:rPr>
        <w:t>.</w:t>
      </w:r>
      <w:r w:rsidRPr="0058432E">
        <w:rPr>
          <w:b/>
          <w:bCs/>
          <w:color w:val="000000" w:themeColor="text1"/>
        </w:rPr>
        <w:t xml:space="preserve"> </w:t>
      </w:r>
    </w:p>
    <w:p w14:paraId="31054BB3" w14:textId="77777777" w:rsidR="00095A76" w:rsidRPr="0058432E" w:rsidRDefault="006A1144" w:rsidP="00A53E17">
      <w:pPr>
        <w:pStyle w:val="BodyText"/>
        <w:widowControl/>
        <w:kinsoku w:val="0"/>
        <w:overflowPunct w:val="0"/>
        <w:ind w:left="0"/>
        <w:rPr>
          <w:b/>
          <w:bCs/>
          <w:color w:val="000000" w:themeColor="text1"/>
        </w:rPr>
      </w:pPr>
      <w:r w:rsidRPr="0058432E">
        <w:rPr>
          <w:b/>
          <w:color w:val="000000" w:themeColor="text1"/>
        </w:rPr>
        <w:t>Posologie d’Amsparity chez les patients atteints d’arthrite juvénile idiopathique polyarticulaire</w:t>
      </w:r>
    </w:p>
    <w:p w14:paraId="3335CC79" w14:textId="77777777" w:rsidR="00095A76" w:rsidRPr="0058432E" w:rsidRDefault="00095A76" w:rsidP="001439EF">
      <w:pPr>
        <w:pStyle w:val="BodyText"/>
        <w:widowControl/>
        <w:kinsoku w:val="0"/>
        <w:overflowPunct w:val="0"/>
        <w:ind w:left="0"/>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59"/>
      </w:tblGrid>
      <w:tr w:rsidR="00095A76" w:rsidRPr="0058432E" w14:paraId="609301FA" w14:textId="77777777" w:rsidTr="00567F46">
        <w:tc>
          <w:tcPr>
            <w:tcW w:w="5009" w:type="dxa"/>
            <w:shd w:val="clear" w:color="auto" w:fill="auto"/>
          </w:tcPr>
          <w:p w14:paraId="31F20B82" w14:textId="77777777" w:rsidR="00095A76" w:rsidRPr="0058432E" w:rsidRDefault="00095A76" w:rsidP="00567F46">
            <w:pPr>
              <w:jc w:val="center"/>
              <w:rPr>
                <w:rFonts w:eastAsia="Calibri"/>
                <w:b/>
                <w:color w:val="000000" w:themeColor="text1"/>
              </w:rPr>
            </w:pPr>
            <w:r w:rsidRPr="0058432E">
              <w:rPr>
                <w:rFonts w:eastAsia="Calibri"/>
                <w:b/>
                <w:color w:val="000000" w:themeColor="text1"/>
              </w:rPr>
              <w:t>Poids du patient</w:t>
            </w:r>
          </w:p>
        </w:tc>
        <w:tc>
          <w:tcPr>
            <w:tcW w:w="5009" w:type="dxa"/>
            <w:shd w:val="clear" w:color="auto" w:fill="auto"/>
          </w:tcPr>
          <w:p w14:paraId="2DB053FE" w14:textId="77777777" w:rsidR="00095A76" w:rsidRPr="0058432E" w:rsidRDefault="00095A76" w:rsidP="00567F46">
            <w:pPr>
              <w:jc w:val="center"/>
              <w:rPr>
                <w:rFonts w:eastAsia="Calibri"/>
                <w:b/>
                <w:color w:val="000000" w:themeColor="text1"/>
              </w:rPr>
            </w:pPr>
            <w:r w:rsidRPr="0058432E">
              <w:rPr>
                <w:rFonts w:eastAsia="Calibri"/>
                <w:b/>
                <w:color w:val="000000" w:themeColor="text1"/>
              </w:rPr>
              <w:t>Schéma posologique</w:t>
            </w:r>
          </w:p>
        </w:tc>
      </w:tr>
      <w:tr w:rsidR="00095A76" w:rsidRPr="0058432E" w14:paraId="7B1AF035" w14:textId="77777777" w:rsidTr="00567F46">
        <w:tc>
          <w:tcPr>
            <w:tcW w:w="5009" w:type="dxa"/>
            <w:shd w:val="clear" w:color="auto" w:fill="auto"/>
          </w:tcPr>
          <w:p w14:paraId="02BFB156" w14:textId="77777777" w:rsidR="00095A76" w:rsidRPr="0058432E" w:rsidRDefault="00095A76" w:rsidP="00567F46">
            <w:pPr>
              <w:jc w:val="center"/>
              <w:rPr>
                <w:rFonts w:eastAsia="Calibri"/>
                <w:color w:val="000000" w:themeColor="text1"/>
              </w:rPr>
            </w:pPr>
            <w:r w:rsidRPr="0058432E">
              <w:rPr>
                <w:rFonts w:eastAsia="Calibri"/>
                <w:color w:val="000000" w:themeColor="text1"/>
              </w:rPr>
              <w:t>10 kg à &lt; 30 kg</w:t>
            </w:r>
          </w:p>
        </w:tc>
        <w:tc>
          <w:tcPr>
            <w:tcW w:w="5009" w:type="dxa"/>
            <w:shd w:val="clear" w:color="auto" w:fill="auto"/>
          </w:tcPr>
          <w:p w14:paraId="0F02D7BC" w14:textId="77777777" w:rsidR="00095A76" w:rsidRPr="0058432E" w:rsidRDefault="00095A76" w:rsidP="00567F46">
            <w:pPr>
              <w:jc w:val="center"/>
              <w:rPr>
                <w:rFonts w:eastAsia="Calibri"/>
                <w:color w:val="000000" w:themeColor="text1"/>
              </w:rPr>
            </w:pPr>
            <w:r w:rsidRPr="0058432E">
              <w:rPr>
                <w:rFonts w:eastAsia="Calibri"/>
                <w:color w:val="000000" w:themeColor="text1"/>
              </w:rPr>
              <w:t>20 mg toutes les deux semaines</w:t>
            </w:r>
          </w:p>
        </w:tc>
      </w:tr>
      <w:tr w:rsidR="00095A76" w:rsidRPr="0058432E" w14:paraId="3839A150" w14:textId="77777777" w:rsidTr="00567F46">
        <w:tc>
          <w:tcPr>
            <w:tcW w:w="5009" w:type="dxa"/>
            <w:shd w:val="clear" w:color="auto" w:fill="auto"/>
          </w:tcPr>
          <w:p w14:paraId="537E18D7" w14:textId="77777777" w:rsidR="00095A76" w:rsidRPr="0058432E" w:rsidRDefault="00095A76" w:rsidP="00567F46">
            <w:pPr>
              <w:jc w:val="center"/>
              <w:rPr>
                <w:rFonts w:eastAsia="Calibri"/>
                <w:color w:val="000000" w:themeColor="text1"/>
              </w:rPr>
            </w:pPr>
            <w:r w:rsidRPr="0058432E">
              <w:rPr>
                <w:rFonts w:eastAsia="Calibri"/>
                <w:color w:val="000000" w:themeColor="text1"/>
              </w:rPr>
              <w:t>≥ 30 kg</w:t>
            </w:r>
          </w:p>
        </w:tc>
        <w:tc>
          <w:tcPr>
            <w:tcW w:w="5009" w:type="dxa"/>
            <w:shd w:val="clear" w:color="auto" w:fill="auto"/>
          </w:tcPr>
          <w:p w14:paraId="278BC60D" w14:textId="77777777" w:rsidR="00095A76" w:rsidRPr="0058432E" w:rsidRDefault="00095A76" w:rsidP="00567F46">
            <w:pPr>
              <w:jc w:val="center"/>
              <w:rPr>
                <w:rFonts w:eastAsia="Calibri"/>
                <w:color w:val="000000" w:themeColor="text1"/>
              </w:rPr>
            </w:pPr>
            <w:r w:rsidRPr="0058432E">
              <w:rPr>
                <w:rFonts w:eastAsia="Calibri"/>
                <w:color w:val="000000" w:themeColor="text1"/>
              </w:rPr>
              <w:t>40 mg toutes les deux semaines</w:t>
            </w:r>
          </w:p>
        </w:tc>
      </w:tr>
    </w:tbl>
    <w:p w14:paraId="15EE4392" w14:textId="77777777" w:rsidR="00095A76" w:rsidRPr="0058432E" w:rsidRDefault="00095A76" w:rsidP="001439EF">
      <w:pPr>
        <w:pStyle w:val="BodyText"/>
        <w:widowControl/>
        <w:kinsoku w:val="0"/>
        <w:overflowPunct w:val="0"/>
        <w:ind w:left="0"/>
        <w:rPr>
          <w:color w:val="000000" w:themeColor="text1"/>
        </w:rPr>
      </w:pPr>
    </w:p>
    <w:p w14:paraId="70A2F2C8" w14:textId="77777777" w:rsidR="008D74DD" w:rsidRPr="0058432E" w:rsidRDefault="008D74DD" w:rsidP="001439EF">
      <w:pPr>
        <w:pStyle w:val="BodyText"/>
        <w:widowControl/>
        <w:kinsoku w:val="0"/>
        <w:overflowPunct w:val="0"/>
        <w:ind w:left="0"/>
        <w:rPr>
          <w:color w:val="000000" w:themeColor="text1"/>
        </w:rPr>
      </w:pPr>
      <w:r w:rsidRPr="0058432E">
        <w:rPr>
          <w:color w:val="000000" w:themeColor="text1"/>
        </w:rPr>
        <w:t>Les données disponibles laissent supposer que la réponse clinique est habituellement obtenue en 12 semaines de traitement. La poursuite du traitement devra être soigneusement reconsidérée chez un patient n’ayant pas répondu dans ces délais.</w:t>
      </w:r>
    </w:p>
    <w:p w14:paraId="3648CC15" w14:textId="77777777" w:rsidR="008D74DD" w:rsidRPr="0058432E" w:rsidRDefault="008D74DD" w:rsidP="001439EF">
      <w:pPr>
        <w:pStyle w:val="BodyText"/>
        <w:widowControl/>
        <w:kinsoku w:val="0"/>
        <w:overflowPunct w:val="0"/>
        <w:ind w:left="0"/>
        <w:rPr>
          <w:color w:val="000000" w:themeColor="text1"/>
          <w:szCs w:val="21"/>
        </w:rPr>
      </w:pPr>
    </w:p>
    <w:p w14:paraId="21CA0AFC"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Il n’y a pas d’utilisation justifiée d</w:t>
      </w:r>
      <w:r w:rsidR="002E4C33" w:rsidRPr="0058432E">
        <w:rPr>
          <w:color w:val="000000" w:themeColor="text1"/>
        </w:rPr>
        <w:t>e l</w:t>
      </w:r>
      <w:r w:rsidRPr="0058432E">
        <w:rPr>
          <w:color w:val="000000" w:themeColor="text1"/>
        </w:rPr>
        <w:t>’adalimumab chez les patients âgés de moins de 2 ans dans cette indication.</w:t>
      </w:r>
    </w:p>
    <w:p w14:paraId="5F1438B7" w14:textId="77777777" w:rsidR="003D30E4" w:rsidRPr="0058432E" w:rsidRDefault="003D30E4" w:rsidP="0075475A">
      <w:pPr>
        <w:pStyle w:val="BodyText"/>
        <w:widowControl/>
        <w:kinsoku w:val="0"/>
        <w:overflowPunct w:val="0"/>
        <w:ind w:left="0"/>
        <w:rPr>
          <w:color w:val="000000" w:themeColor="text1"/>
        </w:rPr>
      </w:pPr>
    </w:p>
    <w:p w14:paraId="25D0B626" w14:textId="77777777" w:rsidR="003D30E4" w:rsidRPr="0058432E" w:rsidRDefault="006A1144" w:rsidP="0075475A">
      <w:pPr>
        <w:pStyle w:val="BodyText"/>
        <w:widowControl/>
        <w:kinsoku w:val="0"/>
        <w:overflowPunct w:val="0"/>
        <w:ind w:left="0"/>
        <w:rPr>
          <w:color w:val="000000" w:themeColor="text1"/>
        </w:rPr>
      </w:pPr>
      <w:r w:rsidRPr="0058432E">
        <w:rPr>
          <w:color w:val="000000" w:themeColor="text1"/>
        </w:rPr>
        <w:t>D’autres dosages et/ou présentations d’Amsparity peuvent être disponibles en fonction des besoins thérapeutiques de chaque patient.</w:t>
      </w:r>
    </w:p>
    <w:p w14:paraId="52E89856" w14:textId="77777777" w:rsidR="008D74DD" w:rsidRPr="0058432E" w:rsidRDefault="008D74DD" w:rsidP="0075475A">
      <w:pPr>
        <w:pStyle w:val="BodyText"/>
        <w:widowControl/>
        <w:kinsoku w:val="0"/>
        <w:overflowPunct w:val="0"/>
        <w:ind w:left="0"/>
        <w:rPr>
          <w:color w:val="000000" w:themeColor="text1"/>
        </w:rPr>
      </w:pPr>
    </w:p>
    <w:p w14:paraId="4028EE7D" w14:textId="77777777" w:rsidR="008D74DD" w:rsidRPr="0058432E" w:rsidRDefault="008D74DD" w:rsidP="0075475A">
      <w:pPr>
        <w:pStyle w:val="BodyText"/>
        <w:keepNext/>
        <w:widowControl/>
        <w:kinsoku w:val="0"/>
        <w:overflowPunct w:val="0"/>
        <w:ind w:left="0"/>
        <w:rPr>
          <w:color w:val="000000" w:themeColor="text1"/>
        </w:rPr>
      </w:pPr>
      <w:r w:rsidRPr="0058432E">
        <w:rPr>
          <w:i/>
          <w:iCs/>
          <w:color w:val="000000" w:themeColor="text1"/>
          <w:u w:val="single"/>
        </w:rPr>
        <w:lastRenderedPageBreak/>
        <w:t>Arthrite liée à l’enthésite</w:t>
      </w:r>
    </w:p>
    <w:p w14:paraId="7D5203AE" w14:textId="77777777" w:rsidR="008D74DD" w:rsidRPr="0058432E" w:rsidRDefault="008D74DD" w:rsidP="0075475A">
      <w:pPr>
        <w:pStyle w:val="BodyText"/>
        <w:keepNext/>
        <w:widowControl/>
        <w:kinsoku w:val="0"/>
        <w:overflowPunct w:val="0"/>
        <w:ind w:left="0"/>
        <w:rPr>
          <w:i/>
          <w:iCs/>
          <w:color w:val="000000" w:themeColor="text1"/>
        </w:rPr>
      </w:pPr>
    </w:p>
    <w:p w14:paraId="4E6414FC" w14:textId="77777777" w:rsidR="008D74DD" w:rsidRPr="0058432E" w:rsidRDefault="008D74DD" w:rsidP="0075475A">
      <w:pPr>
        <w:pStyle w:val="BodyText"/>
        <w:keepNext/>
        <w:widowControl/>
        <w:kinsoku w:val="0"/>
        <w:overflowPunct w:val="0"/>
        <w:ind w:left="0"/>
        <w:rPr>
          <w:color w:val="000000" w:themeColor="text1"/>
        </w:rPr>
      </w:pPr>
      <w:r w:rsidRPr="0058432E">
        <w:rPr>
          <w:color w:val="000000" w:themeColor="text1"/>
        </w:rPr>
        <w:t xml:space="preserve">La posologie recommandée d’Amsparity pour les patients atteints d’arthrite liée à l’enthésite à partir de l’âge de 6 ans dépend du poids corporel (tableau 2). Amsparity est administré toutes les deux semaines en injection sous-cutanée. </w:t>
      </w:r>
    </w:p>
    <w:p w14:paraId="7085DB3D" w14:textId="77777777" w:rsidR="00337D78" w:rsidRPr="0058432E" w:rsidRDefault="00337D78" w:rsidP="0075475A">
      <w:pPr>
        <w:pStyle w:val="BodyText"/>
        <w:widowControl/>
        <w:kinsoku w:val="0"/>
        <w:overflowPunct w:val="0"/>
        <w:ind w:left="0"/>
        <w:rPr>
          <w:color w:val="000000" w:themeColor="text1"/>
        </w:rPr>
      </w:pPr>
    </w:p>
    <w:p w14:paraId="5A38AF3D" w14:textId="77777777" w:rsidR="007E0DEB" w:rsidRPr="0058432E" w:rsidRDefault="00337D78" w:rsidP="00A53E17">
      <w:pPr>
        <w:pStyle w:val="BodyText"/>
        <w:keepNext/>
        <w:widowControl/>
        <w:kinsoku w:val="0"/>
        <w:overflowPunct w:val="0"/>
        <w:ind w:left="0"/>
        <w:rPr>
          <w:b/>
          <w:bCs/>
          <w:color w:val="000000" w:themeColor="text1"/>
        </w:rPr>
      </w:pPr>
      <w:r w:rsidRPr="0058432E">
        <w:rPr>
          <w:b/>
          <w:bCs/>
          <w:color w:val="000000" w:themeColor="text1"/>
        </w:rPr>
        <w:t>Tableau 2</w:t>
      </w:r>
      <w:r w:rsidR="002A7CDF" w:rsidRPr="0058432E">
        <w:rPr>
          <w:b/>
          <w:color w:val="000000" w:themeColor="text1"/>
        </w:rPr>
        <w:t>.</w:t>
      </w:r>
      <w:r w:rsidRPr="0058432E">
        <w:rPr>
          <w:b/>
          <w:bCs/>
          <w:color w:val="000000" w:themeColor="text1"/>
        </w:rPr>
        <w:t xml:space="preserve"> </w:t>
      </w:r>
    </w:p>
    <w:p w14:paraId="4BA7AF92" w14:textId="77777777" w:rsidR="00337D78" w:rsidRPr="0058432E" w:rsidRDefault="006A1144" w:rsidP="00A53E17">
      <w:pPr>
        <w:pStyle w:val="BodyText"/>
        <w:keepNext/>
        <w:widowControl/>
        <w:kinsoku w:val="0"/>
        <w:overflowPunct w:val="0"/>
        <w:ind w:left="0"/>
        <w:rPr>
          <w:b/>
          <w:bCs/>
          <w:color w:val="000000" w:themeColor="text1"/>
        </w:rPr>
      </w:pPr>
      <w:r w:rsidRPr="0058432E">
        <w:rPr>
          <w:b/>
          <w:color w:val="000000" w:themeColor="text1"/>
        </w:rPr>
        <w:t>Posologie d’Amsparity chez les patients atteints d’arthrite liée à l’enthésite</w:t>
      </w:r>
    </w:p>
    <w:p w14:paraId="7B0749E7" w14:textId="77777777" w:rsidR="00337D78" w:rsidRPr="0058432E" w:rsidRDefault="00337D78" w:rsidP="0075475A">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59"/>
      </w:tblGrid>
      <w:tr w:rsidR="00337D78" w:rsidRPr="0058432E" w14:paraId="7FD2CE1D" w14:textId="77777777" w:rsidTr="00567F46">
        <w:tc>
          <w:tcPr>
            <w:tcW w:w="5009" w:type="dxa"/>
            <w:shd w:val="clear" w:color="auto" w:fill="auto"/>
          </w:tcPr>
          <w:p w14:paraId="61AB2943" w14:textId="77777777" w:rsidR="00337D78" w:rsidRPr="0058432E" w:rsidRDefault="00337D78" w:rsidP="00567F46">
            <w:pPr>
              <w:jc w:val="center"/>
              <w:rPr>
                <w:rFonts w:eastAsia="Calibri"/>
                <w:b/>
                <w:color w:val="000000" w:themeColor="text1"/>
              </w:rPr>
            </w:pPr>
            <w:r w:rsidRPr="0058432E">
              <w:rPr>
                <w:rFonts w:eastAsia="Calibri"/>
                <w:b/>
                <w:color w:val="000000" w:themeColor="text1"/>
              </w:rPr>
              <w:t>Poids du patient</w:t>
            </w:r>
          </w:p>
        </w:tc>
        <w:tc>
          <w:tcPr>
            <w:tcW w:w="5009" w:type="dxa"/>
            <w:shd w:val="clear" w:color="auto" w:fill="auto"/>
          </w:tcPr>
          <w:p w14:paraId="7E5AE366" w14:textId="77777777" w:rsidR="00337D78" w:rsidRPr="0058432E" w:rsidRDefault="00337D78" w:rsidP="00567F46">
            <w:pPr>
              <w:jc w:val="center"/>
              <w:rPr>
                <w:rFonts w:eastAsia="Calibri"/>
                <w:b/>
                <w:color w:val="000000" w:themeColor="text1"/>
              </w:rPr>
            </w:pPr>
            <w:r w:rsidRPr="0058432E">
              <w:rPr>
                <w:rFonts w:eastAsia="Calibri"/>
                <w:b/>
                <w:color w:val="000000" w:themeColor="text1"/>
              </w:rPr>
              <w:t>Schéma posologique</w:t>
            </w:r>
          </w:p>
        </w:tc>
      </w:tr>
      <w:tr w:rsidR="00337D78" w:rsidRPr="0058432E" w14:paraId="6C0D6245" w14:textId="77777777" w:rsidTr="00567F46">
        <w:tc>
          <w:tcPr>
            <w:tcW w:w="5009" w:type="dxa"/>
            <w:shd w:val="clear" w:color="auto" w:fill="auto"/>
          </w:tcPr>
          <w:p w14:paraId="553A3DB9" w14:textId="77777777" w:rsidR="00337D78" w:rsidRPr="0058432E" w:rsidRDefault="00337D78" w:rsidP="00567F46">
            <w:pPr>
              <w:jc w:val="center"/>
              <w:rPr>
                <w:rFonts w:eastAsia="Calibri"/>
                <w:color w:val="000000" w:themeColor="text1"/>
              </w:rPr>
            </w:pPr>
            <w:r w:rsidRPr="0058432E">
              <w:rPr>
                <w:rFonts w:eastAsia="Calibri"/>
                <w:color w:val="000000" w:themeColor="text1"/>
              </w:rPr>
              <w:t>15 kg à &lt; 30 kg</w:t>
            </w:r>
          </w:p>
        </w:tc>
        <w:tc>
          <w:tcPr>
            <w:tcW w:w="5009" w:type="dxa"/>
            <w:shd w:val="clear" w:color="auto" w:fill="auto"/>
          </w:tcPr>
          <w:p w14:paraId="365EC08B" w14:textId="77777777" w:rsidR="00337D78" w:rsidRPr="0058432E" w:rsidRDefault="00337D78" w:rsidP="00567F46">
            <w:pPr>
              <w:jc w:val="center"/>
              <w:rPr>
                <w:rFonts w:eastAsia="Calibri"/>
                <w:color w:val="000000" w:themeColor="text1"/>
              </w:rPr>
            </w:pPr>
            <w:r w:rsidRPr="0058432E">
              <w:rPr>
                <w:rFonts w:eastAsia="Calibri"/>
                <w:color w:val="000000" w:themeColor="text1"/>
              </w:rPr>
              <w:t>20 mg toutes les deux semaines</w:t>
            </w:r>
          </w:p>
        </w:tc>
      </w:tr>
      <w:tr w:rsidR="00337D78" w:rsidRPr="0058432E" w14:paraId="568A0281" w14:textId="77777777" w:rsidTr="00567F46">
        <w:tc>
          <w:tcPr>
            <w:tcW w:w="5009" w:type="dxa"/>
            <w:shd w:val="clear" w:color="auto" w:fill="auto"/>
          </w:tcPr>
          <w:p w14:paraId="587FDFBC" w14:textId="77777777" w:rsidR="00337D78" w:rsidRPr="0058432E" w:rsidRDefault="00337D78" w:rsidP="00567F46">
            <w:pPr>
              <w:jc w:val="center"/>
              <w:rPr>
                <w:rFonts w:eastAsia="Calibri"/>
                <w:color w:val="000000" w:themeColor="text1"/>
              </w:rPr>
            </w:pPr>
            <w:r w:rsidRPr="0058432E">
              <w:rPr>
                <w:rFonts w:eastAsia="Calibri"/>
                <w:color w:val="000000" w:themeColor="text1"/>
              </w:rPr>
              <w:t>≥ 30 kg</w:t>
            </w:r>
          </w:p>
        </w:tc>
        <w:tc>
          <w:tcPr>
            <w:tcW w:w="5009" w:type="dxa"/>
            <w:shd w:val="clear" w:color="auto" w:fill="auto"/>
          </w:tcPr>
          <w:p w14:paraId="3CB71413" w14:textId="77777777" w:rsidR="00337D78" w:rsidRPr="0058432E" w:rsidRDefault="00337D78" w:rsidP="00567F46">
            <w:pPr>
              <w:jc w:val="center"/>
              <w:rPr>
                <w:rFonts w:eastAsia="Calibri"/>
                <w:color w:val="000000" w:themeColor="text1"/>
              </w:rPr>
            </w:pPr>
            <w:r w:rsidRPr="0058432E">
              <w:rPr>
                <w:rFonts w:eastAsia="Calibri"/>
                <w:color w:val="000000" w:themeColor="text1"/>
              </w:rPr>
              <w:t>40 mg toutes les deux semaines</w:t>
            </w:r>
          </w:p>
        </w:tc>
      </w:tr>
    </w:tbl>
    <w:p w14:paraId="078EF465" w14:textId="77777777" w:rsidR="008D74DD" w:rsidRPr="0058432E" w:rsidRDefault="008D74DD" w:rsidP="006B001C">
      <w:pPr>
        <w:pStyle w:val="BodyText"/>
        <w:widowControl/>
        <w:kinsoku w:val="0"/>
        <w:overflowPunct w:val="0"/>
        <w:ind w:left="0"/>
        <w:rPr>
          <w:color w:val="000000" w:themeColor="text1"/>
        </w:rPr>
      </w:pPr>
    </w:p>
    <w:p w14:paraId="12427EE4" w14:textId="77777777" w:rsidR="008D74DD" w:rsidRPr="0058432E" w:rsidRDefault="00775887" w:rsidP="006B001C">
      <w:pPr>
        <w:pStyle w:val="BodyText"/>
        <w:widowControl/>
        <w:kinsoku w:val="0"/>
        <w:overflowPunct w:val="0"/>
        <w:ind w:left="0"/>
        <w:rPr>
          <w:color w:val="000000" w:themeColor="text1"/>
        </w:rPr>
      </w:pPr>
      <w:r w:rsidRPr="0058432E">
        <w:rPr>
          <w:color w:val="000000" w:themeColor="text1"/>
        </w:rPr>
        <w:t>L’adalimumab n’a pas été étudié chez les patients de moins de 6 ans atteints d’arthrite liée à l’enthésite.</w:t>
      </w:r>
    </w:p>
    <w:p w14:paraId="1C0AAD26" w14:textId="77777777" w:rsidR="003D30E4" w:rsidRPr="0058432E" w:rsidRDefault="003D30E4" w:rsidP="006B001C">
      <w:pPr>
        <w:pStyle w:val="BodyText"/>
        <w:widowControl/>
        <w:kinsoku w:val="0"/>
        <w:overflowPunct w:val="0"/>
        <w:ind w:left="0"/>
        <w:rPr>
          <w:color w:val="000000" w:themeColor="text1"/>
        </w:rPr>
      </w:pPr>
    </w:p>
    <w:p w14:paraId="60A146BF" w14:textId="77777777" w:rsidR="003D30E4" w:rsidRPr="0058432E" w:rsidRDefault="006A1144" w:rsidP="006B001C">
      <w:pPr>
        <w:pStyle w:val="BodyText"/>
        <w:widowControl/>
        <w:kinsoku w:val="0"/>
        <w:overflowPunct w:val="0"/>
        <w:ind w:left="0"/>
        <w:rPr>
          <w:color w:val="000000" w:themeColor="text1"/>
        </w:rPr>
      </w:pPr>
      <w:r w:rsidRPr="0058432E">
        <w:rPr>
          <w:color w:val="000000" w:themeColor="text1"/>
        </w:rPr>
        <w:t>D’autres dosages et/ou présentations d’Amsparity peuvent être disponibles en fonction des besoins thérapeutiques de chaque patient.</w:t>
      </w:r>
    </w:p>
    <w:p w14:paraId="2623F337" w14:textId="77777777" w:rsidR="008D74DD" w:rsidRPr="0058432E" w:rsidRDefault="008D74DD" w:rsidP="006B001C">
      <w:pPr>
        <w:pStyle w:val="BodyText"/>
        <w:widowControl/>
        <w:kinsoku w:val="0"/>
        <w:overflowPunct w:val="0"/>
        <w:ind w:left="0"/>
        <w:rPr>
          <w:color w:val="000000" w:themeColor="text1"/>
        </w:rPr>
      </w:pPr>
    </w:p>
    <w:p w14:paraId="4C36590D" w14:textId="77777777" w:rsidR="008D74DD" w:rsidRPr="0058432E" w:rsidRDefault="008D74DD" w:rsidP="006B001C">
      <w:pPr>
        <w:pStyle w:val="BodyText"/>
        <w:widowControl/>
        <w:kinsoku w:val="0"/>
        <w:overflowPunct w:val="0"/>
        <w:ind w:left="0"/>
        <w:rPr>
          <w:color w:val="000000" w:themeColor="text1"/>
        </w:rPr>
      </w:pPr>
      <w:r w:rsidRPr="0058432E">
        <w:rPr>
          <w:i/>
          <w:iCs/>
          <w:color w:val="000000" w:themeColor="text1"/>
        </w:rPr>
        <w:t xml:space="preserve">Psoriasis en plaques </w:t>
      </w:r>
      <w:r w:rsidR="00712EDE" w:rsidRPr="0058432E">
        <w:rPr>
          <w:i/>
          <w:iCs/>
          <w:color w:val="000000" w:themeColor="text1"/>
        </w:rPr>
        <w:t>pédiatrique</w:t>
      </w:r>
    </w:p>
    <w:p w14:paraId="5C0319EB" w14:textId="77777777" w:rsidR="008D74DD" w:rsidRPr="0058432E" w:rsidRDefault="008D74DD" w:rsidP="006B001C">
      <w:pPr>
        <w:pStyle w:val="BodyText"/>
        <w:widowControl/>
        <w:kinsoku w:val="0"/>
        <w:overflowPunct w:val="0"/>
        <w:ind w:left="0"/>
        <w:rPr>
          <w:i/>
          <w:iCs/>
          <w:color w:val="000000" w:themeColor="text1"/>
        </w:rPr>
      </w:pPr>
    </w:p>
    <w:p w14:paraId="7E06302C" w14:textId="77777777" w:rsidR="008D74DD" w:rsidRPr="0058432E" w:rsidRDefault="008D74DD" w:rsidP="006B001C">
      <w:pPr>
        <w:pStyle w:val="BodyText"/>
        <w:widowControl/>
        <w:kinsoku w:val="0"/>
        <w:overflowPunct w:val="0"/>
        <w:ind w:left="0"/>
        <w:rPr>
          <w:color w:val="000000" w:themeColor="text1"/>
        </w:rPr>
      </w:pPr>
      <w:r w:rsidRPr="0058432E">
        <w:rPr>
          <w:color w:val="000000" w:themeColor="text1"/>
        </w:rPr>
        <w:t xml:space="preserve">La posologie recommandée d’Amsparity pour les patients atteints de psoriasis en plaques âgés de 4 à 17 ans dépend du poids corporel (tableau 3). Amsparity est administré en injection sous-cutanée. </w:t>
      </w:r>
    </w:p>
    <w:p w14:paraId="4E730617" w14:textId="77777777" w:rsidR="008D74DD" w:rsidRPr="0058432E" w:rsidRDefault="008D74DD" w:rsidP="006B001C">
      <w:pPr>
        <w:pStyle w:val="BodyText"/>
        <w:widowControl/>
        <w:kinsoku w:val="0"/>
        <w:overflowPunct w:val="0"/>
        <w:ind w:left="0"/>
        <w:rPr>
          <w:color w:val="000000" w:themeColor="text1"/>
        </w:rPr>
      </w:pPr>
    </w:p>
    <w:p w14:paraId="2DBD6ECF" w14:textId="77777777" w:rsidR="007E0DEB" w:rsidRPr="0058432E" w:rsidRDefault="008D74DD" w:rsidP="006B001C">
      <w:pPr>
        <w:pStyle w:val="BodyText"/>
        <w:widowControl/>
        <w:kinsoku w:val="0"/>
        <w:overflowPunct w:val="0"/>
        <w:ind w:left="0"/>
        <w:rPr>
          <w:b/>
          <w:bCs/>
          <w:color w:val="000000" w:themeColor="text1"/>
        </w:rPr>
      </w:pPr>
      <w:r w:rsidRPr="0058432E">
        <w:rPr>
          <w:b/>
          <w:bCs/>
          <w:color w:val="000000" w:themeColor="text1"/>
        </w:rPr>
        <w:t>Tableau 3</w:t>
      </w:r>
      <w:r w:rsidR="00456A4F" w:rsidRPr="0058432E">
        <w:rPr>
          <w:b/>
          <w:color w:val="000000" w:themeColor="text1"/>
        </w:rPr>
        <w:t>.</w:t>
      </w:r>
      <w:r w:rsidRPr="0058432E">
        <w:rPr>
          <w:b/>
          <w:bCs/>
          <w:color w:val="000000" w:themeColor="text1"/>
        </w:rPr>
        <w:t xml:space="preserve"> </w:t>
      </w:r>
    </w:p>
    <w:p w14:paraId="5750B57E" w14:textId="77777777" w:rsidR="008D74DD" w:rsidRPr="0058432E" w:rsidRDefault="006A1144" w:rsidP="006B001C">
      <w:pPr>
        <w:pStyle w:val="BodyText"/>
        <w:widowControl/>
        <w:kinsoku w:val="0"/>
        <w:overflowPunct w:val="0"/>
        <w:ind w:left="0"/>
        <w:rPr>
          <w:b/>
          <w:bCs/>
          <w:color w:val="000000" w:themeColor="text1"/>
        </w:rPr>
      </w:pPr>
      <w:r w:rsidRPr="0058432E">
        <w:rPr>
          <w:b/>
          <w:color w:val="000000" w:themeColor="text1"/>
        </w:rPr>
        <w:t>Posologie d’Amsparity</w:t>
      </w:r>
      <w:r w:rsidRPr="0058432E">
        <w:rPr>
          <w:b/>
          <w:bCs/>
          <w:color w:val="000000" w:themeColor="text1"/>
        </w:rPr>
        <w:t xml:space="preserve"> chez les enfants et les adolescents atteints de psoriasis en plaques</w:t>
      </w:r>
    </w:p>
    <w:p w14:paraId="4E4F88C0" w14:textId="77777777" w:rsidR="008D74DD" w:rsidRPr="0058432E" w:rsidRDefault="008D74DD" w:rsidP="006B001C">
      <w:pPr>
        <w:pStyle w:val="BodyT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4850"/>
      </w:tblGrid>
      <w:tr w:rsidR="008D74DD" w:rsidRPr="0058432E" w14:paraId="1EC71384" w14:textId="77777777" w:rsidTr="00567F46">
        <w:tc>
          <w:tcPr>
            <w:tcW w:w="4698" w:type="dxa"/>
            <w:shd w:val="clear" w:color="auto" w:fill="auto"/>
          </w:tcPr>
          <w:p w14:paraId="5C3E0FC1" w14:textId="77777777" w:rsidR="008D74DD" w:rsidRPr="0058432E" w:rsidRDefault="008D74DD" w:rsidP="00567F46">
            <w:pPr>
              <w:pStyle w:val="BodyText"/>
              <w:widowControl/>
              <w:kinsoku w:val="0"/>
              <w:overflowPunct w:val="0"/>
              <w:ind w:left="0"/>
              <w:jc w:val="center"/>
              <w:rPr>
                <w:rFonts w:eastAsia="Calibri"/>
                <w:color w:val="000000" w:themeColor="text1"/>
              </w:rPr>
            </w:pPr>
            <w:r w:rsidRPr="0058432E">
              <w:rPr>
                <w:rFonts w:eastAsia="Calibri"/>
                <w:b/>
                <w:bCs/>
                <w:color w:val="000000" w:themeColor="text1"/>
              </w:rPr>
              <w:t>Poids du patient</w:t>
            </w:r>
          </w:p>
        </w:tc>
        <w:tc>
          <w:tcPr>
            <w:tcW w:w="5320" w:type="dxa"/>
            <w:shd w:val="clear" w:color="auto" w:fill="auto"/>
          </w:tcPr>
          <w:p w14:paraId="53EF4F6E" w14:textId="77777777" w:rsidR="008D74DD" w:rsidRPr="0058432E" w:rsidRDefault="008D74DD" w:rsidP="00567F46">
            <w:pPr>
              <w:pStyle w:val="BodyText"/>
              <w:widowControl/>
              <w:kinsoku w:val="0"/>
              <w:overflowPunct w:val="0"/>
              <w:ind w:left="0"/>
              <w:jc w:val="center"/>
              <w:rPr>
                <w:rFonts w:eastAsia="Calibri"/>
                <w:color w:val="000000" w:themeColor="text1"/>
              </w:rPr>
            </w:pPr>
            <w:r w:rsidRPr="0058432E">
              <w:rPr>
                <w:rFonts w:eastAsia="Calibri"/>
                <w:b/>
                <w:bCs/>
                <w:color w:val="000000" w:themeColor="text1"/>
              </w:rPr>
              <w:t>Schéma posologique</w:t>
            </w:r>
          </w:p>
        </w:tc>
      </w:tr>
      <w:tr w:rsidR="008D74DD" w:rsidRPr="0058432E" w14:paraId="23885C9A" w14:textId="77777777" w:rsidTr="00567F46">
        <w:tc>
          <w:tcPr>
            <w:tcW w:w="4698" w:type="dxa"/>
            <w:shd w:val="clear" w:color="auto" w:fill="auto"/>
          </w:tcPr>
          <w:p w14:paraId="56447FA6" w14:textId="77777777" w:rsidR="008D74DD" w:rsidRPr="0058432E" w:rsidRDefault="008D74DD" w:rsidP="00567F46">
            <w:pPr>
              <w:pStyle w:val="BodyText"/>
              <w:widowControl/>
              <w:kinsoku w:val="0"/>
              <w:overflowPunct w:val="0"/>
              <w:ind w:left="0"/>
              <w:jc w:val="center"/>
              <w:rPr>
                <w:rFonts w:eastAsia="Calibri"/>
                <w:color w:val="000000" w:themeColor="text1"/>
              </w:rPr>
            </w:pPr>
            <w:r w:rsidRPr="0058432E">
              <w:rPr>
                <w:rFonts w:eastAsia="Calibri"/>
                <w:color w:val="000000" w:themeColor="text1"/>
              </w:rPr>
              <w:t>15 kg à &lt; 30 kg</w:t>
            </w:r>
          </w:p>
        </w:tc>
        <w:tc>
          <w:tcPr>
            <w:tcW w:w="5320" w:type="dxa"/>
            <w:shd w:val="clear" w:color="auto" w:fill="auto"/>
          </w:tcPr>
          <w:p w14:paraId="1CE1F533" w14:textId="77777777" w:rsidR="008D74DD" w:rsidRPr="0058432E" w:rsidRDefault="008D74DD" w:rsidP="00567F46">
            <w:pPr>
              <w:autoSpaceDE w:val="0"/>
              <w:autoSpaceDN w:val="0"/>
              <w:adjustRightInd w:val="0"/>
              <w:rPr>
                <w:rFonts w:eastAsia="Calibri"/>
                <w:color w:val="000000" w:themeColor="text1"/>
              </w:rPr>
            </w:pPr>
            <w:r w:rsidRPr="0058432E">
              <w:rPr>
                <w:rFonts w:eastAsia="Calibri"/>
                <w:color w:val="000000" w:themeColor="text1"/>
              </w:rPr>
              <w:t>Dose initiale de 20 mg</w:t>
            </w:r>
            <w:r w:rsidR="00712EDE" w:rsidRPr="0058432E">
              <w:rPr>
                <w:rFonts w:eastAsia="Calibri"/>
                <w:color w:val="000000" w:themeColor="text1"/>
              </w:rPr>
              <w:t>,</w:t>
            </w:r>
            <w:r w:rsidRPr="0058432E">
              <w:rPr>
                <w:rFonts w:eastAsia="Calibri"/>
                <w:color w:val="000000" w:themeColor="text1"/>
              </w:rPr>
              <w:t xml:space="preserve"> puis 20 mg toutes les deux semaines en commençant une semaine après l’administration de la dose initiale.</w:t>
            </w:r>
          </w:p>
        </w:tc>
      </w:tr>
      <w:tr w:rsidR="008D74DD" w:rsidRPr="0058432E" w14:paraId="1381CA5B" w14:textId="77777777" w:rsidTr="00567F46">
        <w:tc>
          <w:tcPr>
            <w:tcW w:w="4698" w:type="dxa"/>
            <w:shd w:val="clear" w:color="auto" w:fill="auto"/>
          </w:tcPr>
          <w:p w14:paraId="415546D4" w14:textId="77777777" w:rsidR="008D74DD" w:rsidRPr="0058432E" w:rsidRDefault="008D74DD" w:rsidP="00567F46">
            <w:pPr>
              <w:pStyle w:val="BodyText"/>
              <w:widowControl/>
              <w:kinsoku w:val="0"/>
              <w:overflowPunct w:val="0"/>
              <w:ind w:left="0"/>
              <w:jc w:val="center"/>
              <w:rPr>
                <w:rFonts w:eastAsia="Calibri"/>
                <w:color w:val="000000" w:themeColor="text1"/>
              </w:rPr>
            </w:pPr>
            <w:r w:rsidRPr="0058432E">
              <w:rPr>
                <w:rFonts w:eastAsia="Calibri"/>
                <w:color w:val="000000" w:themeColor="text1"/>
              </w:rPr>
              <w:t>≥ 30 kg</w:t>
            </w:r>
          </w:p>
        </w:tc>
        <w:tc>
          <w:tcPr>
            <w:tcW w:w="5320" w:type="dxa"/>
            <w:shd w:val="clear" w:color="auto" w:fill="auto"/>
          </w:tcPr>
          <w:p w14:paraId="7F8B0668" w14:textId="77777777" w:rsidR="008D74DD" w:rsidRPr="0058432E" w:rsidRDefault="008D74DD" w:rsidP="00567F46">
            <w:pPr>
              <w:autoSpaceDE w:val="0"/>
              <w:autoSpaceDN w:val="0"/>
              <w:adjustRightInd w:val="0"/>
              <w:rPr>
                <w:rFonts w:eastAsia="Calibri"/>
                <w:color w:val="000000" w:themeColor="text1"/>
              </w:rPr>
            </w:pPr>
            <w:r w:rsidRPr="0058432E">
              <w:rPr>
                <w:rFonts w:eastAsia="Calibri"/>
                <w:color w:val="000000" w:themeColor="text1"/>
              </w:rPr>
              <w:t>Dose initiale de 40 mg</w:t>
            </w:r>
            <w:r w:rsidR="00631203" w:rsidRPr="0058432E">
              <w:rPr>
                <w:rFonts w:eastAsia="Calibri"/>
                <w:color w:val="000000" w:themeColor="text1"/>
              </w:rPr>
              <w:t>,</w:t>
            </w:r>
            <w:r w:rsidRPr="0058432E">
              <w:rPr>
                <w:rFonts w:eastAsia="Calibri"/>
                <w:color w:val="000000" w:themeColor="text1"/>
              </w:rPr>
              <w:t xml:space="preserve"> puis 40 mg toutes les deux semaines en commençant une semaine après l’administration de la dose initiale.</w:t>
            </w:r>
          </w:p>
        </w:tc>
      </w:tr>
    </w:tbl>
    <w:p w14:paraId="753CC139" w14:textId="77777777" w:rsidR="008D74DD" w:rsidRPr="0058432E" w:rsidRDefault="008D74DD" w:rsidP="006B001C">
      <w:pPr>
        <w:pStyle w:val="BodyText"/>
        <w:widowControl/>
        <w:kinsoku w:val="0"/>
        <w:overflowPunct w:val="0"/>
        <w:ind w:left="0"/>
        <w:rPr>
          <w:color w:val="000000" w:themeColor="text1"/>
        </w:rPr>
      </w:pPr>
    </w:p>
    <w:p w14:paraId="36CDA271" w14:textId="77777777" w:rsidR="008D74DD" w:rsidRPr="0058432E" w:rsidRDefault="008D74DD" w:rsidP="006B001C">
      <w:pPr>
        <w:pStyle w:val="BodyText"/>
        <w:widowControl/>
        <w:kinsoku w:val="0"/>
        <w:overflowPunct w:val="0"/>
        <w:ind w:left="0"/>
        <w:rPr>
          <w:color w:val="000000" w:themeColor="text1"/>
        </w:rPr>
      </w:pPr>
      <w:r w:rsidRPr="0058432E">
        <w:rPr>
          <w:color w:val="000000" w:themeColor="text1"/>
        </w:rPr>
        <w:t>La poursuite du traitement au-delà de 16 semaines doit être soigneusement reconsidérée chez un patient n’ayant pas répondu dans ces délais.</w:t>
      </w:r>
    </w:p>
    <w:p w14:paraId="09DD90E9" w14:textId="77777777" w:rsidR="008D74DD" w:rsidRPr="0058432E" w:rsidRDefault="008D74DD" w:rsidP="006B001C">
      <w:pPr>
        <w:pStyle w:val="BodyText"/>
        <w:widowControl/>
        <w:kinsoku w:val="0"/>
        <w:overflowPunct w:val="0"/>
        <w:ind w:left="0"/>
        <w:rPr>
          <w:color w:val="000000" w:themeColor="text1"/>
        </w:rPr>
      </w:pPr>
    </w:p>
    <w:p w14:paraId="140CF58B"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Si un retraitement par Amsparity est indiqué, les recommandations ci-dessus pour la posologie et la durée de traitement doivent être suivies.</w:t>
      </w:r>
    </w:p>
    <w:p w14:paraId="50348021" w14:textId="77777777" w:rsidR="008D74DD" w:rsidRPr="0058432E" w:rsidRDefault="008D74DD" w:rsidP="0075475A">
      <w:pPr>
        <w:pStyle w:val="BodyText"/>
        <w:widowControl/>
        <w:kinsoku w:val="0"/>
        <w:overflowPunct w:val="0"/>
        <w:ind w:left="0"/>
        <w:rPr>
          <w:color w:val="000000" w:themeColor="text1"/>
          <w:szCs w:val="21"/>
        </w:rPr>
      </w:pPr>
    </w:p>
    <w:p w14:paraId="09245965"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 xml:space="preserve">La </w:t>
      </w:r>
      <w:r w:rsidR="00B600CF" w:rsidRPr="0058432E">
        <w:rPr>
          <w:color w:val="000000" w:themeColor="text1"/>
        </w:rPr>
        <w:t>tolérance</w:t>
      </w:r>
      <w:r w:rsidRPr="0058432E">
        <w:rPr>
          <w:color w:val="000000" w:themeColor="text1"/>
        </w:rPr>
        <w:t xml:space="preserve"> d</w:t>
      </w:r>
      <w:r w:rsidR="00792EB8" w:rsidRPr="0058432E">
        <w:rPr>
          <w:color w:val="000000" w:themeColor="text1"/>
        </w:rPr>
        <w:t>e l’adalimumab</w:t>
      </w:r>
      <w:r w:rsidRPr="0058432E">
        <w:rPr>
          <w:color w:val="000000" w:themeColor="text1"/>
        </w:rPr>
        <w:t xml:space="preserve"> chez l’enfant et l’adolescent présentant un psoriasis en plaques a été évaluée sur une durée moyenne de 13 mois.</w:t>
      </w:r>
    </w:p>
    <w:p w14:paraId="52861E47" w14:textId="77777777" w:rsidR="008D74DD" w:rsidRPr="0058432E" w:rsidRDefault="008D74DD" w:rsidP="0075475A">
      <w:pPr>
        <w:pStyle w:val="BodyText"/>
        <w:widowControl/>
        <w:kinsoku w:val="0"/>
        <w:overflowPunct w:val="0"/>
        <w:ind w:left="0"/>
        <w:rPr>
          <w:color w:val="000000" w:themeColor="text1"/>
        </w:rPr>
      </w:pPr>
    </w:p>
    <w:p w14:paraId="7E447889"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Il n’y a pas d’utilisation justifiée d</w:t>
      </w:r>
      <w:r w:rsidR="002E4C33" w:rsidRPr="0058432E">
        <w:rPr>
          <w:color w:val="000000" w:themeColor="text1"/>
        </w:rPr>
        <w:t>e l</w:t>
      </w:r>
      <w:r w:rsidRPr="0058432E">
        <w:rPr>
          <w:color w:val="000000" w:themeColor="text1"/>
        </w:rPr>
        <w:t>’adalimumab chez les enfants âgés de moins de 4 ans dans cette indication.</w:t>
      </w:r>
    </w:p>
    <w:p w14:paraId="23D10B72" w14:textId="77777777" w:rsidR="003D30E4" w:rsidRPr="0058432E" w:rsidRDefault="003D30E4" w:rsidP="0075475A">
      <w:pPr>
        <w:pStyle w:val="BodyText"/>
        <w:widowControl/>
        <w:kinsoku w:val="0"/>
        <w:overflowPunct w:val="0"/>
        <w:ind w:left="0"/>
        <w:rPr>
          <w:color w:val="000000" w:themeColor="text1"/>
        </w:rPr>
      </w:pPr>
    </w:p>
    <w:p w14:paraId="25B0C8A4" w14:textId="77777777" w:rsidR="003D30E4" w:rsidRPr="0058432E" w:rsidRDefault="006A1144" w:rsidP="0075475A">
      <w:pPr>
        <w:pStyle w:val="BodyText"/>
        <w:widowControl/>
        <w:kinsoku w:val="0"/>
        <w:overflowPunct w:val="0"/>
        <w:ind w:left="0"/>
        <w:rPr>
          <w:color w:val="000000" w:themeColor="text1"/>
        </w:rPr>
      </w:pPr>
      <w:r w:rsidRPr="0058432E">
        <w:rPr>
          <w:color w:val="000000" w:themeColor="text1"/>
        </w:rPr>
        <w:t>D’autres dosages et/ou présentations d’Amsparity peuvent être disponibles en fonction des besoins thérapeutiques de chaque patient.</w:t>
      </w:r>
    </w:p>
    <w:p w14:paraId="0A0E0636" w14:textId="77777777" w:rsidR="008D74DD" w:rsidRPr="0058432E" w:rsidRDefault="008D74DD" w:rsidP="0075475A">
      <w:pPr>
        <w:pStyle w:val="BodyText"/>
        <w:widowControl/>
        <w:kinsoku w:val="0"/>
        <w:overflowPunct w:val="0"/>
        <w:ind w:left="0"/>
        <w:rPr>
          <w:color w:val="000000" w:themeColor="text1"/>
        </w:rPr>
      </w:pPr>
    </w:p>
    <w:p w14:paraId="5710F5CC" w14:textId="77777777" w:rsidR="008D74DD" w:rsidRPr="0058432E" w:rsidRDefault="008D74DD" w:rsidP="0075475A">
      <w:pPr>
        <w:pStyle w:val="BodyText"/>
        <w:keepNext/>
        <w:widowControl/>
        <w:kinsoku w:val="0"/>
        <w:overflowPunct w:val="0"/>
        <w:ind w:left="0"/>
        <w:rPr>
          <w:color w:val="000000" w:themeColor="text1"/>
        </w:rPr>
      </w:pPr>
      <w:r w:rsidRPr="0058432E">
        <w:rPr>
          <w:i/>
          <w:iCs/>
          <w:color w:val="000000" w:themeColor="text1"/>
        </w:rPr>
        <w:t xml:space="preserve">Maladie de Crohn </w:t>
      </w:r>
      <w:r w:rsidR="00631203" w:rsidRPr="0058432E">
        <w:rPr>
          <w:i/>
          <w:iCs/>
          <w:color w:val="000000" w:themeColor="text1"/>
        </w:rPr>
        <w:t>pédiatrique</w:t>
      </w:r>
    </w:p>
    <w:p w14:paraId="40B26515" w14:textId="77777777" w:rsidR="008D74DD" w:rsidRPr="0058432E" w:rsidRDefault="008D74DD" w:rsidP="0075475A">
      <w:pPr>
        <w:pStyle w:val="BodyText"/>
        <w:widowControl/>
        <w:kinsoku w:val="0"/>
        <w:overflowPunct w:val="0"/>
        <w:ind w:left="0"/>
        <w:rPr>
          <w:i/>
          <w:iCs/>
          <w:color w:val="000000" w:themeColor="text1"/>
          <w:szCs w:val="21"/>
        </w:rPr>
      </w:pPr>
    </w:p>
    <w:p w14:paraId="16DCA588"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 xml:space="preserve">La posologie recommandée d’Amsparity pour les patients atteints de la maladie de Crohn âgés de 6 à 17 ans dépend du poids corporel (tableau 4). Amsparity est administré en injection sous-cutanée. </w:t>
      </w:r>
    </w:p>
    <w:p w14:paraId="29C71026" w14:textId="77777777" w:rsidR="00775887" w:rsidRPr="0058432E" w:rsidRDefault="00775887" w:rsidP="00982118">
      <w:pPr>
        <w:rPr>
          <w:color w:val="000000" w:themeColor="text1"/>
        </w:rPr>
      </w:pPr>
    </w:p>
    <w:p w14:paraId="54C34F0E" w14:textId="77777777" w:rsidR="007E0DEB" w:rsidRPr="0058432E" w:rsidRDefault="00337D78" w:rsidP="00A53E17">
      <w:pPr>
        <w:keepNext/>
        <w:rPr>
          <w:b/>
          <w:color w:val="000000" w:themeColor="text1"/>
        </w:rPr>
      </w:pPr>
      <w:r w:rsidRPr="0058432E">
        <w:rPr>
          <w:b/>
          <w:color w:val="000000" w:themeColor="text1"/>
        </w:rPr>
        <w:lastRenderedPageBreak/>
        <w:t>Tableau 4</w:t>
      </w:r>
      <w:r w:rsidR="00456A4F" w:rsidRPr="0058432E">
        <w:rPr>
          <w:b/>
          <w:color w:val="000000" w:themeColor="text1"/>
        </w:rPr>
        <w:t>.</w:t>
      </w:r>
      <w:r w:rsidRPr="0058432E">
        <w:rPr>
          <w:b/>
          <w:color w:val="000000" w:themeColor="text1"/>
        </w:rPr>
        <w:t xml:space="preserve"> </w:t>
      </w:r>
    </w:p>
    <w:p w14:paraId="63BCB057" w14:textId="77777777" w:rsidR="00337D78" w:rsidRPr="0058432E" w:rsidRDefault="006A1144" w:rsidP="00A53E17">
      <w:pPr>
        <w:keepNext/>
        <w:rPr>
          <w:color w:val="000000" w:themeColor="text1"/>
        </w:rPr>
      </w:pPr>
      <w:r w:rsidRPr="0058432E">
        <w:rPr>
          <w:b/>
          <w:color w:val="000000" w:themeColor="text1"/>
        </w:rPr>
        <w:t>Posologie d’Amsparity chez les enfants et les adolescents atteints de la maladie de Crohn</w:t>
      </w:r>
    </w:p>
    <w:p w14:paraId="58C5D4CB" w14:textId="77777777" w:rsidR="00337D78" w:rsidRPr="0058432E" w:rsidRDefault="00337D78" w:rsidP="0075475A">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5968"/>
        <w:gridCol w:w="1958"/>
      </w:tblGrid>
      <w:tr w:rsidR="00337D78" w:rsidRPr="0058432E" w14:paraId="0077F16A" w14:textId="77777777" w:rsidTr="007E0DEB">
        <w:trPr>
          <w:cantSplit/>
        </w:trPr>
        <w:tc>
          <w:tcPr>
            <w:tcW w:w="1182" w:type="dxa"/>
            <w:shd w:val="clear" w:color="auto" w:fill="auto"/>
          </w:tcPr>
          <w:p w14:paraId="38814BC2" w14:textId="77777777" w:rsidR="00337D78" w:rsidRPr="0058432E" w:rsidRDefault="00337D78" w:rsidP="0075475A">
            <w:pPr>
              <w:keepNext/>
              <w:jc w:val="center"/>
              <w:rPr>
                <w:b/>
                <w:color w:val="000000" w:themeColor="text1"/>
              </w:rPr>
            </w:pPr>
            <w:r w:rsidRPr="0058432E">
              <w:rPr>
                <w:b/>
                <w:color w:val="000000" w:themeColor="text1"/>
              </w:rPr>
              <w:t>Poids du patient</w:t>
            </w:r>
          </w:p>
        </w:tc>
        <w:tc>
          <w:tcPr>
            <w:tcW w:w="6756" w:type="dxa"/>
            <w:shd w:val="clear" w:color="auto" w:fill="auto"/>
          </w:tcPr>
          <w:p w14:paraId="53442D6A" w14:textId="77777777" w:rsidR="00337D78" w:rsidRPr="0058432E" w:rsidRDefault="00337D78" w:rsidP="0075475A">
            <w:pPr>
              <w:keepNext/>
              <w:jc w:val="center"/>
              <w:rPr>
                <w:b/>
                <w:color w:val="000000" w:themeColor="text1"/>
              </w:rPr>
            </w:pPr>
            <w:r w:rsidRPr="0058432E">
              <w:rPr>
                <w:b/>
                <w:color w:val="000000" w:themeColor="text1"/>
              </w:rPr>
              <w:t>Dose d’induction</w:t>
            </w:r>
          </w:p>
        </w:tc>
        <w:tc>
          <w:tcPr>
            <w:tcW w:w="2080" w:type="dxa"/>
            <w:shd w:val="clear" w:color="auto" w:fill="auto"/>
          </w:tcPr>
          <w:p w14:paraId="798F1079" w14:textId="77777777" w:rsidR="00337D78" w:rsidRPr="0058432E" w:rsidRDefault="00337D78" w:rsidP="0075475A">
            <w:pPr>
              <w:keepNext/>
              <w:jc w:val="center"/>
              <w:rPr>
                <w:b/>
                <w:color w:val="000000" w:themeColor="text1"/>
              </w:rPr>
            </w:pPr>
            <w:r w:rsidRPr="0058432E">
              <w:rPr>
                <w:b/>
                <w:color w:val="000000" w:themeColor="text1"/>
              </w:rPr>
              <w:t>Dose d’entretien à partir de la semaine 4</w:t>
            </w:r>
          </w:p>
        </w:tc>
      </w:tr>
      <w:tr w:rsidR="00337D78" w:rsidRPr="0058432E" w14:paraId="57DD4C23" w14:textId="77777777" w:rsidTr="007E0DEB">
        <w:trPr>
          <w:cantSplit/>
        </w:trPr>
        <w:tc>
          <w:tcPr>
            <w:tcW w:w="1182" w:type="dxa"/>
            <w:shd w:val="clear" w:color="auto" w:fill="auto"/>
          </w:tcPr>
          <w:p w14:paraId="147521F0" w14:textId="77777777" w:rsidR="00337D78" w:rsidRPr="0058432E" w:rsidRDefault="00337D78" w:rsidP="0075475A">
            <w:pPr>
              <w:jc w:val="center"/>
              <w:rPr>
                <w:color w:val="000000" w:themeColor="text1"/>
              </w:rPr>
            </w:pPr>
            <w:r w:rsidRPr="0058432E">
              <w:rPr>
                <w:color w:val="000000" w:themeColor="text1"/>
              </w:rPr>
              <w:t>&lt; 40 kg</w:t>
            </w:r>
          </w:p>
        </w:tc>
        <w:tc>
          <w:tcPr>
            <w:tcW w:w="6756" w:type="dxa"/>
            <w:shd w:val="clear" w:color="auto" w:fill="auto"/>
          </w:tcPr>
          <w:p w14:paraId="6CA3B107" w14:textId="77777777" w:rsidR="00921D8E" w:rsidRPr="0058432E" w:rsidRDefault="00921D8E" w:rsidP="00054A92">
            <w:pPr>
              <w:numPr>
                <w:ilvl w:val="0"/>
                <w:numId w:val="28"/>
              </w:numPr>
              <w:autoSpaceDE w:val="0"/>
              <w:autoSpaceDN w:val="0"/>
              <w:adjustRightInd w:val="0"/>
              <w:ind w:left="0" w:firstLine="0"/>
              <w:rPr>
                <w:color w:val="000000" w:themeColor="text1"/>
              </w:rPr>
            </w:pPr>
            <w:r w:rsidRPr="0058432E">
              <w:rPr>
                <w:color w:val="000000" w:themeColor="text1"/>
              </w:rPr>
              <w:t xml:space="preserve">40 mg </w:t>
            </w:r>
            <w:r w:rsidR="00B600CF" w:rsidRPr="0058432E">
              <w:rPr>
                <w:color w:val="000000" w:themeColor="text1"/>
              </w:rPr>
              <w:t>à la</w:t>
            </w:r>
            <w:r w:rsidRPr="0058432E">
              <w:rPr>
                <w:color w:val="000000" w:themeColor="text1"/>
              </w:rPr>
              <w:t xml:space="preserve"> semaine 0 et 20 mg </w:t>
            </w:r>
            <w:r w:rsidR="00B600CF" w:rsidRPr="0058432E">
              <w:rPr>
                <w:color w:val="000000" w:themeColor="text1"/>
              </w:rPr>
              <w:t>à la</w:t>
            </w:r>
            <w:r w:rsidRPr="0058432E">
              <w:rPr>
                <w:color w:val="000000" w:themeColor="text1"/>
              </w:rPr>
              <w:t xml:space="preserve"> semaine 2</w:t>
            </w:r>
          </w:p>
          <w:p w14:paraId="5ECB51C4" w14:textId="77777777" w:rsidR="00921D8E" w:rsidRPr="0058432E" w:rsidRDefault="00921D8E" w:rsidP="00054A92">
            <w:pPr>
              <w:autoSpaceDE w:val="0"/>
              <w:autoSpaceDN w:val="0"/>
              <w:adjustRightInd w:val="0"/>
              <w:rPr>
                <w:color w:val="000000" w:themeColor="text1"/>
              </w:rPr>
            </w:pPr>
          </w:p>
          <w:p w14:paraId="390CA3F2" w14:textId="77777777" w:rsidR="00921D8E" w:rsidRPr="0058432E" w:rsidRDefault="00B600CF" w:rsidP="00054A92">
            <w:pPr>
              <w:autoSpaceDE w:val="0"/>
              <w:autoSpaceDN w:val="0"/>
              <w:adjustRightInd w:val="0"/>
              <w:rPr>
                <w:color w:val="000000" w:themeColor="text1"/>
              </w:rPr>
            </w:pPr>
            <w:r w:rsidRPr="0058432E">
              <w:rPr>
                <w:color w:val="000000" w:themeColor="text1"/>
              </w:rPr>
              <w:t xml:space="preserve">S’il est nécessaire d’obtenir </w:t>
            </w:r>
            <w:r w:rsidR="00921D8E" w:rsidRPr="0058432E">
              <w:rPr>
                <w:color w:val="000000" w:themeColor="text1"/>
              </w:rPr>
              <w:t xml:space="preserve">une réponse </w:t>
            </w:r>
            <w:r w:rsidRPr="0058432E">
              <w:rPr>
                <w:color w:val="000000" w:themeColor="text1"/>
              </w:rPr>
              <w:t xml:space="preserve">plus rapide </w:t>
            </w:r>
            <w:r w:rsidR="00921D8E" w:rsidRPr="0058432E">
              <w:rPr>
                <w:color w:val="000000" w:themeColor="text1"/>
              </w:rPr>
              <w:t xml:space="preserve">au traitement, </w:t>
            </w:r>
            <w:r w:rsidRPr="0058432E">
              <w:rPr>
                <w:color w:val="000000" w:themeColor="text1"/>
              </w:rPr>
              <w:t xml:space="preserve">et sachant </w:t>
            </w:r>
            <w:r w:rsidR="00921D8E" w:rsidRPr="0058432E">
              <w:rPr>
                <w:color w:val="000000" w:themeColor="text1"/>
              </w:rPr>
              <w:t>que le risque d’événements indésirables</w:t>
            </w:r>
            <w:r w:rsidRPr="0058432E">
              <w:rPr>
                <w:color w:val="000000" w:themeColor="text1"/>
              </w:rPr>
              <w:t xml:space="preserve"> peut être plus important avec </w:t>
            </w:r>
            <w:r w:rsidR="00921D8E" w:rsidRPr="0058432E">
              <w:rPr>
                <w:color w:val="000000" w:themeColor="text1"/>
              </w:rPr>
              <w:t>une dose d’induction plus</w:t>
            </w:r>
            <w:r w:rsidR="00BC14B3" w:rsidRPr="0058432E">
              <w:rPr>
                <w:color w:val="000000" w:themeColor="text1"/>
              </w:rPr>
              <w:t xml:space="preserve"> élevée</w:t>
            </w:r>
            <w:r w:rsidR="00921D8E" w:rsidRPr="0058432E">
              <w:rPr>
                <w:color w:val="000000" w:themeColor="text1"/>
              </w:rPr>
              <w:t>, la posologie suivante peut être utilisée :</w:t>
            </w:r>
          </w:p>
          <w:p w14:paraId="34FA494A" w14:textId="77777777" w:rsidR="00337D78" w:rsidRPr="0058432E" w:rsidRDefault="00D15DFF" w:rsidP="00054A92">
            <w:pPr>
              <w:numPr>
                <w:ilvl w:val="0"/>
                <w:numId w:val="28"/>
              </w:numPr>
              <w:ind w:left="0" w:firstLine="0"/>
              <w:rPr>
                <w:color w:val="000000" w:themeColor="text1"/>
              </w:rPr>
            </w:pPr>
            <w:r w:rsidRPr="0058432E">
              <w:rPr>
                <w:color w:val="000000" w:themeColor="text1"/>
              </w:rPr>
              <w:t xml:space="preserve">80 mg </w:t>
            </w:r>
            <w:r w:rsidR="00B600CF" w:rsidRPr="0058432E">
              <w:rPr>
                <w:color w:val="000000" w:themeColor="text1"/>
              </w:rPr>
              <w:t>à la</w:t>
            </w:r>
            <w:r w:rsidRPr="0058432E">
              <w:rPr>
                <w:color w:val="000000" w:themeColor="text1"/>
              </w:rPr>
              <w:t xml:space="preserve"> semaine 0 et 40 mg </w:t>
            </w:r>
            <w:r w:rsidR="00B600CF" w:rsidRPr="0058432E">
              <w:rPr>
                <w:color w:val="000000" w:themeColor="text1"/>
              </w:rPr>
              <w:t>à la</w:t>
            </w:r>
            <w:r w:rsidRPr="0058432E">
              <w:rPr>
                <w:color w:val="000000" w:themeColor="text1"/>
              </w:rPr>
              <w:t xml:space="preserve"> semaine 2</w:t>
            </w:r>
          </w:p>
        </w:tc>
        <w:tc>
          <w:tcPr>
            <w:tcW w:w="2080" w:type="dxa"/>
            <w:shd w:val="clear" w:color="auto" w:fill="auto"/>
          </w:tcPr>
          <w:p w14:paraId="00DA7593" w14:textId="77777777" w:rsidR="00337D78" w:rsidRPr="0058432E" w:rsidRDefault="00337D78" w:rsidP="0075475A">
            <w:pPr>
              <w:jc w:val="center"/>
              <w:rPr>
                <w:color w:val="000000" w:themeColor="text1"/>
              </w:rPr>
            </w:pPr>
            <w:r w:rsidRPr="0058432E">
              <w:rPr>
                <w:color w:val="000000" w:themeColor="text1"/>
              </w:rPr>
              <w:t>20 mg toutes les deux semaines</w:t>
            </w:r>
          </w:p>
        </w:tc>
      </w:tr>
      <w:tr w:rsidR="00337D78" w:rsidRPr="0058432E" w14:paraId="337816DD" w14:textId="77777777" w:rsidTr="007E0DEB">
        <w:trPr>
          <w:cantSplit/>
        </w:trPr>
        <w:tc>
          <w:tcPr>
            <w:tcW w:w="1182" w:type="dxa"/>
            <w:shd w:val="clear" w:color="auto" w:fill="auto"/>
          </w:tcPr>
          <w:p w14:paraId="5FBEBC59" w14:textId="77777777" w:rsidR="00337D78" w:rsidRPr="0058432E" w:rsidRDefault="00337D78" w:rsidP="0075475A">
            <w:pPr>
              <w:jc w:val="center"/>
              <w:rPr>
                <w:color w:val="000000" w:themeColor="text1"/>
              </w:rPr>
            </w:pPr>
            <w:r w:rsidRPr="0058432E">
              <w:rPr>
                <w:color w:val="000000" w:themeColor="text1"/>
              </w:rPr>
              <w:t>≥ 40 kg</w:t>
            </w:r>
          </w:p>
        </w:tc>
        <w:tc>
          <w:tcPr>
            <w:tcW w:w="6756" w:type="dxa"/>
            <w:shd w:val="clear" w:color="auto" w:fill="auto"/>
          </w:tcPr>
          <w:p w14:paraId="334C7B46" w14:textId="77777777" w:rsidR="00921D8E" w:rsidRPr="0058432E" w:rsidRDefault="00921D8E" w:rsidP="00054A92">
            <w:pPr>
              <w:numPr>
                <w:ilvl w:val="0"/>
                <w:numId w:val="28"/>
              </w:numPr>
              <w:autoSpaceDE w:val="0"/>
              <w:autoSpaceDN w:val="0"/>
              <w:adjustRightInd w:val="0"/>
              <w:ind w:left="0" w:firstLine="0"/>
              <w:rPr>
                <w:rFonts w:eastAsia="SymbolMT"/>
                <w:color w:val="000000" w:themeColor="text1"/>
              </w:rPr>
            </w:pPr>
            <w:r w:rsidRPr="0058432E">
              <w:rPr>
                <w:color w:val="000000" w:themeColor="text1"/>
              </w:rPr>
              <w:t xml:space="preserve">80 mg </w:t>
            </w:r>
            <w:r w:rsidR="00BC14B3" w:rsidRPr="0058432E">
              <w:rPr>
                <w:color w:val="000000" w:themeColor="text1"/>
              </w:rPr>
              <w:t xml:space="preserve">à la </w:t>
            </w:r>
            <w:r w:rsidRPr="0058432E">
              <w:rPr>
                <w:color w:val="000000" w:themeColor="text1"/>
              </w:rPr>
              <w:t xml:space="preserve">semaine 0 et 40 mg </w:t>
            </w:r>
            <w:r w:rsidR="00BC14B3" w:rsidRPr="0058432E">
              <w:rPr>
                <w:color w:val="000000" w:themeColor="text1"/>
              </w:rPr>
              <w:t xml:space="preserve">à la </w:t>
            </w:r>
            <w:r w:rsidRPr="0058432E">
              <w:rPr>
                <w:color w:val="000000" w:themeColor="text1"/>
              </w:rPr>
              <w:t>semaine 2</w:t>
            </w:r>
          </w:p>
          <w:p w14:paraId="1821F736" w14:textId="77777777" w:rsidR="00921D8E" w:rsidRPr="0058432E" w:rsidRDefault="00921D8E" w:rsidP="00054A92">
            <w:pPr>
              <w:autoSpaceDE w:val="0"/>
              <w:autoSpaceDN w:val="0"/>
              <w:adjustRightInd w:val="0"/>
              <w:rPr>
                <w:rFonts w:eastAsia="SymbolMT"/>
                <w:color w:val="000000" w:themeColor="text1"/>
              </w:rPr>
            </w:pPr>
          </w:p>
          <w:p w14:paraId="6A1590BB" w14:textId="77777777" w:rsidR="00921D8E" w:rsidRPr="0058432E" w:rsidRDefault="00B600CF" w:rsidP="00054A92">
            <w:pPr>
              <w:autoSpaceDE w:val="0"/>
              <w:autoSpaceDN w:val="0"/>
              <w:adjustRightInd w:val="0"/>
              <w:rPr>
                <w:rFonts w:eastAsia="SymbolMT"/>
                <w:color w:val="000000" w:themeColor="text1"/>
              </w:rPr>
            </w:pPr>
            <w:r w:rsidRPr="0058432E">
              <w:rPr>
                <w:color w:val="000000" w:themeColor="text1"/>
              </w:rPr>
              <w:t>S’il est nécessaire d’obtenir</w:t>
            </w:r>
            <w:r w:rsidR="0067392C" w:rsidRPr="0058432E">
              <w:rPr>
                <w:color w:val="000000" w:themeColor="text1"/>
              </w:rPr>
              <w:t xml:space="preserve"> </w:t>
            </w:r>
            <w:r w:rsidR="00921D8E" w:rsidRPr="0058432E">
              <w:rPr>
                <w:color w:val="000000" w:themeColor="text1"/>
              </w:rPr>
              <w:t>une réponse</w:t>
            </w:r>
            <w:r w:rsidRPr="0058432E">
              <w:rPr>
                <w:color w:val="000000" w:themeColor="text1"/>
              </w:rPr>
              <w:t xml:space="preserve"> plus rapide</w:t>
            </w:r>
            <w:r w:rsidR="00921D8E" w:rsidRPr="0058432E">
              <w:rPr>
                <w:color w:val="000000" w:themeColor="text1"/>
              </w:rPr>
              <w:t xml:space="preserve"> au traitement,</w:t>
            </w:r>
            <w:r w:rsidRPr="0058432E">
              <w:rPr>
                <w:color w:val="000000" w:themeColor="text1"/>
              </w:rPr>
              <w:t xml:space="preserve"> et </w:t>
            </w:r>
            <w:r w:rsidR="006B5D6D" w:rsidRPr="0058432E">
              <w:rPr>
                <w:color w:val="000000" w:themeColor="text1"/>
              </w:rPr>
              <w:t xml:space="preserve">sachant </w:t>
            </w:r>
            <w:r w:rsidR="00921D8E" w:rsidRPr="0058432E">
              <w:rPr>
                <w:color w:val="000000" w:themeColor="text1"/>
              </w:rPr>
              <w:t xml:space="preserve">que le risque d’événements indésirables </w:t>
            </w:r>
            <w:r w:rsidRPr="0058432E">
              <w:rPr>
                <w:color w:val="000000" w:themeColor="text1"/>
              </w:rPr>
              <w:t xml:space="preserve">peut être plus important avec </w:t>
            </w:r>
            <w:r w:rsidR="00921D8E" w:rsidRPr="0058432E">
              <w:rPr>
                <w:color w:val="000000" w:themeColor="text1"/>
              </w:rPr>
              <w:t>une dose d’induction plus élevée, la posologie suivante peut être utilisée :</w:t>
            </w:r>
          </w:p>
          <w:p w14:paraId="585E4606" w14:textId="77777777" w:rsidR="00337D78" w:rsidRPr="0058432E" w:rsidRDefault="00921D8E" w:rsidP="00054A92">
            <w:pPr>
              <w:numPr>
                <w:ilvl w:val="0"/>
                <w:numId w:val="28"/>
              </w:numPr>
              <w:ind w:left="0" w:firstLine="0"/>
              <w:rPr>
                <w:color w:val="000000" w:themeColor="text1"/>
              </w:rPr>
            </w:pPr>
            <w:r w:rsidRPr="0058432E">
              <w:rPr>
                <w:color w:val="000000" w:themeColor="text1"/>
              </w:rPr>
              <w:t xml:space="preserve">160 mg </w:t>
            </w:r>
            <w:r w:rsidR="00B600CF" w:rsidRPr="0058432E">
              <w:rPr>
                <w:color w:val="000000" w:themeColor="text1"/>
              </w:rPr>
              <w:t>à la</w:t>
            </w:r>
            <w:r w:rsidRPr="0058432E">
              <w:rPr>
                <w:color w:val="000000" w:themeColor="text1"/>
              </w:rPr>
              <w:t xml:space="preserve"> semaine 0 et 80 mg </w:t>
            </w:r>
            <w:r w:rsidR="00B600CF" w:rsidRPr="0058432E">
              <w:rPr>
                <w:color w:val="000000" w:themeColor="text1"/>
              </w:rPr>
              <w:t>à la</w:t>
            </w:r>
            <w:r w:rsidRPr="0058432E">
              <w:rPr>
                <w:color w:val="000000" w:themeColor="text1"/>
              </w:rPr>
              <w:t xml:space="preserve"> semaine 2</w:t>
            </w:r>
          </w:p>
        </w:tc>
        <w:tc>
          <w:tcPr>
            <w:tcW w:w="2080" w:type="dxa"/>
            <w:shd w:val="clear" w:color="auto" w:fill="auto"/>
          </w:tcPr>
          <w:p w14:paraId="33B14A31" w14:textId="77777777" w:rsidR="00337D78" w:rsidRPr="0058432E" w:rsidRDefault="00337D78" w:rsidP="0075475A">
            <w:pPr>
              <w:jc w:val="center"/>
              <w:rPr>
                <w:color w:val="000000" w:themeColor="text1"/>
              </w:rPr>
            </w:pPr>
            <w:r w:rsidRPr="0058432E">
              <w:rPr>
                <w:color w:val="000000" w:themeColor="text1"/>
              </w:rPr>
              <w:t>40 mg toutes les deux semaines</w:t>
            </w:r>
          </w:p>
        </w:tc>
      </w:tr>
    </w:tbl>
    <w:p w14:paraId="2111E6B1" w14:textId="77777777" w:rsidR="00921D8E" w:rsidRPr="0058432E" w:rsidRDefault="00921D8E" w:rsidP="0075475A">
      <w:pPr>
        <w:pStyle w:val="BodyText"/>
        <w:widowControl/>
        <w:kinsoku w:val="0"/>
        <w:overflowPunct w:val="0"/>
        <w:ind w:left="0"/>
        <w:rPr>
          <w:color w:val="000000" w:themeColor="text1"/>
        </w:rPr>
      </w:pPr>
    </w:p>
    <w:p w14:paraId="46CBD5F0"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Les patients chez qui une réponse insuffisante au traitement est observée peuvent bénéficier d’une augmentation de la posologie :</w:t>
      </w:r>
    </w:p>
    <w:p w14:paraId="14DB3686" w14:textId="77777777" w:rsidR="008D74DD" w:rsidRPr="0058432E" w:rsidRDefault="008D74DD" w:rsidP="007E0DEB">
      <w:pPr>
        <w:pStyle w:val="BodyText"/>
        <w:widowControl/>
        <w:numPr>
          <w:ilvl w:val="0"/>
          <w:numId w:val="27"/>
        </w:numPr>
        <w:kinsoku w:val="0"/>
        <w:overflowPunct w:val="0"/>
        <w:autoSpaceDE w:val="0"/>
        <w:autoSpaceDN w:val="0"/>
        <w:adjustRightInd w:val="0"/>
        <w:ind w:left="0" w:firstLine="0"/>
        <w:rPr>
          <w:color w:val="000000" w:themeColor="text1"/>
        </w:rPr>
      </w:pPr>
      <w:r w:rsidRPr="0058432E">
        <w:rPr>
          <w:color w:val="000000" w:themeColor="text1"/>
        </w:rPr>
        <w:t>&lt; 40 kg : 20 mg toutes les semaines</w:t>
      </w:r>
    </w:p>
    <w:p w14:paraId="38C78075" w14:textId="77777777" w:rsidR="008D74DD" w:rsidRPr="0058432E" w:rsidRDefault="008D74DD" w:rsidP="007E0DEB">
      <w:pPr>
        <w:pStyle w:val="BodyText"/>
        <w:widowControl/>
        <w:numPr>
          <w:ilvl w:val="0"/>
          <w:numId w:val="27"/>
        </w:numPr>
        <w:kinsoku w:val="0"/>
        <w:overflowPunct w:val="0"/>
        <w:autoSpaceDE w:val="0"/>
        <w:autoSpaceDN w:val="0"/>
        <w:adjustRightInd w:val="0"/>
        <w:ind w:left="0" w:firstLine="0"/>
        <w:rPr>
          <w:color w:val="000000" w:themeColor="text1"/>
        </w:rPr>
      </w:pPr>
      <w:r w:rsidRPr="0058432E">
        <w:rPr>
          <w:color w:val="000000" w:themeColor="text1"/>
        </w:rPr>
        <w:t>≥ 40 kg : 40 mg toutes les semaines ou 80 mg toutes les deux semaines</w:t>
      </w:r>
    </w:p>
    <w:p w14:paraId="5897D0CF" w14:textId="77777777" w:rsidR="008D74DD" w:rsidRPr="0058432E" w:rsidRDefault="008D74DD" w:rsidP="0075475A">
      <w:pPr>
        <w:pStyle w:val="BodyText"/>
        <w:widowControl/>
        <w:kinsoku w:val="0"/>
        <w:overflowPunct w:val="0"/>
        <w:ind w:left="0"/>
        <w:rPr>
          <w:color w:val="000000" w:themeColor="text1"/>
          <w:szCs w:val="21"/>
        </w:rPr>
      </w:pPr>
    </w:p>
    <w:p w14:paraId="533279E7" w14:textId="77777777" w:rsidR="00030BF1" w:rsidRPr="0058432E" w:rsidRDefault="008D74DD" w:rsidP="0075475A">
      <w:pPr>
        <w:pStyle w:val="BodyText"/>
        <w:widowControl/>
        <w:tabs>
          <w:tab w:val="left" w:pos="9000"/>
        </w:tabs>
        <w:kinsoku w:val="0"/>
        <w:overflowPunct w:val="0"/>
        <w:ind w:left="0"/>
        <w:rPr>
          <w:color w:val="000000" w:themeColor="text1"/>
        </w:rPr>
      </w:pPr>
      <w:r w:rsidRPr="0058432E">
        <w:rPr>
          <w:color w:val="000000" w:themeColor="text1"/>
        </w:rPr>
        <w:t xml:space="preserve">La poursuite du traitement devra être soigneusement reconsidérée chez un patient n’ayant pas répondu à la semaine 12. </w:t>
      </w:r>
    </w:p>
    <w:p w14:paraId="527B718D" w14:textId="77777777" w:rsidR="00030BF1" w:rsidRPr="0058432E" w:rsidRDefault="00030BF1" w:rsidP="0075475A">
      <w:pPr>
        <w:pStyle w:val="BodyText"/>
        <w:widowControl/>
        <w:tabs>
          <w:tab w:val="left" w:pos="9000"/>
        </w:tabs>
        <w:kinsoku w:val="0"/>
        <w:overflowPunct w:val="0"/>
        <w:ind w:left="0"/>
        <w:rPr>
          <w:color w:val="000000" w:themeColor="text1"/>
        </w:rPr>
      </w:pPr>
    </w:p>
    <w:p w14:paraId="64C017DF" w14:textId="77777777" w:rsidR="008D74DD" w:rsidRPr="0058432E" w:rsidRDefault="008D74DD" w:rsidP="0075475A">
      <w:pPr>
        <w:pStyle w:val="BodyText"/>
        <w:widowControl/>
        <w:tabs>
          <w:tab w:val="left" w:pos="9000"/>
        </w:tabs>
        <w:kinsoku w:val="0"/>
        <w:overflowPunct w:val="0"/>
        <w:ind w:left="0"/>
        <w:rPr>
          <w:color w:val="000000" w:themeColor="text1"/>
        </w:rPr>
      </w:pPr>
      <w:r w:rsidRPr="0058432E">
        <w:rPr>
          <w:color w:val="000000" w:themeColor="text1"/>
        </w:rPr>
        <w:t>Il n’y a pas d’utilisation justifiée d</w:t>
      </w:r>
      <w:r w:rsidR="002E4C33" w:rsidRPr="0058432E">
        <w:rPr>
          <w:color w:val="000000" w:themeColor="text1"/>
        </w:rPr>
        <w:t>e l</w:t>
      </w:r>
      <w:r w:rsidRPr="0058432E">
        <w:rPr>
          <w:color w:val="000000" w:themeColor="text1"/>
        </w:rPr>
        <w:t>’adalimumab chez les enfants âgés de moins de 6 ans dans cette indication.</w:t>
      </w:r>
    </w:p>
    <w:p w14:paraId="3860A433" w14:textId="77777777" w:rsidR="00092E33" w:rsidRPr="0058432E" w:rsidRDefault="00092E33" w:rsidP="0075475A">
      <w:pPr>
        <w:pStyle w:val="BodyText"/>
        <w:widowControl/>
        <w:tabs>
          <w:tab w:val="left" w:pos="9000"/>
        </w:tabs>
        <w:kinsoku w:val="0"/>
        <w:overflowPunct w:val="0"/>
        <w:ind w:left="0"/>
        <w:rPr>
          <w:color w:val="000000" w:themeColor="text1"/>
        </w:rPr>
      </w:pPr>
    </w:p>
    <w:p w14:paraId="6E87F85D" w14:textId="77777777" w:rsidR="00092E33" w:rsidRPr="0058432E" w:rsidRDefault="006A1144" w:rsidP="0075475A">
      <w:pPr>
        <w:pStyle w:val="BodyText"/>
        <w:widowControl/>
        <w:tabs>
          <w:tab w:val="left" w:pos="9000"/>
        </w:tabs>
        <w:kinsoku w:val="0"/>
        <w:overflowPunct w:val="0"/>
        <w:ind w:left="0"/>
        <w:rPr>
          <w:color w:val="000000" w:themeColor="text1"/>
        </w:rPr>
      </w:pPr>
      <w:r w:rsidRPr="0058432E">
        <w:rPr>
          <w:color w:val="000000" w:themeColor="text1"/>
        </w:rPr>
        <w:t>D’autres dosages et/ou présentations d’Amsparity peuvent être disponibles en fonction des besoins thérapeutiques de chaque patient.</w:t>
      </w:r>
    </w:p>
    <w:p w14:paraId="714FFEB2" w14:textId="77777777" w:rsidR="00030BF1" w:rsidRPr="0058432E" w:rsidRDefault="00030BF1" w:rsidP="0075475A">
      <w:pPr>
        <w:pStyle w:val="BodyText"/>
        <w:widowControl/>
        <w:tabs>
          <w:tab w:val="left" w:pos="9000"/>
        </w:tabs>
        <w:kinsoku w:val="0"/>
        <w:overflowPunct w:val="0"/>
        <w:ind w:left="0"/>
        <w:rPr>
          <w:color w:val="000000" w:themeColor="text1"/>
        </w:rPr>
      </w:pPr>
    </w:p>
    <w:p w14:paraId="24EAD6B2" w14:textId="77777777" w:rsidR="008D74DD" w:rsidRPr="0058432E" w:rsidRDefault="008D74DD" w:rsidP="0075475A">
      <w:pPr>
        <w:pStyle w:val="BodyText"/>
        <w:widowControl/>
        <w:kinsoku w:val="0"/>
        <w:overflowPunct w:val="0"/>
        <w:ind w:left="0"/>
        <w:rPr>
          <w:color w:val="000000" w:themeColor="text1"/>
        </w:rPr>
      </w:pPr>
      <w:r w:rsidRPr="0058432E">
        <w:rPr>
          <w:i/>
          <w:iCs/>
          <w:color w:val="000000" w:themeColor="text1"/>
        </w:rPr>
        <w:t xml:space="preserve">Uvéite </w:t>
      </w:r>
      <w:r w:rsidR="00822E93" w:rsidRPr="0058432E">
        <w:rPr>
          <w:i/>
          <w:iCs/>
          <w:color w:val="000000" w:themeColor="text1"/>
        </w:rPr>
        <w:t>pédiatrique</w:t>
      </w:r>
    </w:p>
    <w:p w14:paraId="603B3105" w14:textId="77777777" w:rsidR="008D74DD" w:rsidRPr="0058432E" w:rsidRDefault="008D74DD" w:rsidP="0075475A">
      <w:pPr>
        <w:pStyle w:val="BodyText"/>
        <w:widowControl/>
        <w:kinsoku w:val="0"/>
        <w:overflowPunct w:val="0"/>
        <w:ind w:left="0"/>
        <w:rPr>
          <w:i/>
          <w:iCs/>
          <w:color w:val="000000" w:themeColor="text1"/>
          <w:szCs w:val="21"/>
        </w:rPr>
      </w:pPr>
    </w:p>
    <w:p w14:paraId="59D47C29"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 xml:space="preserve">La posologie recommandée d’Amsparity pour les enfants et les adolescents atteints d’uvéite à partir de l’âge de 2 ans dépend du poids corporel (tableau 5). Amsparity est administré en injection sous-cutanée. </w:t>
      </w:r>
    </w:p>
    <w:p w14:paraId="47AC0796" w14:textId="77777777" w:rsidR="008D74DD" w:rsidRPr="0058432E" w:rsidRDefault="008D74DD" w:rsidP="0075475A">
      <w:pPr>
        <w:pStyle w:val="BodyText"/>
        <w:widowControl/>
        <w:kinsoku w:val="0"/>
        <w:overflowPunct w:val="0"/>
        <w:ind w:left="0"/>
        <w:rPr>
          <w:color w:val="000000" w:themeColor="text1"/>
        </w:rPr>
      </w:pPr>
    </w:p>
    <w:p w14:paraId="2DABE567"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 xml:space="preserve">Dans l’uvéite </w:t>
      </w:r>
      <w:r w:rsidR="00582E79" w:rsidRPr="0058432E">
        <w:rPr>
          <w:color w:val="000000" w:themeColor="text1"/>
        </w:rPr>
        <w:t>pédiatrique</w:t>
      </w:r>
      <w:r w:rsidRPr="0058432E">
        <w:rPr>
          <w:color w:val="000000" w:themeColor="text1"/>
        </w:rPr>
        <w:t>, aucun essai clinique n’a été conduit avec l’adalimumab sans traitement concomitant par le méthotrexate.</w:t>
      </w:r>
    </w:p>
    <w:p w14:paraId="368C6714" w14:textId="77777777" w:rsidR="00C355EC" w:rsidRPr="0058432E" w:rsidRDefault="00C355EC" w:rsidP="0075475A">
      <w:pPr>
        <w:pStyle w:val="BodyText"/>
        <w:widowControl/>
        <w:kinsoku w:val="0"/>
        <w:overflowPunct w:val="0"/>
        <w:ind w:left="0"/>
        <w:rPr>
          <w:color w:val="000000" w:themeColor="text1"/>
        </w:rPr>
      </w:pPr>
    </w:p>
    <w:p w14:paraId="435B28C2" w14:textId="77777777" w:rsidR="007E0DEB" w:rsidRPr="0058432E" w:rsidRDefault="00C355EC" w:rsidP="00A53E17">
      <w:pPr>
        <w:pStyle w:val="BodyText"/>
        <w:widowControl/>
        <w:kinsoku w:val="0"/>
        <w:overflowPunct w:val="0"/>
        <w:ind w:left="0"/>
        <w:rPr>
          <w:b/>
          <w:bCs/>
          <w:color w:val="000000" w:themeColor="text1"/>
        </w:rPr>
      </w:pPr>
      <w:r w:rsidRPr="0058432E">
        <w:rPr>
          <w:b/>
          <w:bCs/>
          <w:color w:val="000000" w:themeColor="text1"/>
        </w:rPr>
        <w:t>Tableau 5</w:t>
      </w:r>
      <w:r w:rsidR="00BA0AD5" w:rsidRPr="0058432E">
        <w:rPr>
          <w:b/>
          <w:color w:val="000000" w:themeColor="text1"/>
        </w:rPr>
        <w:t>.</w:t>
      </w:r>
      <w:r w:rsidRPr="0058432E">
        <w:rPr>
          <w:b/>
          <w:bCs/>
          <w:color w:val="000000" w:themeColor="text1"/>
        </w:rPr>
        <w:t xml:space="preserve"> </w:t>
      </w:r>
    </w:p>
    <w:p w14:paraId="1B3760B0" w14:textId="77777777" w:rsidR="00C355EC" w:rsidRPr="0058432E" w:rsidRDefault="006A1144" w:rsidP="00A53E17">
      <w:pPr>
        <w:pStyle w:val="BodyText"/>
        <w:widowControl/>
        <w:kinsoku w:val="0"/>
        <w:overflowPunct w:val="0"/>
        <w:ind w:left="0"/>
        <w:rPr>
          <w:b/>
          <w:bCs/>
          <w:color w:val="000000" w:themeColor="text1"/>
        </w:rPr>
      </w:pPr>
      <w:r w:rsidRPr="0058432E">
        <w:rPr>
          <w:b/>
          <w:color w:val="000000" w:themeColor="text1"/>
        </w:rPr>
        <w:t>Posologie d’Amsparity</w:t>
      </w:r>
      <w:r w:rsidRPr="0058432E">
        <w:rPr>
          <w:b/>
          <w:bCs/>
          <w:color w:val="000000" w:themeColor="text1"/>
        </w:rPr>
        <w:t xml:space="preserve"> chez les enfants et les adolescents atteints d’uvéite</w:t>
      </w:r>
    </w:p>
    <w:p w14:paraId="3684FAFB" w14:textId="77777777" w:rsidR="00C355EC" w:rsidRPr="0058432E" w:rsidRDefault="00C355EC" w:rsidP="0075475A">
      <w:pPr>
        <w:pStyle w:val="BodyText"/>
        <w:widowControl/>
        <w:kinsoku w:val="0"/>
        <w:overflowPunct w:val="0"/>
        <w:ind w:left="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700"/>
      </w:tblGrid>
      <w:tr w:rsidR="00C355EC" w:rsidRPr="0058432E" w14:paraId="2A6A7127" w14:textId="77777777" w:rsidTr="00A53E17">
        <w:trPr>
          <w:jc w:val="center"/>
        </w:trPr>
        <w:tc>
          <w:tcPr>
            <w:tcW w:w="3510" w:type="dxa"/>
            <w:shd w:val="clear" w:color="auto" w:fill="auto"/>
          </w:tcPr>
          <w:p w14:paraId="269D4E1F" w14:textId="77777777" w:rsidR="00C355EC" w:rsidRPr="0058432E" w:rsidRDefault="00C355EC" w:rsidP="0075475A">
            <w:pPr>
              <w:pStyle w:val="BodyText"/>
              <w:widowControl/>
              <w:kinsoku w:val="0"/>
              <w:overflowPunct w:val="0"/>
              <w:ind w:left="0"/>
              <w:jc w:val="center"/>
              <w:rPr>
                <w:b/>
                <w:color w:val="000000" w:themeColor="text1"/>
              </w:rPr>
            </w:pPr>
            <w:r w:rsidRPr="0058432E">
              <w:rPr>
                <w:b/>
                <w:color w:val="000000" w:themeColor="text1"/>
              </w:rPr>
              <w:t>Poids du patient</w:t>
            </w:r>
          </w:p>
        </w:tc>
        <w:tc>
          <w:tcPr>
            <w:tcW w:w="3780" w:type="dxa"/>
            <w:shd w:val="clear" w:color="auto" w:fill="auto"/>
          </w:tcPr>
          <w:p w14:paraId="7BCAB40E" w14:textId="77777777" w:rsidR="00C355EC" w:rsidRPr="0058432E" w:rsidRDefault="00C355EC" w:rsidP="0075475A">
            <w:pPr>
              <w:pStyle w:val="BodyText"/>
              <w:widowControl/>
              <w:kinsoku w:val="0"/>
              <w:overflowPunct w:val="0"/>
              <w:ind w:left="0"/>
              <w:jc w:val="center"/>
              <w:rPr>
                <w:b/>
                <w:color w:val="000000" w:themeColor="text1"/>
              </w:rPr>
            </w:pPr>
            <w:r w:rsidRPr="0058432E">
              <w:rPr>
                <w:b/>
                <w:color w:val="000000" w:themeColor="text1"/>
              </w:rPr>
              <w:t>Schéma posologique</w:t>
            </w:r>
          </w:p>
        </w:tc>
      </w:tr>
      <w:tr w:rsidR="00C355EC" w:rsidRPr="0058432E" w14:paraId="701D2716" w14:textId="77777777" w:rsidTr="00C831C4">
        <w:trPr>
          <w:jc w:val="center"/>
        </w:trPr>
        <w:tc>
          <w:tcPr>
            <w:tcW w:w="3510" w:type="dxa"/>
            <w:tcBorders>
              <w:bottom w:val="single" w:sz="4" w:space="0" w:color="auto"/>
            </w:tcBorders>
            <w:shd w:val="clear" w:color="auto" w:fill="auto"/>
          </w:tcPr>
          <w:p w14:paraId="5083A694" w14:textId="77777777" w:rsidR="00C355EC" w:rsidRPr="0058432E" w:rsidRDefault="00C355EC" w:rsidP="0075475A">
            <w:pPr>
              <w:pStyle w:val="BodyText"/>
              <w:widowControl/>
              <w:kinsoku w:val="0"/>
              <w:overflowPunct w:val="0"/>
              <w:ind w:left="0"/>
              <w:jc w:val="center"/>
              <w:rPr>
                <w:color w:val="000000" w:themeColor="text1"/>
              </w:rPr>
            </w:pPr>
            <w:r w:rsidRPr="0058432E">
              <w:rPr>
                <w:color w:val="000000" w:themeColor="text1"/>
              </w:rPr>
              <w:t>&lt; 30 kg</w:t>
            </w:r>
          </w:p>
        </w:tc>
        <w:tc>
          <w:tcPr>
            <w:tcW w:w="3780" w:type="dxa"/>
            <w:tcBorders>
              <w:bottom w:val="single" w:sz="4" w:space="0" w:color="auto"/>
            </w:tcBorders>
            <w:shd w:val="clear" w:color="auto" w:fill="auto"/>
          </w:tcPr>
          <w:p w14:paraId="659A6B8F" w14:textId="77777777" w:rsidR="00C355EC" w:rsidRPr="0058432E" w:rsidRDefault="00C355EC" w:rsidP="00B56A49">
            <w:pPr>
              <w:autoSpaceDE w:val="0"/>
              <w:autoSpaceDN w:val="0"/>
              <w:adjustRightInd w:val="0"/>
              <w:rPr>
                <w:color w:val="000000" w:themeColor="text1"/>
              </w:rPr>
            </w:pPr>
            <w:r w:rsidRPr="0058432E">
              <w:rPr>
                <w:color w:val="000000" w:themeColor="text1"/>
              </w:rPr>
              <w:t>20 mg toutes les deux semaines en association avec du méthotrexate</w:t>
            </w:r>
          </w:p>
        </w:tc>
      </w:tr>
      <w:tr w:rsidR="00C355EC" w:rsidRPr="0058432E" w14:paraId="4AC1CE19" w14:textId="77777777" w:rsidTr="00C831C4">
        <w:trPr>
          <w:jc w:val="center"/>
        </w:trPr>
        <w:tc>
          <w:tcPr>
            <w:tcW w:w="3510" w:type="dxa"/>
            <w:tcBorders>
              <w:bottom w:val="single" w:sz="4" w:space="0" w:color="auto"/>
            </w:tcBorders>
            <w:shd w:val="clear" w:color="auto" w:fill="auto"/>
          </w:tcPr>
          <w:p w14:paraId="2971648A" w14:textId="77777777" w:rsidR="00C355EC" w:rsidRPr="0058432E" w:rsidRDefault="00C355EC" w:rsidP="0075475A">
            <w:pPr>
              <w:pStyle w:val="BodyText"/>
              <w:widowControl/>
              <w:kinsoku w:val="0"/>
              <w:overflowPunct w:val="0"/>
              <w:ind w:left="0"/>
              <w:jc w:val="center"/>
              <w:rPr>
                <w:color w:val="000000" w:themeColor="text1"/>
              </w:rPr>
            </w:pPr>
            <w:r w:rsidRPr="0058432E">
              <w:rPr>
                <w:color w:val="000000" w:themeColor="text1"/>
              </w:rPr>
              <w:t>≥ 30 kg</w:t>
            </w:r>
          </w:p>
        </w:tc>
        <w:tc>
          <w:tcPr>
            <w:tcW w:w="3780" w:type="dxa"/>
            <w:tcBorders>
              <w:bottom w:val="single" w:sz="4" w:space="0" w:color="auto"/>
            </w:tcBorders>
            <w:shd w:val="clear" w:color="auto" w:fill="auto"/>
          </w:tcPr>
          <w:p w14:paraId="7E2ACB2F" w14:textId="77777777" w:rsidR="00C355EC" w:rsidRPr="0058432E" w:rsidRDefault="00C355EC" w:rsidP="00B56A49">
            <w:pPr>
              <w:autoSpaceDE w:val="0"/>
              <w:autoSpaceDN w:val="0"/>
              <w:adjustRightInd w:val="0"/>
              <w:rPr>
                <w:color w:val="000000" w:themeColor="text1"/>
              </w:rPr>
            </w:pPr>
            <w:r w:rsidRPr="0058432E">
              <w:rPr>
                <w:color w:val="000000" w:themeColor="text1"/>
              </w:rPr>
              <w:t>40 mg toutes les deux semaines en association avec du méthotrexate</w:t>
            </w:r>
          </w:p>
        </w:tc>
      </w:tr>
    </w:tbl>
    <w:p w14:paraId="080C7106" w14:textId="77777777" w:rsidR="00C355EC" w:rsidRPr="0058432E" w:rsidRDefault="00C355EC" w:rsidP="0075475A">
      <w:pPr>
        <w:pStyle w:val="BodyText"/>
        <w:widowControl/>
        <w:kinsoku w:val="0"/>
        <w:overflowPunct w:val="0"/>
        <w:ind w:left="0"/>
        <w:rPr>
          <w:color w:val="000000" w:themeColor="text1"/>
        </w:rPr>
      </w:pPr>
    </w:p>
    <w:p w14:paraId="6058A1C9"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 xml:space="preserve">Lors de l’instauration du traitement par Amsparity, une dose de charge de 40 mg pour les patients </w:t>
      </w:r>
      <w:r w:rsidR="00E63086" w:rsidRPr="0058432E">
        <w:rPr>
          <w:color w:val="000000" w:themeColor="text1"/>
        </w:rPr>
        <w:t xml:space="preserve">ayant un poids </w:t>
      </w:r>
      <w:r w:rsidRPr="0058432E">
        <w:rPr>
          <w:color w:val="000000" w:themeColor="text1"/>
        </w:rPr>
        <w:t xml:space="preserve">&lt; 30 kg ou de 80 mg pour </w:t>
      </w:r>
      <w:r w:rsidR="00E63086" w:rsidRPr="0058432E">
        <w:rPr>
          <w:color w:val="000000" w:themeColor="text1"/>
        </w:rPr>
        <w:t>ceux ayant un poids</w:t>
      </w:r>
      <w:r w:rsidRPr="0058432E">
        <w:rPr>
          <w:color w:val="000000" w:themeColor="text1"/>
        </w:rPr>
        <w:t xml:space="preserve"> ≥ 30 kg peut être administrée une semaine avant le début du traitement d’entretien. Aucune donnée clinique n’est disponible sur </w:t>
      </w:r>
      <w:r w:rsidRPr="0058432E">
        <w:rPr>
          <w:color w:val="000000" w:themeColor="text1"/>
        </w:rPr>
        <w:lastRenderedPageBreak/>
        <w:t>l’utilisation d’une dose de charge d’Amsparity chez les enfants âgés de moins de 6 ans (voir rubrique 5.2).</w:t>
      </w:r>
    </w:p>
    <w:p w14:paraId="4343751C" w14:textId="77777777" w:rsidR="008D74DD" w:rsidRPr="0058432E" w:rsidRDefault="008D74DD" w:rsidP="0075475A">
      <w:pPr>
        <w:pStyle w:val="BodyText"/>
        <w:widowControl/>
        <w:kinsoku w:val="0"/>
        <w:overflowPunct w:val="0"/>
        <w:ind w:left="0"/>
        <w:rPr>
          <w:color w:val="000000" w:themeColor="text1"/>
          <w:szCs w:val="21"/>
        </w:rPr>
      </w:pPr>
    </w:p>
    <w:p w14:paraId="0DF08BE4"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Il n’y a pas d’utilisation justifiée de l’adalimumab chez les enfants âgés de moins de 2 ans dans cette indication.</w:t>
      </w:r>
    </w:p>
    <w:p w14:paraId="60335FB3" w14:textId="77777777" w:rsidR="008D74DD" w:rsidRPr="0058432E" w:rsidRDefault="008D74DD" w:rsidP="0075475A">
      <w:pPr>
        <w:pStyle w:val="BodyText"/>
        <w:widowControl/>
        <w:kinsoku w:val="0"/>
        <w:overflowPunct w:val="0"/>
        <w:ind w:left="0"/>
        <w:rPr>
          <w:color w:val="000000" w:themeColor="text1"/>
        </w:rPr>
      </w:pPr>
    </w:p>
    <w:p w14:paraId="2DEB46DF"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rPr>
        <w:t>Une réévaluation annuelle des bénéfices et des risques associés au traitement continu à long terme est recommandée (voir rubrique 5.1).</w:t>
      </w:r>
    </w:p>
    <w:p w14:paraId="360AA19E" w14:textId="77777777" w:rsidR="006C0A01" w:rsidRPr="0058432E" w:rsidRDefault="006C0A01" w:rsidP="0075475A">
      <w:pPr>
        <w:pStyle w:val="BodyText"/>
        <w:widowControl/>
        <w:kinsoku w:val="0"/>
        <w:overflowPunct w:val="0"/>
        <w:ind w:left="0"/>
        <w:rPr>
          <w:color w:val="000000" w:themeColor="text1"/>
        </w:rPr>
      </w:pPr>
    </w:p>
    <w:p w14:paraId="50E7049D" w14:textId="77777777" w:rsidR="006C0A01" w:rsidRPr="0058432E" w:rsidRDefault="006A1144" w:rsidP="0075475A">
      <w:pPr>
        <w:pStyle w:val="BodyText"/>
        <w:widowControl/>
        <w:kinsoku w:val="0"/>
        <w:overflowPunct w:val="0"/>
        <w:ind w:left="0"/>
        <w:rPr>
          <w:color w:val="000000" w:themeColor="text1"/>
        </w:rPr>
      </w:pPr>
      <w:r w:rsidRPr="0058432E">
        <w:rPr>
          <w:color w:val="000000" w:themeColor="text1"/>
        </w:rPr>
        <w:t>D’autres dosages et/ou présentations d’Amsparity peuvent être disponibles en fonction des besoins thérapeutiques de chaque patient.</w:t>
      </w:r>
    </w:p>
    <w:p w14:paraId="49A8C92F" w14:textId="77777777" w:rsidR="008D74DD" w:rsidRPr="0058432E" w:rsidRDefault="008D74DD" w:rsidP="0075475A">
      <w:pPr>
        <w:pStyle w:val="BodyText"/>
        <w:widowControl/>
        <w:kinsoku w:val="0"/>
        <w:overflowPunct w:val="0"/>
        <w:ind w:left="0"/>
        <w:rPr>
          <w:color w:val="000000" w:themeColor="text1"/>
        </w:rPr>
      </w:pPr>
    </w:p>
    <w:p w14:paraId="6B3AFB38"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u w:val="single"/>
        </w:rPr>
        <w:t>Insuffisants rénaux et/ou hépatiques</w:t>
      </w:r>
    </w:p>
    <w:p w14:paraId="50C489CE" w14:textId="77777777" w:rsidR="008D74DD" w:rsidRPr="0058432E" w:rsidRDefault="008D74DD" w:rsidP="0075475A">
      <w:pPr>
        <w:pStyle w:val="BodyText"/>
        <w:widowControl/>
        <w:kinsoku w:val="0"/>
        <w:overflowPunct w:val="0"/>
        <w:ind w:left="0"/>
        <w:rPr>
          <w:color w:val="000000" w:themeColor="text1"/>
        </w:rPr>
      </w:pPr>
    </w:p>
    <w:p w14:paraId="1EE7846C" w14:textId="77777777" w:rsidR="00AB7DCB" w:rsidRPr="0058432E" w:rsidRDefault="0068197E" w:rsidP="0075475A">
      <w:pPr>
        <w:pStyle w:val="BodyText"/>
        <w:widowControl/>
        <w:kinsoku w:val="0"/>
        <w:overflowPunct w:val="0"/>
        <w:ind w:left="0"/>
        <w:rPr>
          <w:color w:val="000000" w:themeColor="text1"/>
        </w:rPr>
      </w:pPr>
      <w:r w:rsidRPr="0058432E">
        <w:rPr>
          <w:color w:val="000000" w:themeColor="text1"/>
        </w:rPr>
        <w:t xml:space="preserve">L’adalimumab n’a pas été étudié dans ces populations de patients. Il n’est pas possible de recommander des posologies. </w:t>
      </w:r>
    </w:p>
    <w:p w14:paraId="32CFDBE2" w14:textId="77777777" w:rsidR="00AB7DCB" w:rsidRPr="0058432E" w:rsidRDefault="00AB7DCB" w:rsidP="0075475A">
      <w:pPr>
        <w:pStyle w:val="BodyText"/>
        <w:widowControl/>
        <w:kinsoku w:val="0"/>
        <w:overflowPunct w:val="0"/>
        <w:ind w:left="0"/>
        <w:rPr>
          <w:color w:val="000000" w:themeColor="text1"/>
          <w:u w:val="single"/>
        </w:rPr>
      </w:pPr>
    </w:p>
    <w:p w14:paraId="6B332CDD" w14:textId="77777777" w:rsidR="008D74DD" w:rsidRPr="0058432E" w:rsidRDefault="008D74DD" w:rsidP="0075475A">
      <w:pPr>
        <w:pStyle w:val="BodyText"/>
        <w:widowControl/>
        <w:kinsoku w:val="0"/>
        <w:overflowPunct w:val="0"/>
        <w:ind w:left="0"/>
        <w:rPr>
          <w:color w:val="000000" w:themeColor="text1"/>
        </w:rPr>
      </w:pPr>
      <w:r w:rsidRPr="0058432E">
        <w:rPr>
          <w:color w:val="000000" w:themeColor="text1"/>
          <w:u w:val="single"/>
        </w:rPr>
        <w:t>Mode d’administration</w:t>
      </w:r>
    </w:p>
    <w:p w14:paraId="254D0A3B" w14:textId="77777777" w:rsidR="00AB7DCB" w:rsidRPr="0058432E" w:rsidRDefault="00AB7DCB" w:rsidP="0075475A">
      <w:pPr>
        <w:pStyle w:val="BodyText"/>
        <w:widowControl/>
        <w:kinsoku w:val="0"/>
        <w:overflowPunct w:val="0"/>
        <w:ind w:left="0"/>
        <w:rPr>
          <w:color w:val="000000" w:themeColor="text1"/>
        </w:rPr>
      </w:pPr>
    </w:p>
    <w:p w14:paraId="178E3B4C" w14:textId="77777777" w:rsidR="008D74DD" w:rsidRPr="0058432E" w:rsidRDefault="006A1144" w:rsidP="0075475A">
      <w:pPr>
        <w:pStyle w:val="BodyText"/>
        <w:widowControl/>
        <w:kinsoku w:val="0"/>
        <w:overflowPunct w:val="0"/>
        <w:ind w:left="0"/>
        <w:rPr>
          <w:color w:val="000000" w:themeColor="text1"/>
        </w:rPr>
      </w:pPr>
      <w:r w:rsidRPr="0058432E">
        <w:rPr>
          <w:color w:val="000000" w:themeColor="text1"/>
        </w:rPr>
        <w:t>Amsparity est administré en injection sous-cutanée. Les instructions complètes d’utilisation sont fournies dans la notice.</w:t>
      </w:r>
    </w:p>
    <w:p w14:paraId="46859F7C" w14:textId="77777777" w:rsidR="008D74DD" w:rsidRPr="0058432E" w:rsidRDefault="008D74DD" w:rsidP="0075475A">
      <w:pPr>
        <w:pStyle w:val="BodyText"/>
        <w:widowControl/>
        <w:kinsoku w:val="0"/>
        <w:overflowPunct w:val="0"/>
        <w:ind w:left="0"/>
        <w:rPr>
          <w:color w:val="000000" w:themeColor="text1"/>
        </w:rPr>
      </w:pPr>
    </w:p>
    <w:p w14:paraId="0F443FD3" w14:textId="77777777" w:rsidR="008D74DD" w:rsidRPr="0058432E" w:rsidRDefault="006A1144" w:rsidP="0075475A">
      <w:pPr>
        <w:pStyle w:val="BodyText"/>
        <w:widowControl/>
        <w:kinsoku w:val="0"/>
        <w:overflowPunct w:val="0"/>
        <w:ind w:left="0"/>
        <w:rPr>
          <w:color w:val="000000" w:themeColor="text1"/>
        </w:rPr>
      </w:pPr>
      <w:r w:rsidRPr="0058432E">
        <w:rPr>
          <w:color w:val="000000" w:themeColor="text1"/>
        </w:rPr>
        <w:t>D’autres dosages et présentations d’Amsparity sont disponibles.</w:t>
      </w:r>
    </w:p>
    <w:p w14:paraId="48514B15" w14:textId="77777777" w:rsidR="002327BB" w:rsidRPr="0058432E" w:rsidRDefault="002327BB" w:rsidP="0075475A">
      <w:pPr>
        <w:pStyle w:val="BodyText"/>
        <w:widowControl/>
        <w:kinsoku w:val="0"/>
        <w:overflowPunct w:val="0"/>
        <w:ind w:left="0"/>
        <w:rPr>
          <w:color w:val="000000" w:themeColor="text1"/>
        </w:rPr>
      </w:pPr>
    </w:p>
    <w:p w14:paraId="71BA3EC4"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Contre-indications</w:t>
      </w:r>
    </w:p>
    <w:p w14:paraId="1106D2C0" w14:textId="77777777" w:rsidR="00C355EC" w:rsidRPr="0058432E" w:rsidRDefault="00C355EC" w:rsidP="0075475A">
      <w:pPr>
        <w:pStyle w:val="BodyText"/>
        <w:widowControl/>
        <w:kinsoku w:val="0"/>
        <w:overflowPunct w:val="0"/>
        <w:ind w:left="0"/>
        <w:rPr>
          <w:b/>
          <w:bCs/>
          <w:color w:val="000000" w:themeColor="text1"/>
          <w:szCs w:val="21"/>
        </w:rPr>
      </w:pPr>
    </w:p>
    <w:p w14:paraId="4DCFD8CE"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Hypersensibilité à la substance active ou à l’un des excipients mentionnés à la rubrique 6.1.</w:t>
      </w:r>
    </w:p>
    <w:p w14:paraId="39BD347F" w14:textId="77777777" w:rsidR="00C355EC" w:rsidRPr="0058432E" w:rsidRDefault="00C355EC" w:rsidP="0075475A">
      <w:pPr>
        <w:pStyle w:val="BodyText"/>
        <w:widowControl/>
        <w:kinsoku w:val="0"/>
        <w:overflowPunct w:val="0"/>
        <w:ind w:left="0"/>
        <w:rPr>
          <w:color w:val="000000" w:themeColor="text1"/>
        </w:rPr>
      </w:pPr>
    </w:p>
    <w:p w14:paraId="2A93C7ED" w14:textId="77777777" w:rsidR="007E0DEB" w:rsidRPr="0058432E" w:rsidRDefault="00C355EC" w:rsidP="0075475A">
      <w:pPr>
        <w:pStyle w:val="BodyText"/>
        <w:widowControl/>
        <w:kinsoku w:val="0"/>
        <w:overflowPunct w:val="0"/>
        <w:ind w:left="0"/>
        <w:rPr>
          <w:color w:val="000000" w:themeColor="text1"/>
        </w:rPr>
      </w:pPr>
      <w:r w:rsidRPr="0058432E">
        <w:rPr>
          <w:color w:val="000000" w:themeColor="text1"/>
        </w:rPr>
        <w:t xml:space="preserve">Tuberculose </w:t>
      </w:r>
      <w:r w:rsidR="002E3196" w:rsidRPr="0058432E">
        <w:rPr>
          <w:color w:val="000000" w:themeColor="text1"/>
        </w:rPr>
        <w:t xml:space="preserve">active </w:t>
      </w:r>
      <w:r w:rsidRPr="0058432E">
        <w:rPr>
          <w:color w:val="000000" w:themeColor="text1"/>
        </w:rPr>
        <w:t xml:space="preserve">ou autres infections sévères telles que </w:t>
      </w:r>
      <w:r w:rsidR="00C564BD" w:rsidRPr="0058432E">
        <w:rPr>
          <w:color w:val="000000" w:themeColor="text1"/>
        </w:rPr>
        <w:t>septicémie</w:t>
      </w:r>
      <w:r w:rsidRPr="0058432E">
        <w:rPr>
          <w:color w:val="000000" w:themeColor="text1"/>
        </w:rPr>
        <w:t xml:space="preserve"> et infections opportunistes (voir rubrique 4.4). </w:t>
      </w:r>
    </w:p>
    <w:p w14:paraId="02699622" w14:textId="77777777" w:rsidR="007E0DEB" w:rsidRPr="0058432E" w:rsidRDefault="007E0DEB" w:rsidP="0075475A">
      <w:pPr>
        <w:pStyle w:val="BodyText"/>
        <w:widowControl/>
        <w:kinsoku w:val="0"/>
        <w:overflowPunct w:val="0"/>
        <w:ind w:left="0"/>
        <w:rPr>
          <w:color w:val="000000" w:themeColor="text1"/>
        </w:rPr>
      </w:pPr>
    </w:p>
    <w:p w14:paraId="27B15152"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Insuffisance cardiaque modérée à sévère (NYHA classes III/IV) (voir rubrique 4.4).</w:t>
      </w:r>
    </w:p>
    <w:p w14:paraId="58898EC2" w14:textId="77777777" w:rsidR="0075475A" w:rsidRPr="0058432E" w:rsidRDefault="0075475A" w:rsidP="0075475A">
      <w:pPr>
        <w:pStyle w:val="BodyText"/>
        <w:widowControl/>
        <w:kinsoku w:val="0"/>
        <w:overflowPunct w:val="0"/>
        <w:ind w:left="0"/>
        <w:rPr>
          <w:color w:val="000000" w:themeColor="text1"/>
        </w:rPr>
      </w:pPr>
    </w:p>
    <w:p w14:paraId="30367C66"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Mises en garde spéciales et précautions d'emploi</w:t>
      </w:r>
    </w:p>
    <w:p w14:paraId="354F1951" w14:textId="77777777" w:rsidR="00C355EC" w:rsidRPr="0058432E" w:rsidRDefault="00C355EC" w:rsidP="0075475A">
      <w:pPr>
        <w:pStyle w:val="BodyText"/>
        <w:widowControl/>
        <w:kinsoku w:val="0"/>
        <w:overflowPunct w:val="0"/>
        <w:ind w:left="0"/>
        <w:rPr>
          <w:b/>
          <w:bCs/>
          <w:color w:val="000000" w:themeColor="text1"/>
          <w:szCs w:val="21"/>
        </w:rPr>
      </w:pPr>
    </w:p>
    <w:p w14:paraId="368AFE1C"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u w:val="single"/>
        </w:rPr>
        <w:t>Traçabilité</w:t>
      </w:r>
    </w:p>
    <w:p w14:paraId="0D434F2B" w14:textId="77777777" w:rsidR="00C355EC" w:rsidRPr="0058432E" w:rsidRDefault="00C355EC" w:rsidP="0075475A">
      <w:pPr>
        <w:pStyle w:val="BodyText"/>
        <w:widowControl/>
        <w:kinsoku w:val="0"/>
        <w:overflowPunct w:val="0"/>
        <w:ind w:left="0"/>
        <w:rPr>
          <w:color w:val="000000" w:themeColor="text1"/>
          <w:szCs w:val="15"/>
        </w:rPr>
      </w:pPr>
    </w:p>
    <w:p w14:paraId="6A40D3AC"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Afin d’améliorer la traçabilité des médicaments biologiques, l</w:t>
      </w:r>
      <w:r w:rsidR="00B600CF" w:rsidRPr="0058432E">
        <w:rPr>
          <w:color w:val="000000" w:themeColor="text1"/>
        </w:rPr>
        <w:t>a dénomination</w:t>
      </w:r>
      <w:r w:rsidRPr="0058432E">
        <w:rPr>
          <w:color w:val="000000" w:themeColor="text1"/>
        </w:rPr>
        <w:t xml:space="preserve"> et le numéro de lot du produit administré doivent être clairement enregistrés.</w:t>
      </w:r>
    </w:p>
    <w:p w14:paraId="54057062" w14:textId="77777777" w:rsidR="00C355EC" w:rsidRPr="0058432E" w:rsidRDefault="00C355EC" w:rsidP="0075475A">
      <w:pPr>
        <w:pStyle w:val="BodyText"/>
        <w:widowControl/>
        <w:kinsoku w:val="0"/>
        <w:overflowPunct w:val="0"/>
        <w:ind w:left="0"/>
        <w:rPr>
          <w:color w:val="000000" w:themeColor="text1"/>
        </w:rPr>
      </w:pPr>
    </w:p>
    <w:p w14:paraId="6FB545F3"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u w:val="single"/>
        </w:rPr>
        <w:t>Infections</w:t>
      </w:r>
    </w:p>
    <w:p w14:paraId="18498021" w14:textId="77777777" w:rsidR="00C355EC" w:rsidRPr="0058432E" w:rsidRDefault="00C355EC" w:rsidP="0075475A">
      <w:pPr>
        <w:pStyle w:val="BodyText"/>
        <w:widowControl/>
        <w:kinsoku w:val="0"/>
        <w:overflowPunct w:val="0"/>
        <w:ind w:left="0"/>
        <w:rPr>
          <w:color w:val="000000" w:themeColor="text1"/>
          <w:szCs w:val="15"/>
        </w:rPr>
      </w:pPr>
    </w:p>
    <w:p w14:paraId="56C52769"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Les patients recevant des antagonistes du TNF sont plus prédisposés aux infections graves. Une fonction pulmonaire altérée peut augmenter le risque de développer des infections. Les patients doivent donc être surveillés étroitement afin de dépister des infections (y compris la tuberculose) avant, pendant et après le traitement par Amsparity. La durée d’élimination de l’adalimumab pouvant aller jusqu’à quatre mois, la surveillance devra être poursuivie pendant toute cette période.</w:t>
      </w:r>
    </w:p>
    <w:p w14:paraId="6485D48A" w14:textId="77777777" w:rsidR="00C355EC" w:rsidRPr="0058432E" w:rsidRDefault="00C355EC" w:rsidP="0075475A">
      <w:pPr>
        <w:pStyle w:val="BodyText"/>
        <w:widowControl/>
        <w:kinsoku w:val="0"/>
        <w:overflowPunct w:val="0"/>
        <w:ind w:left="0"/>
        <w:rPr>
          <w:color w:val="000000" w:themeColor="text1"/>
        </w:rPr>
      </w:pPr>
    </w:p>
    <w:p w14:paraId="7D379376"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 xml:space="preserve">Le traitement par Amsparity ne doit pas être instauré </w:t>
      </w:r>
      <w:r w:rsidR="00A97601" w:rsidRPr="0058432E">
        <w:rPr>
          <w:color w:val="000000" w:themeColor="text1"/>
        </w:rPr>
        <w:t>chez les patients présen</w:t>
      </w:r>
      <w:r w:rsidRPr="0058432E">
        <w:rPr>
          <w:color w:val="000000" w:themeColor="text1"/>
        </w:rPr>
        <w:t xml:space="preserve">tant </w:t>
      </w:r>
      <w:r w:rsidR="00A97601" w:rsidRPr="0058432E">
        <w:rPr>
          <w:color w:val="000000" w:themeColor="text1"/>
        </w:rPr>
        <w:t>des</w:t>
      </w:r>
      <w:r w:rsidRPr="0058432E">
        <w:rPr>
          <w:color w:val="000000" w:themeColor="text1"/>
        </w:rPr>
        <w:t xml:space="preserve"> infections </w:t>
      </w:r>
      <w:r w:rsidR="00A97601" w:rsidRPr="0058432E">
        <w:rPr>
          <w:color w:val="000000" w:themeColor="text1"/>
        </w:rPr>
        <w:t>actives</w:t>
      </w:r>
      <w:r w:rsidRPr="0058432E">
        <w:rPr>
          <w:color w:val="000000" w:themeColor="text1"/>
        </w:rPr>
        <w:t xml:space="preserve">, y compris les infections chroniques ou localisées, </w:t>
      </w:r>
      <w:r w:rsidR="00A97601" w:rsidRPr="0058432E">
        <w:rPr>
          <w:color w:val="000000" w:themeColor="text1"/>
        </w:rPr>
        <w:t xml:space="preserve">tant que les infections </w:t>
      </w:r>
      <w:r w:rsidRPr="0058432E">
        <w:rPr>
          <w:color w:val="000000" w:themeColor="text1"/>
        </w:rPr>
        <w:t xml:space="preserve">ne sont pas contrôlées. Chez les patients ayant été exposés à la tuberculose ou ayant voyagé dans des régions à haut risque de tuberculose ou de mycoses endémiques, </w:t>
      </w:r>
      <w:r w:rsidR="00A97601" w:rsidRPr="0058432E">
        <w:rPr>
          <w:color w:val="000000" w:themeColor="text1"/>
        </w:rPr>
        <w:t xml:space="preserve">telles </w:t>
      </w:r>
      <w:proofErr w:type="gramStart"/>
      <w:r w:rsidR="00A97601" w:rsidRPr="0058432E">
        <w:rPr>
          <w:color w:val="000000" w:themeColor="text1"/>
        </w:rPr>
        <w:t>que</w:t>
      </w:r>
      <w:r w:rsidRPr="0058432E">
        <w:rPr>
          <w:color w:val="000000" w:themeColor="text1"/>
        </w:rPr>
        <w:t xml:space="preserve"> histoplasmose</w:t>
      </w:r>
      <w:proofErr w:type="gramEnd"/>
      <w:r w:rsidRPr="0058432E">
        <w:rPr>
          <w:color w:val="000000" w:themeColor="text1"/>
        </w:rPr>
        <w:t xml:space="preserve">, coccidioïdomycose ou blastomycose, les risques et bénéfices du traitement par Amsparity doivent être pris en considération avant l’instauration du traitement (voir </w:t>
      </w:r>
      <w:r w:rsidRPr="0058432E">
        <w:rPr>
          <w:i/>
          <w:iCs/>
          <w:color w:val="000000" w:themeColor="text1"/>
        </w:rPr>
        <w:t>Autres infections opportunistes</w:t>
      </w:r>
      <w:r w:rsidRPr="0058432E">
        <w:rPr>
          <w:color w:val="000000" w:themeColor="text1"/>
        </w:rPr>
        <w:t>).</w:t>
      </w:r>
    </w:p>
    <w:p w14:paraId="58211432" w14:textId="77777777" w:rsidR="00C355EC" w:rsidRPr="0058432E" w:rsidRDefault="00C355EC" w:rsidP="0075475A">
      <w:pPr>
        <w:pStyle w:val="BodyText"/>
        <w:widowControl/>
        <w:kinsoku w:val="0"/>
        <w:overflowPunct w:val="0"/>
        <w:ind w:left="0"/>
        <w:rPr>
          <w:color w:val="000000" w:themeColor="text1"/>
          <w:szCs w:val="21"/>
        </w:rPr>
      </w:pPr>
    </w:p>
    <w:p w14:paraId="0810A599" w14:textId="77777777" w:rsidR="00C355EC" w:rsidRPr="0058432E" w:rsidRDefault="00C355EC" w:rsidP="0075475A">
      <w:pPr>
        <w:pStyle w:val="BodyText"/>
        <w:widowControl/>
        <w:kinsoku w:val="0"/>
        <w:overflowPunct w:val="0"/>
        <w:ind w:left="0"/>
        <w:rPr>
          <w:color w:val="000000" w:themeColor="text1"/>
        </w:rPr>
      </w:pPr>
      <w:r w:rsidRPr="0058432E">
        <w:rPr>
          <w:color w:val="000000" w:themeColor="text1"/>
        </w:rPr>
        <w:t xml:space="preserve">Les patients qui </w:t>
      </w:r>
      <w:r w:rsidR="00737B3C" w:rsidRPr="0058432E">
        <w:rPr>
          <w:color w:val="000000" w:themeColor="text1"/>
        </w:rPr>
        <w:t xml:space="preserve">développent </w:t>
      </w:r>
      <w:r w:rsidRPr="0058432E">
        <w:rPr>
          <w:color w:val="000000" w:themeColor="text1"/>
        </w:rPr>
        <w:t xml:space="preserve">une nouvelle infection </w:t>
      </w:r>
      <w:r w:rsidR="00737B3C" w:rsidRPr="0058432E">
        <w:rPr>
          <w:color w:val="000000" w:themeColor="text1"/>
        </w:rPr>
        <w:t xml:space="preserve">au </w:t>
      </w:r>
      <w:r w:rsidRPr="0058432E">
        <w:rPr>
          <w:color w:val="000000" w:themeColor="text1"/>
        </w:rPr>
        <w:t>cours d</w:t>
      </w:r>
      <w:r w:rsidR="00737B3C" w:rsidRPr="0058432E">
        <w:rPr>
          <w:color w:val="000000" w:themeColor="text1"/>
        </w:rPr>
        <w:t>u</w:t>
      </w:r>
      <w:r w:rsidRPr="0058432E">
        <w:rPr>
          <w:color w:val="000000" w:themeColor="text1"/>
        </w:rPr>
        <w:t xml:space="preserve"> traitement par Amsparity</w:t>
      </w:r>
      <w:r w:rsidR="001E222A" w:rsidRPr="0058432E">
        <w:rPr>
          <w:color w:val="000000" w:themeColor="text1"/>
        </w:rPr>
        <w:t>,</w:t>
      </w:r>
      <w:r w:rsidRPr="0058432E">
        <w:rPr>
          <w:color w:val="000000" w:themeColor="text1"/>
        </w:rPr>
        <w:t xml:space="preserve"> doivent faire l’objet d’une surveillance soigneuse et un bilan diagnostique complet doit être pratiqué. </w:t>
      </w:r>
      <w:r w:rsidR="00CA37D2" w:rsidRPr="0058432E">
        <w:rPr>
          <w:color w:val="000000" w:themeColor="text1"/>
        </w:rPr>
        <w:lastRenderedPageBreak/>
        <w:t xml:space="preserve">Lorsqu’un patient développe </w:t>
      </w:r>
      <w:r w:rsidRPr="0058432E">
        <w:rPr>
          <w:color w:val="000000" w:themeColor="text1"/>
        </w:rPr>
        <w:t>une nouvelle infection grave ou une septicémie, l’administration d’Amsparity doit être interrompue et un traitement antimicrobien ou antifongique approprié doit être instauré jusqu’à ce que l’infection soit contrôlée. Le médecin doit faire preuve de prudence avant d’utiliser Amsparity chez des patients ayant des antécédents d’infection récidivante ou des conditions sous-jacentes susceptibles de les prédisposer aux infections, y compris un traitement concomitant par des médicaments immunosuppresseurs.</w:t>
      </w:r>
    </w:p>
    <w:p w14:paraId="01AD937C" w14:textId="77777777" w:rsidR="00E54383" w:rsidRPr="0058432E" w:rsidRDefault="00E54383" w:rsidP="0075475A">
      <w:pPr>
        <w:pStyle w:val="BodyText"/>
        <w:widowControl/>
        <w:kinsoku w:val="0"/>
        <w:overflowPunct w:val="0"/>
        <w:ind w:left="0" w:right="106"/>
        <w:rPr>
          <w:color w:val="000000" w:themeColor="text1"/>
        </w:rPr>
      </w:pPr>
    </w:p>
    <w:p w14:paraId="7AFFB8A9" w14:textId="77777777" w:rsidR="00C355EC" w:rsidRPr="0058432E" w:rsidRDefault="00C355EC" w:rsidP="00B43A73">
      <w:pPr>
        <w:pStyle w:val="BodyText"/>
        <w:keepNext/>
        <w:widowControl/>
        <w:kinsoku w:val="0"/>
        <w:overflowPunct w:val="0"/>
        <w:ind w:left="0"/>
        <w:rPr>
          <w:color w:val="000000" w:themeColor="text1"/>
        </w:rPr>
      </w:pPr>
      <w:r w:rsidRPr="0058432E">
        <w:rPr>
          <w:i/>
          <w:iCs/>
          <w:color w:val="000000" w:themeColor="text1"/>
        </w:rPr>
        <w:t>Infections graves</w:t>
      </w:r>
    </w:p>
    <w:p w14:paraId="3F5C2994" w14:textId="77777777" w:rsidR="00C355EC" w:rsidRPr="0058432E" w:rsidRDefault="00C355EC" w:rsidP="00B43A73">
      <w:pPr>
        <w:pStyle w:val="BodyText"/>
        <w:keepNext/>
        <w:widowControl/>
        <w:kinsoku w:val="0"/>
        <w:overflowPunct w:val="0"/>
        <w:ind w:left="0"/>
        <w:rPr>
          <w:i/>
          <w:iCs/>
          <w:color w:val="000000" w:themeColor="text1"/>
          <w:szCs w:val="21"/>
        </w:rPr>
      </w:pPr>
    </w:p>
    <w:p w14:paraId="4DB3D8D3" w14:textId="77777777" w:rsidR="00C355EC" w:rsidRPr="0058432E" w:rsidRDefault="00C355EC" w:rsidP="007C4B2C">
      <w:pPr>
        <w:pStyle w:val="BodyText"/>
        <w:widowControl/>
        <w:kinsoku w:val="0"/>
        <w:overflowPunct w:val="0"/>
        <w:ind w:left="0"/>
        <w:rPr>
          <w:color w:val="000000" w:themeColor="text1"/>
        </w:rPr>
      </w:pPr>
      <w:r w:rsidRPr="0058432E">
        <w:rPr>
          <w:color w:val="000000" w:themeColor="text1"/>
        </w:rPr>
        <w:t>Des infections graves, incluant des septicémies dues à des infections bactériennes, mycobactériennes, fongiques invasives, parasitaires, virales ou à d’autres infections opportunistes, telles que listériose, légionellose et pneumocystose ont été rapportées chez des patients traités par adalimumab.</w:t>
      </w:r>
    </w:p>
    <w:p w14:paraId="0791EA20" w14:textId="77777777" w:rsidR="00C355EC" w:rsidRPr="0058432E" w:rsidRDefault="00C355EC" w:rsidP="0009685B">
      <w:pPr>
        <w:pStyle w:val="BodyText"/>
        <w:widowControl/>
        <w:kinsoku w:val="0"/>
        <w:overflowPunct w:val="0"/>
        <w:ind w:left="0"/>
        <w:rPr>
          <w:color w:val="000000" w:themeColor="text1"/>
          <w:szCs w:val="21"/>
        </w:rPr>
      </w:pPr>
    </w:p>
    <w:p w14:paraId="03CF8E71"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Les autres infections graves observées dans les essais cliniques sont : pneumonie, pyélonéphrite, arthrite septique et septicémie. Des cas d’infections nécessitant une hospitalisation ou ayant une issue fatale ont été rapportés.</w:t>
      </w:r>
    </w:p>
    <w:p w14:paraId="4C983D19" w14:textId="77777777" w:rsidR="00C355EC" w:rsidRPr="0058432E" w:rsidRDefault="00C355EC" w:rsidP="0009685B">
      <w:pPr>
        <w:pStyle w:val="BodyText"/>
        <w:widowControl/>
        <w:kinsoku w:val="0"/>
        <w:overflowPunct w:val="0"/>
        <w:ind w:left="0"/>
        <w:rPr>
          <w:color w:val="000000" w:themeColor="text1"/>
        </w:rPr>
      </w:pPr>
    </w:p>
    <w:p w14:paraId="076CBCD4" w14:textId="77777777" w:rsidR="00C355EC" w:rsidRPr="0058432E" w:rsidRDefault="00C355EC" w:rsidP="0009685B">
      <w:pPr>
        <w:pStyle w:val="BodyText"/>
        <w:widowControl/>
        <w:kinsoku w:val="0"/>
        <w:overflowPunct w:val="0"/>
        <w:ind w:left="0"/>
        <w:rPr>
          <w:color w:val="000000" w:themeColor="text1"/>
        </w:rPr>
      </w:pPr>
      <w:r w:rsidRPr="0058432E">
        <w:rPr>
          <w:i/>
          <w:iCs/>
          <w:color w:val="000000" w:themeColor="text1"/>
        </w:rPr>
        <w:t>Tuberculose</w:t>
      </w:r>
    </w:p>
    <w:p w14:paraId="7194D533" w14:textId="77777777" w:rsidR="00C355EC" w:rsidRPr="0058432E" w:rsidRDefault="00C355EC" w:rsidP="0009685B">
      <w:pPr>
        <w:pStyle w:val="BodyText"/>
        <w:widowControl/>
        <w:kinsoku w:val="0"/>
        <w:overflowPunct w:val="0"/>
        <w:ind w:left="0"/>
        <w:rPr>
          <w:i/>
          <w:iCs/>
          <w:color w:val="000000" w:themeColor="text1"/>
          <w:szCs w:val="21"/>
        </w:rPr>
      </w:pPr>
    </w:p>
    <w:p w14:paraId="75C3EA9A"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Des cas de tuberculose, incluant des cas de réactivation de la tuberculose et de primo-infection tuberculeuse, ont été rapportés pour des patients recevant l’adalimumab. Des cas de tuberculoses pulmonaire et extra-pulmonaire (c’est-à-dire disséminée) ont été rapportés.</w:t>
      </w:r>
    </w:p>
    <w:p w14:paraId="780C177E" w14:textId="77777777" w:rsidR="00C355EC" w:rsidRPr="0058432E" w:rsidRDefault="00C355EC" w:rsidP="0009685B">
      <w:pPr>
        <w:pStyle w:val="BodyText"/>
        <w:widowControl/>
        <w:kinsoku w:val="0"/>
        <w:overflowPunct w:val="0"/>
        <w:ind w:left="0"/>
        <w:rPr>
          <w:color w:val="000000" w:themeColor="text1"/>
        </w:rPr>
      </w:pPr>
    </w:p>
    <w:p w14:paraId="02EE3F3A"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Avant l’instauration du traitement par Amsparity, tous les patients doivent faire l’objet d’une recherche d’infection tuberculeuse active ou non (« latente »). Ce bilan doit comprendre une évaluation médicale détaillée chez les patients ayant des antécédents de tuberculose ou d’exposition antérieure possible à des patients atteints de tuberculose active et/ou d’un traitement immunosuppresseur actuel ou ancien. Des tests de dépistage appropriés (par </w:t>
      </w:r>
      <w:r w:rsidR="001946D2" w:rsidRPr="0058432E">
        <w:rPr>
          <w:color w:val="000000" w:themeColor="text1"/>
        </w:rPr>
        <w:t>ex</w:t>
      </w:r>
      <w:r w:rsidR="000D461D" w:rsidRPr="0058432E">
        <w:rPr>
          <w:color w:val="000000" w:themeColor="text1"/>
        </w:rPr>
        <w:t>emple</w:t>
      </w:r>
      <w:r w:rsidRPr="0058432E">
        <w:rPr>
          <w:color w:val="000000" w:themeColor="text1"/>
        </w:rPr>
        <w:t xml:space="preserve"> test dermique à la tuberculine et radiographie pulmonaire) doivent être effectués chez tous les patients (conformément aux recommandations locales). Il est conseillé de noter la réalisation et les résultats de ces tests dans la carte de </w:t>
      </w:r>
      <w:r w:rsidR="002D5F43" w:rsidRPr="0058432E">
        <w:rPr>
          <w:color w:val="000000" w:themeColor="text1"/>
        </w:rPr>
        <w:t>rappel</w:t>
      </w:r>
      <w:r w:rsidRPr="0058432E">
        <w:rPr>
          <w:color w:val="000000" w:themeColor="text1"/>
        </w:rPr>
        <w:t xml:space="preserve"> patient. Il est rappelé aux prescripteurs que le test dermique à la tuberculine peut donner des </w:t>
      </w:r>
      <w:r w:rsidR="005A71A6" w:rsidRPr="0058432E">
        <w:rPr>
          <w:color w:val="000000" w:themeColor="text1"/>
        </w:rPr>
        <w:t xml:space="preserve">résultats </w:t>
      </w:r>
      <w:r w:rsidRPr="0058432E">
        <w:rPr>
          <w:color w:val="000000" w:themeColor="text1"/>
        </w:rPr>
        <w:t>faux-négatifs notamment chez les patients gravement malades ou immuno</w:t>
      </w:r>
      <w:r w:rsidR="00B600CF" w:rsidRPr="0058432E">
        <w:rPr>
          <w:color w:val="000000" w:themeColor="text1"/>
        </w:rPr>
        <w:t>-</w:t>
      </w:r>
      <w:r w:rsidRPr="0058432E">
        <w:rPr>
          <w:color w:val="000000" w:themeColor="text1"/>
        </w:rPr>
        <w:t>déprimés.</w:t>
      </w:r>
    </w:p>
    <w:p w14:paraId="08FC50B1" w14:textId="77777777" w:rsidR="00C355EC" w:rsidRPr="0058432E" w:rsidRDefault="00C355EC" w:rsidP="0009685B">
      <w:pPr>
        <w:pStyle w:val="BodyText"/>
        <w:widowControl/>
        <w:kinsoku w:val="0"/>
        <w:overflowPunct w:val="0"/>
        <w:ind w:left="0"/>
        <w:rPr>
          <w:color w:val="000000" w:themeColor="text1"/>
        </w:rPr>
      </w:pPr>
    </w:p>
    <w:p w14:paraId="52B047C1"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En cas de diagnostic d’une tuberculose active, le traitement par Amsparity ne doit pas être instauré (voir rubrique 4.3).</w:t>
      </w:r>
    </w:p>
    <w:p w14:paraId="4FBDA373" w14:textId="77777777" w:rsidR="00C355EC" w:rsidRPr="0058432E" w:rsidRDefault="00C355EC" w:rsidP="0009685B">
      <w:pPr>
        <w:pStyle w:val="BodyText"/>
        <w:widowControl/>
        <w:kinsoku w:val="0"/>
        <w:overflowPunct w:val="0"/>
        <w:ind w:left="0"/>
        <w:rPr>
          <w:color w:val="000000" w:themeColor="text1"/>
        </w:rPr>
      </w:pPr>
    </w:p>
    <w:p w14:paraId="3934565C"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Dans toutes les situations décrites ci-dessous, il convient d’évaluer très attentivement le rapport bénéfice/risque du traitement.</w:t>
      </w:r>
    </w:p>
    <w:p w14:paraId="27E1CA42" w14:textId="77777777" w:rsidR="00C355EC" w:rsidRPr="0058432E" w:rsidRDefault="00C355EC" w:rsidP="0009685B">
      <w:pPr>
        <w:pStyle w:val="BodyText"/>
        <w:widowControl/>
        <w:kinsoku w:val="0"/>
        <w:overflowPunct w:val="0"/>
        <w:ind w:left="0"/>
        <w:rPr>
          <w:color w:val="000000" w:themeColor="text1"/>
          <w:szCs w:val="21"/>
        </w:rPr>
      </w:pPr>
    </w:p>
    <w:p w14:paraId="1C1920B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En cas de suspicion d’une tuberculose latente, la consultation d’un médecin, qualifié dans le traitement de la tuberculose, doit être envisagée.</w:t>
      </w:r>
    </w:p>
    <w:p w14:paraId="0B08E50D" w14:textId="77777777" w:rsidR="00C355EC" w:rsidRPr="0058432E" w:rsidRDefault="00C355EC" w:rsidP="0009685B">
      <w:pPr>
        <w:pStyle w:val="BodyText"/>
        <w:widowControl/>
        <w:kinsoku w:val="0"/>
        <w:overflowPunct w:val="0"/>
        <w:ind w:left="0"/>
        <w:rPr>
          <w:color w:val="000000" w:themeColor="text1"/>
        </w:rPr>
      </w:pPr>
    </w:p>
    <w:p w14:paraId="6F47CBA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En cas de diagnostic d’une tuberculose latente, une prophylaxie antituberculeuse appropriée et conforme aux recommandations locales doit être mise en œuvre avant le début du traitement par Amsparity.</w:t>
      </w:r>
    </w:p>
    <w:p w14:paraId="305CE51E" w14:textId="77777777" w:rsidR="00C355EC" w:rsidRPr="0058432E" w:rsidRDefault="00C355EC" w:rsidP="0009685B">
      <w:pPr>
        <w:pStyle w:val="BodyText"/>
        <w:widowControl/>
        <w:kinsoku w:val="0"/>
        <w:overflowPunct w:val="0"/>
        <w:ind w:left="0"/>
        <w:rPr>
          <w:color w:val="000000" w:themeColor="text1"/>
          <w:szCs w:val="21"/>
        </w:rPr>
      </w:pPr>
    </w:p>
    <w:p w14:paraId="76CE77C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Une prophylaxie antituberculeuse doit également être envisagée avant l’instauration d’Amsparity chez les patients ayant des facteurs de risque multiples ou significatifs de tuberculose malgré un test de dépistage de la tuberculose négatif et chez les patients ayant des antécédents de tuberculose latente ou active, chez qui l’administration d’un traitement antituberculeux approprié ne peut être confirmée.</w:t>
      </w:r>
    </w:p>
    <w:p w14:paraId="69D5085E" w14:textId="77777777" w:rsidR="00C355EC" w:rsidRPr="0058432E" w:rsidRDefault="00C355EC" w:rsidP="0009685B">
      <w:pPr>
        <w:pStyle w:val="BodyText"/>
        <w:widowControl/>
        <w:kinsoku w:val="0"/>
        <w:overflowPunct w:val="0"/>
        <w:ind w:left="0"/>
        <w:rPr>
          <w:color w:val="000000" w:themeColor="text1"/>
          <w:szCs w:val="21"/>
        </w:rPr>
      </w:pPr>
    </w:p>
    <w:p w14:paraId="2CAEF5A9"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Des cas de réactivation d’une tuberculose malgré un traitement prophylactique sont survenus chez des patients traités par adalimumab. Certains patients qui avaient été traités avec succès pour une tuberculose active ont développé à nouveau la maladie pendant le traitement par adalimumab.</w:t>
      </w:r>
    </w:p>
    <w:p w14:paraId="4F13235E" w14:textId="77777777" w:rsidR="00C355EC" w:rsidRPr="0058432E" w:rsidRDefault="00C355EC" w:rsidP="0009685B">
      <w:pPr>
        <w:pStyle w:val="BodyText"/>
        <w:widowControl/>
        <w:kinsoku w:val="0"/>
        <w:overflowPunct w:val="0"/>
        <w:ind w:left="0"/>
        <w:rPr>
          <w:color w:val="000000" w:themeColor="text1"/>
        </w:rPr>
      </w:pPr>
    </w:p>
    <w:p w14:paraId="2C40B839"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lastRenderedPageBreak/>
        <w:t xml:space="preserve">Les patients devront être informés qu’il leur faudra consulter leur médecin en cas de survenue de signes ou symptômes évocateurs d’une infection tuberculeuse (par </w:t>
      </w:r>
      <w:r w:rsidR="001946D2" w:rsidRPr="0058432E">
        <w:rPr>
          <w:color w:val="000000" w:themeColor="text1"/>
        </w:rPr>
        <w:t>ex</w:t>
      </w:r>
      <w:r w:rsidR="0037051C" w:rsidRPr="0058432E">
        <w:rPr>
          <w:color w:val="000000" w:themeColor="text1"/>
        </w:rPr>
        <w:t>emple</w:t>
      </w:r>
      <w:r w:rsidRPr="0058432E">
        <w:rPr>
          <w:color w:val="000000" w:themeColor="text1"/>
        </w:rPr>
        <w:t>, toux persistante, amaigrissement/perte de poids, fébricule, apathie), pendant ou après le traitement par Amsparity.</w:t>
      </w:r>
    </w:p>
    <w:p w14:paraId="49E82BD6" w14:textId="77777777" w:rsidR="00C355EC" w:rsidRPr="0058432E" w:rsidRDefault="00C355EC" w:rsidP="0009685B">
      <w:pPr>
        <w:pStyle w:val="BodyText"/>
        <w:widowControl/>
        <w:kinsoku w:val="0"/>
        <w:overflowPunct w:val="0"/>
        <w:ind w:left="0"/>
        <w:rPr>
          <w:color w:val="000000" w:themeColor="text1"/>
        </w:rPr>
      </w:pPr>
    </w:p>
    <w:p w14:paraId="6AE6955E" w14:textId="77777777" w:rsidR="00C355EC" w:rsidRPr="0058432E" w:rsidRDefault="00C355EC" w:rsidP="0009685B">
      <w:pPr>
        <w:pStyle w:val="BodyText"/>
        <w:keepNext/>
        <w:widowControl/>
        <w:kinsoku w:val="0"/>
        <w:overflowPunct w:val="0"/>
        <w:ind w:left="0"/>
        <w:rPr>
          <w:color w:val="000000" w:themeColor="text1"/>
        </w:rPr>
      </w:pPr>
      <w:r w:rsidRPr="0058432E">
        <w:rPr>
          <w:i/>
          <w:iCs/>
          <w:color w:val="000000" w:themeColor="text1"/>
        </w:rPr>
        <w:t>Autres infections opportunistes</w:t>
      </w:r>
    </w:p>
    <w:p w14:paraId="2AFD352E" w14:textId="77777777" w:rsidR="00C355EC" w:rsidRPr="0058432E" w:rsidRDefault="00C355EC" w:rsidP="0009685B">
      <w:pPr>
        <w:pStyle w:val="BodyText"/>
        <w:widowControl/>
        <w:kinsoku w:val="0"/>
        <w:overflowPunct w:val="0"/>
        <w:ind w:left="0"/>
        <w:rPr>
          <w:i/>
          <w:iCs/>
          <w:color w:val="000000" w:themeColor="text1"/>
          <w:szCs w:val="21"/>
        </w:rPr>
      </w:pPr>
    </w:p>
    <w:p w14:paraId="4EEDED44"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Des infections opportunistes, incluant des infections fongiques invasives, ont été observées chez des patients traités par adalimumab. Ces infections n’ont pas toujours été détectées chez les patients recevant des antagonistes du TNF, ce qui a retardé l’instauration d’un traitement approprié, avec parfois une issue fatale.</w:t>
      </w:r>
    </w:p>
    <w:p w14:paraId="18B43574" w14:textId="77777777" w:rsidR="008620EF" w:rsidRPr="0058432E" w:rsidRDefault="008620EF" w:rsidP="0009685B">
      <w:pPr>
        <w:pStyle w:val="BodyText"/>
        <w:widowControl/>
        <w:kinsoku w:val="0"/>
        <w:overflowPunct w:val="0"/>
        <w:ind w:left="0"/>
        <w:rPr>
          <w:color w:val="000000" w:themeColor="text1"/>
        </w:rPr>
      </w:pPr>
    </w:p>
    <w:p w14:paraId="54735E42"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Chez les patients qui présentent des signes et symptômes tels que fièvre, malaise, perte de poids, sueurs, toux, dyspnée et/ou infiltrats pulmonaires ou une autre maladie systémique grave avec ou sans choc concomitant, une infection fongique invasive doit être suspectée ; dans ce cas, il convient d’arrêter immédiatement l’administration d’Amsparity. Le diagnostic et la mise en place d’un traitement antifongique empirique chez ces patients doivent être effectués en accord avec un médecin ayant l’expérience de la prise en charge des patients ayant des infections fongiques invasives.</w:t>
      </w:r>
    </w:p>
    <w:p w14:paraId="68F3EFE0" w14:textId="77777777" w:rsidR="00C355EC" w:rsidRPr="0058432E" w:rsidRDefault="00C355EC" w:rsidP="0009685B">
      <w:pPr>
        <w:pStyle w:val="BodyText"/>
        <w:widowControl/>
        <w:kinsoku w:val="0"/>
        <w:overflowPunct w:val="0"/>
        <w:ind w:left="0"/>
        <w:rPr>
          <w:color w:val="000000" w:themeColor="text1"/>
          <w:szCs w:val="21"/>
        </w:rPr>
      </w:pPr>
    </w:p>
    <w:p w14:paraId="714665C6" w14:textId="77777777" w:rsidR="00C355EC" w:rsidRPr="0058432E" w:rsidRDefault="00C355EC" w:rsidP="00054A92">
      <w:pPr>
        <w:pStyle w:val="BodyText"/>
        <w:keepNext/>
        <w:widowControl/>
        <w:kinsoku w:val="0"/>
        <w:overflowPunct w:val="0"/>
        <w:ind w:left="0"/>
        <w:rPr>
          <w:color w:val="000000" w:themeColor="text1"/>
        </w:rPr>
      </w:pPr>
      <w:r w:rsidRPr="0058432E">
        <w:rPr>
          <w:color w:val="000000" w:themeColor="text1"/>
          <w:u w:val="single"/>
        </w:rPr>
        <w:t>Réactivation d’hépatite B</w:t>
      </w:r>
    </w:p>
    <w:p w14:paraId="34BB515F" w14:textId="77777777" w:rsidR="00C355EC" w:rsidRPr="0058432E" w:rsidRDefault="00C355EC" w:rsidP="0009685B">
      <w:pPr>
        <w:pStyle w:val="BodyText"/>
        <w:widowControl/>
        <w:kinsoku w:val="0"/>
        <w:overflowPunct w:val="0"/>
        <w:ind w:left="0"/>
        <w:rPr>
          <w:color w:val="000000" w:themeColor="text1"/>
        </w:rPr>
      </w:pPr>
    </w:p>
    <w:p w14:paraId="112D677B"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Une réactivation d’hépatite B s’est produite chez des patients qui ont reçu un </w:t>
      </w:r>
      <w:r w:rsidR="00B600CF" w:rsidRPr="0058432E">
        <w:rPr>
          <w:color w:val="000000" w:themeColor="text1"/>
        </w:rPr>
        <w:t xml:space="preserve">antagoniste du </w:t>
      </w:r>
      <w:r w:rsidRPr="0058432E">
        <w:rPr>
          <w:color w:val="000000" w:themeColor="text1"/>
        </w:rPr>
        <w:t>TNF</w:t>
      </w:r>
      <w:r w:rsidR="00167E62" w:rsidRPr="0058432E">
        <w:rPr>
          <w:color w:val="000000" w:themeColor="text1"/>
        </w:rPr>
        <w:t>,</w:t>
      </w:r>
      <w:r w:rsidR="00FD6456" w:rsidRPr="0058432E">
        <w:rPr>
          <w:color w:val="000000" w:themeColor="text1"/>
        </w:rPr>
        <w:t xml:space="preserve"> </w:t>
      </w:r>
      <w:r w:rsidRPr="0058432E">
        <w:rPr>
          <w:color w:val="000000" w:themeColor="text1"/>
        </w:rPr>
        <w:t>y compris l’adalimumab</w:t>
      </w:r>
      <w:r w:rsidR="00D76AF1" w:rsidRPr="0058432E">
        <w:rPr>
          <w:color w:val="000000" w:themeColor="text1"/>
        </w:rPr>
        <w:t>,</w:t>
      </w:r>
      <w:r w:rsidRPr="0058432E">
        <w:rPr>
          <w:color w:val="000000" w:themeColor="text1"/>
        </w:rPr>
        <w:t xml:space="preserve"> et qui étaient porteurs chroniques de ce virus (c’est-à-dire antigène de surface positif). Certains cas ont eu une issue fatale. Les patients doivent faire l’objet d’un dépistage d’infection à VHB avant l’initiation d’un traitement par Amsparity. Pour les patients pour lesquels le test de dépistage de l’hépatite B est positif, il est recommandé de consulter un médecin spécialisé dans le traitement de l’hépatite B.</w:t>
      </w:r>
    </w:p>
    <w:p w14:paraId="15E7957B" w14:textId="77777777" w:rsidR="00C355EC" w:rsidRPr="0058432E" w:rsidRDefault="00C355EC" w:rsidP="0009685B">
      <w:pPr>
        <w:pStyle w:val="BodyText"/>
        <w:widowControl/>
        <w:kinsoku w:val="0"/>
        <w:overflowPunct w:val="0"/>
        <w:ind w:left="0"/>
        <w:rPr>
          <w:color w:val="000000" w:themeColor="text1"/>
        </w:rPr>
      </w:pPr>
    </w:p>
    <w:p w14:paraId="705E4135"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Chez les porteurs du VHB qui nécessitent un traitement par Amsparity, il faut surveiller attentivement les signes et les symptômes d’infection active par le VHB tout au long du traitement et pendant plusieurs mois après son arrêt. Il n’y a pas de données disponibles suffisantes concernant le traitement de patients porteurs du VHB traités par antiviral </w:t>
      </w:r>
      <w:r w:rsidR="00C05484" w:rsidRPr="0058432E">
        <w:rPr>
          <w:color w:val="000000" w:themeColor="text1"/>
        </w:rPr>
        <w:t xml:space="preserve">associé à </w:t>
      </w:r>
      <w:r w:rsidR="00F31093" w:rsidRPr="0058432E">
        <w:rPr>
          <w:color w:val="000000" w:themeColor="text1"/>
        </w:rPr>
        <w:t xml:space="preserve">antagoniste du TNF </w:t>
      </w:r>
      <w:r w:rsidRPr="0058432E">
        <w:rPr>
          <w:color w:val="000000" w:themeColor="text1"/>
        </w:rPr>
        <w:t xml:space="preserve">pour prévenir une réactivation du VHB. Chez les patients qui développent une réactivation du VHB, Amsparity doit être arrêté et un traitement antiviral efficace ainsi qu’un traitement </w:t>
      </w:r>
      <w:r w:rsidR="00DE6FF4" w:rsidRPr="0058432E">
        <w:rPr>
          <w:color w:val="000000" w:themeColor="text1"/>
        </w:rPr>
        <w:t>de support approprié</w:t>
      </w:r>
      <w:r w:rsidRPr="0058432E">
        <w:rPr>
          <w:color w:val="000000" w:themeColor="text1"/>
        </w:rPr>
        <w:t xml:space="preserve"> doi</w:t>
      </w:r>
      <w:r w:rsidR="003F0680" w:rsidRPr="0058432E">
        <w:rPr>
          <w:color w:val="000000" w:themeColor="text1"/>
        </w:rPr>
        <w:t>ven</w:t>
      </w:r>
      <w:r w:rsidRPr="0058432E">
        <w:rPr>
          <w:color w:val="000000" w:themeColor="text1"/>
        </w:rPr>
        <w:t>t être initié</w:t>
      </w:r>
      <w:r w:rsidR="003F0680" w:rsidRPr="0058432E">
        <w:rPr>
          <w:color w:val="000000" w:themeColor="text1"/>
        </w:rPr>
        <w:t>s</w:t>
      </w:r>
      <w:r w:rsidRPr="0058432E">
        <w:rPr>
          <w:color w:val="000000" w:themeColor="text1"/>
        </w:rPr>
        <w:t>.</w:t>
      </w:r>
    </w:p>
    <w:p w14:paraId="6AF890ED" w14:textId="77777777" w:rsidR="00C355EC" w:rsidRPr="0058432E" w:rsidRDefault="00C355EC" w:rsidP="0009685B">
      <w:pPr>
        <w:pStyle w:val="BodyText"/>
        <w:widowControl/>
        <w:kinsoku w:val="0"/>
        <w:overflowPunct w:val="0"/>
        <w:ind w:left="0"/>
        <w:rPr>
          <w:color w:val="000000" w:themeColor="text1"/>
          <w:szCs w:val="21"/>
        </w:rPr>
      </w:pPr>
    </w:p>
    <w:p w14:paraId="5CDCCBE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Événements neurologiques</w:t>
      </w:r>
    </w:p>
    <w:p w14:paraId="1D876E35" w14:textId="77777777" w:rsidR="00C355EC" w:rsidRPr="0058432E" w:rsidRDefault="00C355EC" w:rsidP="0009685B">
      <w:pPr>
        <w:pStyle w:val="BodyText"/>
        <w:widowControl/>
        <w:kinsoku w:val="0"/>
        <w:overflowPunct w:val="0"/>
        <w:ind w:left="0"/>
        <w:rPr>
          <w:color w:val="000000" w:themeColor="text1"/>
        </w:rPr>
      </w:pPr>
    </w:p>
    <w:p w14:paraId="6F9BA272"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Les antagonistes du TNF, dont l’adalimumab, ont été associés dans de rares circonstances à l</w:t>
      </w:r>
      <w:r w:rsidR="002B5BDC" w:rsidRPr="0058432E">
        <w:rPr>
          <w:color w:val="000000" w:themeColor="text1"/>
        </w:rPr>
        <w:t>’</w:t>
      </w:r>
      <w:r w:rsidRPr="0058432E">
        <w:rPr>
          <w:color w:val="000000" w:themeColor="text1"/>
        </w:rPr>
        <w:t>apparition ou à l’exacerbation des symptômes cliniques et/ou des signes radio</w:t>
      </w:r>
      <w:r w:rsidR="00A60387" w:rsidRPr="0058432E">
        <w:rPr>
          <w:color w:val="000000" w:themeColor="text1"/>
        </w:rPr>
        <w:t>graphi</w:t>
      </w:r>
      <w:r w:rsidRPr="0058432E">
        <w:rPr>
          <w:color w:val="000000" w:themeColor="text1"/>
        </w:rPr>
        <w:t>ques de maladie démyélinisante du système nerveux central</w:t>
      </w:r>
      <w:r w:rsidR="00CF4423" w:rsidRPr="0058432E">
        <w:rPr>
          <w:color w:val="000000" w:themeColor="text1"/>
        </w:rPr>
        <w:t>,</w:t>
      </w:r>
      <w:r w:rsidRPr="0058432E">
        <w:rPr>
          <w:color w:val="000000" w:themeColor="text1"/>
        </w:rPr>
        <w:t xml:space="preserve"> y compris de sclérose en plaques, de névrite optique et de maladie démyélinisante périphérique, y compris syndrome de Guillain-Barré. La prudence est recommandée aux prescripteurs avant de traiter avec Amsparity les patients atteints d</w:t>
      </w:r>
      <w:r w:rsidR="00336361" w:rsidRPr="0058432E">
        <w:rPr>
          <w:color w:val="000000" w:themeColor="text1"/>
        </w:rPr>
        <w:t>’</w:t>
      </w:r>
      <w:r w:rsidRPr="0058432E">
        <w:rPr>
          <w:color w:val="000000" w:themeColor="text1"/>
        </w:rPr>
        <w:t>une maladie démyélinisante du système nerveux central ou périphérique, préexistante ou de survenue récente</w:t>
      </w:r>
      <w:r w:rsidR="00A07EA2" w:rsidRPr="0058432E">
        <w:rPr>
          <w:color w:val="000000" w:themeColor="text1"/>
        </w:rPr>
        <w:t> </w:t>
      </w:r>
      <w:r w:rsidRPr="0058432E">
        <w:rPr>
          <w:color w:val="000000" w:themeColor="text1"/>
        </w:rPr>
        <w:t xml:space="preserve">; l’arrêt du traitement </w:t>
      </w:r>
      <w:r w:rsidR="00CF4423" w:rsidRPr="0058432E">
        <w:rPr>
          <w:color w:val="000000" w:themeColor="text1"/>
        </w:rPr>
        <w:t xml:space="preserve">par Amsparity </w:t>
      </w:r>
      <w:r w:rsidRPr="0058432E">
        <w:rPr>
          <w:color w:val="000000" w:themeColor="text1"/>
        </w:rPr>
        <w:t>doit être envisagé en cas d’apparition de l’un</w:t>
      </w:r>
      <w:r w:rsidR="0090336C" w:rsidRPr="0058432E">
        <w:rPr>
          <w:color w:val="000000" w:themeColor="text1"/>
        </w:rPr>
        <w:t>e</w:t>
      </w:r>
      <w:r w:rsidRPr="0058432E">
        <w:rPr>
          <w:color w:val="000000" w:themeColor="text1"/>
        </w:rPr>
        <w:t xml:space="preserve"> de ces </w:t>
      </w:r>
      <w:r w:rsidR="0090336C" w:rsidRPr="0058432E">
        <w:rPr>
          <w:color w:val="000000" w:themeColor="text1"/>
        </w:rPr>
        <w:t>affections</w:t>
      </w:r>
      <w:r w:rsidRPr="0058432E">
        <w:rPr>
          <w:color w:val="000000" w:themeColor="text1"/>
        </w:rPr>
        <w:t>. L’association entre l’uvéite intermédiaire et les maladies démyélinisantes du système nerveux central est connue. Une évaluation neurologique doit être réalisée chez les patients présentant une uvéite intermédiaire non infectieuse avant l’instauration du traitement par Amsparity, et répétée régulièrement au cours du traitement afin de rechercher toute maladie démyélinisante du système nerveux central préexistante ou évolutive.</w:t>
      </w:r>
    </w:p>
    <w:p w14:paraId="40B3DC49" w14:textId="77777777" w:rsidR="00C355EC" w:rsidRPr="0058432E" w:rsidRDefault="00C355EC" w:rsidP="0009685B">
      <w:pPr>
        <w:pStyle w:val="BodyText"/>
        <w:widowControl/>
        <w:kinsoku w:val="0"/>
        <w:overflowPunct w:val="0"/>
        <w:ind w:left="0"/>
        <w:rPr>
          <w:color w:val="000000" w:themeColor="text1"/>
        </w:rPr>
      </w:pPr>
    </w:p>
    <w:p w14:paraId="4F16B383"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Réactions allergiques</w:t>
      </w:r>
    </w:p>
    <w:p w14:paraId="34F17E02" w14:textId="77777777" w:rsidR="00C355EC" w:rsidRPr="0058432E" w:rsidRDefault="00C355EC" w:rsidP="0009685B">
      <w:pPr>
        <w:pStyle w:val="BodyText"/>
        <w:widowControl/>
        <w:kinsoku w:val="0"/>
        <w:overflowPunct w:val="0"/>
        <w:ind w:left="0"/>
        <w:rPr>
          <w:color w:val="000000" w:themeColor="text1"/>
        </w:rPr>
      </w:pPr>
    </w:p>
    <w:p w14:paraId="2F7BEF44"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Au cours des essais cliniques, des réactions allergiques graves associées à l’adalimumab ont rarement été rapportées et des réactions allergiques non graves </w:t>
      </w:r>
      <w:r w:rsidR="00F50979" w:rsidRPr="0058432E">
        <w:rPr>
          <w:color w:val="000000" w:themeColor="text1"/>
        </w:rPr>
        <w:t>associées</w:t>
      </w:r>
      <w:r w:rsidRPr="0058432E">
        <w:rPr>
          <w:color w:val="000000" w:themeColor="text1"/>
        </w:rPr>
        <w:t xml:space="preserve"> à l’adalimumab ont été peu fréquentes. Des cas de réactions allergiques graves, incluant </w:t>
      </w:r>
      <w:r w:rsidR="00F50979" w:rsidRPr="0058432E">
        <w:rPr>
          <w:color w:val="000000" w:themeColor="text1"/>
        </w:rPr>
        <w:t>l’</w:t>
      </w:r>
      <w:r w:rsidRPr="0058432E">
        <w:rPr>
          <w:color w:val="000000" w:themeColor="text1"/>
        </w:rPr>
        <w:t>anaphyla</w:t>
      </w:r>
      <w:r w:rsidR="00F50979" w:rsidRPr="0058432E">
        <w:rPr>
          <w:color w:val="000000" w:themeColor="text1"/>
        </w:rPr>
        <w:t>xie</w:t>
      </w:r>
      <w:r w:rsidR="00244A41" w:rsidRPr="0058432E">
        <w:rPr>
          <w:color w:val="000000" w:themeColor="text1"/>
        </w:rPr>
        <w:t>,</w:t>
      </w:r>
      <w:r w:rsidRPr="0058432E">
        <w:rPr>
          <w:color w:val="000000" w:themeColor="text1"/>
        </w:rPr>
        <w:t xml:space="preserve"> ont été rapportés, après administration de l’adalimumab. En cas de survenue d’une réaction anaphylactique ou d’une autre réaction allergique </w:t>
      </w:r>
      <w:r w:rsidRPr="0058432E">
        <w:rPr>
          <w:color w:val="000000" w:themeColor="text1"/>
        </w:rPr>
        <w:lastRenderedPageBreak/>
        <w:t>grave, l’administration d’Amsparity doit être immédiatement interrompue et un traitement approprié mis en œuvre.</w:t>
      </w:r>
    </w:p>
    <w:p w14:paraId="4096C3B1" w14:textId="77777777" w:rsidR="00C355EC" w:rsidRPr="0058432E" w:rsidRDefault="00C355EC" w:rsidP="0009685B">
      <w:pPr>
        <w:pStyle w:val="BodyText"/>
        <w:widowControl/>
        <w:kinsoku w:val="0"/>
        <w:overflowPunct w:val="0"/>
        <w:ind w:left="0"/>
        <w:rPr>
          <w:color w:val="000000" w:themeColor="text1"/>
        </w:rPr>
      </w:pPr>
    </w:p>
    <w:p w14:paraId="72DE3BC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Immunosuppression</w:t>
      </w:r>
    </w:p>
    <w:p w14:paraId="52A869BB" w14:textId="77777777" w:rsidR="00C355EC" w:rsidRPr="0058432E" w:rsidRDefault="00C355EC" w:rsidP="0009685B">
      <w:pPr>
        <w:pStyle w:val="BodyText"/>
        <w:widowControl/>
        <w:kinsoku w:val="0"/>
        <w:overflowPunct w:val="0"/>
        <w:ind w:left="0"/>
        <w:rPr>
          <w:color w:val="000000" w:themeColor="text1"/>
        </w:rPr>
      </w:pPr>
    </w:p>
    <w:p w14:paraId="21ED115D"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Au cours d’une étude portant sur 64</w:t>
      </w:r>
      <w:r w:rsidR="00644126" w:rsidRPr="0058432E">
        <w:rPr>
          <w:color w:val="000000" w:themeColor="text1"/>
        </w:rPr>
        <w:t> </w:t>
      </w:r>
      <w:r w:rsidRPr="0058432E">
        <w:rPr>
          <w:color w:val="000000" w:themeColor="text1"/>
        </w:rPr>
        <w:t>patients atteints de polyarthrite rhumatoïde et traités par adalimumab, on n’a enregistré aucun élément évocateur d’une dépression de l’hypersensibilité de type retardé, d’une diminution des taux d’immunoglobulines ou d’une modification de la numération des lymphocytes effecteurs T</w:t>
      </w:r>
      <w:r w:rsidR="006235F9" w:rsidRPr="0058432E">
        <w:rPr>
          <w:color w:val="000000" w:themeColor="text1"/>
        </w:rPr>
        <w:t>,</w:t>
      </w:r>
      <w:r w:rsidRPr="0058432E">
        <w:rPr>
          <w:color w:val="000000" w:themeColor="text1"/>
        </w:rPr>
        <w:t xml:space="preserve"> B</w:t>
      </w:r>
      <w:r w:rsidR="007729A9" w:rsidRPr="0058432E">
        <w:rPr>
          <w:color w:val="000000" w:themeColor="text1"/>
        </w:rPr>
        <w:t xml:space="preserve"> </w:t>
      </w:r>
      <w:r w:rsidR="006235F9" w:rsidRPr="0058432E">
        <w:rPr>
          <w:color w:val="000000" w:themeColor="text1"/>
        </w:rPr>
        <w:t>et</w:t>
      </w:r>
      <w:r w:rsidRPr="0058432E">
        <w:rPr>
          <w:color w:val="000000" w:themeColor="text1"/>
        </w:rPr>
        <w:t xml:space="preserve"> NK, des monocytes/macrophages et des neutrophiles.</w:t>
      </w:r>
    </w:p>
    <w:p w14:paraId="1EBFDBE1" w14:textId="77777777" w:rsidR="00C355EC" w:rsidRPr="0058432E" w:rsidRDefault="00C355EC" w:rsidP="0009685B">
      <w:pPr>
        <w:pStyle w:val="BodyText"/>
        <w:widowControl/>
        <w:kinsoku w:val="0"/>
        <w:overflowPunct w:val="0"/>
        <w:ind w:left="0"/>
        <w:rPr>
          <w:color w:val="000000" w:themeColor="text1"/>
        </w:rPr>
      </w:pPr>
    </w:p>
    <w:p w14:paraId="4162F7F7" w14:textId="77777777" w:rsidR="00C355EC" w:rsidRPr="0058432E" w:rsidRDefault="00C355EC" w:rsidP="0009685B">
      <w:pPr>
        <w:pStyle w:val="BodyText"/>
        <w:keepNext/>
        <w:widowControl/>
        <w:kinsoku w:val="0"/>
        <w:overflowPunct w:val="0"/>
        <w:ind w:left="0"/>
        <w:rPr>
          <w:color w:val="000000" w:themeColor="text1"/>
        </w:rPr>
      </w:pPr>
      <w:r w:rsidRPr="0058432E">
        <w:rPr>
          <w:color w:val="000000" w:themeColor="text1"/>
          <w:u w:val="single"/>
        </w:rPr>
        <w:t>Tumeurs malignes et troubles lymphoprolifératifs</w:t>
      </w:r>
    </w:p>
    <w:p w14:paraId="0CCFA589" w14:textId="77777777" w:rsidR="00C355EC" w:rsidRPr="0058432E" w:rsidRDefault="00C355EC" w:rsidP="0009685B">
      <w:pPr>
        <w:pStyle w:val="BodyText"/>
        <w:keepNext/>
        <w:widowControl/>
        <w:kinsoku w:val="0"/>
        <w:overflowPunct w:val="0"/>
        <w:ind w:left="0"/>
        <w:rPr>
          <w:color w:val="000000" w:themeColor="text1"/>
        </w:rPr>
      </w:pPr>
    </w:p>
    <w:p w14:paraId="150E3457"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Dans la partie contrôlée des essais cliniques avec des </w:t>
      </w:r>
      <w:r w:rsidR="00C11225" w:rsidRPr="0058432E">
        <w:rPr>
          <w:color w:val="000000" w:themeColor="text1"/>
        </w:rPr>
        <w:t>antagonistes du</w:t>
      </w:r>
      <w:r w:rsidR="00C11225" w:rsidRPr="0058432E" w:rsidDel="00C11225">
        <w:rPr>
          <w:color w:val="000000" w:themeColor="text1"/>
        </w:rPr>
        <w:t xml:space="preserve"> </w:t>
      </w:r>
      <w:r w:rsidRPr="0058432E">
        <w:rPr>
          <w:color w:val="000000" w:themeColor="text1"/>
        </w:rPr>
        <w:t xml:space="preserve">TNF, il a été observé plus de cas de </w:t>
      </w:r>
      <w:r w:rsidR="00C11225" w:rsidRPr="0058432E">
        <w:rPr>
          <w:color w:val="000000" w:themeColor="text1"/>
        </w:rPr>
        <w:t xml:space="preserve">tumeurs malignes, </w:t>
      </w:r>
      <w:r w:rsidRPr="0058432E">
        <w:rPr>
          <w:color w:val="000000" w:themeColor="text1"/>
        </w:rPr>
        <w:t>y compris des lymphomes</w:t>
      </w:r>
      <w:r w:rsidR="00C11225" w:rsidRPr="0058432E">
        <w:rPr>
          <w:color w:val="000000" w:themeColor="text1"/>
        </w:rPr>
        <w:t>,</w:t>
      </w:r>
      <w:r w:rsidRPr="0058432E">
        <w:rPr>
          <w:color w:val="000000" w:themeColor="text1"/>
        </w:rPr>
        <w:t xml:space="preserve"> chez les patients traités par un </w:t>
      </w:r>
      <w:r w:rsidR="00C11225" w:rsidRPr="0058432E">
        <w:rPr>
          <w:color w:val="000000" w:themeColor="text1"/>
        </w:rPr>
        <w:t>antagoniste du</w:t>
      </w:r>
      <w:r w:rsidR="00C11225" w:rsidRPr="0058432E" w:rsidDel="00C11225">
        <w:rPr>
          <w:color w:val="000000" w:themeColor="text1"/>
        </w:rPr>
        <w:t xml:space="preserve"> </w:t>
      </w:r>
      <w:r w:rsidRPr="0058432E">
        <w:rPr>
          <w:color w:val="000000" w:themeColor="text1"/>
        </w:rPr>
        <w:t>TNF que chez les patients du groupe contrôle. Cependant, l</w:t>
      </w:r>
      <w:r w:rsidR="00882F07" w:rsidRPr="0058432E">
        <w:rPr>
          <w:color w:val="000000" w:themeColor="text1"/>
        </w:rPr>
        <w:t>’</w:t>
      </w:r>
      <w:r w:rsidRPr="0058432E">
        <w:rPr>
          <w:color w:val="000000" w:themeColor="text1"/>
        </w:rPr>
        <w:t xml:space="preserve">incidence a été rare. Au cours de la surveillance post-marketing, des cas de leucémie ont été rapportés chez des patients traités par </w:t>
      </w:r>
      <w:r w:rsidR="00D16C94" w:rsidRPr="0058432E">
        <w:rPr>
          <w:color w:val="000000" w:themeColor="text1"/>
        </w:rPr>
        <w:t xml:space="preserve">un </w:t>
      </w:r>
      <w:r w:rsidR="00C11225" w:rsidRPr="0058432E">
        <w:rPr>
          <w:color w:val="000000" w:themeColor="text1"/>
        </w:rPr>
        <w:t>antagoniste du</w:t>
      </w:r>
      <w:r w:rsidR="00C11225" w:rsidRPr="0058432E" w:rsidDel="00C11225">
        <w:rPr>
          <w:color w:val="000000" w:themeColor="text1"/>
        </w:rPr>
        <w:t xml:space="preserve"> </w:t>
      </w:r>
      <w:r w:rsidRPr="0058432E">
        <w:rPr>
          <w:color w:val="000000" w:themeColor="text1"/>
        </w:rPr>
        <w:t>TNF. De plus, il existe un contexte de risque accru de lymphome et de leucémie chez les patients atteints d</w:t>
      </w:r>
      <w:r w:rsidR="006A251A" w:rsidRPr="0058432E">
        <w:rPr>
          <w:color w:val="000000" w:themeColor="text1"/>
        </w:rPr>
        <w:t>’</w:t>
      </w:r>
      <w:r w:rsidRPr="0058432E">
        <w:rPr>
          <w:color w:val="000000" w:themeColor="text1"/>
        </w:rPr>
        <w:t xml:space="preserve">une polyarthrite rhumatoïde ancienne, </w:t>
      </w:r>
      <w:r w:rsidR="007E1954" w:rsidRPr="0058432E">
        <w:rPr>
          <w:color w:val="000000" w:themeColor="text1"/>
        </w:rPr>
        <w:t>et avec une activité inflammatoire importante</w:t>
      </w:r>
      <w:r w:rsidRPr="0058432E">
        <w:rPr>
          <w:color w:val="000000" w:themeColor="text1"/>
        </w:rPr>
        <w:t>, ce qui complique l</w:t>
      </w:r>
      <w:r w:rsidR="003A1D20" w:rsidRPr="0058432E">
        <w:rPr>
          <w:color w:val="000000" w:themeColor="text1"/>
        </w:rPr>
        <w:t>’</w:t>
      </w:r>
      <w:r w:rsidRPr="0058432E">
        <w:rPr>
          <w:color w:val="000000" w:themeColor="text1"/>
        </w:rPr>
        <w:t>estimation du risque. Dans l</w:t>
      </w:r>
      <w:r w:rsidR="00817A76" w:rsidRPr="0058432E">
        <w:rPr>
          <w:color w:val="000000" w:themeColor="text1"/>
        </w:rPr>
        <w:t>’</w:t>
      </w:r>
      <w:r w:rsidRPr="0058432E">
        <w:rPr>
          <w:color w:val="000000" w:themeColor="text1"/>
        </w:rPr>
        <w:t>état actuel des connaissances, la possibilité d</w:t>
      </w:r>
      <w:r w:rsidR="00511902" w:rsidRPr="0058432E">
        <w:rPr>
          <w:color w:val="000000" w:themeColor="text1"/>
        </w:rPr>
        <w:t>’</w:t>
      </w:r>
      <w:r w:rsidRPr="0058432E">
        <w:rPr>
          <w:color w:val="000000" w:themeColor="text1"/>
        </w:rPr>
        <w:t xml:space="preserve">un risque de développer des lymphomes, des leucémies ou d’autres </w:t>
      </w:r>
      <w:r w:rsidR="00B4495C" w:rsidRPr="0058432E">
        <w:rPr>
          <w:color w:val="000000" w:themeColor="text1"/>
        </w:rPr>
        <w:t xml:space="preserve">tumeurs </w:t>
      </w:r>
      <w:r w:rsidRPr="0058432E">
        <w:rPr>
          <w:color w:val="000000" w:themeColor="text1"/>
        </w:rPr>
        <w:t xml:space="preserve">malignes chez les patients traités par </w:t>
      </w:r>
      <w:r w:rsidR="00E04200" w:rsidRPr="0058432E">
        <w:rPr>
          <w:color w:val="000000" w:themeColor="text1"/>
        </w:rPr>
        <w:t>un antagoniste du</w:t>
      </w:r>
      <w:r w:rsidR="00E04200" w:rsidRPr="0058432E" w:rsidDel="00C11225">
        <w:rPr>
          <w:color w:val="000000" w:themeColor="text1"/>
        </w:rPr>
        <w:t xml:space="preserve"> </w:t>
      </w:r>
      <w:r w:rsidRPr="0058432E">
        <w:rPr>
          <w:color w:val="000000" w:themeColor="text1"/>
        </w:rPr>
        <w:t>TNF ne peut être exclue.</w:t>
      </w:r>
    </w:p>
    <w:p w14:paraId="5CFAB097" w14:textId="77777777" w:rsidR="00C355EC" w:rsidRPr="0058432E" w:rsidRDefault="00C355EC" w:rsidP="0009685B">
      <w:pPr>
        <w:pStyle w:val="BodyText"/>
        <w:widowControl/>
        <w:kinsoku w:val="0"/>
        <w:overflowPunct w:val="0"/>
        <w:ind w:left="0"/>
        <w:rPr>
          <w:color w:val="000000" w:themeColor="text1"/>
          <w:szCs w:val="21"/>
        </w:rPr>
      </w:pPr>
    </w:p>
    <w:p w14:paraId="1855798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Des tumeurs malignes, dont certaines d’issue fatale, ont été rapportées après la commercialisation chez des enfants, des adolescents et des adultes jeunes (jusqu’à l’âge de 22</w:t>
      </w:r>
      <w:r w:rsidR="00090607" w:rsidRPr="0058432E">
        <w:rPr>
          <w:color w:val="000000" w:themeColor="text1"/>
        </w:rPr>
        <w:t> </w:t>
      </w:r>
      <w:r w:rsidRPr="0058432E">
        <w:rPr>
          <w:color w:val="000000" w:themeColor="text1"/>
        </w:rPr>
        <w:t xml:space="preserve">ans) traités par des </w:t>
      </w:r>
      <w:r w:rsidR="00832D28" w:rsidRPr="0058432E">
        <w:rPr>
          <w:color w:val="000000" w:themeColor="text1"/>
        </w:rPr>
        <w:t>antagonistes du</w:t>
      </w:r>
      <w:r w:rsidR="00832D28" w:rsidRPr="0058432E" w:rsidDel="00C11225">
        <w:rPr>
          <w:color w:val="000000" w:themeColor="text1"/>
        </w:rPr>
        <w:t xml:space="preserve"> </w:t>
      </w:r>
      <w:r w:rsidRPr="0058432E">
        <w:rPr>
          <w:color w:val="000000" w:themeColor="text1"/>
        </w:rPr>
        <w:t xml:space="preserve">TNF (initiation du traitement </w:t>
      </w:r>
      <w:r w:rsidR="00832D28" w:rsidRPr="0058432E">
        <w:rPr>
          <w:color w:val="000000" w:themeColor="text1"/>
        </w:rPr>
        <w:t xml:space="preserve">à ou </w:t>
      </w:r>
      <w:r w:rsidRPr="0058432E">
        <w:rPr>
          <w:color w:val="000000" w:themeColor="text1"/>
        </w:rPr>
        <w:t>avant l’âge de 18</w:t>
      </w:r>
      <w:r w:rsidR="00090607" w:rsidRPr="0058432E">
        <w:rPr>
          <w:color w:val="000000" w:themeColor="text1"/>
        </w:rPr>
        <w:t> </w:t>
      </w:r>
      <w:r w:rsidRPr="0058432E">
        <w:rPr>
          <w:color w:val="000000" w:themeColor="text1"/>
        </w:rPr>
        <w:t xml:space="preserve">ans), y compris l’adalimumab. La moitié de ces cas environ étaient des lymphomes. Les autres cas correspondaient à d’autres types de tumeurs malignes parmi lesquels des </w:t>
      </w:r>
      <w:r w:rsidR="00832D28" w:rsidRPr="0058432E">
        <w:rPr>
          <w:color w:val="000000" w:themeColor="text1"/>
        </w:rPr>
        <w:t>tumeurs malignes</w:t>
      </w:r>
      <w:r w:rsidRPr="0058432E">
        <w:rPr>
          <w:color w:val="000000" w:themeColor="text1"/>
        </w:rPr>
        <w:t xml:space="preserve"> rares généralement associés à un</w:t>
      </w:r>
      <w:r w:rsidR="00832D28" w:rsidRPr="0058432E">
        <w:rPr>
          <w:color w:val="000000" w:themeColor="text1"/>
        </w:rPr>
        <w:t xml:space="preserve">e </w:t>
      </w:r>
      <w:r w:rsidRPr="0058432E">
        <w:rPr>
          <w:color w:val="000000" w:themeColor="text1"/>
        </w:rPr>
        <w:t xml:space="preserve">immunosuppression. Le risque de développer des tumeurs malignes ne peut être exclu chez l’enfant et l’adolescent traités par </w:t>
      </w:r>
      <w:r w:rsidR="00E73214" w:rsidRPr="0058432E">
        <w:rPr>
          <w:color w:val="000000" w:themeColor="text1"/>
        </w:rPr>
        <w:t>des antagonistes du</w:t>
      </w:r>
      <w:r w:rsidR="00E73214" w:rsidRPr="0058432E" w:rsidDel="00C11225">
        <w:rPr>
          <w:color w:val="000000" w:themeColor="text1"/>
        </w:rPr>
        <w:t xml:space="preserve"> </w:t>
      </w:r>
      <w:r w:rsidRPr="0058432E">
        <w:rPr>
          <w:color w:val="000000" w:themeColor="text1"/>
        </w:rPr>
        <w:t>TNF.</w:t>
      </w:r>
    </w:p>
    <w:p w14:paraId="222426BB" w14:textId="77777777" w:rsidR="00C355EC" w:rsidRPr="0058432E" w:rsidRDefault="00C355EC" w:rsidP="0009685B">
      <w:pPr>
        <w:pStyle w:val="BodyText"/>
        <w:widowControl/>
        <w:kinsoku w:val="0"/>
        <w:overflowPunct w:val="0"/>
        <w:ind w:left="0"/>
        <w:rPr>
          <w:color w:val="000000" w:themeColor="text1"/>
        </w:rPr>
      </w:pPr>
    </w:p>
    <w:p w14:paraId="5FEEA2FB"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Au cours de la surveillance</w:t>
      </w:r>
      <w:r w:rsidR="00F552B0" w:rsidRPr="0058432E">
        <w:rPr>
          <w:color w:val="000000" w:themeColor="text1"/>
        </w:rPr>
        <w:t xml:space="preserve"> </w:t>
      </w:r>
      <w:r w:rsidRPr="0058432E">
        <w:rPr>
          <w:color w:val="000000" w:themeColor="text1"/>
        </w:rPr>
        <w:t xml:space="preserve">post-marketing, de rares cas de lymphomes hépatospléniques à lymphocytes T ont été identifiés chez des patients traités </w:t>
      </w:r>
      <w:r w:rsidR="008E7545" w:rsidRPr="0058432E">
        <w:rPr>
          <w:color w:val="000000" w:themeColor="text1"/>
        </w:rPr>
        <w:t>par adalimumab</w:t>
      </w:r>
      <w:r w:rsidRPr="0058432E">
        <w:rPr>
          <w:color w:val="000000" w:themeColor="text1"/>
        </w:rPr>
        <w:t xml:space="preserve">. Cette forme rare de lymphome à lymphocytes T a une évolution </w:t>
      </w:r>
      <w:r w:rsidR="00E464F0" w:rsidRPr="0058432E">
        <w:rPr>
          <w:color w:val="000000" w:themeColor="text1"/>
        </w:rPr>
        <w:t xml:space="preserve">pathologique </w:t>
      </w:r>
      <w:r w:rsidRPr="0058432E">
        <w:rPr>
          <w:color w:val="000000" w:themeColor="text1"/>
        </w:rPr>
        <w:t>très agressive et est souvent fatale. Certains de ces lymphomes hépatospléniques à lymphocytes T observés avec l’adalimumab sont survenus chez des adultes jeunes ayant un traitement concomitant par azathioprine ou par 6-mercaptopurine utilisé dans les maladies inflammatoires de l</w:t>
      </w:r>
      <w:r w:rsidR="00D26B40" w:rsidRPr="0058432E">
        <w:rPr>
          <w:color w:val="000000" w:themeColor="text1"/>
        </w:rPr>
        <w:t>’</w:t>
      </w:r>
      <w:r w:rsidRPr="0058432E">
        <w:rPr>
          <w:color w:val="000000" w:themeColor="text1"/>
        </w:rPr>
        <w:t xml:space="preserve">intestin. Le </w:t>
      </w:r>
      <w:proofErr w:type="gramStart"/>
      <w:r w:rsidRPr="0058432E">
        <w:rPr>
          <w:color w:val="000000" w:themeColor="text1"/>
        </w:rPr>
        <w:t>risque potentiel</w:t>
      </w:r>
      <w:proofErr w:type="gramEnd"/>
      <w:r w:rsidRPr="0058432E">
        <w:rPr>
          <w:color w:val="000000" w:themeColor="text1"/>
        </w:rPr>
        <w:t xml:space="preserve"> de l’association de l’azathioprine ou de la 6</w:t>
      </w:r>
      <w:r w:rsidR="00885870" w:rsidRPr="0058432E">
        <w:rPr>
          <w:color w:val="000000" w:themeColor="text1"/>
        </w:rPr>
        <w:t>-</w:t>
      </w:r>
      <w:r w:rsidRPr="0058432E">
        <w:rPr>
          <w:color w:val="000000" w:themeColor="text1"/>
        </w:rPr>
        <w:t>mercaptopurine avec l’adalimumab doit être soigneusement pris en considération. Un risque de développement de lymphome hépatosplénique à lymphocytes T chez des patients traités par Amsparity ne peut pas être exclu (voir rubrique 4.8).</w:t>
      </w:r>
    </w:p>
    <w:p w14:paraId="60EF6939" w14:textId="77777777" w:rsidR="00C355EC" w:rsidRPr="0058432E" w:rsidRDefault="00C355EC" w:rsidP="0009685B">
      <w:pPr>
        <w:pStyle w:val="BodyText"/>
        <w:widowControl/>
        <w:kinsoku w:val="0"/>
        <w:overflowPunct w:val="0"/>
        <w:ind w:left="0"/>
        <w:rPr>
          <w:color w:val="000000" w:themeColor="text1"/>
        </w:rPr>
      </w:pPr>
    </w:p>
    <w:p w14:paraId="5BA49B14"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Il n’existe pas d’études chez des patients avec antécédents de tumeurs malignes ou chez lesquels le traitement par adalimumab est poursuivi après le développement d’un</w:t>
      </w:r>
      <w:r w:rsidR="00443B21" w:rsidRPr="0058432E">
        <w:rPr>
          <w:color w:val="000000" w:themeColor="text1"/>
        </w:rPr>
        <w:t>e</w:t>
      </w:r>
      <w:r w:rsidRPr="0058432E">
        <w:rPr>
          <w:color w:val="000000" w:themeColor="text1"/>
        </w:rPr>
        <w:t xml:space="preserve"> </w:t>
      </w:r>
      <w:r w:rsidR="00443B21" w:rsidRPr="0058432E">
        <w:rPr>
          <w:color w:val="000000" w:themeColor="text1"/>
        </w:rPr>
        <w:t>tumeur</w:t>
      </w:r>
      <w:r w:rsidR="006B275B" w:rsidRPr="0058432E">
        <w:rPr>
          <w:color w:val="000000" w:themeColor="text1"/>
        </w:rPr>
        <w:t xml:space="preserve"> </w:t>
      </w:r>
      <w:r w:rsidR="00443B21" w:rsidRPr="0058432E">
        <w:rPr>
          <w:color w:val="000000" w:themeColor="text1"/>
        </w:rPr>
        <w:t>maligne</w:t>
      </w:r>
      <w:r w:rsidRPr="0058432E">
        <w:rPr>
          <w:color w:val="000000" w:themeColor="text1"/>
        </w:rPr>
        <w:t>. En conséquence, une prudence accrue devra être observée lorsqu’on envisage un traitement de ces patients par adalimumab (voir rubrique 4.8).</w:t>
      </w:r>
    </w:p>
    <w:p w14:paraId="54DE3345" w14:textId="77777777" w:rsidR="00C355EC" w:rsidRPr="0058432E" w:rsidRDefault="00C355EC" w:rsidP="0009685B">
      <w:pPr>
        <w:pStyle w:val="BodyText"/>
        <w:widowControl/>
        <w:kinsoku w:val="0"/>
        <w:overflowPunct w:val="0"/>
        <w:ind w:left="0"/>
        <w:rPr>
          <w:color w:val="000000" w:themeColor="text1"/>
        </w:rPr>
      </w:pPr>
    </w:p>
    <w:p w14:paraId="6B61B235"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Tous les patients, notamment ceux ayant des antécédents de traitement immunosuppresseur intense ou atteints de psoriasis et ayant des antécédents de puvathérapie, devront être examinés à la recherche d’un cancer cutané autre que mélanome avant et pendant le traitement par Amsparity. Des cas de mélanome et de carcinome à cellules de Merkel ont été également rapportés chez les patients traités par </w:t>
      </w:r>
      <w:r w:rsidR="00EE5EB8" w:rsidRPr="0058432E">
        <w:rPr>
          <w:color w:val="000000" w:themeColor="text1"/>
        </w:rPr>
        <w:t>antagonistes du</w:t>
      </w:r>
      <w:r w:rsidR="00EE5EB8" w:rsidRPr="0058432E" w:rsidDel="00C11225">
        <w:rPr>
          <w:color w:val="000000" w:themeColor="text1"/>
        </w:rPr>
        <w:t xml:space="preserve"> </w:t>
      </w:r>
      <w:r w:rsidRPr="0058432E">
        <w:rPr>
          <w:color w:val="000000" w:themeColor="text1"/>
        </w:rPr>
        <w:t>TNF</w:t>
      </w:r>
      <w:r w:rsidR="00EE5EB8" w:rsidRPr="0058432E">
        <w:rPr>
          <w:color w:val="000000" w:themeColor="text1"/>
        </w:rPr>
        <w:t>,</w:t>
      </w:r>
      <w:r w:rsidRPr="0058432E">
        <w:rPr>
          <w:color w:val="000000" w:themeColor="text1"/>
        </w:rPr>
        <w:t xml:space="preserve"> y compris l’adalimumab (voir rubrique 4.8).</w:t>
      </w:r>
    </w:p>
    <w:p w14:paraId="1DFE9AC9" w14:textId="77777777" w:rsidR="00C355EC" w:rsidRPr="0058432E" w:rsidRDefault="00C355EC" w:rsidP="0009685B">
      <w:pPr>
        <w:pStyle w:val="BodyText"/>
        <w:widowControl/>
        <w:kinsoku w:val="0"/>
        <w:overflowPunct w:val="0"/>
        <w:ind w:left="0"/>
        <w:rPr>
          <w:color w:val="000000" w:themeColor="text1"/>
        </w:rPr>
      </w:pPr>
    </w:p>
    <w:p w14:paraId="4B84CA7D"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Dans une étude clinique prospective évaluant l’emploi d’un autre </w:t>
      </w:r>
      <w:r w:rsidR="00847F8A" w:rsidRPr="0058432E">
        <w:rPr>
          <w:color w:val="000000" w:themeColor="text1"/>
        </w:rPr>
        <w:t>antagoniste du</w:t>
      </w:r>
      <w:r w:rsidR="00847F8A" w:rsidRPr="0058432E" w:rsidDel="00C11225">
        <w:rPr>
          <w:color w:val="000000" w:themeColor="text1"/>
        </w:rPr>
        <w:t xml:space="preserve"> </w:t>
      </w:r>
      <w:r w:rsidRPr="0058432E">
        <w:rPr>
          <w:color w:val="000000" w:themeColor="text1"/>
        </w:rPr>
        <w:t xml:space="preserve">TNF, l’infliximab, chez des patients </w:t>
      </w:r>
      <w:r w:rsidR="00D546C9" w:rsidRPr="0058432E">
        <w:rPr>
          <w:color w:val="000000" w:themeColor="text1"/>
        </w:rPr>
        <w:t>atteints</w:t>
      </w:r>
      <w:r w:rsidRPr="0058432E">
        <w:rPr>
          <w:color w:val="000000" w:themeColor="text1"/>
        </w:rPr>
        <w:t xml:space="preserve"> de broncho-pneumopathie chronique obstructive (BPCO), modérée à sévère, on rapporte plus de cancers, surtout du poumon, de la tête et du cou, parmi les patients traités par infliximab comparativement aux patients du groupe contrôle. Tous les patients avaient des antécédents de tabagisme important. Pour cette raison, des précautions doivent être prises dans l’emploi d’un </w:t>
      </w:r>
      <w:r w:rsidR="008265BD" w:rsidRPr="0058432E">
        <w:rPr>
          <w:color w:val="000000" w:themeColor="text1"/>
        </w:rPr>
        <w:lastRenderedPageBreak/>
        <w:t>antagoniste du</w:t>
      </w:r>
      <w:r w:rsidR="008265BD" w:rsidRPr="0058432E" w:rsidDel="00C11225">
        <w:rPr>
          <w:color w:val="000000" w:themeColor="text1"/>
        </w:rPr>
        <w:t xml:space="preserve"> </w:t>
      </w:r>
      <w:r w:rsidRPr="0058432E">
        <w:rPr>
          <w:color w:val="000000" w:themeColor="text1"/>
        </w:rPr>
        <w:t xml:space="preserve">TNF chez des patients </w:t>
      </w:r>
      <w:r w:rsidR="00D546C9" w:rsidRPr="0058432E">
        <w:rPr>
          <w:color w:val="000000" w:themeColor="text1"/>
        </w:rPr>
        <w:t>atteints</w:t>
      </w:r>
      <w:r w:rsidRPr="0058432E">
        <w:rPr>
          <w:color w:val="000000" w:themeColor="text1"/>
        </w:rPr>
        <w:t xml:space="preserve"> de BPCO, et aussi chez des patients à risque de cancer à cause d’un tabagisme important.</w:t>
      </w:r>
    </w:p>
    <w:p w14:paraId="40590376" w14:textId="77777777" w:rsidR="00C355EC" w:rsidRPr="0058432E" w:rsidRDefault="00C355EC" w:rsidP="0009685B">
      <w:pPr>
        <w:pStyle w:val="BodyText"/>
        <w:widowControl/>
        <w:kinsoku w:val="0"/>
        <w:overflowPunct w:val="0"/>
        <w:ind w:left="0"/>
        <w:rPr>
          <w:color w:val="000000" w:themeColor="text1"/>
        </w:rPr>
      </w:pPr>
    </w:p>
    <w:p w14:paraId="31E6AED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Sur la base des données actuelles, on ne sait pas si le traitement </w:t>
      </w:r>
      <w:r w:rsidR="008E7545" w:rsidRPr="0058432E">
        <w:rPr>
          <w:color w:val="000000" w:themeColor="text1"/>
        </w:rPr>
        <w:t>par adalimumab</w:t>
      </w:r>
      <w:r w:rsidRPr="0058432E">
        <w:rPr>
          <w:color w:val="000000" w:themeColor="text1"/>
        </w:rPr>
        <w:t xml:space="preserve"> influence le risque de développer une dysplasie ou un cancer du côlon. Tous les patients atteints de rectocolite hémorragique qui présentent un risque élevé de dysplasie ou de cancer du côlon (par </w:t>
      </w:r>
      <w:r w:rsidR="001946D2" w:rsidRPr="0058432E">
        <w:rPr>
          <w:color w:val="000000" w:themeColor="text1"/>
        </w:rPr>
        <w:t>ex</w:t>
      </w:r>
      <w:r w:rsidR="00FB4120" w:rsidRPr="0058432E">
        <w:rPr>
          <w:color w:val="000000" w:themeColor="text1"/>
        </w:rPr>
        <w:t>emple</w:t>
      </w:r>
      <w:r w:rsidRPr="0058432E">
        <w:rPr>
          <w:color w:val="000000" w:themeColor="text1"/>
        </w:rPr>
        <w:t>, les patients atteints de rectocolite hémorragique ancienne ou de cholangite sclérosante primitive) ou qui ont un antécédent de dysplasie ou de cancer du côlon doivent faire l</w:t>
      </w:r>
      <w:r w:rsidR="008610E3" w:rsidRPr="0058432E">
        <w:rPr>
          <w:color w:val="000000" w:themeColor="text1"/>
        </w:rPr>
        <w:t>’</w:t>
      </w:r>
      <w:r w:rsidRPr="0058432E">
        <w:rPr>
          <w:color w:val="000000" w:themeColor="text1"/>
        </w:rPr>
        <w:t>objet d'un dépistage régulier à la recherche d'une dysplasie avant le traitement et pendant toute l'évolution de leur maladie. Cette évaluation doit inclure une coloscopie et des biopsies conformément aux recommandations locales.</w:t>
      </w:r>
    </w:p>
    <w:p w14:paraId="79CE5A4C" w14:textId="77777777" w:rsidR="00C355EC" w:rsidRPr="0058432E" w:rsidRDefault="00C355EC" w:rsidP="0009685B">
      <w:pPr>
        <w:pStyle w:val="BodyText"/>
        <w:widowControl/>
        <w:kinsoku w:val="0"/>
        <w:overflowPunct w:val="0"/>
        <w:ind w:left="0"/>
        <w:rPr>
          <w:color w:val="000000" w:themeColor="text1"/>
        </w:rPr>
      </w:pPr>
    </w:p>
    <w:p w14:paraId="7C6B20E6" w14:textId="77777777" w:rsidR="00C355EC" w:rsidRPr="0058432E" w:rsidRDefault="00C355EC" w:rsidP="0009685B">
      <w:pPr>
        <w:pStyle w:val="BodyText"/>
        <w:keepNext/>
        <w:widowControl/>
        <w:kinsoku w:val="0"/>
        <w:overflowPunct w:val="0"/>
        <w:ind w:left="0"/>
        <w:rPr>
          <w:color w:val="000000" w:themeColor="text1"/>
        </w:rPr>
      </w:pPr>
      <w:r w:rsidRPr="0058432E">
        <w:rPr>
          <w:color w:val="000000" w:themeColor="text1"/>
          <w:u w:val="single"/>
        </w:rPr>
        <w:t>Réactions hématologiques</w:t>
      </w:r>
    </w:p>
    <w:p w14:paraId="34DA0B2C" w14:textId="77777777" w:rsidR="00C355EC" w:rsidRPr="0058432E" w:rsidRDefault="00C355EC" w:rsidP="0009685B">
      <w:pPr>
        <w:pStyle w:val="BodyText"/>
        <w:keepNext/>
        <w:widowControl/>
        <w:kinsoku w:val="0"/>
        <w:overflowPunct w:val="0"/>
        <w:ind w:left="0"/>
        <w:rPr>
          <w:color w:val="000000" w:themeColor="text1"/>
        </w:rPr>
      </w:pPr>
    </w:p>
    <w:p w14:paraId="2BEB54F4"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De rares cas de pancytopénie, y compris d’anémie aplasique, ont été rapportés avec les </w:t>
      </w:r>
      <w:r w:rsidR="00881C8B" w:rsidRPr="0058432E">
        <w:rPr>
          <w:color w:val="000000" w:themeColor="text1"/>
        </w:rPr>
        <w:t>antagonistes du</w:t>
      </w:r>
      <w:r w:rsidR="00881C8B" w:rsidRPr="0058432E" w:rsidDel="00C11225">
        <w:rPr>
          <w:color w:val="000000" w:themeColor="text1"/>
        </w:rPr>
        <w:t xml:space="preserve"> </w:t>
      </w:r>
      <w:r w:rsidRPr="0058432E">
        <w:rPr>
          <w:color w:val="000000" w:themeColor="text1"/>
        </w:rPr>
        <w:t xml:space="preserve">TNF. Des </w:t>
      </w:r>
      <w:r w:rsidR="00881C8B" w:rsidRPr="0058432E">
        <w:rPr>
          <w:color w:val="000000" w:themeColor="text1"/>
        </w:rPr>
        <w:t xml:space="preserve">événements </w:t>
      </w:r>
      <w:r w:rsidRPr="0058432E">
        <w:rPr>
          <w:color w:val="000000" w:themeColor="text1"/>
        </w:rPr>
        <w:t xml:space="preserve">indésirables du système </w:t>
      </w:r>
      <w:r w:rsidR="00881C8B" w:rsidRPr="0058432E">
        <w:rPr>
          <w:color w:val="000000" w:themeColor="text1"/>
        </w:rPr>
        <w:t xml:space="preserve">hématologique </w:t>
      </w:r>
      <w:r w:rsidRPr="0058432E">
        <w:rPr>
          <w:color w:val="000000" w:themeColor="text1"/>
        </w:rPr>
        <w:t>comprenant des cytopénies médicalement significatives (par ex</w:t>
      </w:r>
      <w:r w:rsidR="00FB4120" w:rsidRPr="0058432E">
        <w:rPr>
          <w:color w:val="000000" w:themeColor="text1"/>
        </w:rPr>
        <w:t>emple</w:t>
      </w:r>
      <w:r w:rsidRPr="0058432E">
        <w:rPr>
          <w:color w:val="000000" w:themeColor="text1"/>
        </w:rPr>
        <w:t xml:space="preserve"> : thrombocytopénie, leucopénie) ont été observés avec l’adalimumab. Il doit être conseillé à tous les patients de demander immédiatement un avis médical s’ils </w:t>
      </w:r>
      <w:r w:rsidR="00881C8B" w:rsidRPr="0058432E">
        <w:rPr>
          <w:color w:val="000000" w:themeColor="text1"/>
        </w:rPr>
        <w:t xml:space="preserve">développent </w:t>
      </w:r>
      <w:r w:rsidRPr="0058432E">
        <w:rPr>
          <w:color w:val="000000" w:themeColor="text1"/>
        </w:rPr>
        <w:t xml:space="preserve">des signes ou des symptômes suggérant des </w:t>
      </w:r>
      <w:r w:rsidR="00881C8B" w:rsidRPr="0058432E">
        <w:rPr>
          <w:color w:val="000000" w:themeColor="text1"/>
        </w:rPr>
        <w:t xml:space="preserve">dyscrasies </w:t>
      </w:r>
      <w:r w:rsidRPr="0058432E">
        <w:rPr>
          <w:color w:val="000000" w:themeColor="text1"/>
        </w:rPr>
        <w:t>sanguin</w:t>
      </w:r>
      <w:r w:rsidR="00881C8B" w:rsidRPr="0058432E">
        <w:rPr>
          <w:color w:val="000000" w:themeColor="text1"/>
        </w:rPr>
        <w:t>e</w:t>
      </w:r>
      <w:r w:rsidRPr="0058432E">
        <w:rPr>
          <w:color w:val="000000" w:themeColor="text1"/>
        </w:rPr>
        <w:t>s (par ex</w:t>
      </w:r>
      <w:r w:rsidR="00FB4120" w:rsidRPr="0058432E">
        <w:rPr>
          <w:color w:val="000000" w:themeColor="text1"/>
        </w:rPr>
        <w:t>emple</w:t>
      </w:r>
      <w:r w:rsidRPr="0058432E">
        <w:rPr>
          <w:color w:val="000000" w:themeColor="text1"/>
        </w:rPr>
        <w:t xml:space="preserve"> : fièvre persistante, ecchymoses, saignements, pâleur) sous Amsparity. L’arrêt du traitement par Amsparity devra être envisagé </w:t>
      </w:r>
      <w:r w:rsidR="009259A5" w:rsidRPr="0058432E">
        <w:rPr>
          <w:color w:val="000000" w:themeColor="text1"/>
        </w:rPr>
        <w:t xml:space="preserve">chez </w:t>
      </w:r>
      <w:r w:rsidRPr="0058432E">
        <w:rPr>
          <w:color w:val="000000" w:themeColor="text1"/>
        </w:rPr>
        <w:t xml:space="preserve">les patients </w:t>
      </w:r>
      <w:r w:rsidR="009259A5" w:rsidRPr="0058432E">
        <w:rPr>
          <w:color w:val="000000" w:themeColor="text1"/>
        </w:rPr>
        <w:t>ayant</w:t>
      </w:r>
      <w:r w:rsidRPr="0058432E">
        <w:rPr>
          <w:color w:val="000000" w:themeColor="text1"/>
        </w:rPr>
        <w:t xml:space="preserve"> des anomalies </w:t>
      </w:r>
      <w:r w:rsidR="009C4ADE" w:rsidRPr="0058432E">
        <w:rPr>
          <w:color w:val="000000" w:themeColor="text1"/>
        </w:rPr>
        <w:t xml:space="preserve">hématologiques </w:t>
      </w:r>
      <w:r w:rsidRPr="0058432E">
        <w:rPr>
          <w:color w:val="000000" w:themeColor="text1"/>
        </w:rPr>
        <w:t>significatives confirmées.</w:t>
      </w:r>
    </w:p>
    <w:p w14:paraId="7E26D06E" w14:textId="77777777" w:rsidR="008620EF" w:rsidRPr="0058432E" w:rsidRDefault="008620EF" w:rsidP="0009685B">
      <w:pPr>
        <w:pStyle w:val="BodyText"/>
        <w:widowControl/>
        <w:kinsoku w:val="0"/>
        <w:overflowPunct w:val="0"/>
        <w:ind w:left="0"/>
        <w:rPr>
          <w:color w:val="000000" w:themeColor="text1"/>
          <w:u w:val="single"/>
        </w:rPr>
      </w:pPr>
    </w:p>
    <w:p w14:paraId="32170A37"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Vaccinations</w:t>
      </w:r>
    </w:p>
    <w:p w14:paraId="38EFBC5E" w14:textId="77777777" w:rsidR="00C355EC" w:rsidRPr="0058432E" w:rsidRDefault="00C355EC" w:rsidP="0009685B">
      <w:pPr>
        <w:pStyle w:val="BodyText"/>
        <w:widowControl/>
        <w:kinsoku w:val="0"/>
        <w:overflowPunct w:val="0"/>
        <w:ind w:left="0"/>
        <w:rPr>
          <w:color w:val="000000" w:themeColor="text1"/>
        </w:rPr>
      </w:pPr>
    </w:p>
    <w:p w14:paraId="601A3A9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Des réponses anticorps similaires au vaccin pneumococcique </w:t>
      </w:r>
      <w:r w:rsidR="00965D9F" w:rsidRPr="0058432E">
        <w:rPr>
          <w:color w:val="000000" w:themeColor="text1"/>
        </w:rPr>
        <w:t>23-</w:t>
      </w:r>
      <w:r w:rsidRPr="0058432E">
        <w:rPr>
          <w:color w:val="000000" w:themeColor="text1"/>
        </w:rPr>
        <w:t>valen</w:t>
      </w:r>
      <w:r w:rsidR="00965D9F" w:rsidRPr="0058432E">
        <w:rPr>
          <w:color w:val="000000" w:themeColor="text1"/>
        </w:rPr>
        <w:t>t</w:t>
      </w:r>
      <w:r w:rsidRPr="0058432E">
        <w:rPr>
          <w:color w:val="000000" w:themeColor="text1"/>
        </w:rPr>
        <w:t xml:space="preserve"> standard et à la vaccination contre le virus trivalent de la grippe ont été observées dans une étude chez 226</w:t>
      </w:r>
      <w:r w:rsidR="001A3AC3" w:rsidRPr="0058432E">
        <w:rPr>
          <w:color w:val="000000" w:themeColor="text1"/>
        </w:rPr>
        <w:t> </w:t>
      </w:r>
      <w:r w:rsidRPr="0058432E">
        <w:rPr>
          <w:color w:val="000000" w:themeColor="text1"/>
        </w:rPr>
        <w:t xml:space="preserve">adultes </w:t>
      </w:r>
      <w:r w:rsidR="00D546C9" w:rsidRPr="0058432E">
        <w:rPr>
          <w:color w:val="000000" w:themeColor="text1"/>
        </w:rPr>
        <w:t>atteints</w:t>
      </w:r>
      <w:r w:rsidRPr="0058432E">
        <w:rPr>
          <w:color w:val="000000" w:themeColor="text1"/>
        </w:rPr>
        <w:t xml:space="preserve"> de polyarthrite rhumatoïde traités </w:t>
      </w:r>
      <w:r w:rsidR="008E7545" w:rsidRPr="0058432E">
        <w:rPr>
          <w:color w:val="000000" w:themeColor="text1"/>
        </w:rPr>
        <w:t>par adalimumab</w:t>
      </w:r>
      <w:r w:rsidRPr="0058432E">
        <w:rPr>
          <w:color w:val="000000" w:themeColor="text1"/>
        </w:rPr>
        <w:t xml:space="preserve"> ou placebo. Il n’y a pas de données disponibles sur la transmission secondaire d’infection par des vaccins vivants chez les patients recevant l’adalimumab.</w:t>
      </w:r>
    </w:p>
    <w:p w14:paraId="69458D09" w14:textId="77777777" w:rsidR="00C355EC" w:rsidRPr="0058432E" w:rsidRDefault="00C355EC" w:rsidP="0009685B">
      <w:pPr>
        <w:pStyle w:val="BodyText"/>
        <w:widowControl/>
        <w:kinsoku w:val="0"/>
        <w:overflowPunct w:val="0"/>
        <w:ind w:left="0"/>
        <w:rPr>
          <w:color w:val="000000" w:themeColor="text1"/>
        </w:rPr>
      </w:pPr>
    </w:p>
    <w:p w14:paraId="2C409399"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Chez les enfants et les adolescents, il est recommandé, si possible, que toutes les vaccinations soient à jour conformément aux recommandations vaccinales en vigueur avant l’instauration du traitement par adalimumab.</w:t>
      </w:r>
    </w:p>
    <w:p w14:paraId="446B1BB0" w14:textId="77777777" w:rsidR="00C355EC" w:rsidRPr="0058432E" w:rsidRDefault="00C355EC" w:rsidP="0009685B">
      <w:pPr>
        <w:pStyle w:val="BodyText"/>
        <w:widowControl/>
        <w:kinsoku w:val="0"/>
        <w:overflowPunct w:val="0"/>
        <w:ind w:left="0"/>
        <w:rPr>
          <w:color w:val="000000" w:themeColor="text1"/>
          <w:szCs w:val="21"/>
        </w:rPr>
      </w:pPr>
    </w:p>
    <w:p w14:paraId="5C12173C"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Les patients sous adalimumab peuvent recevoir </w:t>
      </w:r>
      <w:r w:rsidR="00545962" w:rsidRPr="0058432E">
        <w:rPr>
          <w:color w:val="000000" w:themeColor="text1"/>
        </w:rPr>
        <w:t>simultanément des</w:t>
      </w:r>
      <w:r w:rsidRPr="0058432E">
        <w:rPr>
          <w:color w:val="000000" w:themeColor="text1"/>
        </w:rPr>
        <w:t xml:space="preserve"> vaccins, </w:t>
      </w:r>
      <w:r w:rsidR="00545962" w:rsidRPr="0058432E">
        <w:rPr>
          <w:color w:val="000000" w:themeColor="text1"/>
        </w:rPr>
        <w:t>à l’</w:t>
      </w:r>
      <w:r w:rsidRPr="0058432E">
        <w:rPr>
          <w:color w:val="000000" w:themeColor="text1"/>
        </w:rPr>
        <w:t>except</w:t>
      </w:r>
      <w:r w:rsidR="00545962" w:rsidRPr="0058432E">
        <w:rPr>
          <w:color w:val="000000" w:themeColor="text1"/>
        </w:rPr>
        <w:t>ion</w:t>
      </w:r>
      <w:r w:rsidRPr="0058432E">
        <w:rPr>
          <w:color w:val="000000" w:themeColor="text1"/>
        </w:rPr>
        <w:t xml:space="preserve"> des vaccins vivants. L’administration de vaccins vivants (par ex</w:t>
      </w:r>
      <w:r w:rsidR="007E0432" w:rsidRPr="0058432E">
        <w:rPr>
          <w:color w:val="000000" w:themeColor="text1"/>
        </w:rPr>
        <w:t>emple</w:t>
      </w:r>
      <w:r w:rsidR="002302C5" w:rsidRPr="0058432E">
        <w:rPr>
          <w:color w:val="000000" w:themeColor="text1"/>
        </w:rPr>
        <w:t>,</w:t>
      </w:r>
      <w:r w:rsidRPr="0058432E">
        <w:rPr>
          <w:color w:val="000000" w:themeColor="text1"/>
        </w:rPr>
        <w:t xml:space="preserve"> vaccin BCG) à des </w:t>
      </w:r>
      <w:r w:rsidR="008F50C9" w:rsidRPr="0058432E">
        <w:rPr>
          <w:color w:val="000000" w:themeColor="text1"/>
        </w:rPr>
        <w:t xml:space="preserve">nourrissons </w:t>
      </w:r>
      <w:r w:rsidRPr="0058432E">
        <w:rPr>
          <w:color w:val="000000" w:themeColor="text1"/>
        </w:rPr>
        <w:t xml:space="preserve">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w:t>
      </w:r>
      <w:r w:rsidR="00B600CF" w:rsidRPr="0058432E">
        <w:rPr>
          <w:color w:val="000000" w:themeColor="text1"/>
        </w:rPr>
        <w:t xml:space="preserve"> d’adalimumab chez</w:t>
      </w:r>
      <w:r w:rsidRPr="0058432E">
        <w:rPr>
          <w:color w:val="000000" w:themeColor="text1"/>
        </w:rPr>
        <w:t xml:space="preserve"> la mère</w:t>
      </w:r>
      <w:r w:rsidR="00B600CF" w:rsidRPr="0058432E">
        <w:rPr>
          <w:color w:val="000000" w:themeColor="text1"/>
        </w:rPr>
        <w:t xml:space="preserve"> pendant</w:t>
      </w:r>
      <w:r w:rsidRPr="0058432E">
        <w:rPr>
          <w:color w:val="000000" w:themeColor="text1"/>
        </w:rPr>
        <w:t xml:space="preserve"> la grossesse.</w:t>
      </w:r>
    </w:p>
    <w:p w14:paraId="3D125301" w14:textId="77777777" w:rsidR="00C355EC" w:rsidRPr="0058432E" w:rsidRDefault="00C355EC" w:rsidP="0009685B">
      <w:pPr>
        <w:pStyle w:val="BodyText"/>
        <w:widowControl/>
        <w:kinsoku w:val="0"/>
        <w:overflowPunct w:val="0"/>
        <w:ind w:left="0"/>
        <w:rPr>
          <w:color w:val="000000" w:themeColor="text1"/>
        </w:rPr>
      </w:pPr>
    </w:p>
    <w:p w14:paraId="03073106"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Insuffisance cardiaque congestive</w:t>
      </w:r>
    </w:p>
    <w:p w14:paraId="45F0569F" w14:textId="77777777" w:rsidR="00C355EC" w:rsidRPr="0058432E" w:rsidRDefault="00C355EC" w:rsidP="0009685B">
      <w:pPr>
        <w:pStyle w:val="BodyText"/>
        <w:widowControl/>
        <w:kinsoku w:val="0"/>
        <w:overflowPunct w:val="0"/>
        <w:ind w:left="0"/>
        <w:rPr>
          <w:color w:val="000000" w:themeColor="text1"/>
        </w:rPr>
      </w:pPr>
    </w:p>
    <w:p w14:paraId="3037E862"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Dans un essai clinique mené avec un autre </w:t>
      </w:r>
      <w:r w:rsidR="00B600CF" w:rsidRPr="0058432E">
        <w:rPr>
          <w:color w:val="000000" w:themeColor="text1"/>
        </w:rPr>
        <w:t xml:space="preserve">antagoniste du </w:t>
      </w:r>
      <w:r w:rsidRPr="0058432E">
        <w:rPr>
          <w:color w:val="000000" w:themeColor="text1"/>
        </w:rPr>
        <w:t>TNF, on a observé une aggravation de l’insuffisance cardiaque congestive et une augmentation de la mortalité par insuffisance cardiaque congestive. Des cas d’aggravation d’insuffisance cardiaque congestive ont aussi été rapportés chez des patients sous adalimumab. Amsparity doit être utilisé avec prudence chez les patients atteints d’insuffisance cardiaque légère (NYHA classes</w:t>
      </w:r>
      <w:r w:rsidR="00BA1BB4" w:rsidRPr="0058432E">
        <w:rPr>
          <w:color w:val="000000" w:themeColor="text1"/>
        </w:rPr>
        <w:t> </w:t>
      </w:r>
      <w:r w:rsidRPr="0058432E">
        <w:rPr>
          <w:color w:val="000000" w:themeColor="text1"/>
        </w:rPr>
        <w:t>I/II). Amsparity est contre-indiqué dans l’insuffisance cardiaque modérée à sévère (voir rubrique 4.3). Le traitement par Amsparity doit être arrêté chez les patients présentant de nouveaux symptômes ou une aggravation de leurs symptômes d’insuffisance cardiaque congestive.</w:t>
      </w:r>
    </w:p>
    <w:p w14:paraId="6BDAC12E" w14:textId="77777777" w:rsidR="00C355EC" w:rsidRPr="0058432E" w:rsidRDefault="00C355EC" w:rsidP="0009685B">
      <w:pPr>
        <w:pStyle w:val="BodyText"/>
        <w:widowControl/>
        <w:kinsoku w:val="0"/>
        <w:overflowPunct w:val="0"/>
        <w:ind w:left="0"/>
        <w:rPr>
          <w:color w:val="000000" w:themeColor="text1"/>
        </w:rPr>
      </w:pPr>
    </w:p>
    <w:p w14:paraId="4231E9C9"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Processus auto-immuns</w:t>
      </w:r>
    </w:p>
    <w:p w14:paraId="0FE2A967" w14:textId="77777777" w:rsidR="00C355EC" w:rsidRPr="0058432E" w:rsidRDefault="00C355EC" w:rsidP="0009685B">
      <w:pPr>
        <w:pStyle w:val="BodyText"/>
        <w:widowControl/>
        <w:kinsoku w:val="0"/>
        <w:overflowPunct w:val="0"/>
        <w:ind w:left="0"/>
        <w:rPr>
          <w:color w:val="000000" w:themeColor="text1"/>
        </w:rPr>
      </w:pPr>
    </w:p>
    <w:p w14:paraId="05897EAE"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Le traitement par Amsparity peut entraîner la formation d’anticorps auto-immuns. L’impact d’un traitement à long terme par adalimumab sur le développement de maladies auto-immunes est inconnu. Si un patient développe des symptômes </w:t>
      </w:r>
      <w:r w:rsidR="009A4BA1" w:rsidRPr="0058432E">
        <w:rPr>
          <w:color w:val="000000" w:themeColor="text1"/>
        </w:rPr>
        <w:t xml:space="preserve">suggérant </w:t>
      </w:r>
      <w:r w:rsidRPr="0058432E">
        <w:rPr>
          <w:color w:val="000000" w:themeColor="text1"/>
        </w:rPr>
        <w:t xml:space="preserve">un syndrome de type lupus à la suite d’un traitement par Amsparity et présente une réaction positive </w:t>
      </w:r>
      <w:r w:rsidR="009A4BA1" w:rsidRPr="0058432E">
        <w:rPr>
          <w:color w:val="000000" w:themeColor="text1"/>
        </w:rPr>
        <w:t xml:space="preserve">aux anticorps </w:t>
      </w:r>
      <w:r w:rsidRPr="0058432E">
        <w:rPr>
          <w:color w:val="000000" w:themeColor="text1"/>
        </w:rPr>
        <w:t>anti-ADN double brin, le traitement par Amsparity ne devra pas être poursuivi (voir rubrique 4.8).</w:t>
      </w:r>
    </w:p>
    <w:p w14:paraId="06CD9DC6" w14:textId="77777777" w:rsidR="00C355EC" w:rsidRPr="0058432E" w:rsidRDefault="00C355EC" w:rsidP="0009685B">
      <w:pPr>
        <w:pStyle w:val="BodyText"/>
        <w:widowControl/>
        <w:kinsoku w:val="0"/>
        <w:overflowPunct w:val="0"/>
        <w:ind w:left="0"/>
        <w:rPr>
          <w:color w:val="000000" w:themeColor="text1"/>
        </w:rPr>
      </w:pPr>
    </w:p>
    <w:p w14:paraId="192A702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lastRenderedPageBreak/>
        <w:t>Administration simultanée de traitements de fond (DMARD</w:t>
      </w:r>
      <w:r w:rsidR="004611AC" w:rsidRPr="0058432E">
        <w:rPr>
          <w:color w:val="000000" w:themeColor="text1"/>
          <w:u w:val="single"/>
        </w:rPr>
        <w:t>s</w:t>
      </w:r>
      <w:r w:rsidRPr="0058432E">
        <w:rPr>
          <w:color w:val="000000" w:themeColor="text1"/>
          <w:u w:val="single"/>
        </w:rPr>
        <w:t>)</w:t>
      </w:r>
      <w:r w:rsidRPr="0058432E">
        <w:rPr>
          <w:color w:val="000000" w:themeColor="text1"/>
        </w:rPr>
        <w:t xml:space="preserve"> </w:t>
      </w:r>
      <w:r w:rsidRPr="0058432E">
        <w:rPr>
          <w:color w:val="000000" w:themeColor="text1"/>
          <w:u w:val="single"/>
        </w:rPr>
        <w:t xml:space="preserve">biologiques ou </w:t>
      </w:r>
      <w:r w:rsidR="006B275B" w:rsidRPr="0058432E">
        <w:rPr>
          <w:color w:val="000000" w:themeColor="text1"/>
          <w:u w:val="single"/>
        </w:rPr>
        <w:t>antagonistes du</w:t>
      </w:r>
      <w:r w:rsidR="006B275B" w:rsidRPr="0058432E" w:rsidDel="00C11225">
        <w:rPr>
          <w:color w:val="000000" w:themeColor="text1"/>
          <w:u w:val="single"/>
        </w:rPr>
        <w:t xml:space="preserve"> </w:t>
      </w:r>
      <w:r w:rsidRPr="0058432E">
        <w:rPr>
          <w:color w:val="000000" w:themeColor="text1"/>
          <w:u w:val="single"/>
        </w:rPr>
        <w:t>TNF</w:t>
      </w:r>
    </w:p>
    <w:p w14:paraId="0C1C4223" w14:textId="77777777" w:rsidR="00C355EC" w:rsidRPr="0058432E" w:rsidRDefault="00C355EC" w:rsidP="0009685B">
      <w:pPr>
        <w:pStyle w:val="BodyText"/>
        <w:widowControl/>
        <w:kinsoku w:val="0"/>
        <w:overflowPunct w:val="0"/>
        <w:ind w:left="0"/>
        <w:rPr>
          <w:color w:val="000000" w:themeColor="text1"/>
        </w:rPr>
      </w:pPr>
    </w:p>
    <w:p w14:paraId="3321E945"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Des infections graves ont été observées dans des études cliniques lors de l’administration simultanée d’anakinra et d’un autre </w:t>
      </w:r>
      <w:r w:rsidR="00F60AAB" w:rsidRPr="0058432E">
        <w:rPr>
          <w:color w:val="000000" w:themeColor="text1"/>
        </w:rPr>
        <w:t>antagoniste du</w:t>
      </w:r>
      <w:r w:rsidR="00F60AAB" w:rsidRPr="0058432E" w:rsidDel="00C11225">
        <w:rPr>
          <w:color w:val="000000" w:themeColor="text1"/>
        </w:rPr>
        <w:t xml:space="preserve"> </w:t>
      </w:r>
      <w:r w:rsidRPr="0058432E">
        <w:rPr>
          <w:color w:val="000000" w:themeColor="text1"/>
        </w:rPr>
        <w:t xml:space="preserve">TNF, l’étanercept, sans bénéfice clinique supplémentaire comparé à l’étanercept seul. En raison de la nature des </w:t>
      </w:r>
      <w:r w:rsidR="00F60AAB" w:rsidRPr="0058432E">
        <w:rPr>
          <w:color w:val="000000" w:themeColor="text1"/>
        </w:rPr>
        <w:t xml:space="preserve">événements </w:t>
      </w:r>
      <w:r w:rsidRPr="0058432E">
        <w:rPr>
          <w:color w:val="000000" w:themeColor="text1"/>
        </w:rPr>
        <w:t xml:space="preserve">indésirables observés avec le traitement par l’association étanercept et anakinra, des effets néfastes similaires peuvent aussi résulter de l’association d’anakinra et d’autres </w:t>
      </w:r>
      <w:r w:rsidR="00F60AAB" w:rsidRPr="0058432E">
        <w:rPr>
          <w:color w:val="000000" w:themeColor="text1"/>
        </w:rPr>
        <w:t>antagonistes du</w:t>
      </w:r>
      <w:r w:rsidR="00F60AAB" w:rsidRPr="0058432E" w:rsidDel="00C11225">
        <w:rPr>
          <w:color w:val="000000" w:themeColor="text1"/>
        </w:rPr>
        <w:t xml:space="preserve"> </w:t>
      </w:r>
      <w:r w:rsidRPr="0058432E">
        <w:rPr>
          <w:color w:val="000000" w:themeColor="text1"/>
        </w:rPr>
        <w:t>TNF. Par conséquent, l’association d’adalimumab et d’anakinra n’est pas recommandée (voir rubrique 4.5).</w:t>
      </w:r>
    </w:p>
    <w:p w14:paraId="36FECA84" w14:textId="77777777" w:rsidR="00C355EC" w:rsidRPr="0058432E" w:rsidRDefault="00C355EC" w:rsidP="0009685B">
      <w:pPr>
        <w:pStyle w:val="BodyText"/>
        <w:widowControl/>
        <w:kinsoku w:val="0"/>
        <w:overflowPunct w:val="0"/>
        <w:ind w:left="0"/>
        <w:rPr>
          <w:color w:val="000000" w:themeColor="text1"/>
          <w:szCs w:val="21"/>
        </w:rPr>
      </w:pPr>
    </w:p>
    <w:p w14:paraId="67AC0A9C"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L’administration concomitante d’adalimumab avec d’autres </w:t>
      </w:r>
      <w:r w:rsidR="003D045A" w:rsidRPr="0058432E">
        <w:rPr>
          <w:color w:val="000000" w:themeColor="text1"/>
        </w:rPr>
        <w:t>DMARDs</w:t>
      </w:r>
      <w:r w:rsidRPr="0058432E">
        <w:rPr>
          <w:color w:val="000000" w:themeColor="text1"/>
        </w:rPr>
        <w:t xml:space="preserve"> (par ex</w:t>
      </w:r>
      <w:r w:rsidR="00D023A3" w:rsidRPr="0058432E">
        <w:rPr>
          <w:color w:val="000000" w:themeColor="text1"/>
        </w:rPr>
        <w:t>emple,</w:t>
      </w:r>
      <w:r w:rsidRPr="0058432E">
        <w:rPr>
          <w:color w:val="000000" w:themeColor="text1"/>
        </w:rPr>
        <w:t xml:space="preserve"> anakinra et abatacept) ou avec d’autres </w:t>
      </w:r>
      <w:r w:rsidR="00D96394" w:rsidRPr="0058432E">
        <w:rPr>
          <w:color w:val="000000" w:themeColor="text1"/>
        </w:rPr>
        <w:t>antagonistes du</w:t>
      </w:r>
      <w:r w:rsidR="00D96394" w:rsidRPr="0058432E" w:rsidDel="00C11225">
        <w:rPr>
          <w:color w:val="000000" w:themeColor="text1"/>
        </w:rPr>
        <w:t xml:space="preserve"> </w:t>
      </w:r>
      <w:r w:rsidRPr="0058432E">
        <w:rPr>
          <w:color w:val="000000" w:themeColor="text1"/>
        </w:rPr>
        <w:t>TNF n’est pas recommandée en raison de l’augmentation possible du risque d’infections, y compris d’infections graves, et d’autres interactions pharmacologiques potentielles (voir rubrique 4.5).</w:t>
      </w:r>
    </w:p>
    <w:p w14:paraId="4E1FE8A6" w14:textId="77777777" w:rsidR="00C355EC" w:rsidRPr="0058432E" w:rsidRDefault="00C355EC" w:rsidP="0009685B">
      <w:pPr>
        <w:pStyle w:val="BodyText"/>
        <w:widowControl/>
        <w:kinsoku w:val="0"/>
        <w:overflowPunct w:val="0"/>
        <w:ind w:left="0"/>
        <w:rPr>
          <w:color w:val="000000" w:themeColor="text1"/>
          <w:szCs w:val="21"/>
        </w:rPr>
      </w:pPr>
    </w:p>
    <w:p w14:paraId="392D0A5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Chirurgie</w:t>
      </w:r>
    </w:p>
    <w:p w14:paraId="0FF16905" w14:textId="77777777" w:rsidR="00C355EC" w:rsidRPr="0058432E" w:rsidRDefault="00C355EC" w:rsidP="0009685B">
      <w:pPr>
        <w:pStyle w:val="BodyText"/>
        <w:widowControl/>
        <w:kinsoku w:val="0"/>
        <w:overflowPunct w:val="0"/>
        <w:ind w:left="0"/>
        <w:rPr>
          <w:color w:val="000000" w:themeColor="text1"/>
          <w:szCs w:val="15"/>
        </w:rPr>
      </w:pPr>
    </w:p>
    <w:p w14:paraId="3B56A302"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L’expérience concernant la tolérance au cours d’interventions chirurgicales chez les patients traités par adalimumab est limitée. La longue demi-vie de l’adalimumab doit être prise en compte si une intervention chirurgicale est prévue. Un patient traité par Amsparity nécessitant une intervention chirurgicale doit être attentivement surveillé afin de dépister des infections et des actions appropriées doivent être entreprises. L’expérience concernant la tolérance de l’adalimumab chez les patients opérés pour arthroplastie est limitée.</w:t>
      </w:r>
    </w:p>
    <w:p w14:paraId="05B8546E" w14:textId="77777777" w:rsidR="008620EF" w:rsidRPr="0058432E" w:rsidRDefault="008620EF" w:rsidP="0009685B">
      <w:pPr>
        <w:pStyle w:val="BodyText"/>
        <w:widowControl/>
        <w:kinsoku w:val="0"/>
        <w:overflowPunct w:val="0"/>
        <w:ind w:left="0"/>
        <w:rPr>
          <w:color w:val="000000" w:themeColor="text1"/>
          <w:u w:val="single"/>
        </w:rPr>
      </w:pPr>
    </w:p>
    <w:p w14:paraId="0B8BA521" w14:textId="77777777" w:rsidR="00C355EC" w:rsidRPr="0058432E" w:rsidRDefault="00C355EC" w:rsidP="0009685B">
      <w:pPr>
        <w:pStyle w:val="BodyText"/>
        <w:keepNext/>
        <w:widowControl/>
        <w:kinsoku w:val="0"/>
        <w:overflowPunct w:val="0"/>
        <w:ind w:left="0"/>
        <w:rPr>
          <w:color w:val="000000" w:themeColor="text1"/>
        </w:rPr>
      </w:pPr>
      <w:r w:rsidRPr="0058432E">
        <w:rPr>
          <w:color w:val="000000" w:themeColor="text1"/>
          <w:u w:val="single"/>
        </w:rPr>
        <w:t xml:space="preserve">Occlusion </w:t>
      </w:r>
      <w:proofErr w:type="gramStart"/>
      <w:r w:rsidRPr="0058432E">
        <w:rPr>
          <w:color w:val="000000" w:themeColor="text1"/>
          <w:u w:val="single"/>
        </w:rPr>
        <w:t>du grêle</w:t>
      </w:r>
      <w:proofErr w:type="gramEnd"/>
    </w:p>
    <w:p w14:paraId="074A9A10" w14:textId="77777777" w:rsidR="00C355EC" w:rsidRPr="0058432E" w:rsidRDefault="00C355EC" w:rsidP="0009685B">
      <w:pPr>
        <w:pStyle w:val="BodyText"/>
        <w:keepNext/>
        <w:widowControl/>
        <w:kinsoku w:val="0"/>
        <w:overflowPunct w:val="0"/>
        <w:ind w:left="0"/>
        <w:rPr>
          <w:color w:val="000000" w:themeColor="text1"/>
        </w:rPr>
      </w:pPr>
    </w:p>
    <w:p w14:paraId="54051EB2" w14:textId="77777777" w:rsidR="00C355EC" w:rsidRPr="0058432E" w:rsidRDefault="00C355EC" w:rsidP="00054A92">
      <w:pPr>
        <w:pStyle w:val="BodyText"/>
        <w:widowControl/>
        <w:kinsoku w:val="0"/>
        <w:overflowPunct w:val="0"/>
        <w:ind w:left="0"/>
        <w:rPr>
          <w:color w:val="000000" w:themeColor="text1"/>
        </w:rPr>
      </w:pPr>
      <w:r w:rsidRPr="0058432E">
        <w:rPr>
          <w:color w:val="000000" w:themeColor="text1"/>
        </w:rPr>
        <w:t>Dans la maladie de Crohn, l’échec au traitement peut indiquer la présence de sténoses fibreuses fixes pouvant nécessiter un traitement chirurgical. Les données disponibles suggèrent que l’adalimumab n’aggrave pas ou ne provoque pas de sténoses.</w:t>
      </w:r>
    </w:p>
    <w:p w14:paraId="6377660F" w14:textId="77777777" w:rsidR="00C355EC" w:rsidRPr="0058432E" w:rsidRDefault="00C355EC" w:rsidP="0009685B">
      <w:pPr>
        <w:pStyle w:val="BodyText"/>
        <w:widowControl/>
        <w:kinsoku w:val="0"/>
        <w:overflowPunct w:val="0"/>
        <w:ind w:left="0"/>
        <w:rPr>
          <w:color w:val="000000" w:themeColor="text1"/>
        </w:rPr>
      </w:pPr>
    </w:p>
    <w:p w14:paraId="76932DA7" w14:textId="77777777" w:rsidR="00C355EC" w:rsidRPr="0058432E" w:rsidRDefault="00C355EC" w:rsidP="0009685B">
      <w:pPr>
        <w:pStyle w:val="BodyText"/>
        <w:keepNext/>
        <w:widowControl/>
        <w:kinsoku w:val="0"/>
        <w:overflowPunct w:val="0"/>
        <w:ind w:left="0"/>
        <w:rPr>
          <w:color w:val="000000" w:themeColor="text1"/>
        </w:rPr>
      </w:pPr>
      <w:r w:rsidRPr="0058432E">
        <w:rPr>
          <w:color w:val="000000" w:themeColor="text1"/>
          <w:u w:val="single"/>
        </w:rPr>
        <w:t>Sujets âgés</w:t>
      </w:r>
    </w:p>
    <w:p w14:paraId="074B6891" w14:textId="77777777" w:rsidR="00C355EC" w:rsidRPr="0058432E" w:rsidRDefault="00C355EC" w:rsidP="0009685B">
      <w:pPr>
        <w:pStyle w:val="BodyText"/>
        <w:keepNext/>
        <w:widowControl/>
        <w:kinsoku w:val="0"/>
        <w:overflowPunct w:val="0"/>
        <w:ind w:left="0"/>
        <w:rPr>
          <w:color w:val="000000" w:themeColor="text1"/>
        </w:rPr>
      </w:pPr>
    </w:p>
    <w:p w14:paraId="72F730C1"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La fréquence des infections graves chez les sujets traités par adalimumab âgés de plus de 65 ans (3,7 %) est plus élevée que chez les patients de moins de 65 ans (1,5 %). Certains cas ont eu une issue fatale. Une attention particulière concernant le risque d’infection doit être apportée lors du traitement des sujets âgés.</w:t>
      </w:r>
    </w:p>
    <w:p w14:paraId="10165128" w14:textId="77777777" w:rsidR="00C355EC" w:rsidRPr="0058432E" w:rsidRDefault="00C355EC" w:rsidP="0009685B">
      <w:pPr>
        <w:pStyle w:val="BodyText"/>
        <w:widowControl/>
        <w:kinsoku w:val="0"/>
        <w:overflowPunct w:val="0"/>
        <w:ind w:left="0"/>
        <w:rPr>
          <w:color w:val="000000" w:themeColor="text1"/>
        </w:rPr>
      </w:pPr>
    </w:p>
    <w:p w14:paraId="43341484" w14:textId="77777777" w:rsidR="00C355EC" w:rsidRPr="0058432E" w:rsidRDefault="00C355EC" w:rsidP="00054A92">
      <w:pPr>
        <w:pStyle w:val="BodyText"/>
        <w:keepNext/>
        <w:widowControl/>
        <w:kinsoku w:val="0"/>
        <w:overflowPunct w:val="0"/>
        <w:ind w:left="0"/>
        <w:rPr>
          <w:color w:val="000000" w:themeColor="text1"/>
        </w:rPr>
      </w:pPr>
      <w:r w:rsidRPr="0058432E">
        <w:rPr>
          <w:color w:val="000000" w:themeColor="text1"/>
          <w:u w:val="single"/>
        </w:rPr>
        <w:t>Population pédiatrique</w:t>
      </w:r>
    </w:p>
    <w:p w14:paraId="4003F381" w14:textId="77777777" w:rsidR="00C355EC" w:rsidRPr="0058432E" w:rsidRDefault="00C355EC" w:rsidP="00054A92">
      <w:pPr>
        <w:pStyle w:val="BodyText"/>
        <w:keepNext/>
        <w:widowControl/>
        <w:kinsoku w:val="0"/>
        <w:overflowPunct w:val="0"/>
        <w:ind w:left="0"/>
        <w:rPr>
          <w:color w:val="000000" w:themeColor="text1"/>
        </w:rPr>
      </w:pPr>
    </w:p>
    <w:p w14:paraId="72A176C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Voir </w:t>
      </w:r>
      <w:r w:rsidR="00F11165" w:rsidRPr="0058432E">
        <w:rPr>
          <w:color w:val="000000" w:themeColor="text1"/>
        </w:rPr>
        <w:t>v</w:t>
      </w:r>
      <w:r w:rsidRPr="0058432E">
        <w:rPr>
          <w:color w:val="000000" w:themeColor="text1"/>
        </w:rPr>
        <w:t>accinations ci-dessus.</w:t>
      </w:r>
    </w:p>
    <w:p w14:paraId="37558A41" w14:textId="77777777" w:rsidR="008D74DD" w:rsidRPr="0058432E" w:rsidRDefault="008D74DD" w:rsidP="0009685B">
      <w:pPr>
        <w:rPr>
          <w:color w:val="000000" w:themeColor="text1"/>
        </w:rPr>
      </w:pPr>
    </w:p>
    <w:p w14:paraId="67A5A5AB" w14:textId="65A2E9B4" w:rsidR="00FC61A4" w:rsidRPr="0058432E" w:rsidRDefault="00FC61A4" w:rsidP="0009685B">
      <w:pPr>
        <w:rPr>
          <w:color w:val="000000" w:themeColor="text1"/>
          <w:u w:val="single"/>
        </w:rPr>
      </w:pPr>
      <w:r w:rsidRPr="0058432E">
        <w:rPr>
          <w:color w:val="000000" w:themeColor="text1"/>
          <w:u w:val="single"/>
        </w:rPr>
        <w:t>Excipient</w:t>
      </w:r>
      <w:r w:rsidR="005C3FBC" w:rsidRPr="0058432E">
        <w:rPr>
          <w:color w:val="000000" w:themeColor="text1"/>
          <w:u w:val="single"/>
        </w:rPr>
        <w:t>s</w:t>
      </w:r>
      <w:r w:rsidR="002740A6">
        <w:rPr>
          <w:color w:val="000000" w:themeColor="text1"/>
          <w:u w:val="single"/>
        </w:rPr>
        <w:t xml:space="preserve"> à effet notoire</w:t>
      </w:r>
    </w:p>
    <w:p w14:paraId="58D18AF4" w14:textId="77777777" w:rsidR="00FC61A4" w:rsidRPr="0058432E" w:rsidRDefault="00FC61A4" w:rsidP="0009685B">
      <w:pPr>
        <w:rPr>
          <w:color w:val="000000" w:themeColor="text1"/>
        </w:rPr>
      </w:pPr>
    </w:p>
    <w:p w14:paraId="2E5A0D29" w14:textId="08544DE5" w:rsidR="005C3FBC" w:rsidRPr="0058432E" w:rsidRDefault="005C3FBC" w:rsidP="0009685B">
      <w:pPr>
        <w:rPr>
          <w:i/>
          <w:iCs/>
          <w:color w:val="000000" w:themeColor="text1"/>
        </w:rPr>
      </w:pPr>
      <w:bookmarkStart w:id="1" w:name="_Hlk178161342"/>
      <w:r w:rsidRPr="0058432E">
        <w:rPr>
          <w:i/>
          <w:iCs/>
          <w:color w:val="000000" w:themeColor="text1"/>
        </w:rPr>
        <w:t>Polysorbate</w:t>
      </w:r>
    </w:p>
    <w:p w14:paraId="537F0980" w14:textId="77777777" w:rsidR="005C3FBC" w:rsidRPr="0058432E" w:rsidRDefault="005C3FBC" w:rsidP="0009685B">
      <w:pPr>
        <w:rPr>
          <w:color w:val="000000" w:themeColor="text1"/>
        </w:rPr>
      </w:pPr>
    </w:p>
    <w:p w14:paraId="61E5DE90" w14:textId="63127594" w:rsidR="005C3FBC" w:rsidRPr="0058432E" w:rsidRDefault="005C3FBC" w:rsidP="0009685B">
      <w:pPr>
        <w:rPr>
          <w:color w:val="000000" w:themeColor="text1"/>
        </w:rPr>
      </w:pPr>
      <w:r w:rsidRPr="0058432E">
        <w:rPr>
          <w:color w:val="000000" w:themeColor="text1"/>
        </w:rPr>
        <w:t xml:space="preserve">Ce médicament contient du </w:t>
      </w:r>
      <w:proofErr w:type="spellStart"/>
      <w:r w:rsidRPr="0058432E">
        <w:rPr>
          <w:color w:val="000000" w:themeColor="text1"/>
        </w:rPr>
        <w:t>polysorbate</w:t>
      </w:r>
      <w:proofErr w:type="spellEnd"/>
      <w:r w:rsidRPr="0058432E">
        <w:rPr>
          <w:color w:val="000000" w:themeColor="text1"/>
        </w:rPr>
        <w:t> 80.</w:t>
      </w:r>
      <w:r w:rsidR="009F3F07">
        <w:rPr>
          <w:color w:val="000000" w:themeColor="text1"/>
        </w:rPr>
        <w:t xml:space="preserve"> </w:t>
      </w:r>
      <w:proofErr w:type="spellStart"/>
      <w:r w:rsidR="009F3F07" w:rsidRPr="0058432E">
        <w:rPr>
          <w:color w:val="000000" w:themeColor="text1"/>
        </w:rPr>
        <w:t>Amsparity</w:t>
      </w:r>
      <w:proofErr w:type="spellEnd"/>
      <w:r w:rsidR="009F3F07" w:rsidRPr="0058432E">
        <w:rPr>
          <w:color w:val="000000" w:themeColor="text1"/>
        </w:rPr>
        <w:t xml:space="preserve"> 20 mg, solution injectable contient 0,08 mg de </w:t>
      </w:r>
      <w:proofErr w:type="spellStart"/>
      <w:r w:rsidR="009F3F07" w:rsidRPr="0058432E">
        <w:rPr>
          <w:color w:val="000000" w:themeColor="text1"/>
        </w:rPr>
        <w:t>polysorbate</w:t>
      </w:r>
      <w:proofErr w:type="spellEnd"/>
      <w:r w:rsidR="009F3F07" w:rsidRPr="0058432E">
        <w:rPr>
          <w:color w:val="000000" w:themeColor="text1"/>
        </w:rPr>
        <w:t xml:space="preserve"> 80 par seringue préremplie unidose de 0,4 ml, équivalant à 0,2 mg/ml de </w:t>
      </w:r>
      <w:proofErr w:type="spellStart"/>
      <w:r w:rsidR="009F3F07" w:rsidRPr="0058432E">
        <w:rPr>
          <w:color w:val="000000" w:themeColor="text1"/>
        </w:rPr>
        <w:t>polysorbate</w:t>
      </w:r>
      <w:proofErr w:type="spellEnd"/>
      <w:r w:rsidR="009F3F07" w:rsidRPr="0058432E">
        <w:rPr>
          <w:color w:val="000000" w:themeColor="text1"/>
        </w:rPr>
        <w:t> 80.</w:t>
      </w:r>
      <w:r w:rsidRPr="0058432E">
        <w:rPr>
          <w:color w:val="000000" w:themeColor="text1"/>
        </w:rPr>
        <w:t xml:space="preserve"> Le </w:t>
      </w:r>
      <w:proofErr w:type="spellStart"/>
      <w:r w:rsidRPr="0058432E">
        <w:rPr>
          <w:color w:val="000000" w:themeColor="text1"/>
        </w:rPr>
        <w:t>polysorbate</w:t>
      </w:r>
      <w:proofErr w:type="spellEnd"/>
      <w:r w:rsidRPr="0058432E">
        <w:rPr>
          <w:color w:val="000000" w:themeColor="text1"/>
        </w:rPr>
        <w:t xml:space="preserve"> 80 peut provoquer des réactions </w:t>
      </w:r>
      <w:r w:rsidR="00093EDF" w:rsidRPr="0058432E">
        <w:rPr>
          <w:color w:val="000000" w:themeColor="text1"/>
        </w:rPr>
        <w:t>d’hypersensibilité</w:t>
      </w:r>
      <w:r w:rsidRPr="0058432E">
        <w:rPr>
          <w:color w:val="000000" w:themeColor="text1"/>
        </w:rPr>
        <w:t>.</w:t>
      </w:r>
    </w:p>
    <w:p w14:paraId="237CEFD3" w14:textId="77777777" w:rsidR="005C3FBC" w:rsidRPr="0058432E" w:rsidRDefault="005C3FBC" w:rsidP="0009685B">
      <w:pPr>
        <w:rPr>
          <w:color w:val="000000" w:themeColor="text1"/>
        </w:rPr>
      </w:pPr>
    </w:p>
    <w:p w14:paraId="47D36410" w14:textId="5AC1CDBE" w:rsidR="005C3FBC" w:rsidRPr="0058432E" w:rsidRDefault="005C3FBC" w:rsidP="0009685B">
      <w:pPr>
        <w:rPr>
          <w:i/>
          <w:iCs/>
          <w:color w:val="000000" w:themeColor="text1"/>
        </w:rPr>
      </w:pPr>
      <w:r w:rsidRPr="0058432E">
        <w:rPr>
          <w:i/>
          <w:iCs/>
          <w:color w:val="000000" w:themeColor="text1"/>
        </w:rPr>
        <w:t>Sodium</w:t>
      </w:r>
    </w:p>
    <w:bookmarkEnd w:id="1"/>
    <w:p w14:paraId="468E750A" w14:textId="77777777" w:rsidR="005C3FBC" w:rsidRPr="0058432E" w:rsidRDefault="005C3FBC" w:rsidP="0009685B">
      <w:pPr>
        <w:rPr>
          <w:color w:val="000000" w:themeColor="text1"/>
        </w:rPr>
      </w:pPr>
    </w:p>
    <w:p w14:paraId="79CC99D0" w14:textId="6D521FEB" w:rsidR="00FC61A4" w:rsidRPr="0058432E" w:rsidRDefault="00FC61A4" w:rsidP="0009685B">
      <w:pPr>
        <w:rPr>
          <w:color w:val="000000" w:themeColor="text1"/>
        </w:rPr>
      </w:pPr>
      <w:r w:rsidRPr="0058432E">
        <w:rPr>
          <w:color w:val="000000" w:themeColor="text1"/>
        </w:rPr>
        <w:t xml:space="preserve">Ce médicament contient moins de 1 mmol (23 mg) de sodium par dose de </w:t>
      </w:r>
      <w:r w:rsidR="005C3FBC" w:rsidRPr="0058432E">
        <w:rPr>
          <w:color w:val="000000" w:themeColor="text1"/>
        </w:rPr>
        <w:t>0,4</w:t>
      </w:r>
      <w:r w:rsidRPr="0058432E">
        <w:rPr>
          <w:color w:val="000000" w:themeColor="text1"/>
        </w:rPr>
        <w:t> ml, c.-à-d. qu’il est essentiellement « sans sodium ».</w:t>
      </w:r>
    </w:p>
    <w:p w14:paraId="3935C556" w14:textId="77777777" w:rsidR="00FC61A4" w:rsidRPr="0058432E" w:rsidRDefault="00FC61A4" w:rsidP="0009685B">
      <w:pPr>
        <w:rPr>
          <w:color w:val="000000" w:themeColor="text1"/>
        </w:rPr>
      </w:pPr>
    </w:p>
    <w:p w14:paraId="5EE048FC"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Interactions avec d’autres médicaments et autres formes d’interactions</w:t>
      </w:r>
    </w:p>
    <w:p w14:paraId="5D5CD618" w14:textId="77777777" w:rsidR="00C355EC" w:rsidRPr="0058432E" w:rsidRDefault="00C355EC" w:rsidP="0009685B">
      <w:pPr>
        <w:pStyle w:val="BodyText"/>
        <w:widowControl/>
        <w:kinsoku w:val="0"/>
        <w:overflowPunct w:val="0"/>
        <w:ind w:left="0"/>
        <w:rPr>
          <w:b/>
          <w:bCs/>
          <w:color w:val="000000" w:themeColor="text1"/>
          <w:szCs w:val="21"/>
        </w:rPr>
      </w:pPr>
    </w:p>
    <w:p w14:paraId="4D8E3BCC" w14:textId="77777777" w:rsidR="00C355EC" w:rsidRPr="0058432E" w:rsidRDefault="00F37FB1" w:rsidP="0009685B">
      <w:pPr>
        <w:pStyle w:val="BodyText"/>
        <w:widowControl/>
        <w:kinsoku w:val="0"/>
        <w:overflowPunct w:val="0"/>
        <w:ind w:left="0"/>
        <w:rPr>
          <w:color w:val="000000" w:themeColor="text1"/>
        </w:rPr>
      </w:pPr>
      <w:r w:rsidRPr="0058432E">
        <w:rPr>
          <w:color w:val="000000" w:themeColor="text1"/>
        </w:rPr>
        <w:t xml:space="preserve">L’adalimumab a été étudié chez des patients atteints de polyarthrite rhumatoïde, d’arthrite juvénile idiopathique polyarticulaire et de rhumatisme psoriasique prenant l’adalimumab en monothérapie et </w:t>
      </w:r>
      <w:r w:rsidRPr="0058432E">
        <w:rPr>
          <w:color w:val="000000" w:themeColor="text1"/>
        </w:rPr>
        <w:lastRenderedPageBreak/>
        <w:t>chez ceux prenant simultanément du méthotrexate. La formation d’anticorps était plus faible lorsque l’adalimumab était administré en même temps que du méthotrexate par comparaison avec son utilisation en monothérapie. L’administration d’adalimumab sans méthotrexate a entraîné une augmentation de la formation d’anticorps, une augmentation de la clairance et une réduction de l’efficacité de l’adalimumab (voir rubrique 5.1).</w:t>
      </w:r>
    </w:p>
    <w:p w14:paraId="6498DC38" w14:textId="77777777" w:rsidR="00C355EC" w:rsidRPr="0058432E" w:rsidRDefault="00C355EC" w:rsidP="0009685B">
      <w:pPr>
        <w:pStyle w:val="BodyText"/>
        <w:widowControl/>
        <w:kinsoku w:val="0"/>
        <w:overflowPunct w:val="0"/>
        <w:ind w:left="0"/>
        <w:rPr>
          <w:color w:val="000000" w:themeColor="text1"/>
        </w:rPr>
      </w:pPr>
    </w:p>
    <w:p w14:paraId="57454BC0"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L’association d’Amsparity et d’anakinra n’est pas recommandée (voir rubrique 4.4 « Administration simultanée de traitements de fond (DMARD</w:t>
      </w:r>
      <w:r w:rsidR="00FE50EF" w:rsidRPr="0058432E">
        <w:rPr>
          <w:color w:val="000000" w:themeColor="text1"/>
        </w:rPr>
        <w:t>s</w:t>
      </w:r>
      <w:r w:rsidRPr="0058432E">
        <w:rPr>
          <w:color w:val="000000" w:themeColor="text1"/>
        </w:rPr>
        <w:t>) biologiques et ant</w:t>
      </w:r>
      <w:r w:rsidR="0018150A" w:rsidRPr="0058432E">
        <w:rPr>
          <w:color w:val="000000" w:themeColor="text1"/>
        </w:rPr>
        <w:t xml:space="preserve">agonistes du </w:t>
      </w:r>
      <w:r w:rsidRPr="0058432E">
        <w:rPr>
          <w:color w:val="000000" w:themeColor="text1"/>
        </w:rPr>
        <w:t>TNF »).</w:t>
      </w:r>
    </w:p>
    <w:p w14:paraId="1877E4D0" w14:textId="77777777" w:rsidR="00C355EC" w:rsidRPr="0058432E" w:rsidRDefault="00C355EC" w:rsidP="0009685B">
      <w:pPr>
        <w:pStyle w:val="BodyText"/>
        <w:widowControl/>
        <w:kinsoku w:val="0"/>
        <w:overflowPunct w:val="0"/>
        <w:ind w:left="0"/>
        <w:rPr>
          <w:color w:val="000000" w:themeColor="text1"/>
          <w:szCs w:val="21"/>
        </w:rPr>
      </w:pPr>
    </w:p>
    <w:p w14:paraId="4A91ADCB"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L’association d’Amsparity et d’abatacept n’est pas recommandée (voir rubrique 4.4 « Administration simultanée de traitements de fond (DMARD</w:t>
      </w:r>
      <w:r w:rsidR="00FE50EF" w:rsidRPr="0058432E">
        <w:rPr>
          <w:color w:val="000000" w:themeColor="text1"/>
        </w:rPr>
        <w:t>s</w:t>
      </w:r>
      <w:r w:rsidRPr="0058432E">
        <w:rPr>
          <w:color w:val="000000" w:themeColor="text1"/>
        </w:rPr>
        <w:t>) biologiques et ant</w:t>
      </w:r>
      <w:r w:rsidR="0018150A" w:rsidRPr="0058432E">
        <w:rPr>
          <w:color w:val="000000" w:themeColor="text1"/>
        </w:rPr>
        <w:t xml:space="preserve">agoniste du </w:t>
      </w:r>
      <w:r w:rsidRPr="0058432E">
        <w:rPr>
          <w:color w:val="000000" w:themeColor="text1"/>
        </w:rPr>
        <w:t>TNF »).</w:t>
      </w:r>
    </w:p>
    <w:p w14:paraId="51C5215B" w14:textId="77777777" w:rsidR="00C355EC" w:rsidRPr="0058432E" w:rsidRDefault="00C355EC" w:rsidP="0009685B">
      <w:pPr>
        <w:rPr>
          <w:color w:val="000000" w:themeColor="text1"/>
        </w:rPr>
      </w:pPr>
    </w:p>
    <w:p w14:paraId="129D8D62"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Fertilité, grossesse et allaitement</w:t>
      </w:r>
    </w:p>
    <w:p w14:paraId="41459C9A" w14:textId="77777777" w:rsidR="00785BDA" w:rsidRPr="0058432E" w:rsidRDefault="00785BDA" w:rsidP="0009685B">
      <w:pPr>
        <w:pStyle w:val="BodyText"/>
        <w:widowControl/>
        <w:kinsoku w:val="0"/>
        <w:overflowPunct w:val="0"/>
        <w:ind w:left="0"/>
        <w:rPr>
          <w:color w:val="000000" w:themeColor="text1"/>
          <w:u w:val="single"/>
        </w:rPr>
      </w:pPr>
    </w:p>
    <w:p w14:paraId="26959C09" w14:textId="77777777" w:rsidR="00785BDA" w:rsidRPr="0058432E" w:rsidRDefault="00785BDA" w:rsidP="0009685B">
      <w:pPr>
        <w:pStyle w:val="BodyText"/>
        <w:widowControl/>
        <w:kinsoku w:val="0"/>
        <w:overflowPunct w:val="0"/>
        <w:ind w:left="0"/>
        <w:rPr>
          <w:color w:val="000000" w:themeColor="text1"/>
          <w:u w:val="single"/>
        </w:rPr>
      </w:pPr>
      <w:r w:rsidRPr="0058432E">
        <w:rPr>
          <w:color w:val="000000" w:themeColor="text1"/>
          <w:u w:val="single"/>
        </w:rPr>
        <w:t>Femmes en âge de procréer</w:t>
      </w:r>
    </w:p>
    <w:p w14:paraId="548FC1D0" w14:textId="77777777" w:rsidR="00054A92" w:rsidRPr="0058432E" w:rsidRDefault="00054A92" w:rsidP="0009685B">
      <w:pPr>
        <w:pStyle w:val="BodyText"/>
        <w:widowControl/>
        <w:kinsoku w:val="0"/>
        <w:overflowPunct w:val="0"/>
        <w:ind w:left="0"/>
        <w:rPr>
          <w:color w:val="000000" w:themeColor="text1"/>
        </w:rPr>
      </w:pPr>
    </w:p>
    <w:p w14:paraId="2A0B1969"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Les femmes en âge de procréer doivent envisager l’utilisation d’une contraception efficace pendant le traitement par Amsparity et la poursuivre pendant cinq mois au moins après la dernière administration d’Amsparity.</w:t>
      </w:r>
    </w:p>
    <w:p w14:paraId="06DAAA9D" w14:textId="77777777" w:rsidR="00785BDA" w:rsidRPr="0058432E" w:rsidRDefault="00785BDA" w:rsidP="0009685B">
      <w:pPr>
        <w:pStyle w:val="BodyText"/>
        <w:widowControl/>
        <w:kinsoku w:val="0"/>
        <w:overflowPunct w:val="0"/>
        <w:ind w:left="0"/>
        <w:rPr>
          <w:color w:val="000000" w:themeColor="text1"/>
          <w:u w:val="single"/>
        </w:rPr>
      </w:pPr>
    </w:p>
    <w:p w14:paraId="0DCFF7DE" w14:textId="77777777" w:rsidR="00785BDA" w:rsidRPr="0058432E" w:rsidRDefault="00785BDA" w:rsidP="0009685B">
      <w:pPr>
        <w:pStyle w:val="BodyText"/>
        <w:widowControl/>
        <w:kinsoku w:val="0"/>
        <w:overflowPunct w:val="0"/>
        <w:ind w:left="0"/>
        <w:rPr>
          <w:color w:val="000000" w:themeColor="text1"/>
          <w:u w:val="single"/>
        </w:rPr>
      </w:pPr>
      <w:r w:rsidRPr="0058432E">
        <w:rPr>
          <w:color w:val="000000" w:themeColor="text1"/>
          <w:u w:val="single"/>
        </w:rPr>
        <w:t>Grossesse</w:t>
      </w:r>
    </w:p>
    <w:p w14:paraId="7E64C747" w14:textId="77777777" w:rsidR="00054A92" w:rsidRPr="0058432E" w:rsidRDefault="00054A92" w:rsidP="0009685B">
      <w:pPr>
        <w:pStyle w:val="BodyText"/>
        <w:widowControl/>
        <w:kinsoku w:val="0"/>
        <w:overflowPunct w:val="0"/>
        <w:ind w:left="0"/>
        <w:rPr>
          <w:color w:val="000000" w:themeColor="text1"/>
        </w:rPr>
      </w:pPr>
    </w:p>
    <w:p w14:paraId="7B3DE181"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Un grand nombre (environ 2 100) de grossesses exposées à l’adalimumab dont les données ont été recueillies prospectivement, aboutissant à une naissance vivante avec une évolution à terme connue, avec notamment plus de 1 500 grossesses exposées à l’adalimumab au cours du premier trimestre, ne révèle aucune augmentation du taux de malformations chez le nouveau-né.</w:t>
      </w:r>
    </w:p>
    <w:p w14:paraId="100115AA" w14:textId="77777777" w:rsidR="00785BDA" w:rsidRPr="0058432E" w:rsidRDefault="00785BDA" w:rsidP="0009685B">
      <w:pPr>
        <w:pStyle w:val="BodyText"/>
        <w:widowControl/>
        <w:kinsoku w:val="0"/>
        <w:overflowPunct w:val="0"/>
        <w:ind w:left="0"/>
        <w:rPr>
          <w:color w:val="000000" w:themeColor="text1"/>
        </w:rPr>
      </w:pPr>
    </w:p>
    <w:p w14:paraId="14A8E1B8"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 xml:space="preserve">Au cours d’une étude de cohorte prospective, 257 femmes présentant une polyarthrite rhumatoïde (PR) ou une maladie de Crohn (MC) et traitées </w:t>
      </w:r>
      <w:r w:rsidR="008E7545" w:rsidRPr="0058432E">
        <w:rPr>
          <w:color w:val="000000" w:themeColor="text1"/>
        </w:rPr>
        <w:t>par adalimumab</w:t>
      </w:r>
      <w:r w:rsidRPr="0058432E">
        <w:rPr>
          <w:color w:val="000000" w:themeColor="text1"/>
        </w:rPr>
        <w:t xml:space="preserve"> au moins pendant le premier trimestre et 120 femmes présentant une PR ou une MC non traitées </w:t>
      </w:r>
      <w:r w:rsidR="008E7545" w:rsidRPr="0058432E">
        <w:rPr>
          <w:color w:val="000000" w:themeColor="text1"/>
        </w:rPr>
        <w:t>par adalimumab</w:t>
      </w:r>
      <w:r w:rsidRPr="0058432E">
        <w:rPr>
          <w:color w:val="000000" w:themeColor="text1"/>
        </w:rPr>
        <w:t xml:space="preserve"> ont été incluses. La prévalence à la naissance des anomalies congénitales majeures constituait le critère d’évaluation principal. Le taux de grossesses aboutissant à au moins un nouveau-né en vie présentant une anomalie congénitale majeure était de 6/69 (8,7 %) chez les femmes traitées </w:t>
      </w:r>
      <w:r w:rsidR="008E7545" w:rsidRPr="0058432E">
        <w:rPr>
          <w:color w:val="000000" w:themeColor="text1"/>
        </w:rPr>
        <w:t>par adalimumab</w:t>
      </w:r>
      <w:r w:rsidRPr="0058432E">
        <w:rPr>
          <w:color w:val="000000" w:themeColor="text1"/>
        </w:rPr>
        <w:t xml:space="preserve"> présentant une PR et de 5/74 (6,8 %) chez les femmes non traitées présentant une PR (OR non ajusté 1,31, IC à 95 % 0,38</w:t>
      </w:r>
      <w:r w:rsidR="002A7B44" w:rsidRPr="0058432E">
        <w:rPr>
          <w:color w:val="000000" w:themeColor="text1"/>
        </w:rPr>
        <w:t> – </w:t>
      </w:r>
      <w:r w:rsidRPr="0058432E">
        <w:rPr>
          <w:color w:val="000000" w:themeColor="text1"/>
        </w:rPr>
        <w:t xml:space="preserve">4,52), et de 16/152 (10,5 %) chez les femmes traitées </w:t>
      </w:r>
      <w:r w:rsidR="008E7545" w:rsidRPr="0058432E">
        <w:rPr>
          <w:color w:val="000000" w:themeColor="text1"/>
        </w:rPr>
        <w:t>par adalimumab</w:t>
      </w:r>
      <w:r w:rsidRPr="0058432E">
        <w:rPr>
          <w:color w:val="000000" w:themeColor="text1"/>
        </w:rPr>
        <w:t xml:space="preserve"> présentant une MC et de 3/32 (9,4 %) chez les femmes non traitées présentant une MC (OR non ajusté 1,14, IC à 95 % 0,31</w:t>
      </w:r>
      <w:r w:rsidR="002A7B44" w:rsidRPr="0058432E">
        <w:rPr>
          <w:color w:val="000000" w:themeColor="text1"/>
        </w:rPr>
        <w:t> – </w:t>
      </w:r>
      <w:r w:rsidRPr="0058432E">
        <w:rPr>
          <w:color w:val="000000" w:themeColor="text1"/>
        </w:rPr>
        <w:t>4,16). L’OR ajusté (compte tenu des différences initiales) était de 1,10 (IC à 95 % 0,45</w:t>
      </w:r>
      <w:r w:rsidR="002A7B44" w:rsidRPr="0058432E">
        <w:rPr>
          <w:color w:val="000000" w:themeColor="text1"/>
        </w:rPr>
        <w:t> – </w:t>
      </w:r>
      <w:r w:rsidRPr="0058432E">
        <w:rPr>
          <w:color w:val="000000" w:themeColor="text1"/>
        </w:rPr>
        <w:t xml:space="preserve">2,73) pour les PR et MC combinées. Aucune différence </w:t>
      </w:r>
      <w:r w:rsidR="00652AC7" w:rsidRPr="0058432E">
        <w:rPr>
          <w:color w:val="000000" w:themeColor="text1"/>
        </w:rPr>
        <w:t xml:space="preserve">notable </w:t>
      </w:r>
      <w:r w:rsidRPr="0058432E">
        <w:rPr>
          <w:color w:val="000000" w:themeColor="text1"/>
        </w:rPr>
        <w:t xml:space="preserve">n’a été rapportée entre les femmes traitées </w:t>
      </w:r>
      <w:r w:rsidR="008E7545" w:rsidRPr="0058432E">
        <w:rPr>
          <w:color w:val="000000" w:themeColor="text1"/>
        </w:rPr>
        <w:t>par adalimumab</w:t>
      </w:r>
      <w:r w:rsidRPr="0058432E">
        <w:rPr>
          <w:color w:val="000000" w:themeColor="text1"/>
        </w:rPr>
        <w:t xml:space="preserve"> et les femmes non traitées pour les critères d’évaluation secondaires d’avortements spontanés, d’anomalies congénitales mineures, d’accouchement prématuré, de taille à la naissance et d’infections graves ou opportunistes</w:t>
      </w:r>
      <w:r w:rsidR="00536498" w:rsidRPr="0058432E">
        <w:rPr>
          <w:color w:val="000000" w:themeColor="text1"/>
        </w:rPr>
        <w:t>, et</w:t>
      </w:r>
      <w:r w:rsidRPr="0058432E">
        <w:rPr>
          <w:color w:val="000000" w:themeColor="text1"/>
        </w:rPr>
        <w:t xml:space="preserve"> </w:t>
      </w:r>
      <w:r w:rsidR="00536498" w:rsidRPr="0058432E">
        <w:rPr>
          <w:color w:val="000000" w:themeColor="text1"/>
        </w:rPr>
        <w:t>a</w:t>
      </w:r>
      <w:r w:rsidR="003A0D21" w:rsidRPr="0058432E">
        <w:rPr>
          <w:color w:val="000000" w:themeColor="text1"/>
        </w:rPr>
        <w:t>ucune</w:t>
      </w:r>
      <w:r w:rsidRPr="0058432E">
        <w:rPr>
          <w:color w:val="000000" w:themeColor="text1"/>
        </w:rPr>
        <w:t xml:space="preserve"> mortinatalité ou </w:t>
      </w:r>
      <w:r w:rsidR="003A0D21" w:rsidRPr="0058432E">
        <w:rPr>
          <w:color w:val="000000" w:themeColor="text1"/>
        </w:rPr>
        <w:t xml:space="preserve">tumeur </w:t>
      </w:r>
      <w:r w:rsidRPr="0058432E">
        <w:rPr>
          <w:color w:val="000000" w:themeColor="text1"/>
        </w:rPr>
        <w:t>malign</w:t>
      </w:r>
      <w:r w:rsidR="003A0D21" w:rsidRPr="0058432E">
        <w:rPr>
          <w:color w:val="000000" w:themeColor="text1"/>
        </w:rPr>
        <w:t>e</w:t>
      </w:r>
      <w:r w:rsidR="00536498" w:rsidRPr="0058432E">
        <w:rPr>
          <w:color w:val="000000" w:themeColor="text1"/>
        </w:rPr>
        <w:t xml:space="preserve"> </w:t>
      </w:r>
      <w:r w:rsidR="003A0D21" w:rsidRPr="0058432E">
        <w:rPr>
          <w:color w:val="000000" w:themeColor="text1"/>
        </w:rPr>
        <w:t>n’a été rapportée</w:t>
      </w:r>
      <w:r w:rsidRPr="0058432E">
        <w:rPr>
          <w:color w:val="000000" w:themeColor="text1"/>
        </w:rPr>
        <w:t>. L’interprétation des données peut être affectée en raison des limites méthodologiques de l’étude, notamment la petite taille d’échantillon et le plan d’étude non randomisé.</w:t>
      </w:r>
    </w:p>
    <w:p w14:paraId="2DE803D8" w14:textId="77777777" w:rsidR="00785BDA" w:rsidRPr="0058432E" w:rsidRDefault="00785BDA" w:rsidP="0009685B">
      <w:pPr>
        <w:pStyle w:val="BodyText"/>
        <w:widowControl/>
        <w:kinsoku w:val="0"/>
        <w:overflowPunct w:val="0"/>
        <w:ind w:left="0"/>
        <w:rPr>
          <w:color w:val="000000" w:themeColor="text1"/>
        </w:rPr>
      </w:pPr>
    </w:p>
    <w:p w14:paraId="38E8518E"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Dans une étude de toxicité sur le développement réalisée chez des singes, il n’y a eu aucun signe évocateur d’une éventuelle toxicité maternelle, d’</w:t>
      </w:r>
      <w:r w:rsidR="00B600CF" w:rsidRPr="0058432E">
        <w:rPr>
          <w:color w:val="000000" w:themeColor="text1"/>
        </w:rPr>
        <w:t xml:space="preserve">une </w:t>
      </w:r>
      <w:r w:rsidRPr="0058432E">
        <w:rPr>
          <w:color w:val="000000" w:themeColor="text1"/>
        </w:rPr>
        <w:t>embryotoxicité ou de potentiel tératogène. On ne dispose pas de données précliniques sur la toxicité post-natale de l’adalimumab (voir rubrique 5.3).</w:t>
      </w:r>
    </w:p>
    <w:p w14:paraId="438D977E" w14:textId="77777777" w:rsidR="00785BDA" w:rsidRPr="0058432E" w:rsidRDefault="00785BDA" w:rsidP="0009685B">
      <w:pPr>
        <w:pStyle w:val="BodyText"/>
        <w:widowControl/>
        <w:kinsoku w:val="0"/>
        <w:overflowPunct w:val="0"/>
        <w:ind w:left="0"/>
        <w:rPr>
          <w:color w:val="000000" w:themeColor="text1"/>
        </w:rPr>
      </w:pPr>
    </w:p>
    <w:p w14:paraId="29F98D9F"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En raison de son effet inhibiteur sur le TNFα, l’adalimumab administré pendant la grossesse pourrait affecter les réponses immunitaires normales du nouveau-né. L’adalimumab doit être utilisé pendant la grossesse seulement si nécessaire.</w:t>
      </w:r>
    </w:p>
    <w:p w14:paraId="65BAE639" w14:textId="77777777" w:rsidR="00785BDA" w:rsidRPr="0058432E" w:rsidRDefault="00785BDA" w:rsidP="0009685B">
      <w:pPr>
        <w:pStyle w:val="BodyText"/>
        <w:widowControl/>
        <w:kinsoku w:val="0"/>
        <w:overflowPunct w:val="0"/>
        <w:ind w:left="0"/>
        <w:rPr>
          <w:color w:val="000000" w:themeColor="text1"/>
        </w:rPr>
      </w:pPr>
    </w:p>
    <w:p w14:paraId="4E1F1443"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Chez les femmes traitées par adalimumab durant leur grossesse, l’adalimumab peut traverser le placenta et passer dans le sang de leur enfant. En conséquence, ces enfants peuvent avoir un risque accru d’infections. L’administration de vaccins vivants (par ex</w:t>
      </w:r>
      <w:r w:rsidR="00622B3A" w:rsidRPr="0058432E">
        <w:rPr>
          <w:color w:val="000000" w:themeColor="text1"/>
        </w:rPr>
        <w:t>emple,</w:t>
      </w:r>
      <w:r w:rsidRPr="0058432E">
        <w:rPr>
          <w:color w:val="000000" w:themeColor="text1"/>
        </w:rPr>
        <w:t xml:space="preserve"> vaccin BCG) à des </w:t>
      </w:r>
      <w:r w:rsidR="00B600CF" w:rsidRPr="0058432E">
        <w:rPr>
          <w:color w:val="000000" w:themeColor="text1"/>
        </w:rPr>
        <w:t>enfants</w:t>
      </w:r>
      <w:r w:rsidR="008F50C9" w:rsidRPr="0058432E">
        <w:rPr>
          <w:color w:val="000000" w:themeColor="text1"/>
        </w:rPr>
        <w:t xml:space="preserve"> </w:t>
      </w:r>
      <w:r w:rsidRPr="0058432E">
        <w:rPr>
          <w:color w:val="000000" w:themeColor="text1"/>
        </w:rPr>
        <w:t xml:space="preserve">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w:t>
      </w:r>
      <w:r w:rsidR="00B600CF" w:rsidRPr="0058432E">
        <w:rPr>
          <w:color w:val="000000" w:themeColor="text1"/>
        </w:rPr>
        <w:t xml:space="preserve"> d’adalimumab chez </w:t>
      </w:r>
      <w:r w:rsidRPr="0058432E">
        <w:rPr>
          <w:color w:val="000000" w:themeColor="text1"/>
        </w:rPr>
        <w:t xml:space="preserve">la mère </w:t>
      </w:r>
      <w:r w:rsidR="00B600CF" w:rsidRPr="0058432E">
        <w:rPr>
          <w:color w:val="000000" w:themeColor="text1"/>
        </w:rPr>
        <w:t xml:space="preserve">pendant </w:t>
      </w:r>
      <w:r w:rsidRPr="0058432E">
        <w:rPr>
          <w:color w:val="000000" w:themeColor="text1"/>
        </w:rPr>
        <w:t>la grossesse.</w:t>
      </w:r>
    </w:p>
    <w:p w14:paraId="19593C56" w14:textId="77777777" w:rsidR="00785BDA" w:rsidRPr="0058432E" w:rsidRDefault="00785BDA" w:rsidP="0009685B">
      <w:pPr>
        <w:pStyle w:val="BodyText"/>
        <w:widowControl/>
        <w:kinsoku w:val="0"/>
        <w:overflowPunct w:val="0"/>
        <w:ind w:left="0"/>
        <w:rPr>
          <w:color w:val="000000" w:themeColor="text1"/>
          <w:u w:val="single"/>
        </w:rPr>
      </w:pPr>
    </w:p>
    <w:p w14:paraId="0F6C7B99" w14:textId="77777777" w:rsidR="00785BDA" w:rsidRPr="0058432E" w:rsidRDefault="00785BDA" w:rsidP="0009685B">
      <w:pPr>
        <w:pStyle w:val="BodyText"/>
        <w:widowControl/>
        <w:kinsoku w:val="0"/>
        <w:overflowPunct w:val="0"/>
        <w:ind w:left="0"/>
        <w:rPr>
          <w:color w:val="000000" w:themeColor="text1"/>
          <w:u w:val="single"/>
        </w:rPr>
      </w:pPr>
      <w:r w:rsidRPr="0058432E">
        <w:rPr>
          <w:color w:val="000000" w:themeColor="text1"/>
          <w:u w:val="single"/>
        </w:rPr>
        <w:t>Allaitement</w:t>
      </w:r>
    </w:p>
    <w:p w14:paraId="4FCE5394" w14:textId="77777777" w:rsidR="00054A92" w:rsidRPr="0058432E" w:rsidRDefault="00054A92" w:rsidP="0009685B">
      <w:pPr>
        <w:pStyle w:val="BodyText"/>
        <w:widowControl/>
        <w:kinsoku w:val="0"/>
        <w:overflowPunct w:val="0"/>
        <w:ind w:left="0"/>
        <w:rPr>
          <w:color w:val="000000" w:themeColor="text1"/>
        </w:rPr>
      </w:pPr>
    </w:p>
    <w:p w14:paraId="39693B0B"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Des données limitées issues de la littérature publiée indiquent que l’adalimumab est excrété dans le lait maternel à de très faibles concentrations, l’adalimumab étant présent dans le lait maternel à des concentrations équivalant à 0,1 %</w:t>
      </w:r>
      <w:r w:rsidR="002A7B44" w:rsidRPr="0058432E">
        <w:rPr>
          <w:color w:val="000000" w:themeColor="text1"/>
        </w:rPr>
        <w:t> </w:t>
      </w:r>
      <w:r w:rsidRPr="0058432E">
        <w:rPr>
          <w:color w:val="000000" w:themeColor="text1"/>
        </w:rPr>
        <w:t>–</w:t>
      </w:r>
      <w:r w:rsidR="002A7B44" w:rsidRPr="0058432E">
        <w:rPr>
          <w:color w:val="000000" w:themeColor="text1"/>
        </w:rPr>
        <w:t> </w:t>
      </w:r>
      <w:r w:rsidRPr="0058432E">
        <w:rPr>
          <w:color w:val="000000" w:themeColor="text1"/>
        </w:rPr>
        <w:t xml:space="preserve">1 % des taux sériques maternels. Administrées par voie orale, les protéines immunoglobulines G subissent une protéolyse intestinale et présentent une faible biodisponibilité. Aucun effet sur les nouveau-nés/nourrissons allaités n’est </w:t>
      </w:r>
      <w:r w:rsidR="00B600CF" w:rsidRPr="0058432E">
        <w:rPr>
          <w:color w:val="000000" w:themeColor="text1"/>
        </w:rPr>
        <w:t>attendu</w:t>
      </w:r>
      <w:r w:rsidRPr="0058432E">
        <w:rPr>
          <w:color w:val="000000" w:themeColor="text1"/>
        </w:rPr>
        <w:t>. Par conséquent, Amsparity peut être utilisé pendant l’allaitement.</w:t>
      </w:r>
    </w:p>
    <w:p w14:paraId="150AEC84" w14:textId="77777777" w:rsidR="00785BDA" w:rsidRPr="0058432E" w:rsidRDefault="00785BDA" w:rsidP="0009685B">
      <w:pPr>
        <w:pStyle w:val="BodyText"/>
        <w:widowControl/>
        <w:kinsoku w:val="0"/>
        <w:overflowPunct w:val="0"/>
        <w:ind w:left="0"/>
        <w:rPr>
          <w:color w:val="000000" w:themeColor="text1"/>
        </w:rPr>
      </w:pPr>
    </w:p>
    <w:p w14:paraId="5F203D6C" w14:textId="77777777" w:rsidR="00785BDA" w:rsidRPr="0058432E" w:rsidRDefault="00785BDA" w:rsidP="0009685B">
      <w:pPr>
        <w:pStyle w:val="BodyText"/>
        <w:widowControl/>
        <w:kinsoku w:val="0"/>
        <w:overflowPunct w:val="0"/>
        <w:ind w:left="0"/>
        <w:rPr>
          <w:color w:val="000000" w:themeColor="text1"/>
          <w:u w:val="single"/>
        </w:rPr>
      </w:pPr>
      <w:r w:rsidRPr="0058432E">
        <w:rPr>
          <w:color w:val="000000" w:themeColor="text1"/>
          <w:u w:val="single"/>
        </w:rPr>
        <w:t>Fertilité</w:t>
      </w:r>
    </w:p>
    <w:p w14:paraId="72E13E49" w14:textId="77777777" w:rsidR="00054A92" w:rsidRPr="0058432E" w:rsidRDefault="00054A92" w:rsidP="0009685B">
      <w:pPr>
        <w:pStyle w:val="BodyText"/>
        <w:widowControl/>
        <w:kinsoku w:val="0"/>
        <w:overflowPunct w:val="0"/>
        <w:ind w:left="0"/>
        <w:rPr>
          <w:color w:val="000000" w:themeColor="text1"/>
        </w:rPr>
      </w:pPr>
    </w:p>
    <w:p w14:paraId="461F5F7E" w14:textId="77777777" w:rsidR="00785BDA" w:rsidRPr="0058432E" w:rsidRDefault="00785BDA" w:rsidP="0009685B">
      <w:pPr>
        <w:pStyle w:val="BodyText"/>
        <w:widowControl/>
        <w:kinsoku w:val="0"/>
        <w:overflowPunct w:val="0"/>
        <w:ind w:left="0"/>
        <w:rPr>
          <w:color w:val="000000" w:themeColor="text1"/>
        </w:rPr>
      </w:pPr>
      <w:r w:rsidRPr="0058432E">
        <w:rPr>
          <w:color w:val="000000" w:themeColor="text1"/>
        </w:rPr>
        <w:t>On ne dispose pas de données précliniques sur les effets de l’adalimumab sur la fertilité.</w:t>
      </w:r>
    </w:p>
    <w:p w14:paraId="3C9F510C" w14:textId="77777777" w:rsidR="00785BDA" w:rsidRPr="0058432E" w:rsidRDefault="00785BDA" w:rsidP="0009685B">
      <w:pPr>
        <w:pStyle w:val="BodyText"/>
        <w:widowControl/>
        <w:kinsoku w:val="0"/>
        <w:overflowPunct w:val="0"/>
        <w:ind w:left="0"/>
        <w:rPr>
          <w:color w:val="000000" w:themeColor="text1"/>
          <w:u w:val="single"/>
        </w:rPr>
      </w:pPr>
    </w:p>
    <w:p w14:paraId="46F4FEE5"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Effets sur l’aptitude à conduire des véhicules et à utiliser des machines</w:t>
      </w:r>
    </w:p>
    <w:p w14:paraId="3FE3603F" w14:textId="77777777" w:rsidR="00C355EC" w:rsidRPr="0058432E" w:rsidRDefault="00C355EC" w:rsidP="0009685B">
      <w:pPr>
        <w:pStyle w:val="BodyText"/>
        <w:keepNext/>
        <w:widowControl/>
        <w:kinsoku w:val="0"/>
        <w:overflowPunct w:val="0"/>
        <w:ind w:left="0"/>
        <w:rPr>
          <w:bCs/>
          <w:color w:val="000000" w:themeColor="text1"/>
          <w:szCs w:val="21"/>
        </w:rPr>
      </w:pPr>
    </w:p>
    <w:p w14:paraId="10F02E8D" w14:textId="77777777" w:rsidR="00C355EC" w:rsidRPr="0058432E" w:rsidRDefault="00DA19A6" w:rsidP="0009685B">
      <w:pPr>
        <w:pStyle w:val="BodyText"/>
        <w:widowControl/>
        <w:kinsoku w:val="0"/>
        <w:overflowPunct w:val="0"/>
        <w:ind w:left="0"/>
        <w:rPr>
          <w:color w:val="000000" w:themeColor="text1"/>
        </w:rPr>
      </w:pPr>
      <w:r w:rsidRPr="0058432E">
        <w:rPr>
          <w:color w:val="000000" w:themeColor="text1"/>
        </w:rPr>
        <w:t xml:space="preserve">L’adalimumab peut </w:t>
      </w:r>
      <w:proofErr w:type="gramStart"/>
      <w:r w:rsidRPr="0058432E">
        <w:rPr>
          <w:color w:val="000000" w:themeColor="text1"/>
        </w:rPr>
        <w:t>avoir</w:t>
      </w:r>
      <w:proofErr w:type="gramEnd"/>
      <w:r w:rsidRPr="0058432E">
        <w:rPr>
          <w:color w:val="000000" w:themeColor="text1"/>
        </w:rPr>
        <w:t xml:space="preserve"> une influence mineure sur l’aptitude à conduire des véhicules et à utiliser des machines. Des vertiges et des troubles visuels peuvent survenir après l’administration d’Amsparity (voir rubrique 4.8).</w:t>
      </w:r>
    </w:p>
    <w:p w14:paraId="69368CA5" w14:textId="77777777" w:rsidR="00C355EC" w:rsidRPr="0058432E" w:rsidRDefault="00C355EC" w:rsidP="0009685B">
      <w:pPr>
        <w:pStyle w:val="BodyText"/>
        <w:widowControl/>
        <w:kinsoku w:val="0"/>
        <w:overflowPunct w:val="0"/>
        <w:ind w:left="0"/>
        <w:rPr>
          <w:color w:val="000000" w:themeColor="text1"/>
        </w:rPr>
      </w:pPr>
    </w:p>
    <w:p w14:paraId="6CBE8356" w14:textId="77777777" w:rsidR="00C355EC" w:rsidRPr="0058432E" w:rsidRDefault="00C355EC"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Effets indésirables</w:t>
      </w:r>
    </w:p>
    <w:p w14:paraId="63C15B92" w14:textId="77777777" w:rsidR="00C355EC" w:rsidRPr="0058432E" w:rsidRDefault="00C355EC" w:rsidP="0009685B">
      <w:pPr>
        <w:pStyle w:val="BodyText"/>
        <w:widowControl/>
        <w:kinsoku w:val="0"/>
        <w:overflowPunct w:val="0"/>
        <w:ind w:left="0"/>
        <w:rPr>
          <w:bCs/>
          <w:color w:val="000000" w:themeColor="text1"/>
        </w:rPr>
      </w:pPr>
    </w:p>
    <w:p w14:paraId="0BE2EE72"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 xml:space="preserve">Résumé du profil de </w:t>
      </w:r>
      <w:r w:rsidR="00B600CF" w:rsidRPr="0058432E">
        <w:rPr>
          <w:color w:val="000000" w:themeColor="text1"/>
          <w:u w:val="single"/>
        </w:rPr>
        <w:t>tolérance</w:t>
      </w:r>
    </w:p>
    <w:p w14:paraId="1BE24F4D" w14:textId="77777777" w:rsidR="00C355EC" w:rsidRPr="0058432E" w:rsidRDefault="00C355EC" w:rsidP="0009685B">
      <w:pPr>
        <w:pStyle w:val="BodyText"/>
        <w:widowControl/>
        <w:kinsoku w:val="0"/>
        <w:overflowPunct w:val="0"/>
        <w:ind w:left="0"/>
        <w:rPr>
          <w:color w:val="000000" w:themeColor="text1"/>
        </w:rPr>
      </w:pPr>
    </w:p>
    <w:p w14:paraId="5409062D" w14:textId="77777777" w:rsidR="00C355EC" w:rsidRPr="0058432E" w:rsidRDefault="00DA19A6" w:rsidP="0009685B">
      <w:pPr>
        <w:pStyle w:val="BodyText"/>
        <w:widowControl/>
        <w:kinsoku w:val="0"/>
        <w:overflowPunct w:val="0"/>
        <w:ind w:left="0"/>
        <w:rPr>
          <w:color w:val="000000" w:themeColor="text1"/>
        </w:rPr>
      </w:pPr>
      <w:r w:rsidRPr="0058432E">
        <w:rPr>
          <w:color w:val="000000" w:themeColor="text1"/>
        </w:rPr>
        <w:t xml:space="preserve">L’adalimumab a été étudié chez 9 506 patients dans des essais pivots contrôlés et en ouvert d’une durée de 60 mois et plus. Ces essais ont inclus des patients atteints de polyarthrite rhumatoïde récente ou ancienne, d’arthrite juvénile idiopathique (arthrite juvénile idiopathique polyarticulaire et arthrite liée à l’enthésite) </w:t>
      </w:r>
      <w:r w:rsidR="008A2D5A" w:rsidRPr="0058432E">
        <w:rPr>
          <w:color w:val="000000" w:themeColor="text1"/>
        </w:rPr>
        <w:t xml:space="preserve">et </w:t>
      </w:r>
      <w:r w:rsidRPr="0058432E">
        <w:rPr>
          <w:color w:val="000000" w:themeColor="text1"/>
        </w:rPr>
        <w:t xml:space="preserve">des patients </w:t>
      </w:r>
      <w:r w:rsidR="00D546C9" w:rsidRPr="0058432E">
        <w:rPr>
          <w:color w:val="000000" w:themeColor="text1"/>
        </w:rPr>
        <w:t>atteints</w:t>
      </w:r>
      <w:r w:rsidRPr="0058432E">
        <w:rPr>
          <w:color w:val="000000" w:themeColor="text1"/>
        </w:rPr>
        <w:t xml:space="preserve"> de spondyl</w:t>
      </w:r>
      <w:r w:rsidR="009D048D" w:rsidRPr="0058432E">
        <w:rPr>
          <w:color w:val="000000" w:themeColor="text1"/>
        </w:rPr>
        <w:t>o</w:t>
      </w:r>
      <w:r w:rsidRPr="0058432E">
        <w:rPr>
          <w:color w:val="000000" w:themeColor="text1"/>
        </w:rPr>
        <w:t>arthrite axiale (spondylarthrite ankylosante et spondyl</w:t>
      </w:r>
      <w:r w:rsidR="009D048D" w:rsidRPr="0058432E">
        <w:rPr>
          <w:color w:val="000000" w:themeColor="text1"/>
        </w:rPr>
        <w:t>o</w:t>
      </w:r>
      <w:r w:rsidRPr="0058432E">
        <w:rPr>
          <w:color w:val="000000" w:themeColor="text1"/>
        </w:rPr>
        <w:t xml:space="preserve">arthrite axiale sans signes radiographiques de SA), de rhumatisme psoriasique, de la maladie de Crohn, de rectocolite hémorragique, de psoriasis, d’hidrosadénite suppurée et d’uvéite. Les études </w:t>
      </w:r>
      <w:r w:rsidR="0033450E" w:rsidRPr="0058432E">
        <w:rPr>
          <w:color w:val="000000" w:themeColor="text1"/>
        </w:rPr>
        <w:t xml:space="preserve">pivots </w:t>
      </w:r>
      <w:r w:rsidRPr="0058432E">
        <w:rPr>
          <w:color w:val="000000" w:themeColor="text1"/>
        </w:rPr>
        <w:t>contrôlées portaient sur 6 089 patients ayant reçu l’adalimumab et 3 801 patients ayant reçu un placebo ou un comparateur actif pendant la phase contrôlée.</w:t>
      </w:r>
    </w:p>
    <w:p w14:paraId="793ED7F1" w14:textId="77777777" w:rsidR="00C355EC" w:rsidRPr="0058432E" w:rsidRDefault="00C355EC" w:rsidP="0009685B">
      <w:pPr>
        <w:pStyle w:val="BodyText"/>
        <w:widowControl/>
        <w:kinsoku w:val="0"/>
        <w:overflowPunct w:val="0"/>
        <w:ind w:left="0"/>
        <w:rPr>
          <w:color w:val="000000" w:themeColor="text1"/>
        </w:rPr>
      </w:pPr>
    </w:p>
    <w:p w14:paraId="7AEF3275" w14:textId="77777777" w:rsidR="00C355EC" w:rsidRPr="0058432E" w:rsidRDefault="00C355EC" w:rsidP="007C4B2C">
      <w:pPr>
        <w:pStyle w:val="BodyText"/>
        <w:widowControl/>
        <w:kinsoku w:val="0"/>
        <w:overflowPunct w:val="0"/>
        <w:ind w:left="0"/>
        <w:rPr>
          <w:color w:val="000000" w:themeColor="text1"/>
        </w:rPr>
      </w:pPr>
      <w:r w:rsidRPr="0058432E">
        <w:rPr>
          <w:color w:val="000000" w:themeColor="text1"/>
        </w:rPr>
        <w:t xml:space="preserve">Le pourcentage de patients ayant interrompu le traitement en raison </w:t>
      </w:r>
      <w:r w:rsidR="00DD3D03" w:rsidRPr="0058432E">
        <w:rPr>
          <w:color w:val="000000" w:themeColor="text1"/>
        </w:rPr>
        <w:t xml:space="preserve">d’événements </w:t>
      </w:r>
      <w:r w:rsidRPr="0058432E">
        <w:rPr>
          <w:color w:val="000000" w:themeColor="text1"/>
        </w:rPr>
        <w:t>indésirables pendant la phase en double aveugle, contrôlée, des études pivots a été de 5,9 % chez les patients traités par adalimumab et de 5,4 % chez les patients du groupe contrôle.</w:t>
      </w:r>
    </w:p>
    <w:p w14:paraId="456FA0B9" w14:textId="77777777" w:rsidR="00C355EC" w:rsidRPr="0058432E" w:rsidRDefault="00C355EC" w:rsidP="0009685B">
      <w:pPr>
        <w:pStyle w:val="BodyText"/>
        <w:widowControl/>
        <w:kinsoku w:val="0"/>
        <w:overflowPunct w:val="0"/>
        <w:ind w:left="0"/>
        <w:rPr>
          <w:color w:val="000000" w:themeColor="text1"/>
          <w:szCs w:val="21"/>
        </w:rPr>
      </w:pPr>
    </w:p>
    <w:p w14:paraId="6675BA89"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Les effets indésirables les plus fréquemment rapportés sont les infections (telles que les rhinopharyngites, les infections des voies respiratoires hautes et les sinusites), les réactions au site d’injection (érythème, démangeaisons, hémorragie, douleur ou gonflement), les céphalées et les douleurs musculo-squelettiques.</w:t>
      </w:r>
    </w:p>
    <w:p w14:paraId="4D821819" w14:textId="77777777" w:rsidR="00C355EC" w:rsidRPr="0058432E" w:rsidRDefault="00C355EC" w:rsidP="0009685B">
      <w:pPr>
        <w:pStyle w:val="BodyText"/>
        <w:widowControl/>
        <w:kinsoku w:val="0"/>
        <w:overflowPunct w:val="0"/>
        <w:ind w:left="0"/>
        <w:rPr>
          <w:color w:val="000000" w:themeColor="text1"/>
        </w:rPr>
      </w:pPr>
    </w:p>
    <w:p w14:paraId="12E35A5D"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Des effets indésirables graves ont été rapportés avec l’adalimumab. Les antagonistes du TNF, tels que l’adalimumab affectent le système immunitaire et leur utilisation peut </w:t>
      </w:r>
      <w:proofErr w:type="gramStart"/>
      <w:r w:rsidRPr="0058432E">
        <w:rPr>
          <w:color w:val="000000" w:themeColor="text1"/>
        </w:rPr>
        <w:t>avoir</w:t>
      </w:r>
      <w:proofErr w:type="gramEnd"/>
      <w:r w:rsidRPr="0058432E">
        <w:rPr>
          <w:color w:val="000000" w:themeColor="text1"/>
        </w:rPr>
        <w:t xml:space="preserve"> des répercussions sur les défenses du corps contre les infections et le cancer. Des infections menaçant le pronostic vital et d’issue fatale (comprenant </w:t>
      </w:r>
      <w:r w:rsidR="00C564BD" w:rsidRPr="0058432E">
        <w:rPr>
          <w:color w:val="000000" w:themeColor="text1"/>
        </w:rPr>
        <w:t>septicémie</w:t>
      </w:r>
      <w:r w:rsidRPr="0058432E">
        <w:rPr>
          <w:color w:val="000000" w:themeColor="text1"/>
        </w:rPr>
        <w:t xml:space="preserve">, infections opportunistes et tuberculose), des réactivations </w:t>
      </w:r>
      <w:r w:rsidR="00DD3D03" w:rsidRPr="0058432E">
        <w:rPr>
          <w:color w:val="000000" w:themeColor="text1"/>
        </w:rPr>
        <w:t>du VHB</w:t>
      </w:r>
      <w:r w:rsidRPr="0058432E">
        <w:rPr>
          <w:color w:val="000000" w:themeColor="text1"/>
        </w:rPr>
        <w:t xml:space="preserve"> et différents cancers (y compris leucémie, lymphome et lymphome hépatosplénique à lymphocytes T) ont également été rapportés avec l’utilisation de l’adalimumab.</w:t>
      </w:r>
    </w:p>
    <w:p w14:paraId="370E6F1D" w14:textId="77777777" w:rsidR="00C355EC" w:rsidRPr="0058432E" w:rsidRDefault="00C355EC" w:rsidP="0009685B">
      <w:pPr>
        <w:pStyle w:val="BodyText"/>
        <w:widowControl/>
        <w:kinsoku w:val="0"/>
        <w:overflowPunct w:val="0"/>
        <w:ind w:left="0"/>
        <w:rPr>
          <w:color w:val="000000" w:themeColor="text1"/>
        </w:rPr>
      </w:pPr>
    </w:p>
    <w:p w14:paraId="3FC97065"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Des </w:t>
      </w:r>
      <w:r w:rsidR="00461F70" w:rsidRPr="0058432E">
        <w:rPr>
          <w:color w:val="000000" w:themeColor="text1"/>
        </w:rPr>
        <w:t xml:space="preserve">réactions </w:t>
      </w:r>
      <w:r w:rsidRPr="0058432E">
        <w:rPr>
          <w:color w:val="000000" w:themeColor="text1"/>
        </w:rPr>
        <w:t>hématologiques, neurologiques et auto</w:t>
      </w:r>
      <w:r w:rsidR="009E5973" w:rsidRPr="0058432E">
        <w:rPr>
          <w:color w:val="000000" w:themeColor="text1"/>
        </w:rPr>
        <w:t>-</w:t>
      </w:r>
      <w:r w:rsidRPr="0058432E">
        <w:rPr>
          <w:color w:val="000000" w:themeColor="text1"/>
        </w:rPr>
        <w:t>immun</w:t>
      </w:r>
      <w:r w:rsidR="00461F70" w:rsidRPr="0058432E">
        <w:rPr>
          <w:color w:val="000000" w:themeColor="text1"/>
        </w:rPr>
        <w:t>e</w:t>
      </w:r>
      <w:r w:rsidRPr="0058432E">
        <w:rPr>
          <w:color w:val="000000" w:themeColor="text1"/>
        </w:rPr>
        <w:t xml:space="preserve">s </w:t>
      </w:r>
      <w:r w:rsidR="00B600CF" w:rsidRPr="0058432E">
        <w:rPr>
          <w:color w:val="000000" w:themeColor="text1"/>
        </w:rPr>
        <w:t>sévères</w:t>
      </w:r>
      <w:r w:rsidR="001C2C29" w:rsidRPr="0058432E">
        <w:rPr>
          <w:color w:val="000000" w:themeColor="text1"/>
        </w:rPr>
        <w:t xml:space="preserve"> </w:t>
      </w:r>
      <w:r w:rsidRPr="0058432E">
        <w:rPr>
          <w:color w:val="000000" w:themeColor="text1"/>
        </w:rPr>
        <w:t>ont également été rapporté</w:t>
      </w:r>
      <w:r w:rsidR="00461F70" w:rsidRPr="0058432E">
        <w:rPr>
          <w:color w:val="000000" w:themeColor="text1"/>
        </w:rPr>
        <w:t>e</w:t>
      </w:r>
      <w:r w:rsidRPr="0058432E">
        <w:rPr>
          <w:color w:val="000000" w:themeColor="text1"/>
        </w:rPr>
        <w:t xml:space="preserve">s. Ceci comprend de rares cas de pancytopénie, d’anémie médullaire, des </w:t>
      </w:r>
      <w:r w:rsidR="00461F70" w:rsidRPr="0058432E">
        <w:rPr>
          <w:color w:val="000000" w:themeColor="text1"/>
        </w:rPr>
        <w:t xml:space="preserve">événements </w:t>
      </w:r>
      <w:r w:rsidRPr="0058432E">
        <w:rPr>
          <w:color w:val="000000" w:themeColor="text1"/>
        </w:rPr>
        <w:t xml:space="preserve">de démyélinisation centrale et périphérique et des cas de lupus, </w:t>
      </w:r>
      <w:r w:rsidR="00461F70" w:rsidRPr="0058432E">
        <w:rPr>
          <w:color w:val="000000" w:themeColor="text1"/>
        </w:rPr>
        <w:t xml:space="preserve">d’affections </w:t>
      </w:r>
      <w:r w:rsidRPr="0058432E">
        <w:rPr>
          <w:color w:val="000000" w:themeColor="text1"/>
        </w:rPr>
        <w:t>lié</w:t>
      </w:r>
      <w:r w:rsidR="00384585" w:rsidRPr="0058432E">
        <w:rPr>
          <w:color w:val="000000" w:themeColor="text1"/>
        </w:rPr>
        <w:t>e</w:t>
      </w:r>
      <w:r w:rsidRPr="0058432E">
        <w:rPr>
          <w:color w:val="000000" w:themeColor="text1"/>
        </w:rPr>
        <w:t>s au lupus et de syndrome de Stevens-Johnson.</w:t>
      </w:r>
    </w:p>
    <w:p w14:paraId="2DE9A9C2" w14:textId="77777777" w:rsidR="00C355EC" w:rsidRPr="0058432E" w:rsidRDefault="00C355EC" w:rsidP="0009685B">
      <w:pPr>
        <w:pStyle w:val="BodyText"/>
        <w:widowControl/>
        <w:kinsoku w:val="0"/>
        <w:overflowPunct w:val="0"/>
        <w:ind w:left="0"/>
        <w:rPr>
          <w:color w:val="000000" w:themeColor="text1"/>
        </w:rPr>
      </w:pPr>
    </w:p>
    <w:p w14:paraId="782253DC"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Population pédiatrique</w:t>
      </w:r>
    </w:p>
    <w:p w14:paraId="57F81DB3" w14:textId="77777777" w:rsidR="00C355EC" w:rsidRPr="0058432E" w:rsidRDefault="00C355EC" w:rsidP="0009685B">
      <w:pPr>
        <w:pStyle w:val="BodyText"/>
        <w:widowControl/>
        <w:kinsoku w:val="0"/>
        <w:overflowPunct w:val="0"/>
        <w:ind w:left="0"/>
        <w:rPr>
          <w:color w:val="000000" w:themeColor="text1"/>
        </w:rPr>
      </w:pPr>
    </w:p>
    <w:p w14:paraId="649842C1"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lastRenderedPageBreak/>
        <w:t>En général, la fréquence et le type des événements indésirables observés chez l’enfant et l’adolescent ont été comparables à ceux observés chez les patients adultes.</w:t>
      </w:r>
    </w:p>
    <w:p w14:paraId="4045C114" w14:textId="77777777" w:rsidR="008620EF" w:rsidRPr="0058432E" w:rsidRDefault="008620EF" w:rsidP="0009685B">
      <w:pPr>
        <w:pStyle w:val="BodyText"/>
        <w:widowControl/>
        <w:kinsoku w:val="0"/>
        <w:overflowPunct w:val="0"/>
        <w:ind w:left="0"/>
        <w:rPr>
          <w:color w:val="000000" w:themeColor="text1"/>
          <w:u w:val="single"/>
        </w:rPr>
      </w:pPr>
    </w:p>
    <w:p w14:paraId="4F0CE35F"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u w:val="single"/>
        </w:rPr>
        <w:t xml:space="preserve">Liste </w:t>
      </w:r>
      <w:r w:rsidR="00795F8E" w:rsidRPr="0058432E">
        <w:rPr>
          <w:color w:val="000000" w:themeColor="text1"/>
          <w:u w:val="single"/>
        </w:rPr>
        <w:t xml:space="preserve">tabulée </w:t>
      </w:r>
      <w:r w:rsidRPr="0058432E">
        <w:rPr>
          <w:color w:val="000000" w:themeColor="text1"/>
          <w:u w:val="single"/>
        </w:rPr>
        <w:t>des effets indésirables</w:t>
      </w:r>
    </w:p>
    <w:p w14:paraId="3C7B9BD0" w14:textId="77777777" w:rsidR="00C355EC" w:rsidRPr="0058432E" w:rsidRDefault="00C355EC" w:rsidP="0009685B">
      <w:pPr>
        <w:pStyle w:val="BodyText"/>
        <w:widowControl/>
        <w:kinsoku w:val="0"/>
        <w:overflowPunct w:val="0"/>
        <w:ind w:left="0"/>
        <w:rPr>
          <w:color w:val="000000" w:themeColor="text1"/>
        </w:rPr>
      </w:pPr>
    </w:p>
    <w:p w14:paraId="6D154E68" w14:textId="77777777" w:rsidR="00C355EC" w:rsidRPr="0058432E" w:rsidRDefault="00C355EC" w:rsidP="0009685B">
      <w:pPr>
        <w:pStyle w:val="BodyText"/>
        <w:widowControl/>
        <w:kinsoku w:val="0"/>
        <w:overflowPunct w:val="0"/>
        <w:ind w:left="0"/>
        <w:rPr>
          <w:color w:val="000000" w:themeColor="text1"/>
        </w:rPr>
      </w:pPr>
      <w:r w:rsidRPr="0058432E">
        <w:rPr>
          <w:color w:val="000000" w:themeColor="text1"/>
        </w:rPr>
        <w:t xml:space="preserve">La liste </w:t>
      </w:r>
      <w:r w:rsidR="00795F8E" w:rsidRPr="0058432E">
        <w:rPr>
          <w:color w:val="000000" w:themeColor="text1"/>
        </w:rPr>
        <w:t xml:space="preserve">suivante </w:t>
      </w:r>
      <w:r w:rsidRPr="0058432E">
        <w:rPr>
          <w:color w:val="000000" w:themeColor="text1"/>
        </w:rPr>
        <w:t>des effets indésirables est basée sur les études cliniques et sur l’expérience après commercialisation et est présentée par classe de systèmes d’organes et par fréquence dans le tableau 6 ci-dessous : très fréquent (≥ 1/10) ; fréquent (≥ 1/100, &lt; 1/10) ; peu fréquent (≥ 1/1 000, &lt; 1/100) ; rare (≥ 1/10 000, &lt; 1/1 000) et fréquence indéterminée (ne peut être estimée sur la base des données disponibles). Au sein de chaque groupe de fréquence, les effets indésirables sont présentés par ordre décroissant de gravité. La fréquence la plus élevée observée dans les diverses indications a été incluse. La présence d’un astérisque (*) dans la colonne « Classe de systèmes d’organes » indique que de plus amples informations sont disponibles aux rubriques 4.3, 4.4 et 4.8.</w:t>
      </w:r>
    </w:p>
    <w:p w14:paraId="656DCF6F" w14:textId="77777777" w:rsidR="00452285" w:rsidRPr="0058432E" w:rsidRDefault="00452285" w:rsidP="0009685B">
      <w:pPr>
        <w:pStyle w:val="BodyText"/>
        <w:widowControl/>
        <w:kinsoku w:val="0"/>
        <w:overflowPunct w:val="0"/>
        <w:ind w:left="0"/>
        <w:rPr>
          <w:color w:val="000000" w:themeColor="text1"/>
        </w:rPr>
      </w:pPr>
    </w:p>
    <w:p w14:paraId="40BBC5A4" w14:textId="77777777" w:rsidR="00452285" w:rsidRPr="0058432E" w:rsidRDefault="00452285" w:rsidP="00A53E17">
      <w:pPr>
        <w:pStyle w:val="BodyText"/>
        <w:widowControl/>
        <w:kinsoku w:val="0"/>
        <w:overflowPunct w:val="0"/>
        <w:ind w:left="0"/>
        <w:rPr>
          <w:b/>
          <w:color w:val="000000" w:themeColor="text1"/>
        </w:rPr>
      </w:pPr>
      <w:r w:rsidRPr="0058432E">
        <w:rPr>
          <w:b/>
          <w:color w:val="000000" w:themeColor="text1"/>
        </w:rPr>
        <w:t>Tableau 6</w:t>
      </w:r>
      <w:r w:rsidR="00BA0AD5" w:rsidRPr="0058432E">
        <w:rPr>
          <w:b/>
          <w:color w:val="000000" w:themeColor="text1"/>
        </w:rPr>
        <w:t>.</w:t>
      </w:r>
      <w:r w:rsidRPr="0058432E">
        <w:rPr>
          <w:b/>
          <w:color w:val="000000" w:themeColor="text1"/>
        </w:rPr>
        <w:t xml:space="preserve"> Effets indésirables</w:t>
      </w:r>
    </w:p>
    <w:p w14:paraId="7E9A0921" w14:textId="77777777" w:rsidR="00452285" w:rsidRPr="0058432E" w:rsidRDefault="00452285" w:rsidP="0009685B">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2253"/>
        <w:gridCol w:w="3159"/>
      </w:tblGrid>
      <w:tr w:rsidR="00452285" w:rsidRPr="0058432E" w14:paraId="1E6BA8A9" w14:textId="77777777" w:rsidTr="00054A92">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765D2E0C" w14:textId="77777777" w:rsidR="00452285" w:rsidRPr="0058432E" w:rsidRDefault="00452285" w:rsidP="00982118">
            <w:pPr>
              <w:jc w:val="center"/>
              <w:rPr>
                <w:b/>
                <w:color w:val="000000" w:themeColor="text1"/>
              </w:rPr>
            </w:pPr>
            <w:r w:rsidRPr="0058432E">
              <w:rPr>
                <w:b/>
                <w:color w:val="000000" w:themeColor="text1"/>
              </w:rPr>
              <w:t>Classe de systèmes d’organes</w:t>
            </w:r>
          </w:p>
        </w:tc>
        <w:tc>
          <w:tcPr>
            <w:tcW w:w="1621" w:type="dxa"/>
            <w:tcBorders>
              <w:top w:val="single" w:sz="4" w:space="0" w:color="auto"/>
              <w:left w:val="single" w:sz="4" w:space="0" w:color="auto"/>
              <w:bottom w:val="single" w:sz="4" w:space="0" w:color="auto"/>
              <w:right w:val="single" w:sz="4" w:space="0" w:color="auto"/>
            </w:tcBorders>
            <w:hideMark/>
          </w:tcPr>
          <w:p w14:paraId="6FBC7453" w14:textId="77777777" w:rsidR="00452285" w:rsidRPr="0058432E" w:rsidRDefault="00452285" w:rsidP="00982118">
            <w:pPr>
              <w:jc w:val="center"/>
              <w:rPr>
                <w:b/>
                <w:color w:val="000000" w:themeColor="text1"/>
              </w:rPr>
            </w:pPr>
            <w:r w:rsidRPr="0058432E">
              <w:rPr>
                <w:b/>
                <w:color w:val="000000" w:themeColor="text1"/>
              </w:rPr>
              <w:t>Fréquence</w:t>
            </w:r>
          </w:p>
        </w:tc>
        <w:tc>
          <w:tcPr>
            <w:tcW w:w="0" w:type="auto"/>
            <w:tcBorders>
              <w:top w:val="single" w:sz="4" w:space="0" w:color="auto"/>
              <w:left w:val="single" w:sz="4" w:space="0" w:color="auto"/>
              <w:bottom w:val="single" w:sz="4" w:space="0" w:color="auto"/>
              <w:right w:val="single" w:sz="4" w:space="0" w:color="auto"/>
            </w:tcBorders>
            <w:hideMark/>
          </w:tcPr>
          <w:p w14:paraId="2BC778A2" w14:textId="77777777" w:rsidR="00452285" w:rsidRPr="0058432E" w:rsidRDefault="00452285" w:rsidP="00982118">
            <w:pPr>
              <w:jc w:val="center"/>
              <w:rPr>
                <w:b/>
                <w:color w:val="000000" w:themeColor="text1"/>
              </w:rPr>
            </w:pPr>
            <w:r w:rsidRPr="0058432E">
              <w:rPr>
                <w:b/>
                <w:color w:val="000000" w:themeColor="text1"/>
              </w:rPr>
              <w:t>Effet indésirable</w:t>
            </w:r>
          </w:p>
        </w:tc>
      </w:tr>
      <w:tr w:rsidR="00452285" w:rsidRPr="0058432E" w14:paraId="1689FEE4"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3320BA7" w14:textId="77777777" w:rsidR="00452285" w:rsidRPr="0058432E" w:rsidRDefault="00452285" w:rsidP="00982118">
            <w:pPr>
              <w:rPr>
                <w:color w:val="000000" w:themeColor="text1"/>
              </w:rPr>
            </w:pPr>
            <w:r w:rsidRPr="0058432E">
              <w:rPr>
                <w:color w:val="000000" w:themeColor="text1"/>
              </w:rPr>
              <w:t>Infections et infestations*</w:t>
            </w:r>
          </w:p>
        </w:tc>
        <w:tc>
          <w:tcPr>
            <w:tcW w:w="1621" w:type="dxa"/>
            <w:tcBorders>
              <w:top w:val="single" w:sz="4" w:space="0" w:color="auto"/>
              <w:left w:val="single" w:sz="4" w:space="0" w:color="auto"/>
              <w:right w:val="single" w:sz="4" w:space="0" w:color="auto"/>
            </w:tcBorders>
          </w:tcPr>
          <w:p w14:paraId="51F5B83E" w14:textId="77777777" w:rsidR="00452285" w:rsidRPr="0058432E" w:rsidRDefault="00452285" w:rsidP="00982118">
            <w:pPr>
              <w:rPr>
                <w:color w:val="000000" w:themeColor="text1"/>
              </w:rPr>
            </w:pPr>
            <w:r w:rsidRPr="0058432E">
              <w:rPr>
                <w:color w:val="000000" w:themeColor="text1"/>
              </w:rPr>
              <w:t>Très fréquent</w:t>
            </w:r>
          </w:p>
          <w:p w14:paraId="5AAA13AA" w14:textId="77777777" w:rsidR="00452285" w:rsidRPr="0058432E"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9C1453D" w14:textId="77777777" w:rsidR="00452285" w:rsidRPr="0058432E" w:rsidRDefault="00452285" w:rsidP="00C831C4">
            <w:pPr>
              <w:rPr>
                <w:color w:val="000000" w:themeColor="text1"/>
              </w:rPr>
            </w:pPr>
            <w:r w:rsidRPr="0058432E">
              <w:rPr>
                <w:color w:val="000000" w:themeColor="text1"/>
              </w:rPr>
              <w:t>Infections des voies respiratoires (y compris infection des voies respiratoires basses et infection des voies respiratoires hautes, pneumonie, sinusite, pharyngite, rhinopharyngite et pneumonie herpétique</w:t>
            </w:r>
            <w:r w:rsidR="00DD4B2A" w:rsidRPr="0058432E">
              <w:rPr>
                <w:color w:val="000000" w:themeColor="text1"/>
              </w:rPr>
              <w:t xml:space="preserve"> virale</w:t>
            </w:r>
            <w:r w:rsidRPr="0058432E">
              <w:rPr>
                <w:color w:val="000000" w:themeColor="text1"/>
              </w:rPr>
              <w:t>)</w:t>
            </w:r>
          </w:p>
        </w:tc>
      </w:tr>
      <w:tr w:rsidR="00452285" w:rsidRPr="0058432E" w14:paraId="42638D16" w14:textId="77777777" w:rsidTr="00054A92">
        <w:trPr>
          <w:cantSplit/>
        </w:trPr>
        <w:tc>
          <w:tcPr>
            <w:tcW w:w="2628" w:type="dxa"/>
            <w:vMerge/>
            <w:tcBorders>
              <w:left w:val="single" w:sz="4" w:space="0" w:color="auto"/>
              <w:right w:val="single" w:sz="4" w:space="0" w:color="auto"/>
            </w:tcBorders>
          </w:tcPr>
          <w:p w14:paraId="4704407A" w14:textId="77777777" w:rsidR="00452285" w:rsidRPr="0058432E" w:rsidRDefault="00452285" w:rsidP="00982118">
            <w:pPr>
              <w:rPr>
                <w:color w:val="000000" w:themeColor="text1"/>
              </w:rPr>
            </w:pPr>
          </w:p>
        </w:tc>
        <w:tc>
          <w:tcPr>
            <w:tcW w:w="1621" w:type="dxa"/>
            <w:tcBorders>
              <w:left w:val="single" w:sz="4" w:space="0" w:color="auto"/>
              <w:right w:val="single" w:sz="4" w:space="0" w:color="auto"/>
            </w:tcBorders>
          </w:tcPr>
          <w:p w14:paraId="092A6563" w14:textId="77777777" w:rsidR="00452285" w:rsidRPr="0058432E" w:rsidRDefault="00452285" w:rsidP="00982118">
            <w:pPr>
              <w:rPr>
                <w:color w:val="000000" w:themeColor="text1"/>
              </w:rPr>
            </w:pPr>
            <w:r w:rsidRPr="0058432E">
              <w:rPr>
                <w:color w:val="000000" w:themeColor="text1"/>
              </w:rPr>
              <w:t>Fréquent</w:t>
            </w:r>
          </w:p>
          <w:p w14:paraId="3A802B02" w14:textId="77777777" w:rsidR="00452285" w:rsidRPr="0058432E"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61FEAD5D" w14:textId="77777777" w:rsidR="00452285" w:rsidRPr="0058432E" w:rsidRDefault="00452285" w:rsidP="00982118">
            <w:pPr>
              <w:rPr>
                <w:color w:val="000000" w:themeColor="text1"/>
              </w:rPr>
            </w:pPr>
            <w:r w:rsidRPr="0058432E">
              <w:rPr>
                <w:color w:val="000000" w:themeColor="text1"/>
              </w:rPr>
              <w:t xml:space="preserve">Infections systémiques (y compris </w:t>
            </w:r>
            <w:r w:rsidR="00C564BD" w:rsidRPr="0058432E">
              <w:rPr>
                <w:color w:val="000000" w:themeColor="text1"/>
              </w:rPr>
              <w:t>septicémie</w:t>
            </w:r>
            <w:r w:rsidRPr="0058432E">
              <w:rPr>
                <w:color w:val="000000" w:themeColor="text1"/>
              </w:rPr>
              <w:t xml:space="preserve">, candidose et grippe), </w:t>
            </w:r>
          </w:p>
          <w:p w14:paraId="024DA720"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virale), </w:t>
            </w:r>
          </w:p>
          <w:p w14:paraId="78111E09"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cutanées et des tissus mous (y compris panaris superficiel périunguéal, cellulite, impétigo, fasciite nécrosante et zona), </w:t>
            </w:r>
          </w:p>
          <w:p w14:paraId="43BA2DF1"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 l’oreille, </w:t>
            </w:r>
          </w:p>
          <w:p w14:paraId="58814BE5"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herpès</w:t>
            </w:r>
            <w:r w:rsidR="001A43D2" w:rsidRPr="0058432E">
              <w:rPr>
                <w:color w:val="000000" w:themeColor="text1"/>
              </w:rPr>
              <w:t xml:space="preserve"> simplex</w:t>
            </w:r>
            <w:r w:rsidRPr="0058432E">
              <w:rPr>
                <w:color w:val="000000" w:themeColor="text1"/>
              </w:rPr>
              <w:t xml:space="preserve">, herpès buccal et infections dentaires), </w:t>
            </w:r>
          </w:p>
          <w:p w14:paraId="734965C2"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(y compris mycose vulvo-vaginale), </w:t>
            </w:r>
          </w:p>
          <w:p w14:paraId="61D1ADF3"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des voies urinaires (y compris pyélonéphrite), </w:t>
            </w:r>
          </w:p>
          <w:p w14:paraId="440B2176" w14:textId="77777777" w:rsidR="00452285" w:rsidRPr="0058432E" w:rsidRDefault="00452285"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fongiques, </w:t>
            </w:r>
          </w:p>
          <w:p w14:paraId="7A0F9211" w14:textId="77777777" w:rsidR="00452285" w:rsidRPr="0058432E" w:rsidDel="00955F88" w:rsidRDefault="00452285" w:rsidP="00C831C4">
            <w:pPr>
              <w:rPr>
                <w:color w:val="000000" w:themeColor="text1"/>
              </w:rPr>
            </w:pPr>
            <w:proofErr w:type="gramStart"/>
            <w:r w:rsidRPr="0058432E">
              <w:rPr>
                <w:color w:val="000000" w:themeColor="text1"/>
              </w:rPr>
              <w:t>infections</w:t>
            </w:r>
            <w:proofErr w:type="gramEnd"/>
            <w:r w:rsidRPr="0058432E">
              <w:rPr>
                <w:color w:val="000000" w:themeColor="text1"/>
              </w:rPr>
              <w:t xml:space="preserve"> articulaires</w:t>
            </w:r>
          </w:p>
        </w:tc>
      </w:tr>
      <w:tr w:rsidR="00452285" w:rsidRPr="0058432E" w14:paraId="32F91445" w14:textId="77777777" w:rsidTr="00054A92">
        <w:trPr>
          <w:cantSplit/>
        </w:trPr>
        <w:tc>
          <w:tcPr>
            <w:tcW w:w="2628" w:type="dxa"/>
            <w:vMerge/>
            <w:tcBorders>
              <w:left w:val="single" w:sz="4" w:space="0" w:color="auto"/>
              <w:bottom w:val="single" w:sz="4" w:space="0" w:color="auto"/>
              <w:right w:val="single" w:sz="4" w:space="0" w:color="auto"/>
            </w:tcBorders>
          </w:tcPr>
          <w:p w14:paraId="00286907" w14:textId="77777777" w:rsidR="00452285" w:rsidRPr="0058432E"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2951D177" w14:textId="77777777" w:rsidR="00452285" w:rsidRPr="0058432E" w:rsidRDefault="00452285"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42DD843E" w14:textId="77777777" w:rsidR="00452285" w:rsidRPr="0058432E" w:rsidRDefault="00452285" w:rsidP="00982118">
            <w:pPr>
              <w:keepNext/>
              <w:autoSpaceDE w:val="0"/>
              <w:autoSpaceDN w:val="0"/>
              <w:adjustRightInd w:val="0"/>
              <w:rPr>
                <w:color w:val="000000" w:themeColor="text1"/>
              </w:rPr>
            </w:pPr>
            <w:r w:rsidRPr="0058432E">
              <w:rPr>
                <w:color w:val="000000" w:themeColor="text1"/>
              </w:rPr>
              <w:t>Infections neurologiques (y compris méningite virale),</w:t>
            </w:r>
          </w:p>
          <w:p w14:paraId="472727B9"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et tuberculose (y compris coccidioïdomycose, histoplasmose et infections à </w:t>
            </w:r>
            <w:r w:rsidRPr="0058432E">
              <w:rPr>
                <w:i/>
                <w:iCs/>
                <w:color w:val="000000" w:themeColor="text1"/>
              </w:rPr>
              <w:t>Mycobacterium avium complex</w:t>
            </w:r>
            <w:r w:rsidRPr="0058432E">
              <w:rPr>
                <w:color w:val="000000" w:themeColor="text1"/>
              </w:rPr>
              <w:t>),</w:t>
            </w:r>
          </w:p>
          <w:p w14:paraId="442BBEF2"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w:t>
            </w:r>
          </w:p>
          <w:p w14:paraId="5D49227A"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oculaires,</w:t>
            </w:r>
          </w:p>
          <w:p w14:paraId="59BC96FB" w14:textId="77777777" w:rsidR="00452285" w:rsidRPr="0058432E" w:rsidDel="00955F88" w:rsidRDefault="00452285" w:rsidP="00C831C4">
            <w:pPr>
              <w:rPr>
                <w:color w:val="000000" w:themeColor="text1"/>
              </w:rPr>
            </w:pPr>
            <w:proofErr w:type="gramStart"/>
            <w:r w:rsidRPr="0058432E">
              <w:rPr>
                <w:color w:val="000000" w:themeColor="text1"/>
              </w:rPr>
              <w:t>diverticulite</w:t>
            </w:r>
            <w:proofErr w:type="gramEnd"/>
            <w:r w:rsidRPr="0058432E">
              <w:rPr>
                <w:color w:val="000000" w:themeColor="text1"/>
                <w:vertAlign w:val="superscript"/>
              </w:rPr>
              <w:t>1</w:t>
            </w:r>
          </w:p>
        </w:tc>
      </w:tr>
      <w:tr w:rsidR="00452285" w:rsidRPr="0058432E" w14:paraId="7E22D63D"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88B62ED" w14:textId="77777777" w:rsidR="00452285" w:rsidRPr="0058432E" w:rsidRDefault="00452285" w:rsidP="00982118">
            <w:pPr>
              <w:rPr>
                <w:color w:val="000000" w:themeColor="text1"/>
              </w:rPr>
            </w:pPr>
            <w:r w:rsidRPr="0058432E">
              <w:rPr>
                <w:color w:val="000000" w:themeColor="text1"/>
              </w:rPr>
              <w:lastRenderedPageBreak/>
              <w:t>Tumeurs bénignes, malignes et non précisées (</w:t>
            </w:r>
            <w:r w:rsidR="00F672BA" w:rsidRPr="0058432E">
              <w:rPr>
                <w:color w:val="000000" w:themeColor="text1"/>
              </w:rPr>
              <w:t>incl</w:t>
            </w:r>
            <w:r w:rsidR="008E6AE8" w:rsidRPr="0058432E">
              <w:rPr>
                <w:color w:val="000000" w:themeColor="text1"/>
              </w:rPr>
              <w:t>.</w:t>
            </w:r>
            <w:r w:rsidRPr="0058432E">
              <w:rPr>
                <w:color w:val="000000" w:themeColor="text1"/>
              </w:rPr>
              <w:t xml:space="preserve"> kystes et </w:t>
            </w:r>
            <w:proofErr w:type="gramStart"/>
            <w:r w:rsidRPr="0058432E">
              <w:rPr>
                <w:color w:val="000000" w:themeColor="text1"/>
              </w:rPr>
              <w:t>polypes)*</w:t>
            </w:r>
            <w:proofErr w:type="gramEnd"/>
          </w:p>
        </w:tc>
        <w:tc>
          <w:tcPr>
            <w:tcW w:w="1621" w:type="dxa"/>
            <w:tcBorders>
              <w:top w:val="single" w:sz="4" w:space="0" w:color="auto"/>
              <w:left w:val="single" w:sz="4" w:space="0" w:color="auto"/>
              <w:bottom w:val="single" w:sz="4" w:space="0" w:color="auto"/>
              <w:right w:val="single" w:sz="4" w:space="0" w:color="auto"/>
            </w:tcBorders>
          </w:tcPr>
          <w:p w14:paraId="365ED8FE" w14:textId="77777777" w:rsidR="00452285" w:rsidRPr="0058432E" w:rsidRDefault="00452285" w:rsidP="00982118">
            <w:pPr>
              <w:rPr>
                <w:color w:val="000000" w:themeColor="text1"/>
              </w:rPr>
            </w:pPr>
            <w:r w:rsidRPr="0058432E">
              <w:rPr>
                <w:color w:val="000000" w:themeColor="text1"/>
              </w:rPr>
              <w:t>Fréquent</w:t>
            </w:r>
          </w:p>
          <w:p w14:paraId="6FB75945" w14:textId="77777777" w:rsidR="00452285" w:rsidRPr="0058432E"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67E89377" w14:textId="77777777" w:rsidR="00452285" w:rsidRPr="0058432E" w:rsidRDefault="00452285" w:rsidP="00982118">
            <w:pPr>
              <w:rPr>
                <w:color w:val="000000" w:themeColor="text1"/>
              </w:rPr>
            </w:pPr>
            <w:r w:rsidRPr="0058432E">
              <w:rPr>
                <w:color w:val="000000" w:themeColor="text1"/>
              </w:rPr>
              <w:t>Cancer de la peau à l’exclusion du mélanome (y compris carcinome basocellulaire et carcinome malpighien spino-cellulaire),</w:t>
            </w:r>
          </w:p>
          <w:p w14:paraId="606E2F8B" w14:textId="77777777" w:rsidR="00452285" w:rsidRPr="0058432E" w:rsidRDefault="00452285" w:rsidP="00C831C4">
            <w:pPr>
              <w:rPr>
                <w:color w:val="000000" w:themeColor="text1"/>
              </w:rPr>
            </w:pPr>
            <w:proofErr w:type="gramStart"/>
            <w:r w:rsidRPr="0058432E">
              <w:rPr>
                <w:color w:val="000000" w:themeColor="text1"/>
              </w:rPr>
              <w:t>tumeur</w:t>
            </w:r>
            <w:proofErr w:type="gramEnd"/>
            <w:r w:rsidRPr="0058432E">
              <w:rPr>
                <w:color w:val="000000" w:themeColor="text1"/>
              </w:rPr>
              <w:t xml:space="preserve"> bénigne</w:t>
            </w:r>
          </w:p>
        </w:tc>
      </w:tr>
      <w:tr w:rsidR="00452285" w:rsidRPr="0058432E" w14:paraId="5E3CEBFA" w14:textId="77777777" w:rsidTr="00054A92">
        <w:trPr>
          <w:cantSplit/>
        </w:trPr>
        <w:tc>
          <w:tcPr>
            <w:tcW w:w="2628" w:type="dxa"/>
            <w:vMerge/>
            <w:tcBorders>
              <w:left w:val="single" w:sz="4" w:space="0" w:color="auto"/>
              <w:right w:val="single" w:sz="4" w:space="0" w:color="auto"/>
            </w:tcBorders>
          </w:tcPr>
          <w:p w14:paraId="1981CDD6"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3C23EF8" w14:textId="77777777" w:rsidR="00452285" w:rsidRPr="0058432E" w:rsidRDefault="00452285" w:rsidP="00982118">
            <w:pPr>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6DF67AB8" w14:textId="77777777" w:rsidR="00452285" w:rsidRPr="0058432E" w:rsidRDefault="00452285" w:rsidP="00982118">
            <w:pPr>
              <w:rPr>
                <w:color w:val="000000" w:themeColor="text1"/>
              </w:rPr>
            </w:pPr>
            <w:r w:rsidRPr="0058432E">
              <w:rPr>
                <w:color w:val="000000" w:themeColor="text1"/>
              </w:rPr>
              <w:t>Lymphome**,</w:t>
            </w:r>
          </w:p>
          <w:p w14:paraId="23CEE1C0" w14:textId="77777777" w:rsidR="00452285" w:rsidRPr="0058432E" w:rsidRDefault="00452285" w:rsidP="00982118">
            <w:pPr>
              <w:rPr>
                <w:color w:val="000000" w:themeColor="text1"/>
              </w:rPr>
            </w:pPr>
            <w:proofErr w:type="gramStart"/>
            <w:r w:rsidRPr="0058432E">
              <w:rPr>
                <w:color w:val="000000" w:themeColor="text1"/>
              </w:rPr>
              <w:t>tumeurs</w:t>
            </w:r>
            <w:proofErr w:type="gramEnd"/>
            <w:r w:rsidRPr="0058432E">
              <w:rPr>
                <w:color w:val="000000" w:themeColor="text1"/>
              </w:rPr>
              <w:t xml:space="preserve"> des organes solides (y compris cancer du sein, du poumon et de la thyroïde),</w:t>
            </w:r>
          </w:p>
          <w:p w14:paraId="52B754CC" w14:textId="77777777" w:rsidR="00452285" w:rsidRPr="0058432E" w:rsidRDefault="00452285" w:rsidP="00C831C4">
            <w:pPr>
              <w:rPr>
                <w:color w:val="000000" w:themeColor="text1"/>
              </w:rPr>
            </w:pPr>
            <w:proofErr w:type="gramStart"/>
            <w:r w:rsidRPr="0058432E">
              <w:rPr>
                <w:color w:val="000000" w:themeColor="text1"/>
              </w:rPr>
              <w:t>mélanome</w:t>
            </w:r>
            <w:proofErr w:type="gramEnd"/>
            <w:r w:rsidRPr="0058432E">
              <w:rPr>
                <w:color w:val="000000" w:themeColor="text1"/>
              </w:rPr>
              <w:t>**</w:t>
            </w:r>
          </w:p>
        </w:tc>
      </w:tr>
      <w:tr w:rsidR="00452285" w:rsidRPr="0058432E" w14:paraId="75326286" w14:textId="77777777" w:rsidTr="00054A92">
        <w:trPr>
          <w:cantSplit/>
        </w:trPr>
        <w:tc>
          <w:tcPr>
            <w:tcW w:w="2628" w:type="dxa"/>
            <w:vMerge/>
            <w:tcBorders>
              <w:left w:val="single" w:sz="4" w:space="0" w:color="auto"/>
              <w:right w:val="single" w:sz="4" w:space="0" w:color="auto"/>
            </w:tcBorders>
          </w:tcPr>
          <w:p w14:paraId="6235B5CD"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18C6D76" w14:textId="77777777" w:rsidR="00452285" w:rsidRPr="0058432E" w:rsidRDefault="00452285" w:rsidP="00982118">
            <w:pPr>
              <w:rPr>
                <w:color w:val="000000" w:themeColor="text1"/>
              </w:rPr>
            </w:pPr>
            <w:r w:rsidRPr="0058432E">
              <w:rPr>
                <w:color w:val="000000" w:themeColor="text1"/>
              </w:rPr>
              <w:t>Rare</w:t>
            </w:r>
          </w:p>
        </w:tc>
        <w:tc>
          <w:tcPr>
            <w:tcW w:w="0" w:type="auto"/>
            <w:tcBorders>
              <w:left w:val="single" w:sz="4" w:space="0" w:color="auto"/>
              <w:right w:val="single" w:sz="4" w:space="0" w:color="auto"/>
            </w:tcBorders>
          </w:tcPr>
          <w:p w14:paraId="4350289A" w14:textId="77777777" w:rsidR="00452285" w:rsidRPr="0058432E" w:rsidRDefault="00452285" w:rsidP="00C831C4">
            <w:pPr>
              <w:rPr>
                <w:color w:val="000000" w:themeColor="text1"/>
              </w:rPr>
            </w:pPr>
            <w:r w:rsidRPr="0058432E">
              <w:rPr>
                <w:color w:val="000000" w:themeColor="text1"/>
              </w:rPr>
              <w:t>Leucémie</w:t>
            </w:r>
            <w:r w:rsidRPr="0058432E">
              <w:rPr>
                <w:color w:val="000000" w:themeColor="text1"/>
                <w:vertAlign w:val="superscript"/>
              </w:rPr>
              <w:t>1</w:t>
            </w:r>
          </w:p>
        </w:tc>
      </w:tr>
      <w:tr w:rsidR="00452285" w:rsidRPr="0058432E" w14:paraId="71ACC88C" w14:textId="77777777" w:rsidTr="00054A92">
        <w:trPr>
          <w:cantSplit/>
        </w:trPr>
        <w:tc>
          <w:tcPr>
            <w:tcW w:w="2628" w:type="dxa"/>
            <w:vMerge/>
            <w:tcBorders>
              <w:left w:val="single" w:sz="4" w:space="0" w:color="auto"/>
              <w:bottom w:val="single" w:sz="4" w:space="0" w:color="auto"/>
              <w:right w:val="single" w:sz="4" w:space="0" w:color="auto"/>
            </w:tcBorders>
          </w:tcPr>
          <w:p w14:paraId="28FAB2EE"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4AF1EDE" w14:textId="77777777" w:rsidR="00452285" w:rsidRPr="0058432E" w:rsidRDefault="00452285" w:rsidP="00982118">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3D3FEC49" w14:textId="77777777" w:rsidR="00452285" w:rsidRPr="0058432E" w:rsidRDefault="00452285" w:rsidP="00982118">
            <w:pPr>
              <w:rPr>
                <w:color w:val="000000" w:themeColor="text1"/>
              </w:rPr>
            </w:pPr>
            <w:r w:rsidRPr="0058432E">
              <w:rPr>
                <w:color w:val="000000" w:themeColor="text1"/>
              </w:rPr>
              <w:t>Lymphome hépatosplénique à lymphocytes T</w:t>
            </w:r>
            <w:r w:rsidRPr="0058432E">
              <w:rPr>
                <w:color w:val="000000" w:themeColor="text1"/>
                <w:vertAlign w:val="superscript"/>
              </w:rPr>
              <w:t>1</w:t>
            </w:r>
            <w:r w:rsidRPr="0058432E">
              <w:rPr>
                <w:color w:val="000000" w:themeColor="text1"/>
              </w:rPr>
              <w:t>,</w:t>
            </w:r>
          </w:p>
          <w:p w14:paraId="58588ADA" w14:textId="77777777" w:rsidR="00452285" w:rsidRPr="0058432E" w:rsidRDefault="00452285" w:rsidP="00C831C4">
            <w:pPr>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(carcinome neuroendocrine cutané)</w:t>
            </w:r>
            <w:r w:rsidRPr="0058432E">
              <w:rPr>
                <w:color w:val="000000" w:themeColor="text1"/>
                <w:vertAlign w:val="superscript"/>
              </w:rPr>
              <w:t>1</w:t>
            </w:r>
            <w:r w:rsidR="007B2F70" w:rsidRPr="0058432E">
              <w:rPr>
                <w:color w:val="000000" w:themeColor="text1"/>
              </w:rPr>
              <w:t>,</w:t>
            </w:r>
          </w:p>
          <w:p w14:paraId="57D3C155" w14:textId="77777777" w:rsidR="007B2F70" w:rsidRPr="0058432E" w:rsidRDefault="007B2F70" w:rsidP="00C831C4">
            <w:pPr>
              <w:rPr>
                <w:color w:val="000000" w:themeColor="text1"/>
              </w:rPr>
            </w:pPr>
            <w:proofErr w:type="gramStart"/>
            <w:r w:rsidRPr="0058432E">
              <w:rPr>
                <w:color w:val="000000" w:themeColor="text1"/>
              </w:rPr>
              <w:t>sarcome</w:t>
            </w:r>
            <w:proofErr w:type="gramEnd"/>
            <w:r w:rsidRPr="0058432E">
              <w:rPr>
                <w:color w:val="000000" w:themeColor="text1"/>
              </w:rPr>
              <w:t xml:space="preserve"> de Kaposi</w:t>
            </w:r>
          </w:p>
        </w:tc>
      </w:tr>
      <w:tr w:rsidR="00452285" w:rsidRPr="0058432E" w14:paraId="3ED6C027"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C968791" w14:textId="77777777" w:rsidR="00452285" w:rsidRPr="0058432E" w:rsidRDefault="00452285" w:rsidP="00982118">
            <w:pPr>
              <w:rPr>
                <w:color w:val="000000" w:themeColor="text1"/>
              </w:rPr>
            </w:pPr>
            <w:r w:rsidRPr="0058432E">
              <w:rPr>
                <w:color w:val="000000" w:themeColor="text1"/>
              </w:rPr>
              <w:t>Affections hématologiques et du système lymphatique*</w:t>
            </w:r>
          </w:p>
        </w:tc>
        <w:tc>
          <w:tcPr>
            <w:tcW w:w="1621" w:type="dxa"/>
            <w:tcBorders>
              <w:top w:val="single" w:sz="4" w:space="0" w:color="auto"/>
              <w:left w:val="single" w:sz="4" w:space="0" w:color="auto"/>
              <w:bottom w:val="single" w:sz="4" w:space="0" w:color="auto"/>
              <w:right w:val="single" w:sz="4" w:space="0" w:color="auto"/>
            </w:tcBorders>
          </w:tcPr>
          <w:p w14:paraId="05DB7DF3" w14:textId="77777777" w:rsidR="00452285" w:rsidRPr="0058432E" w:rsidRDefault="00452285" w:rsidP="00982118">
            <w:pPr>
              <w:rPr>
                <w:color w:val="000000" w:themeColor="text1"/>
              </w:rPr>
            </w:pPr>
            <w:r w:rsidRPr="0058432E">
              <w:rPr>
                <w:color w:val="000000" w:themeColor="text1"/>
              </w:rPr>
              <w:t>Très fréquent</w:t>
            </w:r>
          </w:p>
          <w:p w14:paraId="507B9690" w14:textId="77777777" w:rsidR="00452285" w:rsidRPr="0058432E"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304BF080" w14:textId="77777777" w:rsidR="00452285" w:rsidRPr="0058432E" w:rsidRDefault="00452285" w:rsidP="00982118">
            <w:pPr>
              <w:autoSpaceDE w:val="0"/>
              <w:autoSpaceDN w:val="0"/>
              <w:adjustRightInd w:val="0"/>
              <w:rPr>
                <w:color w:val="000000" w:themeColor="text1"/>
              </w:rPr>
            </w:pPr>
            <w:r w:rsidRPr="0058432E">
              <w:rPr>
                <w:color w:val="000000" w:themeColor="text1"/>
              </w:rPr>
              <w:t>Leucopénie (y compris neutropénie et agranulocytose),</w:t>
            </w:r>
          </w:p>
          <w:p w14:paraId="6C561E56" w14:textId="77777777" w:rsidR="00452285" w:rsidRPr="0058432E" w:rsidRDefault="00452285" w:rsidP="00C831C4">
            <w:pPr>
              <w:rPr>
                <w:color w:val="000000" w:themeColor="text1"/>
              </w:rPr>
            </w:pPr>
            <w:proofErr w:type="gramStart"/>
            <w:r w:rsidRPr="0058432E">
              <w:rPr>
                <w:color w:val="000000" w:themeColor="text1"/>
              </w:rPr>
              <w:t>anémie</w:t>
            </w:r>
            <w:proofErr w:type="gramEnd"/>
          </w:p>
        </w:tc>
      </w:tr>
      <w:tr w:rsidR="00452285" w:rsidRPr="0058432E" w14:paraId="7D0C8421" w14:textId="77777777" w:rsidTr="00054A92">
        <w:trPr>
          <w:cantSplit/>
        </w:trPr>
        <w:tc>
          <w:tcPr>
            <w:tcW w:w="2628" w:type="dxa"/>
            <w:vMerge/>
            <w:tcBorders>
              <w:left w:val="single" w:sz="4" w:space="0" w:color="auto"/>
              <w:right w:val="single" w:sz="4" w:space="0" w:color="auto"/>
            </w:tcBorders>
          </w:tcPr>
          <w:p w14:paraId="4F967C32"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B2776CF" w14:textId="77777777" w:rsidR="00452285" w:rsidRPr="0058432E" w:rsidRDefault="00452285" w:rsidP="00982118">
            <w:pPr>
              <w:rPr>
                <w:color w:val="000000" w:themeColor="text1"/>
              </w:rPr>
            </w:pPr>
            <w:r w:rsidRPr="0058432E">
              <w:rPr>
                <w:color w:val="000000" w:themeColor="text1"/>
              </w:rPr>
              <w:t>Fréquent</w:t>
            </w:r>
          </w:p>
          <w:p w14:paraId="1405CB94"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3D5FA137" w14:textId="77777777" w:rsidR="00452285" w:rsidRPr="0058432E" w:rsidRDefault="00452285" w:rsidP="00982118">
            <w:pPr>
              <w:autoSpaceDE w:val="0"/>
              <w:autoSpaceDN w:val="0"/>
              <w:adjustRightInd w:val="0"/>
              <w:rPr>
                <w:color w:val="000000" w:themeColor="text1"/>
              </w:rPr>
            </w:pPr>
            <w:r w:rsidRPr="0058432E">
              <w:rPr>
                <w:color w:val="000000" w:themeColor="text1"/>
              </w:rPr>
              <w:t>Leucocytose,</w:t>
            </w:r>
          </w:p>
          <w:p w14:paraId="18B89A84" w14:textId="77777777" w:rsidR="00452285" w:rsidRPr="0058432E" w:rsidDel="00437FA1" w:rsidRDefault="00452285" w:rsidP="00C831C4">
            <w:pPr>
              <w:rPr>
                <w:color w:val="000000" w:themeColor="text1"/>
              </w:rPr>
            </w:pPr>
            <w:proofErr w:type="gramStart"/>
            <w:r w:rsidRPr="0058432E">
              <w:rPr>
                <w:color w:val="000000" w:themeColor="text1"/>
              </w:rPr>
              <w:t>thrombocytopénie</w:t>
            </w:r>
            <w:proofErr w:type="gramEnd"/>
          </w:p>
        </w:tc>
      </w:tr>
      <w:tr w:rsidR="00452285" w:rsidRPr="0058432E" w14:paraId="32E63A34" w14:textId="77777777" w:rsidTr="00054A92">
        <w:trPr>
          <w:cantSplit/>
        </w:trPr>
        <w:tc>
          <w:tcPr>
            <w:tcW w:w="2628" w:type="dxa"/>
            <w:vMerge/>
            <w:tcBorders>
              <w:left w:val="single" w:sz="4" w:space="0" w:color="auto"/>
              <w:right w:val="single" w:sz="4" w:space="0" w:color="auto"/>
            </w:tcBorders>
          </w:tcPr>
          <w:p w14:paraId="6435DF72"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1CA0331" w14:textId="77777777" w:rsidR="00452285" w:rsidRPr="0058432E" w:rsidRDefault="00452285" w:rsidP="00C831C4">
            <w:pPr>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3DE91C0F" w14:textId="77777777" w:rsidR="00452285" w:rsidRPr="0058432E" w:rsidDel="00437FA1" w:rsidRDefault="00452285" w:rsidP="00C831C4">
            <w:pPr>
              <w:rPr>
                <w:color w:val="000000" w:themeColor="text1"/>
              </w:rPr>
            </w:pPr>
            <w:r w:rsidRPr="0058432E">
              <w:rPr>
                <w:color w:val="000000" w:themeColor="text1"/>
              </w:rPr>
              <w:t>Purpura thrombopénique idiopathique</w:t>
            </w:r>
          </w:p>
        </w:tc>
      </w:tr>
      <w:tr w:rsidR="00452285" w:rsidRPr="0058432E" w14:paraId="31FB51C0" w14:textId="77777777" w:rsidTr="00054A92">
        <w:trPr>
          <w:cantSplit/>
        </w:trPr>
        <w:tc>
          <w:tcPr>
            <w:tcW w:w="2628" w:type="dxa"/>
            <w:vMerge/>
            <w:tcBorders>
              <w:left w:val="single" w:sz="4" w:space="0" w:color="auto"/>
              <w:bottom w:val="single" w:sz="4" w:space="0" w:color="auto"/>
              <w:right w:val="single" w:sz="4" w:space="0" w:color="auto"/>
            </w:tcBorders>
          </w:tcPr>
          <w:p w14:paraId="4553A3B3"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4BBD675" w14:textId="77777777" w:rsidR="00452285" w:rsidRPr="0058432E" w:rsidRDefault="00452285" w:rsidP="00C831C4">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251F0479" w14:textId="77777777" w:rsidR="00452285" w:rsidRPr="0058432E" w:rsidDel="00437FA1" w:rsidRDefault="00452285" w:rsidP="00982118">
            <w:pPr>
              <w:autoSpaceDE w:val="0"/>
              <w:autoSpaceDN w:val="0"/>
              <w:adjustRightInd w:val="0"/>
              <w:rPr>
                <w:color w:val="000000" w:themeColor="text1"/>
              </w:rPr>
            </w:pPr>
            <w:r w:rsidRPr="0058432E">
              <w:rPr>
                <w:color w:val="000000" w:themeColor="text1"/>
              </w:rPr>
              <w:t>Pancytopénie</w:t>
            </w:r>
          </w:p>
        </w:tc>
      </w:tr>
      <w:tr w:rsidR="00452285" w:rsidRPr="0058432E" w14:paraId="31B1B53B"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17C0AA5" w14:textId="77777777" w:rsidR="00452285" w:rsidRPr="0058432E" w:rsidRDefault="00452285" w:rsidP="00982118">
            <w:pPr>
              <w:rPr>
                <w:color w:val="000000" w:themeColor="text1"/>
              </w:rPr>
            </w:pPr>
            <w:r w:rsidRPr="0058432E">
              <w:rPr>
                <w:color w:val="000000" w:themeColor="text1"/>
              </w:rPr>
              <w:t>Affections du système immunitaire*</w:t>
            </w:r>
          </w:p>
        </w:tc>
        <w:tc>
          <w:tcPr>
            <w:tcW w:w="1621" w:type="dxa"/>
            <w:tcBorders>
              <w:top w:val="single" w:sz="4" w:space="0" w:color="auto"/>
              <w:left w:val="single" w:sz="4" w:space="0" w:color="auto"/>
              <w:bottom w:val="single" w:sz="4" w:space="0" w:color="auto"/>
              <w:right w:val="single" w:sz="4" w:space="0" w:color="auto"/>
            </w:tcBorders>
          </w:tcPr>
          <w:p w14:paraId="5EB111E3" w14:textId="77777777" w:rsidR="00452285" w:rsidRPr="0058432E" w:rsidRDefault="00452285" w:rsidP="00982118">
            <w:pPr>
              <w:rPr>
                <w:color w:val="000000" w:themeColor="text1"/>
              </w:rPr>
            </w:pPr>
            <w:r w:rsidRPr="0058432E">
              <w:rPr>
                <w:color w:val="000000" w:themeColor="text1"/>
              </w:rPr>
              <w:t>Fréquent</w:t>
            </w:r>
          </w:p>
          <w:p w14:paraId="4A082946" w14:textId="77777777" w:rsidR="00452285" w:rsidRPr="0058432E"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36244D47" w14:textId="77777777" w:rsidR="00452285" w:rsidRPr="0058432E" w:rsidRDefault="00452285" w:rsidP="00982118">
            <w:pPr>
              <w:rPr>
                <w:color w:val="000000" w:themeColor="text1"/>
              </w:rPr>
            </w:pPr>
            <w:r w:rsidRPr="0058432E">
              <w:rPr>
                <w:color w:val="000000" w:themeColor="text1"/>
              </w:rPr>
              <w:t>Hypersensibilité,</w:t>
            </w:r>
          </w:p>
          <w:p w14:paraId="29B57762" w14:textId="77777777" w:rsidR="00452285" w:rsidRPr="0058432E" w:rsidRDefault="00452285" w:rsidP="00C831C4">
            <w:pPr>
              <w:rPr>
                <w:color w:val="000000" w:themeColor="text1"/>
              </w:rPr>
            </w:pPr>
            <w:proofErr w:type="gramStart"/>
            <w:r w:rsidRPr="0058432E">
              <w:rPr>
                <w:color w:val="000000" w:themeColor="text1"/>
              </w:rPr>
              <w:t>allergies</w:t>
            </w:r>
            <w:proofErr w:type="gramEnd"/>
            <w:r w:rsidRPr="0058432E">
              <w:rPr>
                <w:color w:val="000000" w:themeColor="text1"/>
              </w:rPr>
              <w:t xml:space="preserve"> (y compris allergie saisonnière)</w:t>
            </w:r>
          </w:p>
        </w:tc>
      </w:tr>
      <w:tr w:rsidR="00452285" w:rsidRPr="0058432E" w14:paraId="655211D1" w14:textId="77777777" w:rsidTr="00054A92">
        <w:trPr>
          <w:cantSplit/>
        </w:trPr>
        <w:tc>
          <w:tcPr>
            <w:tcW w:w="2628" w:type="dxa"/>
            <w:vMerge/>
            <w:tcBorders>
              <w:left w:val="single" w:sz="4" w:space="0" w:color="auto"/>
              <w:right w:val="single" w:sz="4" w:space="0" w:color="auto"/>
            </w:tcBorders>
          </w:tcPr>
          <w:p w14:paraId="09826EFB"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BE83ECA" w14:textId="77777777" w:rsidR="00452285" w:rsidRPr="0058432E" w:rsidRDefault="00452285" w:rsidP="00982118">
            <w:pPr>
              <w:rPr>
                <w:color w:val="000000" w:themeColor="text1"/>
              </w:rPr>
            </w:pPr>
            <w:r w:rsidRPr="0058432E">
              <w:rPr>
                <w:color w:val="000000" w:themeColor="text1"/>
              </w:rPr>
              <w:t>Peu fréquent</w:t>
            </w:r>
          </w:p>
          <w:p w14:paraId="47BDC0A5"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55945E1F" w14:textId="77777777" w:rsidR="00452285" w:rsidRPr="0058432E" w:rsidRDefault="00452285" w:rsidP="00982118">
            <w:pPr>
              <w:rPr>
                <w:color w:val="000000" w:themeColor="text1"/>
              </w:rPr>
            </w:pPr>
            <w:r w:rsidRPr="0058432E">
              <w:rPr>
                <w:color w:val="000000" w:themeColor="text1"/>
              </w:rPr>
              <w:t>Sarcoïdose</w:t>
            </w:r>
            <w:r w:rsidRPr="0058432E">
              <w:rPr>
                <w:color w:val="000000" w:themeColor="text1"/>
                <w:vertAlign w:val="superscript"/>
              </w:rPr>
              <w:t>1</w:t>
            </w:r>
            <w:r w:rsidRPr="0058432E">
              <w:rPr>
                <w:color w:val="000000" w:themeColor="text1"/>
              </w:rPr>
              <w:t>,</w:t>
            </w:r>
          </w:p>
          <w:p w14:paraId="37EB9F7B" w14:textId="77777777" w:rsidR="00452285" w:rsidRPr="0058432E" w:rsidRDefault="00452285" w:rsidP="00C831C4">
            <w:pPr>
              <w:rPr>
                <w:color w:val="000000" w:themeColor="text1"/>
              </w:rPr>
            </w:pPr>
            <w:proofErr w:type="gramStart"/>
            <w:r w:rsidRPr="0058432E">
              <w:rPr>
                <w:color w:val="000000" w:themeColor="text1"/>
              </w:rPr>
              <w:t>vascularite</w:t>
            </w:r>
            <w:proofErr w:type="gramEnd"/>
          </w:p>
        </w:tc>
      </w:tr>
      <w:tr w:rsidR="00452285" w:rsidRPr="0058432E" w14:paraId="4B794C17" w14:textId="77777777" w:rsidTr="00054A92">
        <w:trPr>
          <w:cantSplit/>
        </w:trPr>
        <w:tc>
          <w:tcPr>
            <w:tcW w:w="2628" w:type="dxa"/>
            <w:vMerge/>
            <w:tcBorders>
              <w:left w:val="single" w:sz="4" w:space="0" w:color="auto"/>
              <w:bottom w:val="single" w:sz="4" w:space="0" w:color="auto"/>
              <w:right w:val="single" w:sz="4" w:space="0" w:color="auto"/>
            </w:tcBorders>
          </w:tcPr>
          <w:p w14:paraId="18825A7E"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BD645E6" w14:textId="77777777" w:rsidR="00452285" w:rsidRPr="0058432E" w:rsidRDefault="00452285"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46447640" w14:textId="77777777" w:rsidR="00452285" w:rsidRPr="0058432E" w:rsidRDefault="00452285" w:rsidP="00C831C4">
            <w:pPr>
              <w:rPr>
                <w:color w:val="000000" w:themeColor="text1"/>
              </w:rPr>
            </w:pPr>
            <w:r w:rsidRPr="0058432E">
              <w:rPr>
                <w:color w:val="000000" w:themeColor="text1"/>
              </w:rPr>
              <w:t>Anaphylaxie</w:t>
            </w:r>
            <w:r w:rsidRPr="0058432E">
              <w:rPr>
                <w:color w:val="000000" w:themeColor="text1"/>
                <w:vertAlign w:val="superscript"/>
              </w:rPr>
              <w:t>1</w:t>
            </w:r>
          </w:p>
        </w:tc>
      </w:tr>
      <w:tr w:rsidR="00452285" w:rsidRPr="0058432E" w14:paraId="1A6E7AB8"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768FC34" w14:textId="77777777" w:rsidR="00452285" w:rsidRPr="0058432E" w:rsidRDefault="00452285" w:rsidP="00982118">
            <w:pPr>
              <w:rPr>
                <w:color w:val="000000" w:themeColor="text1"/>
              </w:rPr>
            </w:pPr>
            <w:r w:rsidRPr="0058432E">
              <w:rPr>
                <w:color w:val="000000" w:themeColor="text1"/>
              </w:rPr>
              <w:t>Troubles du métabolisme et de la nutrition</w:t>
            </w:r>
          </w:p>
        </w:tc>
        <w:tc>
          <w:tcPr>
            <w:tcW w:w="1621" w:type="dxa"/>
            <w:tcBorders>
              <w:top w:val="single" w:sz="4" w:space="0" w:color="auto"/>
              <w:left w:val="single" w:sz="4" w:space="0" w:color="auto"/>
              <w:bottom w:val="single" w:sz="4" w:space="0" w:color="auto"/>
              <w:right w:val="single" w:sz="4" w:space="0" w:color="auto"/>
            </w:tcBorders>
          </w:tcPr>
          <w:p w14:paraId="61A0154E" w14:textId="77777777" w:rsidR="00452285" w:rsidRPr="0058432E" w:rsidRDefault="00452285" w:rsidP="00C831C4">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555E36F0" w14:textId="77777777" w:rsidR="00452285" w:rsidRPr="0058432E" w:rsidRDefault="008872DD" w:rsidP="00C831C4">
            <w:pPr>
              <w:rPr>
                <w:color w:val="000000" w:themeColor="text1"/>
              </w:rPr>
            </w:pPr>
            <w:r w:rsidRPr="0058432E">
              <w:rPr>
                <w:color w:val="000000" w:themeColor="text1"/>
              </w:rPr>
              <w:t>L</w:t>
            </w:r>
            <w:r w:rsidR="00452285" w:rsidRPr="0058432E">
              <w:rPr>
                <w:color w:val="000000" w:themeColor="text1"/>
              </w:rPr>
              <w:t>ipides</w:t>
            </w:r>
            <w:r w:rsidRPr="0058432E">
              <w:rPr>
                <w:color w:val="000000" w:themeColor="text1"/>
              </w:rPr>
              <w:t xml:space="preserve"> augmentés</w:t>
            </w:r>
          </w:p>
        </w:tc>
      </w:tr>
      <w:tr w:rsidR="00452285" w:rsidRPr="0058432E" w14:paraId="202AF993" w14:textId="77777777" w:rsidTr="00054A92">
        <w:trPr>
          <w:cantSplit/>
        </w:trPr>
        <w:tc>
          <w:tcPr>
            <w:tcW w:w="2628" w:type="dxa"/>
            <w:vMerge/>
            <w:tcBorders>
              <w:left w:val="single" w:sz="4" w:space="0" w:color="auto"/>
              <w:bottom w:val="single" w:sz="4" w:space="0" w:color="auto"/>
              <w:right w:val="single" w:sz="4" w:space="0" w:color="auto"/>
            </w:tcBorders>
          </w:tcPr>
          <w:p w14:paraId="1B669D0B"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AA36B50" w14:textId="77777777" w:rsidR="00452285" w:rsidRPr="0058432E" w:rsidRDefault="00452285" w:rsidP="00982118">
            <w:pPr>
              <w:rPr>
                <w:color w:val="000000" w:themeColor="text1"/>
              </w:rPr>
            </w:pPr>
            <w:r w:rsidRPr="0058432E">
              <w:rPr>
                <w:color w:val="000000" w:themeColor="text1"/>
              </w:rPr>
              <w:t>Fréquent</w:t>
            </w:r>
          </w:p>
        </w:tc>
        <w:tc>
          <w:tcPr>
            <w:tcW w:w="0" w:type="auto"/>
            <w:tcBorders>
              <w:left w:val="single" w:sz="4" w:space="0" w:color="auto"/>
              <w:bottom w:val="single" w:sz="4" w:space="0" w:color="auto"/>
              <w:right w:val="single" w:sz="4" w:space="0" w:color="auto"/>
            </w:tcBorders>
          </w:tcPr>
          <w:p w14:paraId="7A58BE5D" w14:textId="77777777" w:rsidR="00452285" w:rsidRPr="0058432E" w:rsidRDefault="00452285" w:rsidP="00982118">
            <w:pPr>
              <w:rPr>
                <w:color w:val="000000" w:themeColor="text1"/>
              </w:rPr>
            </w:pPr>
            <w:r w:rsidRPr="0058432E">
              <w:rPr>
                <w:color w:val="000000" w:themeColor="text1"/>
              </w:rPr>
              <w:t>Hypokaliémie,</w:t>
            </w:r>
          </w:p>
          <w:p w14:paraId="398C01FA" w14:textId="77777777" w:rsidR="00452285" w:rsidRPr="0058432E" w:rsidRDefault="00452285" w:rsidP="00982118">
            <w:pPr>
              <w:rPr>
                <w:color w:val="000000" w:themeColor="text1"/>
              </w:rPr>
            </w:pPr>
            <w:proofErr w:type="gramStart"/>
            <w:r w:rsidRPr="0058432E">
              <w:rPr>
                <w:color w:val="000000" w:themeColor="text1"/>
              </w:rPr>
              <w:t>acide</w:t>
            </w:r>
            <w:proofErr w:type="gramEnd"/>
            <w:r w:rsidRPr="0058432E">
              <w:rPr>
                <w:color w:val="000000" w:themeColor="text1"/>
              </w:rPr>
              <w:t xml:space="preserve"> urique</w:t>
            </w:r>
            <w:r w:rsidR="00F83260" w:rsidRPr="0058432E">
              <w:rPr>
                <w:color w:val="000000" w:themeColor="text1"/>
              </w:rPr>
              <w:t xml:space="preserve"> augmenté</w:t>
            </w:r>
            <w:r w:rsidRPr="0058432E">
              <w:rPr>
                <w:color w:val="000000" w:themeColor="text1"/>
              </w:rPr>
              <w:t>,</w:t>
            </w:r>
          </w:p>
          <w:p w14:paraId="4B34A7F7" w14:textId="77777777" w:rsidR="00452285" w:rsidRPr="0058432E" w:rsidRDefault="00F83260" w:rsidP="00982118">
            <w:pPr>
              <w:autoSpaceDE w:val="0"/>
              <w:autoSpaceDN w:val="0"/>
              <w:adjustRightInd w:val="0"/>
              <w:rPr>
                <w:color w:val="000000" w:themeColor="text1"/>
              </w:rPr>
            </w:pPr>
            <w:proofErr w:type="gramStart"/>
            <w:r w:rsidRPr="0058432E">
              <w:rPr>
                <w:color w:val="000000" w:themeColor="text1"/>
              </w:rPr>
              <w:t>sodium</w:t>
            </w:r>
            <w:proofErr w:type="gramEnd"/>
            <w:r w:rsidRPr="0058432E">
              <w:rPr>
                <w:color w:val="000000" w:themeColor="text1"/>
              </w:rPr>
              <w:t xml:space="preserve"> sanguin anormal</w:t>
            </w:r>
            <w:r w:rsidR="00452285" w:rsidRPr="0058432E">
              <w:rPr>
                <w:color w:val="000000" w:themeColor="text1"/>
              </w:rPr>
              <w:t>,</w:t>
            </w:r>
          </w:p>
          <w:p w14:paraId="3E1C87E5"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hypocalcémie</w:t>
            </w:r>
            <w:proofErr w:type="gramEnd"/>
            <w:r w:rsidRPr="0058432E">
              <w:rPr>
                <w:color w:val="000000" w:themeColor="text1"/>
              </w:rPr>
              <w:t>,</w:t>
            </w:r>
          </w:p>
          <w:p w14:paraId="67963BDF"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hyperglycémie</w:t>
            </w:r>
            <w:proofErr w:type="gramEnd"/>
            <w:r w:rsidRPr="0058432E">
              <w:rPr>
                <w:color w:val="000000" w:themeColor="text1"/>
              </w:rPr>
              <w:t>,</w:t>
            </w:r>
          </w:p>
          <w:p w14:paraId="0983D87F"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hypophosphatémie</w:t>
            </w:r>
            <w:proofErr w:type="gramEnd"/>
            <w:r w:rsidRPr="0058432E">
              <w:rPr>
                <w:color w:val="000000" w:themeColor="text1"/>
              </w:rPr>
              <w:t>,</w:t>
            </w:r>
          </w:p>
          <w:p w14:paraId="221524A1" w14:textId="77777777" w:rsidR="00452285" w:rsidRPr="0058432E" w:rsidDel="00437FA1" w:rsidRDefault="00452285" w:rsidP="00C831C4">
            <w:pPr>
              <w:rPr>
                <w:color w:val="000000" w:themeColor="text1"/>
              </w:rPr>
            </w:pPr>
            <w:proofErr w:type="gramStart"/>
            <w:r w:rsidRPr="0058432E">
              <w:rPr>
                <w:color w:val="000000" w:themeColor="text1"/>
              </w:rPr>
              <w:t>déshydratation</w:t>
            </w:r>
            <w:proofErr w:type="gramEnd"/>
          </w:p>
        </w:tc>
      </w:tr>
      <w:tr w:rsidR="00452285" w:rsidRPr="0058432E" w14:paraId="7FDBC3A9"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2BB54203" w14:textId="77777777" w:rsidR="00452285" w:rsidRPr="0058432E" w:rsidRDefault="00452285" w:rsidP="00982118">
            <w:pPr>
              <w:rPr>
                <w:color w:val="000000" w:themeColor="text1"/>
              </w:rPr>
            </w:pPr>
            <w:r w:rsidRPr="0058432E">
              <w:rPr>
                <w:color w:val="000000" w:themeColor="text1"/>
              </w:rPr>
              <w:t>Affections psychiatriques</w:t>
            </w:r>
          </w:p>
        </w:tc>
        <w:tc>
          <w:tcPr>
            <w:tcW w:w="1621" w:type="dxa"/>
            <w:tcBorders>
              <w:top w:val="single" w:sz="4" w:space="0" w:color="auto"/>
              <w:left w:val="single" w:sz="4" w:space="0" w:color="auto"/>
              <w:bottom w:val="single" w:sz="4" w:space="0" w:color="auto"/>
              <w:right w:val="single" w:sz="4" w:space="0" w:color="auto"/>
            </w:tcBorders>
            <w:hideMark/>
          </w:tcPr>
          <w:p w14:paraId="63B23D1D" w14:textId="77777777" w:rsidR="00452285" w:rsidRPr="0058432E" w:rsidRDefault="00452285"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47DF5B13" w14:textId="77777777" w:rsidR="00452285" w:rsidRPr="0058432E" w:rsidRDefault="00452285" w:rsidP="00982118">
            <w:pPr>
              <w:autoSpaceDE w:val="0"/>
              <w:autoSpaceDN w:val="0"/>
              <w:adjustRightInd w:val="0"/>
              <w:rPr>
                <w:color w:val="000000" w:themeColor="text1"/>
              </w:rPr>
            </w:pPr>
            <w:r w:rsidRPr="0058432E">
              <w:rPr>
                <w:color w:val="000000" w:themeColor="text1"/>
              </w:rPr>
              <w:t>Troubles de l’humeur (y compris dépression),</w:t>
            </w:r>
          </w:p>
          <w:p w14:paraId="5EB5C410"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anxiété</w:t>
            </w:r>
            <w:proofErr w:type="gramEnd"/>
            <w:r w:rsidRPr="0058432E">
              <w:rPr>
                <w:color w:val="000000" w:themeColor="text1"/>
              </w:rPr>
              <w:t>,</w:t>
            </w:r>
          </w:p>
          <w:p w14:paraId="7E2F83AF" w14:textId="77777777" w:rsidR="00452285" w:rsidRPr="0058432E" w:rsidRDefault="00452285" w:rsidP="00C831C4">
            <w:pPr>
              <w:rPr>
                <w:color w:val="000000" w:themeColor="text1"/>
              </w:rPr>
            </w:pPr>
            <w:proofErr w:type="gramStart"/>
            <w:r w:rsidRPr="0058432E">
              <w:rPr>
                <w:color w:val="000000" w:themeColor="text1"/>
              </w:rPr>
              <w:t>insomnie</w:t>
            </w:r>
            <w:proofErr w:type="gramEnd"/>
          </w:p>
        </w:tc>
      </w:tr>
      <w:tr w:rsidR="00452285" w:rsidRPr="0058432E" w14:paraId="7E7D027A"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CEE2A99" w14:textId="77777777" w:rsidR="00452285" w:rsidRPr="0058432E" w:rsidRDefault="00452285" w:rsidP="00982118">
            <w:pPr>
              <w:rPr>
                <w:color w:val="000000" w:themeColor="text1"/>
              </w:rPr>
            </w:pPr>
            <w:r w:rsidRPr="0058432E">
              <w:rPr>
                <w:color w:val="000000" w:themeColor="text1"/>
              </w:rPr>
              <w:t>Affections du système nerveux*</w:t>
            </w:r>
          </w:p>
        </w:tc>
        <w:tc>
          <w:tcPr>
            <w:tcW w:w="1621" w:type="dxa"/>
            <w:tcBorders>
              <w:top w:val="single" w:sz="4" w:space="0" w:color="auto"/>
              <w:left w:val="single" w:sz="4" w:space="0" w:color="auto"/>
              <w:bottom w:val="single" w:sz="4" w:space="0" w:color="auto"/>
              <w:right w:val="single" w:sz="4" w:space="0" w:color="auto"/>
            </w:tcBorders>
          </w:tcPr>
          <w:p w14:paraId="47E50154" w14:textId="77777777" w:rsidR="00452285" w:rsidRPr="0058432E" w:rsidRDefault="00452285" w:rsidP="00C831C4">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3770D3E0" w14:textId="77777777" w:rsidR="00452285" w:rsidRPr="0058432E" w:rsidRDefault="00452285" w:rsidP="00C831C4">
            <w:pPr>
              <w:rPr>
                <w:color w:val="000000" w:themeColor="text1"/>
              </w:rPr>
            </w:pPr>
            <w:r w:rsidRPr="0058432E">
              <w:rPr>
                <w:color w:val="000000" w:themeColor="text1"/>
              </w:rPr>
              <w:t>Céphalées</w:t>
            </w:r>
          </w:p>
        </w:tc>
      </w:tr>
      <w:tr w:rsidR="00452285" w:rsidRPr="0058432E" w14:paraId="2A75CB11" w14:textId="77777777" w:rsidTr="00054A92">
        <w:trPr>
          <w:cantSplit/>
        </w:trPr>
        <w:tc>
          <w:tcPr>
            <w:tcW w:w="2628" w:type="dxa"/>
            <w:vMerge/>
            <w:tcBorders>
              <w:left w:val="single" w:sz="4" w:space="0" w:color="auto"/>
              <w:right w:val="single" w:sz="4" w:space="0" w:color="auto"/>
            </w:tcBorders>
          </w:tcPr>
          <w:p w14:paraId="1CD4F4D0"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0C09805" w14:textId="77777777" w:rsidR="00452285" w:rsidRPr="0058432E" w:rsidRDefault="00452285" w:rsidP="00982118">
            <w:pPr>
              <w:rPr>
                <w:color w:val="000000" w:themeColor="text1"/>
              </w:rPr>
            </w:pPr>
            <w:r w:rsidRPr="0058432E">
              <w:rPr>
                <w:color w:val="000000" w:themeColor="text1"/>
              </w:rPr>
              <w:t>Fréquent</w:t>
            </w:r>
          </w:p>
          <w:p w14:paraId="6794C417"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5133A31C" w14:textId="77777777" w:rsidR="00452285" w:rsidRPr="0058432E" w:rsidRDefault="00452285" w:rsidP="00982118">
            <w:pPr>
              <w:autoSpaceDE w:val="0"/>
              <w:autoSpaceDN w:val="0"/>
              <w:adjustRightInd w:val="0"/>
              <w:rPr>
                <w:color w:val="000000" w:themeColor="text1"/>
              </w:rPr>
            </w:pPr>
            <w:r w:rsidRPr="0058432E">
              <w:rPr>
                <w:color w:val="000000" w:themeColor="text1"/>
              </w:rPr>
              <w:t>Paresthésies (y compris hypoesthésie),</w:t>
            </w:r>
          </w:p>
          <w:p w14:paraId="45055392"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migraine</w:t>
            </w:r>
            <w:proofErr w:type="gramEnd"/>
            <w:r w:rsidRPr="0058432E">
              <w:rPr>
                <w:color w:val="000000" w:themeColor="text1"/>
              </w:rPr>
              <w:t>,</w:t>
            </w:r>
          </w:p>
          <w:p w14:paraId="7863DF2D" w14:textId="77777777" w:rsidR="00C95465" w:rsidRPr="0058432E" w:rsidRDefault="00452285" w:rsidP="00C831C4">
            <w:pPr>
              <w:rPr>
                <w:color w:val="000000" w:themeColor="text1"/>
              </w:rPr>
            </w:pPr>
            <w:proofErr w:type="gramStart"/>
            <w:r w:rsidRPr="0058432E">
              <w:rPr>
                <w:color w:val="000000" w:themeColor="text1"/>
              </w:rPr>
              <w:t>compression</w:t>
            </w:r>
            <w:proofErr w:type="gramEnd"/>
            <w:r w:rsidRPr="0058432E">
              <w:rPr>
                <w:color w:val="000000" w:themeColor="text1"/>
              </w:rPr>
              <w:t xml:space="preserve"> des racines nerveuses</w:t>
            </w:r>
          </w:p>
        </w:tc>
      </w:tr>
      <w:tr w:rsidR="00452285" w:rsidRPr="0058432E" w14:paraId="3E102ACB" w14:textId="77777777" w:rsidTr="00054A92">
        <w:trPr>
          <w:cantSplit/>
        </w:trPr>
        <w:tc>
          <w:tcPr>
            <w:tcW w:w="2628" w:type="dxa"/>
            <w:vMerge/>
            <w:tcBorders>
              <w:left w:val="single" w:sz="4" w:space="0" w:color="auto"/>
              <w:right w:val="single" w:sz="4" w:space="0" w:color="auto"/>
            </w:tcBorders>
          </w:tcPr>
          <w:p w14:paraId="03FC1FA0"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A55E56F" w14:textId="77777777" w:rsidR="00452285" w:rsidRPr="0058432E" w:rsidRDefault="00452285" w:rsidP="00982118">
            <w:pPr>
              <w:rPr>
                <w:color w:val="000000" w:themeColor="text1"/>
              </w:rPr>
            </w:pPr>
            <w:r w:rsidRPr="0058432E">
              <w:rPr>
                <w:color w:val="000000" w:themeColor="text1"/>
              </w:rPr>
              <w:t>Peu fréquent</w:t>
            </w:r>
          </w:p>
          <w:p w14:paraId="4C4FC8E3"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2BDA8628" w14:textId="77777777" w:rsidR="00452285" w:rsidRPr="0058432E" w:rsidRDefault="00452285" w:rsidP="00982118">
            <w:pPr>
              <w:rPr>
                <w:color w:val="000000" w:themeColor="text1"/>
              </w:rPr>
            </w:pPr>
            <w:r w:rsidRPr="0058432E">
              <w:rPr>
                <w:color w:val="000000" w:themeColor="text1"/>
              </w:rPr>
              <w:t>Accident cérébrovasculaire</w:t>
            </w:r>
            <w:r w:rsidRPr="0058432E">
              <w:rPr>
                <w:color w:val="000000" w:themeColor="text1"/>
                <w:vertAlign w:val="superscript"/>
              </w:rPr>
              <w:t>1</w:t>
            </w:r>
            <w:r w:rsidRPr="0058432E">
              <w:rPr>
                <w:color w:val="000000" w:themeColor="text1"/>
              </w:rPr>
              <w:t>,</w:t>
            </w:r>
          </w:p>
          <w:p w14:paraId="79597043" w14:textId="77777777" w:rsidR="00452285" w:rsidRPr="0058432E" w:rsidRDefault="00452285" w:rsidP="00982118">
            <w:pPr>
              <w:rPr>
                <w:color w:val="000000" w:themeColor="text1"/>
              </w:rPr>
            </w:pPr>
            <w:proofErr w:type="gramStart"/>
            <w:r w:rsidRPr="0058432E">
              <w:rPr>
                <w:color w:val="000000" w:themeColor="text1"/>
              </w:rPr>
              <w:t>tremblements</w:t>
            </w:r>
            <w:proofErr w:type="gramEnd"/>
            <w:r w:rsidRPr="0058432E">
              <w:rPr>
                <w:color w:val="000000" w:themeColor="text1"/>
              </w:rPr>
              <w:t>,</w:t>
            </w:r>
          </w:p>
          <w:p w14:paraId="7734C255" w14:textId="77777777" w:rsidR="00452285" w:rsidRPr="0058432E" w:rsidRDefault="00452285" w:rsidP="00C831C4">
            <w:pPr>
              <w:rPr>
                <w:color w:val="000000" w:themeColor="text1"/>
              </w:rPr>
            </w:pPr>
            <w:proofErr w:type="gramStart"/>
            <w:r w:rsidRPr="0058432E">
              <w:rPr>
                <w:color w:val="000000" w:themeColor="text1"/>
              </w:rPr>
              <w:t>neuropathie</w:t>
            </w:r>
            <w:proofErr w:type="gramEnd"/>
          </w:p>
        </w:tc>
      </w:tr>
      <w:tr w:rsidR="00452285" w:rsidRPr="0058432E" w14:paraId="3ED105C4" w14:textId="77777777" w:rsidTr="00054A92">
        <w:trPr>
          <w:cantSplit/>
        </w:trPr>
        <w:tc>
          <w:tcPr>
            <w:tcW w:w="2628" w:type="dxa"/>
            <w:vMerge/>
            <w:tcBorders>
              <w:left w:val="single" w:sz="4" w:space="0" w:color="auto"/>
              <w:bottom w:val="single" w:sz="4" w:space="0" w:color="auto"/>
              <w:right w:val="single" w:sz="4" w:space="0" w:color="auto"/>
            </w:tcBorders>
          </w:tcPr>
          <w:p w14:paraId="0D468797"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5CC5729" w14:textId="77777777" w:rsidR="00452285" w:rsidRPr="0058432E" w:rsidRDefault="00452285" w:rsidP="00982118">
            <w:pPr>
              <w:rPr>
                <w:color w:val="000000" w:themeColor="text1"/>
              </w:rPr>
            </w:pPr>
            <w:r w:rsidRPr="0058432E">
              <w:rPr>
                <w:color w:val="000000" w:themeColor="text1"/>
              </w:rPr>
              <w:t>Rare</w:t>
            </w:r>
          </w:p>
          <w:p w14:paraId="6B38BFA5" w14:textId="77777777" w:rsidR="00452285" w:rsidRPr="0058432E" w:rsidRDefault="00452285" w:rsidP="00982118">
            <w:pPr>
              <w:rPr>
                <w:color w:val="000000" w:themeColor="text1"/>
              </w:rPr>
            </w:pPr>
          </w:p>
        </w:tc>
        <w:tc>
          <w:tcPr>
            <w:tcW w:w="0" w:type="auto"/>
            <w:tcBorders>
              <w:left w:val="single" w:sz="4" w:space="0" w:color="auto"/>
              <w:bottom w:val="single" w:sz="4" w:space="0" w:color="auto"/>
              <w:right w:val="single" w:sz="4" w:space="0" w:color="auto"/>
            </w:tcBorders>
          </w:tcPr>
          <w:p w14:paraId="7B1D1187" w14:textId="77777777" w:rsidR="00452285" w:rsidRPr="0058432E" w:rsidRDefault="00452285" w:rsidP="00982118">
            <w:pPr>
              <w:rPr>
                <w:color w:val="000000" w:themeColor="text1"/>
              </w:rPr>
            </w:pPr>
            <w:r w:rsidRPr="0058432E">
              <w:rPr>
                <w:color w:val="000000" w:themeColor="text1"/>
              </w:rPr>
              <w:t>Sclérose en plaques,</w:t>
            </w:r>
          </w:p>
          <w:p w14:paraId="25365A29" w14:textId="77777777" w:rsidR="00452285" w:rsidRPr="0058432E" w:rsidRDefault="00452285" w:rsidP="00982118">
            <w:pPr>
              <w:rPr>
                <w:color w:val="000000" w:themeColor="text1"/>
              </w:rPr>
            </w:pPr>
            <w:proofErr w:type="gramStart"/>
            <w:r w:rsidRPr="0058432E">
              <w:rPr>
                <w:color w:val="000000" w:themeColor="text1"/>
              </w:rPr>
              <w:t>affections</w:t>
            </w:r>
            <w:proofErr w:type="gramEnd"/>
            <w:r w:rsidRPr="0058432E">
              <w:rPr>
                <w:color w:val="000000" w:themeColor="text1"/>
              </w:rPr>
              <w:t xml:space="preserve"> démyélinisantes (par ex. névrite optique,</w:t>
            </w:r>
          </w:p>
          <w:p w14:paraId="312DA2F3" w14:textId="77777777" w:rsidR="00452285" w:rsidRPr="0058432E" w:rsidRDefault="00452285" w:rsidP="00C831C4">
            <w:pPr>
              <w:rPr>
                <w:color w:val="000000" w:themeColor="text1"/>
              </w:rPr>
            </w:pPr>
            <w:proofErr w:type="gramStart"/>
            <w:r w:rsidRPr="0058432E">
              <w:rPr>
                <w:color w:val="000000" w:themeColor="text1"/>
              </w:rPr>
              <w:t>syndrome</w:t>
            </w:r>
            <w:proofErr w:type="gramEnd"/>
            <w:r w:rsidRPr="0058432E">
              <w:rPr>
                <w:color w:val="000000" w:themeColor="text1"/>
              </w:rPr>
              <w:t xml:space="preserve"> de Guillain-Barré)</w:t>
            </w:r>
            <w:r w:rsidRPr="0058432E">
              <w:rPr>
                <w:color w:val="000000" w:themeColor="text1"/>
                <w:vertAlign w:val="superscript"/>
              </w:rPr>
              <w:t>1</w:t>
            </w:r>
          </w:p>
        </w:tc>
      </w:tr>
      <w:tr w:rsidR="00452285" w:rsidRPr="0058432E" w14:paraId="140EE968"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3D70099" w14:textId="77777777" w:rsidR="00452285" w:rsidRPr="0058432E" w:rsidRDefault="00452285" w:rsidP="00982118">
            <w:pPr>
              <w:rPr>
                <w:color w:val="000000" w:themeColor="text1"/>
              </w:rPr>
            </w:pPr>
            <w:r w:rsidRPr="0058432E">
              <w:rPr>
                <w:color w:val="000000" w:themeColor="text1"/>
              </w:rPr>
              <w:t>Affections oculaires</w:t>
            </w:r>
          </w:p>
        </w:tc>
        <w:tc>
          <w:tcPr>
            <w:tcW w:w="1621" w:type="dxa"/>
            <w:tcBorders>
              <w:top w:val="single" w:sz="4" w:space="0" w:color="auto"/>
              <w:left w:val="single" w:sz="4" w:space="0" w:color="auto"/>
              <w:right w:val="single" w:sz="4" w:space="0" w:color="auto"/>
            </w:tcBorders>
          </w:tcPr>
          <w:p w14:paraId="1A3EE9F7" w14:textId="77777777" w:rsidR="00452285" w:rsidRPr="0058432E" w:rsidRDefault="00452285" w:rsidP="00982118">
            <w:pPr>
              <w:rPr>
                <w:color w:val="000000" w:themeColor="text1"/>
              </w:rPr>
            </w:pPr>
            <w:r w:rsidRPr="0058432E">
              <w:rPr>
                <w:color w:val="000000" w:themeColor="text1"/>
              </w:rPr>
              <w:t>Fréquent</w:t>
            </w:r>
          </w:p>
          <w:p w14:paraId="7AA27049" w14:textId="77777777" w:rsidR="00452285" w:rsidRPr="0058432E" w:rsidRDefault="00452285"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4BA8C44" w14:textId="77777777" w:rsidR="00452285" w:rsidRPr="0058432E" w:rsidRDefault="00452285" w:rsidP="00982118">
            <w:pPr>
              <w:autoSpaceDE w:val="0"/>
              <w:autoSpaceDN w:val="0"/>
              <w:adjustRightInd w:val="0"/>
              <w:rPr>
                <w:color w:val="000000" w:themeColor="text1"/>
              </w:rPr>
            </w:pPr>
            <w:r w:rsidRPr="0058432E">
              <w:rPr>
                <w:color w:val="000000" w:themeColor="text1"/>
              </w:rPr>
              <w:t>Troubles visuels,</w:t>
            </w:r>
          </w:p>
          <w:p w14:paraId="43A3EE56"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conjonctivite</w:t>
            </w:r>
            <w:proofErr w:type="gramEnd"/>
            <w:r w:rsidRPr="0058432E">
              <w:rPr>
                <w:color w:val="000000" w:themeColor="text1"/>
              </w:rPr>
              <w:t>,</w:t>
            </w:r>
          </w:p>
          <w:p w14:paraId="02FB26B9"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blépharite</w:t>
            </w:r>
            <w:proofErr w:type="gramEnd"/>
            <w:r w:rsidRPr="0058432E">
              <w:rPr>
                <w:color w:val="000000" w:themeColor="text1"/>
              </w:rPr>
              <w:t>,</w:t>
            </w:r>
          </w:p>
          <w:p w14:paraId="780933A3" w14:textId="77777777" w:rsidR="00452285" w:rsidRPr="0058432E" w:rsidRDefault="00452285" w:rsidP="00C831C4">
            <w:pPr>
              <w:rPr>
                <w:color w:val="000000" w:themeColor="text1"/>
              </w:rPr>
            </w:pPr>
            <w:proofErr w:type="gramStart"/>
            <w:r w:rsidRPr="0058432E">
              <w:rPr>
                <w:color w:val="000000" w:themeColor="text1"/>
              </w:rPr>
              <w:t>gonflement</w:t>
            </w:r>
            <w:proofErr w:type="gramEnd"/>
            <w:r w:rsidRPr="0058432E">
              <w:rPr>
                <w:color w:val="000000" w:themeColor="text1"/>
              </w:rPr>
              <w:t xml:space="preserve"> des yeux</w:t>
            </w:r>
          </w:p>
        </w:tc>
      </w:tr>
      <w:tr w:rsidR="00452285" w:rsidRPr="0058432E" w14:paraId="7935BA43" w14:textId="77777777" w:rsidTr="00054A92">
        <w:trPr>
          <w:cantSplit/>
        </w:trPr>
        <w:tc>
          <w:tcPr>
            <w:tcW w:w="2628" w:type="dxa"/>
            <w:vMerge/>
            <w:tcBorders>
              <w:left w:val="single" w:sz="4" w:space="0" w:color="auto"/>
              <w:bottom w:val="single" w:sz="4" w:space="0" w:color="auto"/>
              <w:right w:val="single" w:sz="4" w:space="0" w:color="auto"/>
            </w:tcBorders>
          </w:tcPr>
          <w:p w14:paraId="1B1D08A2" w14:textId="77777777" w:rsidR="00452285" w:rsidRPr="0058432E"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43E0FE20" w14:textId="77777777" w:rsidR="00452285" w:rsidRPr="0058432E" w:rsidRDefault="00452285" w:rsidP="00C831C4">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2981F236" w14:textId="77777777" w:rsidR="00452285" w:rsidRPr="0058432E" w:rsidRDefault="00452285" w:rsidP="00C831C4">
            <w:pPr>
              <w:rPr>
                <w:color w:val="000000" w:themeColor="text1"/>
              </w:rPr>
            </w:pPr>
            <w:r w:rsidRPr="0058432E">
              <w:rPr>
                <w:color w:val="000000" w:themeColor="text1"/>
              </w:rPr>
              <w:t>Diplopie</w:t>
            </w:r>
          </w:p>
        </w:tc>
      </w:tr>
      <w:tr w:rsidR="00452285" w:rsidRPr="0058432E" w14:paraId="57AA45CB"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D378278" w14:textId="77777777" w:rsidR="00452285" w:rsidRPr="0058432E" w:rsidRDefault="00452285" w:rsidP="00982118">
            <w:pPr>
              <w:rPr>
                <w:color w:val="000000" w:themeColor="text1"/>
              </w:rPr>
            </w:pPr>
            <w:r w:rsidRPr="0058432E">
              <w:rPr>
                <w:color w:val="000000" w:themeColor="text1"/>
              </w:rPr>
              <w:t>Affections de l’oreille et du labyrinthe</w:t>
            </w:r>
          </w:p>
        </w:tc>
        <w:tc>
          <w:tcPr>
            <w:tcW w:w="1621" w:type="dxa"/>
            <w:tcBorders>
              <w:top w:val="single" w:sz="4" w:space="0" w:color="auto"/>
              <w:left w:val="single" w:sz="4" w:space="0" w:color="auto"/>
              <w:bottom w:val="single" w:sz="4" w:space="0" w:color="auto"/>
              <w:right w:val="single" w:sz="4" w:space="0" w:color="auto"/>
            </w:tcBorders>
          </w:tcPr>
          <w:p w14:paraId="7594FF3F" w14:textId="77777777" w:rsidR="00452285" w:rsidRPr="0058432E" w:rsidRDefault="00452285" w:rsidP="00C831C4">
            <w:pPr>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701102EE" w14:textId="77777777" w:rsidR="00452285" w:rsidRPr="0058432E" w:rsidRDefault="00452285" w:rsidP="00C831C4">
            <w:pPr>
              <w:rPr>
                <w:color w:val="000000" w:themeColor="text1"/>
              </w:rPr>
            </w:pPr>
            <w:r w:rsidRPr="0058432E">
              <w:rPr>
                <w:color w:val="000000" w:themeColor="text1"/>
              </w:rPr>
              <w:t>Vertiges</w:t>
            </w:r>
          </w:p>
        </w:tc>
      </w:tr>
      <w:tr w:rsidR="00452285" w:rsidRPr="0058432E" w14:paraId="3FA1284E" w14:textId="77777777" w:rsidTr="00054A92">
        <w:trPr>
          <w:cantSplit/>
        </w:trPr>
        <w:tc>
          <w:tcPr>
            <w:tcW w:w="2628" w:type="dxa"/>
            <w:vMerge/>
            <w:tcBorders>
              <w:left w:val="single" w:sz="4" w:space="0" w:color="auto"/>
              <w:bottom w:val="single" w:sz="4" w:space="0" w:color="auto"/>
              <w:right w:val="single" w:sz="4" w:space="0" w:color="auto"/>
            </w:tcBorders>
          </w:tcPr>
          <w:p w14:paraId="3A4454CA"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A758D44" w14:textId="77777777" w:rsidR="00452285" w:rsidRPr="0058432E" w:rsidRDefault="00452285" w:rsidP="00982118">
            <w:pPr>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3AB95946" w14:textId="77777777" w:rsidR="00452285" w:rsidRPr="0058432E" w:rsidRDefault="00452285" w:rsidP="00982118">
            <w:pPr>
              <w:rPr>
                <w:color w:val="000000" w:themeColor="text1"/>
              </w:rPr>
            </w:pPr>
            <w:r w:rsidRPr="0058432E">
              <w:rPr>
                <w:color w:val="000000" w:themeColor="text1"/>
              </w:rPr>
              <w:t>Surdité,</w:t>
            </w:r>
          </w:p>
          <w:p w14:paraId="73A297A9" w14:textId="77777777" w:rsidR="00452285" w:rsidRPr="0058432E" w:rsidRDefault="00452285" w:rsidP="00C831C4">
            <w:pPr>
              <w:rPr>
                <w:color w:val="000000" w:themeColor="text1"/>
              </w:rPr>
            </w:pPr>
            <w:proofErr w:type="gramStart"/>
            <w:r w:rsidRPr="0058432E">
              <w:rPr>
                <w:color w:val="000000" w:themeColor="text1"/>
              </w:rPr>
              <w:t>acouphènes</w:t>
            </w:r>
            <w:proofErr w:type="gramEnd"/>
          </w:p>
        </w:tc>
      </w:tr>
      <w:tr w:rsidR="00452285" w:rsidRPr="0058432E" w14:paraId="3AD08DD1"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24940032" w14:textId="77777777" w:rsidR="00452285" w:rsidRPr="0058432E" w:rsidRDefault="00452285" w:rsidP="00982118">
            <w:pPr>
              <w:rPr>
                <w:color w:val="000000" w:themeColor="text1"/>
              </w:rPr>
            </w:pPr>
            <w:r w:rsidRPr="0058432E">
              <w:rPr>
                <w:color w:val="000000" w:themeColor="text1"/>
              </w:rPr>
              <w:t>Affections cardiaques*</w:t>
            </w:r>
          </w:p>
        </w:tc>
        <w:tc>
          <w:tcPr>
            <w:tcW w:w="1621" w:type="dxa"/>
            <w:tcBorders>
              <w:top w:val="single" w:sz="4" w:space="0" w:color="auto"/>
              <w:left w:val="single" w:sz="4" w:space="0" w:color="auto"/>
              <w:bottom w:val="single" w:sz="4" w:space="0" w:color="auto"/>
              <w:right w:val="single" w:sz="4" w:space="0" w:color="auto"/>
            </w:tcBorders>
          </w:tcPr>
          <w:p w14:paraId="5CD8390E" w14:textId="77777777" w:rsidR="00452285" w:rsidRPr="0058432E" w:rsidRDefault="00452285" w:rsidP="00C831C4">
            <w:pPr>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6E11C572" w14:textId="77777777" w:rsidR="00452285" w:rsidRPr="0058432E" w:rsidRDefault="00452285" w:rsidP="00C831C4">
            <w:pPr>
              <w:rPr>
                <w:color w:val="000000" w:themeColor="text1"/>
              </w:rPr>
            </w:pPr>
            <w:r w:rsidRPr="0058432E">
              <w:rPr>
                <w:color w:val="000000" w:themeColor="text1"/>
              </w:rPr>
              <w:t>Tachycardie</w:t>
            </w:r>
          </w:p>
        </w:tc>
      </w:tr>
      <w:tr w:rsidR="00452285" w:rsidRPr="0058432E" w14:paraId="0A056737" w14:textId="77777777" w:rsidTr="00054A92">
        <w:trPr>
          <w:cantSplit/>
        </w:trPr>
        <w:tc>
          <w:tcPr>
            <w:tcW w:w="2628" w:type="dxa"/>
            <w:vMerge/>
            <w:tcBorders>
              <w:left w:val="single" w:sz="4" w:space="0" w:color="auto"/>
              <w:right w:val="single" w:sz="4" w:space="0" w:color="auto"/>
            </w:tcBorders>
          </w:tcPr>
          <w:p w14:paraId="6DDD57E0"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F811B1E" w14:textId="77777777" w:rsidR="00452285" w:rsidRPr="0058432E" w:rsidRDefault="00452285" w:rsidP="00982118">
            <w:pPr>
              <w:rPr>
                <w:color w:val="000000" w:themeColor="text1"/>
              </w:rPr>
            </w:pPr>
            <w:r w:rsidRPr="0058432E">
              <w:rPr>
                <w:color w:val="000000" w:themeColor="text1"/>
              </w:rPr>
              <w:t>Peu fréquent</w:t>
            </w:r>
          </w:p>
          <w:p w14:paraId="76FA39B8"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7885304A" w14:textId="77777777" w:rsidR="00452285" w:rsidRPr="0058432E" w:rsidRDefault="00452285" w:rsidP="00982118">
            <w:pPr>
              <w:autoSpaceDE w:val="0"/>
              <w:autoSpaceDN w:val="0"/>
              <w:adjustRightInd w:val="0"/>
              <w:rPr>
                <w:color w:val="000000" w:themeColor="text1"/>
              </w:rPr>
            </w:pPr>
            <w:r w:rsidRPr="0058432E">
              <w:rPr>
                <w:color w:val="000000" w:themeColor="text1"/>
              </w:rPr>
              <w:t>Infarctus du myocarde</w:t>
            </w:r>
            <w:r w:rsidRPr="0058432E">
              <w:rPr>
                <w:color w:val="000000" w:themeColor="text1"/>
                <w:szCs w:val="20"/>
                <w:vertAlign w:val="superscript"/>
              </w:rPr>
              <w:t>1</w:t>
            </w:r>
            <w:r w:rsidRPr="0058432E">
              <w:rPr>
                <w:color w:val="000000" w:themeColor="text1"/>
              </w:rPr>
              <w:t>,</w:t>
            </w:r>
          </w:p>
          <w:p w14:paraId="289A8F2E"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arythmie</w:t>
            </w:r>
            <w:proofErr w:type="gramEnd"/>
            <w:r w:rsidRPr="0058432E">
              <w:rPr>
                <w:color w:val="000000" w:themeColor="text1"/>
              </w:rPr>
              <w:t>,</w:t>
            </w:r>
          </w:p>
          <w:p w14:paraId="4C739AC5" w14:textId="77777777" w:rsidR="00452285" w:rsidRPr="0058432E" w:rsidRDefault="00452285" w:rsidP="00C831C4">
            <w:pPr>
              <w:rPr>
                <w:color w:val="000000" w:themeColor="text1"/>
              </w:rPr>
            </w:pPr>
            <w:proofErr w:type="gramStart"/>
            <w:r w:rsidRPr="0058432E">
              <w:rPr>
                <w:color w:val="000000" w:themeColor="text1"/>
              </w:rPr>
              <w:t>insuffisance</w:t>
            </w:r>
            <w:proofErr w:type="gramEnd"/>
            <w:r w:rsidRPr="0058432E">
              <w:rPr>
                <w:color w:val="000000" w:themeColor="text1"/>
              </w:rPr>
              <w:t xml:space="preserve"> cardiaque congestive</w:t>
            </w:r>
          </w:p>
        </w:tc>
      </w:tr>
      <w:tr w:rsidR="00452285" w:rsidRPr="0058432E" w14:paraId="1C416CFC" w14:textId="77777777" w:rsidTr="00054A92">
        <w:trPr>
          <w:cantSplit/>
        </w:trPr>
        <w:tc>
          <w:tcPr>
            <w:tcW w:w="2628" w:type="dxa"/>
            <w:vMerge/>
            <w:tcBorders>
              <w:left w:val="single" w:sz="4" w:space="0" w:color="auto"/>
              <w:bottom w:val="single" w:sz="4" w:space="0" w:color="auto"/>
              <w:right w:val="single" w:sz="4" w:space="0" w:color="auto"/>
            </w:tcBorders>
          </w:tcPr>
          <w:p w14:paraId="0C554ED3"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FBD9DB7" w14:textId="77777777" w:rsidR="00452285" w:rsidRPr="0058432E" w:rsidRDefault="00452285" w:rsidP="00C831C4">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68583DA2" w14:textId="77777777" w:rsidR="00452285" w:rsidRPr="0058432E" w:rsidRDefault="00452285" w:rsidP="00C831C4">
            <w:pPr>
              <w:rPr>
                <w:color w:val="000000" w:themeColor="text1"/>
              </w:rPr>
            </w:pPr>
            <w:r w:rsidRPr="0058432E">
              <w:rPr>
                <w:color w:val="000000" w:themeColor="text1"/>
              </w:rPr>
              <w:t>Arrêt cardiaque</w:t>
            </w:r>
          </w:p>
        </w:tc>
      </w:tr>
      <w:tr w:rsidR="00452285" w:rsidRPr="0058432E" w14:paraId="78ECD27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4FEC010" w14:textId="77777777" w:rsidR="00452285" w:rsidRPr="0058432E" w:rsidRDefault="00452285" w:rsidP="00982118">
            <w:pPr>
              <w:rPr>
                <w:color w:val="000000" w:themeColor="text1"/>
              </w:rPr>
            </w:pPr>
            <w:r w:rsidRPr="0058432E">
              <w:rPr>
                <w:color w:val="000000" w:themeColor="text1"/>
              </w:rPr>
              <w:t>Affections vasculaires</w:t>
            </w:r>
          </w:p>
        </w:tc>
        <w:tc>
          <w:tcPr>
            <w:tcW w:w="1621" w:type="dxa"/>
            <w:tcBorders>
              <w:top w:val="single" w:sz="4" w:space="0" w:color="auto"/>
              <w:left w:val="single" w:sz="4" w:space="0" w:color="auto"/>
              <w:bottom w:val="single" w:sz="4" w:space="0" w:color="auto"/>
              <w:right w:val="single" w:sz="4" w:space="0" w:color="auto"/>
            </w:tcBorders>
          </w:tcPr>
          <w:p w14:paraId="0C1AE85A" w14:textId="77777777" w:rsidR="00452285" w:rsidRPr="0058432E" w:rsidRDefault="00452285" w:rsidP="00982118">
            <w:pPr>
              <w:rPr>
                <w:color w:val="000000" w:themeColor="text1"/>
              </w:rPr>
            </w:pPr>
            <w:r w:rsidRPr="0058432E">
              <w:rPr>
                <w:color w:val="000000" w:themeColor="text1"/>
              </w:rPr>
              <w:t>Fréquent</w:t>
            </w:r>
          </w:p>
          <w:p w14:paraId="7F50838E" w14:textId="77777777" w:rsidR="00452285" w:rsidRPr="0058432E"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4ED3EE00" w14:textId="77777777" w:rsidR="00452285" w:rsidRPr="0058432E" w:rsidRDefault="00452285" w:rsidP="00982118">
            <w:pPr>
              <w:autoSpaceDE w:val="0"/>
              <w:autoSpaceDN w:val="0"/>
              <w:adjustRightInd w:val="0"/>
              <w:rPr>
                <w:color w:val="000000" w:themeColor="text1"/>
              </w:rPr>
            </w:pPr>
            <w:r w:rsidRPr="0058432E">
              <w:rPr>
                <w:color w:val="000000" w:themeColor="text1"/>
              </w:rPr>
              <w:t>Hypertension,</w:t>
            </w:r>
          </w:p>
          <w:p w14:paraId="335E42F4"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bouffées</w:t>
            </w:r>
            <w:proofErr w:type="gramEnd"/>
            <w:r w:rsidRPr="0058432E">
              <w:rPr>
                <w:color w:val="000000" w:themeColor="text1"/>
              </w:rPr>
              <w:t xml:space="preserve"> de chaleur,</w:t>
            </w:r>
          </w:p>
          <w:p w14:paraId="423B5306" w14:textId="77777777" w:rsidR="00452285" w:rsidRPr="0058432E" w:rsidRDefault="00452285" w:rsidP="00C831C4">
            <w:pPr>
              <w:rPr>
                <w:color w:val="000000" w:themeColor="text1"/>
              </w:rPr>
            </w:pPr>
            <w:proofErr w:type="gramStart"/>
            <w:r w:rsidRPr="0058432E">
              <w:rPr>
                <w:color w:val="000000" w:themeColor="text1"/>
              </w:rPr>
              <w:t>hématomes</w:t>
            </w:r>
            <w:proofErr w:type="gramEnd"/>
          </w:p>
        </w:tc>
      </w:tr>
      <w:tr w:rsidR="00452285" w:rsidRPr="0058432E" w14:paraId="3C0CFD6A" w14:textId="77777777" w:rsidTr="00054A92">
        <w:trPr>
          <w:cantSplit/>
        </w:trPr>
        <w:tc>
          <w:tcPr>
            <w:tcW w:w="2628" w:type="dxa"/>
            <w:vMerge/>
            <w:tcBorders>
              <w:left w:val="single" w:sz="4" w:space="0" w:color="auto"/>
              <w:bottom w:val="single" w:sz="4" w:space="0" w:color="auto"/>
              <w:right w:val="single" w:sz="4" w:space="0" w:color="auto"/>
            </w:tcBorders>
          </w:tcPr>
          <w:p w14:paraId="3053DFED"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1CC24AC3" w14:textId="77777777" w:rsidR="00452285" w:rsidRPr="0058432E" w:rsidRDefault="00452285" w:rsidP="00982118">
            <w:pPr>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64BACF23" w14:textId="77777777" w:rsidR="00452285" w:rsidRPr="0058432E" w:rsidRDefault="00452285" w:rsidP="00982118">
            <w:pPr>
              <w:autoSpaceDE w:val="0"/>
              <w:autoSpaceDN w:val="0"/>
              <w:adjustRightInd w:val="0"/>
              <w:rPr>
                <w:color w:val="000000" w:themeColor="text1"/>
              </w:rPr>
            </w:pPr>
            <w:r w:rsidRPr="0058432E">
              <w:rPr>
                <w:color w:val="000000" w:themeColor="text1"/>
              </w:rPr>
              <w:t xml:space="preserve">Anévrysme </w:t>
            </w:r>
            <w:r w:rsidR="008705FF" w:rsidRPr="0058432E">
              <w:rPr>
                <w:color w:val="000000" w:themeColor="text1"/>
              </w:rPr>
              <w:t>de l’</w:t>
            </w:r>
            <w:r w:rsidRPr="0058432E">
              <w:rPr>
                <w:color w:val="000000" w:themeColor="text1"/>
              </w:rPr>
              <w:t>aort</w:t>
            </w:r>
            <w:r w:rsidR="008705FF" w:rsidRPr="0058432E">
              <w:rPr>
                <w:color w:val="000000" w:themeColor="text1"/>
              </w:rPr>
              <w:t>e</w:t>
            </w:r>
            <w:r w:rsidRPr="0058432E">
              <w:rPr>
                <w:color w:val="000000" w:themeColor="text1"/>
              </w:rPr>
              <w:t>,</w:t>
            </w:r>
          </w:p>
          <w:p w14:paraId="6DA969AC"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occlusion</w:t>
            </w:r>
            <w:proofErr w:type="gramEnd"/>
            <w:r w:rsidRPr="0058432E">
              <w:rPr>
                <w:color w:val="000000" w:themeColor="text1"/>
              </w:rPr>
              <w:t xml:space="preserve"> vasculaire,</w:t>
            </w:r>
          </w:p>
          <w:p w14:paraId="1747E446" w14:textId="77777777" w:rsidR="00452285" w:rsidRPr="0058432E" w:rsidDel="00B633E5" w:rsidRDefault="00452285" w:rsidP="00C831C4">
            <w:pPr>
              <w:rPr>
                <w:color w:val="000000" w:themeColor="text1"/>
              </w:rPr>
            </w:pPr>
            <w:proofErr w:type="gramStart"/>
            <w:r w:rsidRPr="0058432E">
              <w:rPr>
                <w:color w:val="000000" w:themeColor="text1"/>
              </w:rPr>
              <w:t>thrombophlébite</w:t>
            </w:r>
            <w:proofErr w:type="gramEnd"/>
          </w:p>
        </w:tc>
      </w:tr>
      <w:tr w:rsidR="00452285" w:rsidRPr="0058432E" w14:paraId="76BFB67E" w14:textId="77777777" w:rsidTr="00054A92">
        <w:trPr>
          <w:cantSplit/>
        </w:trPr>
        <w:tc>
          <w:tcPr>
            <w:tcW w:w="2628" w:type="dxa"/>
            <w:vMerge w:val="restart"/>
            <w:tcBorders>
              <w:top w:val="single" w:sz="4" w:space="0" w:color="auto"/>
              <w:left w:val="single" w:sz="4" w:space="0" w:color="auto"/>
              <w:right w:val="single" w:sz="4" w:space="0" w:color="auto"/>
            </w:tcBorders>
            <w:shd w:val="clear" w:color="auto" w:fill="auto"/>
            <w:hideMark/>
          </w:tcPr>
          <w:p w14:paraId="596296E2" w14:textId="77777777" w:rsidR="00BB0131" w:rsidRPr="0058432E" w:rsidRDefault="00452285" w:rsidP="00982118">
            <w:pPr>
              <w:keepNext/>
              <w:autoSpaceDE w:val="0"/>
              <w:autoSpaceDN w:val="0"/>
              <w:adjustRightInd w:val="0"/>
              <w:rPr>
                <w:color w:val="000000" w:themeColor="text1"/>
              </w:rPr>
            </w:pPr>
            <w:r w:rsidRPr="0058432E">
              <w:rPr>
                <w:color w:val="000000" w:themeColor="text1"/>
              </w:rPr>
              <w:t>Affections respiratoires, thoraciques et médiastinales*</w:t>
            </w:r>
          </w:p>
          <w:p w14:paraId="364351F7" w14:textId="77777777" w:rsidR="00452285" w:rsidRPr="0058432E" w:rsidRDefault="00452285" w:rsidP="00054A92">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FAC3FDB" w14:textId="77777777" w:rsidR="00452285" w:rsidRPr="0058432E" w:rsidRDefault="00452285" w:rsidP="00982118">
            <w:pPr>
              <w:keepNext/>
              <w:rPr>
                <w:color w:val="000000" w:themeColor="text1"/>
              </w:rPr>
            </w:pPr>
            <w:r w:rsidRPr="0058432E">
              <w:rPr>
                <w:color w:val="000000" w:themeColor="text1"/>
              </w:rPr>
              <w:t>Fréquent</w:t>
            </w:r>
          </w:p>
          <w:p w14:paraId="1E1A8735" w14:textId="77777777" w:rsidR="00452285" w:rsidRPr="0058432E" w:rsidRDefault="00452285" w:rsidP="00982118">
            <w:pPr>
              <w:keepNext/>
              <w:rPr>
                <w:color w:val="000000" w:themeColor="text1"/>
              </w:rPr>
            </w:pPr>
          </w:p>
        </w:tc>
        <w:tc>
          <w:tcPr>
            <w:tcW w:w="0" w:type="auto"/>
            <w:tcBorders>
              <w:top w:val="single" w:sz="4" w:space="0" w:color="auto"/>
              <w:left w:val="single" w:sz="4" w:space="0" w:color="auto"/>
              <w:right w:val="single" w:sz="4" w:space="0" w:color="auto"/>
            </w:tcBorders>
          </w:tcPr>
          <w:p w14:paraId="7AC1BD23" w14:textId="77777777" w:rsidR="00452285" w:rsidRPr="0058432E" w:rsidRDefault="00452285" w:rsidP="00982118">
            <w:pPr>
              <w:keepNext/>
              <w:autoSpaceDE w:val="0"/>
              <w:autoSpaceDN w:val="0"/>
              <w:adjustRightInd w:val="0"/>
              <w:rPr>
                <w:color w:val="000000" w:themeColor="text1"/>
              </w:rPr>
            </w:pPr>
            <w:r w:rsidRPr="0058432E">
              <w:rPr>
                <w:color w:val="000000" w:themeColor="text1"/>
              </w:rPr>
              <w:t>Asthme,</w:t>
            </w:r>
          </w:p>
          <w:p w14:paraId="7581F374"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dyspnée</w:t>
            </w:r>
            <w:proofErr w:type="gramEnd"/>
            <w:r w:rsidRPr="0058432E">
              <w:rPr>
                <w:color w:val="000000" w:themeColor="text1"/>
              </w:rPr>
              <w:t>,</w:t>
            </w:r>
          </w:p>
          <w:p w14:paraId="1565A034" w14:textId="77777777" w:rsidR="00452285" w:rsidRPr="0058432E" w:rsidRDefault="00452285" w:rsidP="00C831C4">
            <w:pPr>
              <w:keepNext/>
              <w:autoSpaceDE w:val="0"/>
              <w:autoSpaceDN w:val="0"/>
              <w:adjustRightInd w:val="0"/>
              <w:rPr>
                <w:color w:val="000000" w:themeColor="text1"/>
              </w:rPr>
            </w:pPr>
            <w:proofErr w:type="gramStart"/>
            <w:r w:rsidRPr="0058432E">
              <w:rPr>
                <w:color w:val="000000" w:themeColor="text1"/>
              </w:rPr>
              <w:t>toux</w:t>
            </w:r>
            <w:proofErr w:type="gramEnd"/>
          </w:p>
        </w:tc>
      </w:tr>
      <w:tr w:rsidR="00452285" w:rsidRPr="0058432E" w14:paraId="135B60E6" w14:textId="77777777" w:rsidTr="00054A92">
        <w:trPr>
          <w:cantSplit/>
        </w:trPr>
        <w:tc>
          <w:tcPr>
            <w:tcW w:w="2628" w:type="dxa"/>
            <w:vMerge/>
            <w:tcBorders>
              <w:left w:val="single" w:sz="4" w:space="0" w:color="auto"/>
              <w:right w:val="single" w:sz="4" w:space="0" w:color="auto"/>
            </w:tcBorders>
            <w:shd w:val="clear" w:color="auto" w:fill="auto"/>
          </w:tcPr>
          <w:p w14:paraId="33C8E42E" w14:textId="77777777" w:rsidR="00452285" w:rsidRPr="0058432E" w:rsidRDefault="00452285" w:rsidP="00982118">
            <w:pPr>
              <w:keepNext/>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CE67B79" w14:textId="77777777" w:rsidR="00452285" w:rsidRPr="0058432E" w:rsidRDefault="00452285" w:rsidP="00982118">
            <w:pPr>
              <w:keepNext/>
              <w:rPr>
                <w:color w:val="000000" w:themeColor="text1"/>
              </w:rPr>
            </w:pPr>
            <w:r w:rsidRPr="0058432E">
              <w:rPr>
                <w:color w:val="000000" w:themeColor="text1"/>
              </w:rPr>
              <w:t>Peu fréquent</w:t>
            </w:r>
          </w:p>
          <w:p w14:paraId="711BA4B9" w14:textId="77777777" w:rsidR="00452285" w:rsidRPr="0058432E" w:rsidRDefault="00452285" w:rsidP="00982118">
            <w:pPr>
              <w:keepNext/>
              <w:rPr>
                <w:color w:val="000000" w:themeColor="text1"/>
              </w:rPr>
            </w:pPr>
          </w:p>
        </w:tc>
        <w:tc>
          <w:tcPr>
            <w:tcW w:w="0" w:type="auto"/>
            <w:tcBorders>
              <w:left w:val="single" w:sz="4" w:space="0" w:color="auto"/>
              <w:right w:val="single" w:sz="4" w:space="0" w:color="auto"/>
            </w:tcBorders>
          </w:tcPr>
          <w:p w14:paraId="4C8B5042" w14:textId="77777777" w:rsidR="00452285" w:rsidRPr="0058432E" w:rsidRDefault="00452285" w:rsidP="00982118">
            <w:pPr>
              <w:keepNext/>
              <w:autoSpaceDE w:val="0"/>
              <w:autoSpaceDN w:val="0"/>
              <w:adjustRightInd w:val="0"/>
              <w:rPr>
                <w:color w:val="000000" w:themeColor="text1"/>
              </w:rPr>
            </w:pPr>
            <w:r w:rsidRPr="0058432E">
              <w:rPr>
                <w:color w:val="000000" w:themeColor="text1"/>
              </w:rPr>
              <w:t>Embolie pulmonaire</w:t>
            </w:r>
            <w:r w:rsidRPr="0058432E">
              <w:rPr>
                <w:color w:val="000000" w:themeColor="text1"/>
                <w:vertAlign w:val="superscript"/>
              </w:rPr>
              <w:t>1</w:t>
            </w:r>
            <w:r w:rsidRPr="0058432E">
              <w:rPr>
                <w:color w:val="000000" w:themeColor="text1"/>
              </w:rPr>
              <w:t>,</w:t>
            </w:r>
          </w:p>
          <w:p w14:paraId="1792C1FB" w14:textId="77777777" w:rsidR="00452285" w:rsidRPr="0058432E" w:rsidRDefault="008705FF" w:rsidP="00982118">
            <w:pPr>
              <w:keepNext/>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 xml:space="preserve"> interstitielle diffuse</w:t>
            </w:r>
            <w:r w:rsidR="00452285" w:rsidRPr="0058432E">
              <w:rPr>
                <w:color w:val="000000" w:themeColor="text1"/>
              </w:rPr>
              <w:t>,</w:t>
            </w:r>
          </w:p>
          <w:p w14:paraId="74287107"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broncho</w:t>
            </w:r>
            <w:proofErr w:type="gramEnd"/>
            <w:r w:rsidRPr="0058432E">
              <w:rPr>
                <w:color w:val="000000" w:themeColor="text1"/>
              </w:rPr>
              <w:t>-pneumopathie chronique obstructive,</w:t>
            </w:r>
          </w:p>
          <w:p w14:paraId="4E85183F" w14:textId="77777777" w:rsidR="00452285" w:rsidRPr="0058432E" w:rsidRDefault="00452285" w:rsidP="00982118">
            <w:pPr>
              <w:keepNext/>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w:t>
            </w:r>
          </w:p>
          <w:p w14:paraId="630008B8" w14:textId="77777777" w:rsidR="00452285" w:rsidRPr="0058432E" w:rsidRDefault="00452285" w:rsidP="00C831C4">
            <w:pPr>
              <w:keepNext/>
              <w:autoSpaceDE w:val="0"/>
              <w:autoSpaceDN w:val="0"/>
              <w:adjustRightInd w:val="0"/>
              <w:rPr>
                <w:color w:val="000000" w:themeColor="text1"/>
              </w:rPr>
            </w:pPr>
            <w:proofErr w:type="gramStart"/>
            <w:r w:rsidRPr="0058432E">
              <w:rPr>
                <w:color w:val="000000" w:themeColor="text1"/>
              </w:rPr>
              <w:t>épanchement</w:t>
            </w:r>
            <w:proofErr w:type="gramEnd"/>
            <w:r w:rsidRPr="0058432E">
              <w:rPr>
                <w:color w:val="000000" w:themeColor="text1"/>
              </w:rPr>
              <w:t xml:space="preserve"> pleural</w:t>
            </w:r>
            <w:r w:rsidRPr="0058432E">
              <w:rPr>
                <w:color w:val="000000" w:themeColor="text1"/>
                <w:vertAlign w:val="superscript"/>
              </w:rPr>
              <w:t>1</w:t>
            </w:r>
          </w:p>
        </w:tc>
      </w:tr>
      <w:tr w:rsidR="00452285" w:rsidRPr="0058432E" w14:paraId="3ABFFBB7" w14:textId="77777777" w:rsidTr="00054A92">
        <w:trPr>
          <w:cantSplit/>
        </w:trPr>
        <w:tc>
          <w:tcPr>
            <w:tcW w:w="2628" w:type="dxa"/>
            <w:vMerge/>
            <w:tcBorders>
              <w:left w:val="single" w:sz="4" w:space="0" w:color="auto"/>
              <w:bottom w:val="single" w:sz="4" w:space="0" w:color="auto"/>
              <w:right w:val="single" w:sz="4" w:space="0" w:color="auto"/>
            </w:tcBorders>
            <w:shd w:val="clear" w:color="auto" w:fill="auto"/>
          </w:tcPr>
          <w:p w14:paraId="33A11A2B" w14:textId="77777777" w:rsidR="00452285" w:rsidRPr="0058432E" w:rsidRDefault="00452285" w:rsidP="00982118">
            <w:pPr>
              <w:keepNext/>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675A974" w14:textId="77777777" w:rsidR="00452285" w:rsidRPr="0058432E" w:rsidRDefault="00452285" w:rsidP="00C831C4">
            <w:pPr>
              <w:keepNext/>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2AF2AC12" w14:textId="77777777" w:rsidR="00452285" w:rsidRPr="0058432E" w:rsidRDefault="00452285" w:rsidP="00C831C4">
            <w:pPr>
              <w:keepNext/>
              <w:autoSpaceDE w:val="0"/>
              <w:autoSpaceDN w:val="0"/>
              <w:adjustRightInd w:val="0"/>
              <w:rPr>
                <w:color w:val="000000" w:themeColor="text1"/>
              </w:rPr>
            </w:pPr>
            <w:r w:rsidRPr="0058432E">
              <w:rPr>
                <w:color w:val="000000" w:themeColor="text1"/>
              </w:rPr>
              <w:t>Fibrose pulmonaire</w:t>
            </w:r>
            <w:r w:rsidRPr="0058432E">
              <w:rPr>
                <w:color w:val="000000" w:themeColor="text1"/>
                <w:vertAlign w:val="superscript"/>
              </w:rPr>
              <w:t>1</w:t>
            </w:r>
          </w:p>
        </w:tc>
      </w:tr>
      <w:tr w:rsidR="00452285" w:rsidRPr="0058432E" w14:paraId="5514CF9D"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22878C3" w14:textId="77777777" w:rsidR="00452285" w:rsidRPr="0058432E" w:rsidRDefault="00452285" w:rsidP="00982118">
            <w:pPr>
              <w:rPr>
                <w:color w:val="000000" w:themeColor="text1"/>
              </w:rPr>
            </w:pPr>
            <w:r w:rsidRPr="0058432E">
              <w:rPr>
                <w:color w:val="000000" w:themeColor="text1"/>
              </w:rPr>
              <w:t>Affections gastro-intestinales</w:t>
            </w:r>
          </w:p>
        </w:tc>
        <w:tc>
          <w:tcPr>
            <w:tcW w:w="1621" w:type="dxa"/>
            <w:tcBorders>
              <w:top w:val="single" w:sz="4" w:space="0" w:color="auto"/>
              <w:left w:val="single" w:sz="4" w:space="0" w:color="auto"/>
              <w:bottom w:val="single" w:sz="4" w:space="0" w:color="auto"/>
              <w:right w:val="single" w:sz="4" w:space="0" w:color="auto"/>
            </w:tcBorders>
          </w:tcPr>
          <w:p w14:paraId="15ADD684" w14:textId="77777777" w:rsidR="00452285" w:rsidRPr="0058432E" w:rsidRDefault="00452285" w:rsidP="00982118">
            <w:pPr>
              <w:rPr>
                <w:color w:val="000000" w:themeColor="text1"/>
              </w:rPr>
            </w:pPr>
            <w:r w:rsidRPr="0058432E">
              <w:rPr>
                <w:color w:val="000000" w:themeColor="text1"/>
              </w:rPr>
              <w:t>Très fréquent</w:t>
            </w:r>
          </w:p>
          <w:p w14:paraId="490B3B3A" w14:textId="77777777" w:rsidR="00452285" w:rsidRPr="0058432E" w:rsidRDefault="00452285" w:rsidP="00982118">
            <w:pPr>
              <w:rPr>
                <w:color w:val="000000" w:themeColor="text1"/>
              </w:rPr>
            </w:pPr>
          </w:p>
        </w:tc>
        <w:tc>
          <w:tcPr>
            <w:tcW w:w="0" w:type="auto"/>
            <w:tcBorders>
              <w:top w:val="single" w:sz="4" w:space="0" w:color="auto"/>
              <w:left w:val="single" w:sz="4" w:space="0" w:color="auto"/>
              <w:right w:val="single" w:sz="4" w:space="0" w:color="auto"/>
            </w:tcBorders>
          </w:tcPr>
          <w:p w14:paraId="4EEBFF87" w14:textId="77777777" w:rsidR="00452285" w:rsidRPr="0058432E" w:rsidRDefault="00452285" w:rsidP="00982118">
            <w:pPr>
              <w:autoSpaceDE w:val="0"/>
              <w:autoSpaceDN w:val="0"/>
              <w:adjustRightInd w:val="0"/>
              <w:rPr>
                <w:color w:val="000000" w:themeColor="text1"/>
              </w:rPr>
            </w:pPr>
            <w:r w:rsidRPr="0058432E">
              <w:rPr>
                <w:color w:val="000000" w:themeColor="text1"/>
              </w:rPr>
              <w:t>Douleurs abdominales,</w:t>
            </w:r>
          </w:p>
          <w:p w14:paraId="4EB6C79E" w14:textId="77777777" w:rsidR="00452285" w:rsidRPr="0058432E" w:rsidRDefault="00452285" w:rsidP="00C831C4">
            <w:pPr>
              <w:autoSpaceDE w:val="0"/>
              <w:autoSpaceDN w:val="0"/>
              <w:adjustRightInd w:val="0"/>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w:t>
            </w:r>
          </w:p>
        </w:tc>
      </w:tr>
      <w:tr w:rsidR="00452285" w:rsidRPr="0058432E" w14:paraId="30F53170" w14:textId="77777777" w:rsidTr="00054A92">
        <w:trPr>
          <w:cantSplit/>
        </w:trPr>
        <w:tc>
          <w:tcPr>
            <w:tcW w:w="2628" w:type="dxa"/>
            <w:vMerge/>
            <w:tcBorders>
              <w:left w:val="single" w:sz="4" w:space="0" w:color="auto"/>
              <w:right w:val="single" w:sz="4" w:space="0" w:color="auto"/>
            </w:tcBorders>
          </w:tcPr>
          <w:p w14:paraId="1A6DA45C"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B472D98" w14:textId="77777777" w:rsidR="00452285" w:rsidRPr="0058432E" w:rsidRDefault="00452285" w:rsidP="00982118">
            <w:pPr>
              <w:rPr>
                <w:color w:val="000000" w:themeColor="text1"/>
              </w:rPr>
            </w:pPr>
            <w:r w:rsidRPr="0058432E">
              <w:rPr>
                <w:color w:val="000000" w:themeColor="text1"/>
              </w:rPr>
              <w:t>Fréquent</w:t>
            </w:r>
          </w:p>
          <w:p w14:paraId="74AD07B1"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2D0D0BA9" w14:textId="77777777" w:rsidR="00452285" w:rsidRPr="0058432E" w:rsidRDefault="00452285" w:rsidP="00982118">
            <w:pPr>
              <w:autoSpaceDE w:val="0"/>
              <w:autoSpaceDN w:val="0"/>
              <w:adjustRightInd w:val="0"/>
              <w:rPr>
                <w:color w:val="000000" w:themeColor="text1"/>
              </w:rPr>
            </w:pPr>
            <w:r w:rsidRPr="0058432E">
              <w:rPr>
                <w:color w:val="000000" w:themeColor="text1"/>
              </w:rPr>
              <w:t>Hémorragie gastro-intestinale,</w:t>
            </w:r>
          </w:p>
          <w:p w14:paraId="68851DB2"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dyspepsie</w:t>
            </w:r>
            <w:proofErr w:type="gramEnd"/>
            <w:r w:rsidRPr="0058432E">
              <w:rPr>
                <w:color w:val="000000" w:themeColor="text1"/>
              </w:rPr>
              <w:t>,</w:t>
            </w:r>
          </w:p>
          <w:p w14:paraId="55D1248F"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reflux</w:t>
            </w:r>
            <w:proofErr w:type="gramEnd"/>
            <w:r w:rsidRPr="0058432E">
              <w:rPr>
                <w:color w:val="000000" w:themeColor="text1"/>
              </w:rPr>
              <w:t xml:space="preserve"> gastro-œsophagien,</w:t>
            </w:r>
          </w:p>
          <w:p w14:paraId="53745532" w14:textId="77777777" w:rsidR="00452285" w:rsidRPr="0058432E" w:rsidRDefault="00452285" w:rsidP="00C831C4">
            <w:pPr>
              <w:autoSpaceDE w:val="0"/>
              <w:autoSpaceDN w:val="0"/>
              <w:adjustRightInd w:val="0"/>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w:t>
            </w:r>
          </w:p>
        </w:tc>
      </w:tr>
      <w:tr w:rsidR="00452285" w:rsidRPr="0058432E" w14:paraId="16F5F042" w14:textId="77777777" w:rsidTr="00054A92">
        <w:trPr>
          <w:cantSplit/>
        </w:trPr>
        <w:tc>
          <w:tcPr>
            <w:tcW w:w="2628" w:type="dxa"/>
            <w:vMerge/>
            <w:tcBorders>
              <w:left w:val="single" w:sz="4" w:space="0" w:color="auto"/>
              <w:right w:val="single" w:sz="4" w:space="0" w:color="auto"/>
            </w:tcBorders>
          </w:tcPr>
          <w:p w14:paraId="49765A19"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C6B44B3" w14:textId="77777777" w:rsidR="00452285" w:rsidRPr="0058432E" w:rsidRDefault="00452285" w:rsidP="00982118">
            <w:pPr>
              <w:rPr>
                <w:color w:val="000000" w:themeColor="text1"/>
              </w:rPr>
            </w:pPr>
            <w:r w:rsidRPr="0058432E">
              <w:rPr>
                <w:color w:val="000000" w:themeColor="text1"/>
              </w:rPr>
              <w:t>Peu fréquent</w:t>
            </w:r>
          </w:p>
          <w:p w14:paraId="1A377C25"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5DA2473F" w14:textId="77777777" w:rsidR="00452285" w:rsidRPr="0058432E" w:rsidRDefault="00452285" w:rsidP="00982118">
            <w:pPr>
              <w:autoSpaceDE w:val="0"/>
              <w:autoSpaceDN w:val="0"/>
              <w:adjustRightInd w:val="0"/>
              <w:rPr>
                <w:color w:val="000000" w:themeColor="text1"/>
              </w:rPr>
            </w:pPr>
            <w:r w:rsidRPr="0058432E">
              <w:rPr>
                <w:color w:val="000000" w:themeColor="text1"/>
              </w:rPr>
              <w:t>Pancréatite,</w:t>
            </w:r>
          </w:p>
          <w:p w14:paraId="35941162" w14:textId="77777777" w:rsidR="00452285" w:rsidRPr="0058432E" w:rsidRDefault="00452285" w:rsidP="00982118">
            <w:pPr>
              <w:autoSpaceDE w:val="0"/>
              <w:autoSpaceDN w:val="0"/>
              <w:adjustRightInd w:val="0"/>
              <w:rPr>
                <w:color w:val="000000" w:themeColor="text1"/>
              </w:rPr>
            </w:pPr>
            <w:proofErr w:type="gramStart"/>
            <w:r w:rsidRPr="0058432E">
              <w:rPr>
                <w:color w:val="000000" w:themeColor="text1"/>
              </w:rPr>
              <w:t>dysphagie</w:t>
            </w:r>
            <w:proofErr w:type="gramEnd"/>
            <w:r w:rsidRPr="0058432E">
              <w:rPr>
                <w:color w:val="000000" w:themeColor="text1"/>
              </w:rPr>
              <w:t>,</w:t>
            </w:r>
          </w:p>
          <w:p w14:paraId="0C6B99BF" w14:textId="77777777" w:rsidR="00452285" w:rsidRPr="0058432E" w:rsidRDefault="00452285" w:rsidP="00C831C4">
            <w:pPr>
              <w:autoSpaceDE w:val="0"/>
              <w:autoSpaceDN w:val="0"/>
              <w:adjustRightInd w:val="0"/>
              <w:rPr>
                <w:color w:val="000000" w:themeColor="text1"/>
              </w:rPr>
            </w:pPr>
            <w:proofErr w:type="gramStart"/>
            <w:r w:rsidRPr="0058432E">
              <w:rPr>
                <w:color w:val="000000" w:themeColor="text1"/>
              </w:rPr>
              <w:t>œdème</w:t>
            </w:r>
            <w:proofErr w:type="gramEnd"/>
            <w:r w:rsidRPr="0058432E">
              <w:rPr>
                <w:color w:val="000000" w:themeColor="text1"/>
              </w:rPr>
              <w:t xml:space="preserve"> du visage</w:t>
            </w:r>
          </w:p>
        </w:tc>
      </w:tr>
      <w:tr w:rsidR="00452285" w:rsidRPr="0058432E" w14:paraId="57E19E65" w14:textId="77777777" w:rsidTr="00054A92">
        <w:trPr>
          <w:cantSplit/>
        </w:trPr>
        <w:tc>
          <w:tcPr>
            <w:tcW w:w="2628" w:type="dxa"/>
            <w:vMerge/>
            <w:tcBorders>
              <w:left w:val="single" w:sz="4" w:space="0" w:color="auto"/>
              <w:bottom w:val="single" w:sz="4" w:space="0" w:color="auto"/>
              <w:right w:val="single" w:sz="4" w:space="0" w:color="auto"/>
            </w:tcBorders>
          </w:tcPr>
          <w:p w14:paraId="740ECC78"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6C71625" w14:textId="77777777" w:rsidR="00452285" w:rsidRPr="0058432E" w:rsidRDefault="00452285" w:rsidP="00C831C4">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4EA981B3" w14:textId="77777777" w:rsidR="00452285" w:rsidRPr="0058432E" w:rsidRDefault="00452285" w:rsidP="00C831C4">
            <w:pPr>
              <w:autoSpaceDE w:val="0"/>
              <w:autoSpaceDN w:val="0"/>
              <w:adjustRightInd w:val="0"/>
              <w:rPr>
                <w:color w:val="000000" w:themeColor="text1"/>
              </w:rPr>
            </w:pPr>
            <w:r w:rsidRPr="0058432E">
              <w:rPr>
                <w:color w:val="000000" w:themeColor="text1"/>
              </w:rPr>
              <w:t>Perforation intestinale</w:t>
            </w:r>
            <w:r w:rsidRPr="0058432E">
              <w:rPr>
                <w:color w:val="000000" w:themeColor="text1"/>
                <w:vertAlign w:val="superscript"/>
              </w:rPr>
              <w:t>1</w:t>
            </w:r>
          </w:p>
        </w:tc>
      </w:tr>
      <w:tr w:rsidR="00452285" w:rsidRPr="0058432E" w14:paraId="30D4B20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58677E4" w14:textId="77777777" w:rsidR="00452285" w:rsidRPr="0058432E" w:rsidRDefault="00452285" w:rsidP="00982118">
            <w:pPr>
              <w:rPr>
                <w:color w:val="000000" w:themeColor="text1"/>
              </w:rPr>
            </w:pPr>
            <w:r w:rsidRPr="0058432E">
              <w:rPr>
                <w:color w:val="000000" w:themeColor="text1"/>
              </w:rPr>
              <w:t>Affections hépatobiliaires*</w:t>
            </w:r>
          </w:p>
        </w:tc>
        <w:tc>
          <w:tcPr>
            <w:tcW w:w="1621" w:type="dxa"/>
            <w:tcBorders>
              <w:top w:val="single" w:sz="4" w:space="0" w:color="auto"/>
              <w:left w:val="single" w:sz="4" w:space="0" w:color="auto"/>
              <w:bottom w:val="single" w:sz="4" w:space="0" w:color="auto"/>
              <w:right w:val="single" w:sz="4" w:space="0" w:color="auto"/>
            </w:tcBorders>
          </w:tcPr>
          <w:p w14:paraId="12B20839" w14:textId="77777777" w:rsidR="00452285" w:rsidRPr="0058432E" w:rsidRDefault="00E56EF7" w:rsidP="00C831C4">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52F2347E" w14:textId="77777777" w:rsidR="00452285" w:rsidRPr="0058432E" w:rsidRDefault="00452285" w:rsidP="00C831C4">
            <w:pPr>
              <w:rPr>
                <w:color w:val="000000" w:themeColor="text1"/>
              </w:rPr>
            </w:pPr>
            <w:r w:rsidRPr="0058432E">
              <w:rPr>
                <w:color w:val="000000" w:themeColor="text1"/>
              </w:rPr>
              <w:t>Élévation des enzymes hépatiques</w:t>
            </w:r>
          </w:p>
        </w:tc>
      </w:tr>
      <w:tr w:rsidR="00452285" w:rsidRPr="0058432E" w14:paraId="7B794D41" w14:textId="77777777" w:rsidTr="00054A92">
        <w:trPr>
          <w:cantSplit/>
        </w:trPr>
        <w:tc>
          <w:tcPr>
            <w:tcW w:w="2628" w:type="dxa"/>
            <w:vMerge/>
            <w:tcBorders>
              <w:left w:val="single" w:sz="4" w:space="0" w:color="auto"/>
              <w:right w:val="single" w:sz="4" w:space="0" w:color="auto"/>
            </w:tcBorders>
          </w:tcPr>
          <w:p w14:paraId="6ABF3BE4"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569893F" w14:textId="77777777" w:rsidR="00452285" w:rsidRPr="0058432E" w:rsidRDefault="00452285" w:rsidP="00982118">
            <w:pPr>
              <w:rPr>
                <w:color w:val="000000" w:themeColor="text1"/>
              </w:rPr>
            </w:pPr>
            <w:r w:rsidRPr="0058432E">
              <w:rPr>
                <w:color w:val="000000" w:themeColor="text1"/>
              </w:rPr>
              <w:t>Peu fréquent</w:t>
            </w:r>
          </w:p>
          <w:p w14:paraId="7CC3138B"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62D1BDA5" w14:textId="77777777" w:rsidR="00452285" w:rsidRPr="0058432E" w:rsidRDefault="00452285" w:rsidP="00982118">
            <w:pPr>
              <w:rPr>
                <w:color w:val="000000" w:themeColor="text1"/>
              </w:rPr>
            </w:pPr>
            <w:r w:rsidRPr="0058432E">
              <w:rPr>
                <w:color w:val="000000" w:themeColor="text1"/>
              </w:rPr>
              <w:t>Cholécystite et lithiase biliaire,</w:t>
            </w:r>
          </w:p>
          <w:p w14:paraId="2365506A" w14:textId="77777777" w:rsidR="00452285" w:rsidRPr="0058432E" w:rsidRDefault="00452285" w:rsidP="00982118">
            <w:pPr>
              <w:rPr>
                <w:color w:val="000000" w:themeColor="text1"/>
              </w:rPr>
            </w:pPr>
            <w:proofErr w:type="gramStart"/>
            <w:r w:rsidRPr="0058432E">
              <w:rPr>
                <w:color w:val="000000" w:themeColor="text1"/>
              </w:rPr>
              <w:t>stéatose</w:t>
            </w:r>
            <w:proofErr w:type="gramEnd"/>
            <w:r w:rsidRPr="0058432E">
              <w:rPr>
                <w:color w:val="000000" w:themeColor="text1"/>
              </w:rPr>
              <w:t xml:space="preserve"> hépatique,</w:t>
            </w:r>
          </w:p>
          <w:p w14:paraId="00CAB473" w14:textId="77777777" w:rsidR="00452285" w:rsidRPr="0058432E" w:rsidRDefault="00452285" w:rsidP="00C831C4">
            <w:pPr>
              <w:rPr>
                <w:color w:val="000000" w:themeColor="text1"/>
              </w:rPr>
            </w:pPr>
            <w:proofErr w:type="gramStart"/>
            <w:r w:rsidRPr="0058432E">
              <w:rPr>
                <w:color w:val="000000" w:themeColor="text1"/>
              </w:rPr>
              <w:t>hyperbilirubinémie</w:t>
            </w:r>
            <w:proofErr w:type="gramEnd"/>
          </w:p>
        </w:tc>
      </w:tr>
      <w:tr w:rsidR="00452285" w:rsidRPr="0058432E" w14:paraId="14541DDA" w14:textId="77777777" w:rsidTr="00054A92">
        <w:trPr>
          <w:cantSplit/>
        </w:trPr>
        <w:tc>
          <w:tcPr>
            <w:tcW w:w="2628" w:type="dxa"/>
            <w:vMerge/>
            <w:tcBorders>
              <w:left w:val="single" w:sz="4" w:space="0" w:color="auto"/>
              <w:right w:val="single" w:sz="4" w:space="0" w:color="auto"/>
            </w:tcBorders>
          </w:tcPr>
          <w:p w14:paraId="7795C0A1"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70BDC32" w14:textId="77777777" w:rsidR="00452285" w:rsidRPr="0058432E" w:rsidRDefault="00452285" w:rsidP="00982118">
            <w:pPr>
              <w:rPr>
                <w:color w:val="000000" w:themeColor="text1"/>
              </w:rPr>
            </w:pPr>
            <w:r w:rsidRPr="0058432E">
              <w:rPr>
                <w:color w:val="000000" w:themeColor="text1"/>
              </w:rPr>
              <w:t>Rare</w:t>
            </w:r>
          </w:p>
          <w:p w14:paraId="2D0B3FCF"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239BB348" w14:textId="77777777" w:rsidR="00452285" w:rsidRPr="0058432E" w:rsidRDefault="00452285" w:rsidP="00982118">
            <w:pPr>
              <w:rPr>
                <w:color w:val="000000" w:themeColor="text1"/>
              </w:rPr>
            </w:pPr>
            <w:r w:rsidRPr="0058432E">
              <w:rPr>
                <w:color w:val="000000" w:themeColor="text1"/>
              </w:rPr>
              <w:t>Hépatite,</w:t>
            </w:r>
          </w:p>
          <w:p w14:paraId="273984C9" w14:textId="77777777" w:rsidR="00452285" w:rsidRPr="0058432E" w:rsidRDefault="00452285" w:rsidP="00982118">
            <w:pPr>
              <w:rPr>
                <w:color w:val="000000" w:themeColor="text1"/>
              </w:rPr>
            </w:pPr>
            <w:proofErr w:type="gramStart"/>
            <w:r w:rsidRPr="0058432E">
              <w:rPr>
                <w:color w:val="000000" w:themeColor="text1"/>
              </w:rPr>
              <w:t>réactivation</w:t>
            </w:r>
            <w:proofErr w:type="gramEnd"/>
            <w:r w:rsidRPr="0058432E">
              <w:rPr>
                <w:color w:val="000000" w:themeColor="text1"/>
              </w:rPr>
              <w:t xml:space="preserve"> du virus de l’hépatite B</w:t>
            </w:r>
            <w:r w:rsidRPr="0058432E">
              <w:rPr>
                <w:color w:val="000000" w:themeColor="text1"/>
                <w:vertAlign w:val="superscript"/>
              </w:rPr>
              <w:t>1</w:t>
            </w:r>
            <w:r w:rsidRPr="0058432E">
              <w:rPr>
                <w:color w:val="000000" w:themeColor="text1"/>
              </w:rPr>
              <w:t>,</w:t>
            </w:r>
          </w:p>
          <w:p w14:paraId="64A7CC43" w14:textId="77777777" w:rsidR="00452285" w:rsidRPr="0058432E" w:rsidRDefault="00452285" w:rsidP="00C831C4">
            <w:pPr>
              <w:rPr>
                <w:color w:val="000000" w:themeColor="text1"/>
              </w:rPr>
            </w:pPr>
            <w:proofErr w:type="gramStart"/>
            <w:r w:rsidRPr="0058432E">
              <w:rPr>
                <w:color w:val="000000" w:themeColor="text1"/>
              </w:rPr>
              <w:t>hépatite</w:t>
            </w:r>
            <w:proofErr w:type="gramEnd"/>
            <w:r w:rsidRPr="0058432E">
              <w:rPr>
                <w:color w:val="000000" w:themeColor="text1"/>
              </w:rPr>
              <w:t xml:space="preserve"> auto-immune</w:t>
            </w:r>
            <w:r w:rsidRPr="0058432E">
              <w:rPr>
                <w:color w:val="000000" w:themeColor="text1"/>
                <w:vertAlign w:val="superscript"/>
              </w:rPr>
              <w:t>1</w:t>
            </w:r>
          </w:p>
        </w:tc>
      </w:tr>
      <w:tr w:rsidR="00452285" w:rsidRPr="0058432E" w14:paraId="18FEB04E" w14:textId="77777777" w:rsidTr="00054A92">
        <w:trPr>
          <w:cantSplit/>
        </w:trPr>
        <w:tc>
          <w:tcPr>
            <w:tcW w:w="2628" w:type="dxa"/>
            <w:vMerge/>
            <w:tcBorders>
              <w:left w:val="single" w:sz="4" w:space="0" w:color="auto"/>
              <w:bottom w:val="single" w:sz="4" w:space="0" w:color="auto"/>
              <w:right w:val="single" w:sz="4" w:space="0" w:color="auto"/>
            </w:tcBorders>
          </w:tcPr>
          <w:p w14:paraId="7A0A032B"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D2873B1" w14:textId="77777777" w:rsidR="00452285" w:rsidRPr="0058432E" w:rsidRDefault="00452285" w:rsidP="00C831C4">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43EB3CDE" w14:textId="77777777" w:rsidR="00452285" w:rsidRPr="0058432E" w:rsidRDefault="00452285" w:rsidP="00982118">
            <w:pPr>
              <w:rPr>
                <w:color w:val="000000" w:themeColor="text1"/>
              </w:rPr>
            </w:pPr>
            <w:r w:rsidRPr="0058432E">
              <w:rPr>
                <w:color w:val="000000" w:themeColor="text1"/>
              </w:rPr>
              <w:t>Insuffisance hépatique</w:t>
            </w:r>
            <w:r w:rsidRPr="0058432E">
              <w:rPr>
                <w:color w:val="000000" w:themeColor="text1"/>
                <w:vertAlign w:val="superscript"/>
              </w:rPr>
              <w:t>1</w:t>
            </w:r>
          </w:p>
          <w:p w14:paraId="328AFC52" w14:textId="77777777" w:rsidR="00452285" w:rsidRPr="0058432E" w:rsidRDefault="00452285" w:rsidP="00982118">
            <w:pPr>
              <w:rPr>
                <w:color w:val="000000" w:themeColor="text1"/>
              </w:rPr>
            </w:pPr>
          </w:p>
        </w:tc>
      </w:tr>
      <w:tr w:rsidR="00452285" w:rsidRPr="0058432E" w14:paraId="1938CA34"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DBE63FE" w14:textId="77777777" w:rsidR="00452285" w:rsidRPr="0058432E" w:rsidRDefault="00452285" w:rsidP="00982118">
            <w:pPr>
              <w:rPr>
                <w:color w:val="000000" w:themeColor="text1"/>
              </w:rPr>
            </w:pPr>
            <w:r w:rsidRPr="0058432E">
              <w:rPr>
                <w:color w:val="000000" w:themeColor="text1"/>
              </w:rPr>
              <w:t>Affections de la peau et du tissu sous-cutané</w:t>
            </w:r>
          </w:p>
        </w:tc>
        <w:tc>
          <w:tcPr>
            <w:tcW w:w="1621" w:type="dxa"/>
            <w:tcBorders>
              <w:top w:val="single" w:sz="4" w:space="0" w:color="auto"/>
              <w:left w:val="single" w:sz="4" w:space="0" w:color="auto"/>
              <w:bottom w:val="single" w:sz="4" w:space="0" w:color="auto"/>
              <w:right w:val="single" w:sz="4" w:space="0" w:color="auto"/>
            </w:tcBorders>
          </w:tcPr>
          <w:p w14:paraId="0C0F084E" w14:textId="77777777" w:rsidR="00452285" w:rsidRPr="0058432E" w:rsidRDefault="00E56EF7" w:rsidP="00C831C4">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37BE43B8" w14:textId="77777777" w:rsidR="00452285" w:rsidRPr="0058432E" w:rsidRDefault="00452285" w:rsidP="00C831C4">
            <w:pPr>
              <w:rPr>
                <w:color w:val="000000" w:themeColor="text1"/>
              </w:rPr>
            </w:pPr>
            <w:r w:rsidRPr="0058432E">
              <w:rPr>
                <w:color w:val="000000" w:themeColor="text1"/>
              </w:rPr>
              <w:t>Rash (y compris éruption exfoliative)</w:t>
            </w:r>
          </w:p>
        </w:tc>
      </w:tr>
      <w:tr w:rsidR="00452285" w:rsidRPr="0058432E" w14:paraId="4C51F175" w14:textId="77777777" w:rsidTr="00054A92">
        <w:trPr>
          <w:cantSplit/>
        </w:trPr>
        <w:tc>
          <w:tcPr>
            <w:tcW w:w="2628" w:type="dxa"/>
            <w:vMerge/>
            <w:tcBorders>
              <w:left w:val="single" w:sz="4" w:space="0" w:color="auto"/>
              <w:right w:val="single" w:sz="4" w:space="0" w:color="auto"/>
            </w:tcBorders>
          </w:tcPr>
          <w:p w14:paraId="32B1F6FF"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05D60C3" w14:textId="77777777" w:rsidR="00452285" w:rsidRPr="0058432E" w:rsidRDefault="00452285" w:rsidP="00982118">
            <w:pPr>
              <w:rPr>
                <w:color w:val="000000" w:themeColor="text1"/>
              </w:rPr>
            </w:pPr>
            <w:r w:rsidRPr="0058432E">
              <w:rPr>
                <w:color w:val="000000" w:themeColor="text1"/>
              </w:rPr>
              <w:t>Fréquent</w:t>
            </w:r>
          </w:p>
          <w:p w14:paraId="495607A9"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0470AAC0" w14:textId="77777777" w:rsidR="00452285" w:rsidRPr="0058432E" w:rsidRDefault="00452285" w:rsidP="00982118">
            <w:pPr>
              <w:rPr>
                <w:color w:val="000000" w:themeColor="text1"/>
              </w:rPr>
            </w:pPr>
            <w:r w:rsidRPr="0058432E">
              <w:rPr>
                <w:color w:val="000000" w:themeColor="text1"/>
              </w:rPr>
              <w:t>Aggravation ou apparition d’un psoriasis (y compris psoriasis pustulaire palmoplantaire)</w:t>
            </w:r>
            <w:r w:rsidRPr="0058432E">
              <w:rPr>
                <w:color w:val="000000" w:themeColor="text1"/>
                <w:vertAlign w:val="superscript"/>
              </w:rPr>
              <w:t>1</w:t>
            </w:r>
            <w:r w:rsidRPr="0058432E">
              <w:rPr>
                <w:color w:val="000000" w:themeColor="text1"/>
              </w:rPr>
              <w:t>,</w:t>
            </w:r>
          </w:p>
          <w:p w14:paraId="71533EBF" w14:textId="77777777" w:rsidR="00452285" w:rsidRPr="0058432E" w:rsidRDefault="00452285" w:rsidP="00982118">
            <w:pPr>
              <w:rPr>
                <w:color w:val="000000" w:themeColor="text1"/>
              </w:rPr>
            </w:pPr>
            <w:proofErr w:type="gramStart"/>
            <w:r w:rsidRPr="0058432E">
              <w:rPr>
                <w:color w:val="000000" w:themeColor="text1"/>
              </w:rPr>
              <w:t>urticaire</w:t>
            </w:r>
            <w:proofErr w:type="gramEnd"/>
            <w:r w:rsidRPr="0058432E">
              <w:rPr>
                <w:color w:val="000000" w:themeColor="text1"/>
              </w:rPr>
              <w:t>,</w:t>
            </w:r>
          </w:p>
          <w:p w14:paraId="219B0BAB" w14:textId="77777777" w:rsidR="00452285" w:rsidRPr="0058432E" w:rsidRDefault="00452285" w:rsidP="00982118">
            <w:pPr>
              <w:rPr>
                <w:color w:val="000000" w:themeColor="text1"/>
              </w:rPr>
            </w:pPr>
            <w:proofErr w:type="gramStart"/>
            <w:r w:rsidRPr="0058432E">
              <w:rPr>
                <w:color w:val="000000" w:themeColor="text1"/>
              </w:rPr>
              <w:t>ecchymoses</w:t>
            </w:r>
            <w:proofErr w:type="gramEnd"/>
            <w:r w:rsidRPr="0058432E">
              <w:rPr>
                <w:color w:val="000000" w:themeColor="text1"/>
              </w:rPr>
              <w:t xml:space="preserve"> (y compris purpura),</w:t>
            </w:r>
          </w:p>
          <w:p w14:paraId="541B5059" w14:textId="77777777" w:rsidR="00452285" w:rsidRPr="0058432E" w:rsidRDefault="00452285" w:rsidP="00982118">
            <w:pPr>
              <w:rPr>
                <w:color w:val="000000" w:themeColor="text1"/>
              </w:rPr>
            </w:pPr>
            <w:proofErr w:type="gramStart"/>
            <w:r w:rsidRPr="0058432E">
              <w:rPr>
                <w:color w:val="000000" w:themeColor="text1"/>
              </w:rPr>
              <w:t>dermatite</w:t>
            </w:r>
            <w:proofErr w:type="gramEnd"/>
            <w:r w:rsidRPr="0058432E">
              <w:rPr>
                <w:color w:val="000000" w:themeColor="text1"/>
              </w:rPr>
              <w:t xml:space="preserve"> (y compris eczéma),</w:t>
            </w:r>
          </w:p>
          <w:p w14:paraId="36E64D22" w14:textId="77777777" w:rsidR="00452285" w:rsidRPr="0058432E" w:rsidRDefault="00452285" w:rsidP="00982118">
            <w:pPr>
              <w:rPr>
                <w:color w:val="000000" w:themeColor="text1"/>
              </w:rPr>
            </w:pPr>
            <w:proofErr w:type="gramStart"/>
            <w:r w:rsidRPr="0058432E">
              <w:rPr>
                <w:color w:val="000000" w:themeColor="text1"/>
              </w:rPr>
              <w:t>onychoclasie</w:t>
            </w:r>
            <w:proofErr w:type="gramEnd"/>
            <w:r w:rsidRPr="0058432E">
              <w:rPr>
                <w:color w:val="000000" w:themeColor="text1"/>
              </w:rPr>
              <w:t>,</w:t>
            </w:r>
          </w:p>
          <w:p w14:paraId="3C29F349" w14:textId="77777777" w:rsidR="00452285" w:rsidRPr="0058432E" w:rsidRDefault="00452285" w:rsidP="00982118">
            <w:pPr>
              <w:rPr>
                <w:color w:val="000000" w:themeColor="text1"/>
              </w:rPr>
            </w:pPr>
            <w:proofErr w:type="gramStart"/>
            <w:r w:rsidRPr="0058432E">
              <w:rPr>
                <w:color w:val="000000" w:themeColor="text1"/>
              </w:rPr>
              <w:t>hyperhidrose</w:t>
            </w:r>
            <w:proofErr w:type="gramEnd"/>
            <w:r w:rsidRPr="0058432E">
              <w:rPr>
                <w:color w:val="000000" w:themeColor="text1"/>
              </w:rPr>
              <w:t>,</w:t>
            </w:r>
          </w:p>
          <w:p w14:paraId="3066FA82" w14:textId="77777777" w:rsidR="00452285" w:rsidRPr="0058432E" w:rsidRDefault="00452285" w:rsidP="00982118">
            <w:pPr>
              <w:rPr>
                <w:color w:val="000000" w:themeColor="text1"/>
              </w:rPr>
            </w:pPr>
            <w:proofErr w:type="gramStart"/>
            <w:r w:rsidRPr="0058432E">
              <w:rPr>
                <w:color w:val="000000" w:themeColor="text1"/>
              </w:rPr>
              <w:t>alopécie</w:t>
            </w:r>
            <w:proofErr w:type="gramEnd"/>
            <w:r w:rsidRPr="0058432E">
              <w:rPr>
                <w:color w:val="000000" w:themeColor="text1"/>
                <w:vertAlign w:val="superscript"/>
              </w:rPr>
              <w:t>1</w:t>
            </w:r>
            <w:r w:rsidRPr="0058432E">
              <w:rPr>
                <w:color w:val="000000" w:themeColor="text1"/>
              </w:rPr>
              <w:t>,</w:t>
            </w:r>
          </w:p>
          <w:p w14:paraId="79A50F89" w14:textId="77777777" w:rsidR="00452285" w:rsidRPr="0058432E" w:rsidRDefault="00452285" w:rsidP="00C831C4">
            <w:pPr>
              <w:rPr>
                <w:color w:val="000000" w:themeColor="text1"/>
              </w:rPr>
            </w:pPr>
            <w:proofErr w:type="gramStart"/>
            <w:r w:rsidRPr="0058432E">
              <w:rPr>
                <w:color w:val="000000" w:themeColor="text1"/>
              </w:rPr>
              <w:t>prurit</w:t>
            </w:r>
            <w:proofErr w:type="gramEnd"/>
          </w:p>
        </w:tc>
      </w:tr>
      <w:tr w:rsidR="00452285" w:rsidRPr="0058432E" w14:paraId="0269275B" w14:textId="77777777" w:rsidTr="00054A92">
        <w:trPr>
          <w:cantSplit/>
        </w:trPr>
        <w:tc>
          <w:tcPr>
            <w:tcW w:w="2628" w:type="dxa"/>
            <w:vMerge/>
            <w:tcBorders>
              <w:left w:val="single" w:sz="4" w:space="0" w:color="auto"/>
              <w:right w:val="single" w:sz="4" w:space="0" w:color="auto"/>
            </w:tcBorders>
          </w:tcPr>
          <w:p w14:paraId="7EA8E48D"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054E744" w14:textId="77777777" w:rsidR="00452285" w:rsidRPr="0058432E" w:rsidRDefault="00452285" w:rsidP="00982118">
            <w:pPr>
              <w:rPr>
                <w:color w:val="000000" w:themeColor="text1"/>
              </w:rPr>
            </w:pPr>
            <w:r w:rsidRPr="0058432E">
              <w:rPr>
                <w:color w:val="000000" w:themeColor="text1"/>
              </w:rPr>
              <w:t>Peu fréquent</w:t>
            </w:r>
          </w:p>
          <w:p w14:paraId="4438E0DD"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55174ADC" w14:textId="77777777" w:rsidR="00452285" w:rsidRPr="0058432E" w:rsidRDefault="00452285" w:rsidP="00982118">
            <w:pPr>
              <w:rPr>
                <w:color w:val="000000" w:themeColor="text1"/>
              </w:rPr>
            </w:pPr>
            <w:r w:rsidRPr="0058432E">
              <w:rPr>
                <w:color w:val="000000" w:themeColor="text1"/>
              </w:rPr>
              <w:t>Sueurs nocturnes</w:t>
            </w:r>
            <w:r w:rsidR="009765E4" w:rsidRPr="0058432E">
              <w:rPr>
                <w:color w:val="000000" w:themeColor="text1"/>
              </w:rPr>
              <w:t>,</w:t>
            </w:r>
          </w:p>
          <w:p w14:paraId="799FCC2F" w14:textId="77777777" w:rsidR="00452285" w:rsidRPr="0058432E" w:rsidRDefault="00452285" w:rsidP="00C831C4">
            <w:pPr>
              <w:rPr>
                <w:color w:val="000000" w:themeColor="text1"/>
              </w:rPr>
            </w:pPr>
            <w:proofErr w:type="gramStart"/>
            <w:r w:rsidRPr="0058432E">
              <w:rPr>
                <w:color w:val="000000" w:themeColor="text1"/>
              </w:rPr>
              <w:t>cicatrice</w:t>
            </w:r>
            <w:proofErr w:type="gramEnd"/>
          </w:p>
        </w:tc>
      </w:tr>
      <w:tr w:rsidR="00452285" w:rsidRPr="0058432E" w14:paraId="7CD3E63C" w14:textId="77777777" w:rsidTr="00054A92">
        <w:trPr>
          <w:cantSplit/>
        </w:trPr>
        <w:tc>
          <w:tcPr>
            <w:tcW w:w="2628" w:type="dxa"/>
            <w:vMerge/>
            <w:tcBorders>
              <w:left w:val="single" w:sz="4" w:space="0" w:color="auto"/>
              <w:right w:val="single" w:sz="4" w:space="0" w:color="auto"/>
            </w:tcBorders>
          </w:tcPr>
          <w:p w14:paraId="17178057"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BA33882" w14:textId="77777777" w:rsidR="00452285" w:rsidRPr="0058432E" w:rsidRDefault="00452285" w:rsidP="00982118">
            <w:pPr>
              <w:rPr>
                <w:color w:val="000000" w:themeColor="text1"/>
              </w:rPr>
            </w:pPr>
            <w:r w:rsidRPr="0058432E">
              <w:rPr>
                <w:color w:val="000000" w:themeColor="text1"/>
              </w:rPr>
              <w:t>Rare</w:t>
            </w:r>
          </w:p>
          <w:p w14:paraId="3FBBDF31"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256E4055" w14:textId="77777777" w:rsidR="00452285" w:rsidRPr="0058432E" w:rsidRDefault="00452285" w:rsidP="00982118">
            <w:pPr>
              <w:rPr>
                <w:color w:val="000000" w:themeColor="text1"/>
              </w:rPr>
            </w:pPr>
            <w:r w:rsidRPr="0058432E">
              <w:rPr>
                <w:color w:val="000000" w:themeColor="text1"/>
              </w:rPr>
              <w:t>Érythème polymorphe</w:t>
            </w:r>
            <w:r w:rsidRPr="0058432E">
              <w:rPr>
                <w:color w:val="000000" w:themeColor="text1"/>
                <w:vertAlign w:val="superscript"/>
              </w:rPr>
              <w:t>1</w:t>
            </w:r>
            <w:r w:rsidRPr="0058432E">
              <w:rPr>
                <w:color w:val="000000" w:themeColor="text1"/>
              </w:rPr>
              <w:t>,</w:t>
            </w:r>
          </w:p>
          <w:p w14:paraId="11A6B514" w14:textId="77777777" w:rsidR="00452285" w:rsidRPr="0058432E" w:rsidRDefault="00452285" w:rsidP="00982118">
            <w:pPr>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Johnson</w:t>
            </w:r>
            <w:r w:rsidRPr="0058432E">
              <w:rPr>
                <w:color w:val="000000" w:themeColor="text1"/>
                <w:vertAlign w:val="superscript"/>
              </w:rPr>
              <w:t>1</w:t>
            </w:r>
            <w:r w:rsidRPr="0058432E">
              <w:rPr>
                <w:color w:val="000000" w:themeColor="text1"/>
              </w:rPr>
              <w:t>,</w:t>
            </w:r>
          </w:p>
          <w:p w14:paraId="437D7C95" w14:textId="77777777" w:rsidR="00452285" w:rsidRPr="0058432E" w:rsidRDefault="00452285" w:rsidP="00982118">
            <w:pPr>
              <w:rPr>
                <w:color w:val="000000" w:themeColor="text1"/>
              </w:rPr>
            </w:pPr>
            <w:proofErr w:type="gramStart"/>
            <w:r w:rsidRPr="0058432E">
              <w:rPr>
                <w:color w:val="000000" w:themeColor="text1"/>
              </w:rPr>
              <w:t>angiœdème</w:t>
            </w:r>
            <w:proofErr w:type="gramEnd"/>
            <w:r w:rsidRPr="0058432E">
              <w:rPr>
                <w:color w:val="000000" w:themeColor="text1"/>
                <w:vertAlign w:val="superscript"/>
              </w:rPr>
              <w:t>1</w:t>
            </w:r>
            <w:r w:rsidRPr="0058432E">
              <w:rPr>
                <w:color w:val="000000" w:themeColor="text1"/>
              </w:rPr>
              <w:t>,</w:t>
            </w:r>
          </w:p>
          <w:p w14:paraId="4021426F" w14:textId="77777777" w:rsidR="00452285" w:rsidRPr="0058432E" w:rsidRDefault="00452285" w:rsidP="00982118">
            <w:pPr>
              <w:rPr>
                <w:color w:val="000000" w:themeColor="text1"/>
              </w:rPr>
            </w:pPr>
            <w:proofErr w:type="gramStart"/>
            <w:r w:rsidRPr="0058432E">
              <w:rPr>
                <w:color w:val="000000" w:themeColor="text1"/>
              </w:rPr>
              <w:t>vascularite</w:t>
            </w:r>
            <w:proofErr w:type="gramEnd"/>
            <w:r w:rsidRPr="0058432E">
              <w:rPr>
                <w:color w:val="000000" w:themeColor="text1"/>
              </w:rPr>
              <w:t xml:space="preserve"> cutanée</w:t>
            </w:r>
            <w:r w:rsidRPr="0058432E">
              <w:rPr>
                <w:color w:val="000000" w:themeColor="text1"/>
                <w:vertAlign w:val="superscript"/>
              </w:rPr>
              <w:t>1</w:t>
            </w:r>
            <w:r w:rsidRPr="0058432E">
              <w:rPr>
                <w:color w:val="000000" w:themeColor="text1"/>
              </w:rPr>
              <w:t>,</w:t>
            </w:r>
          </w:p>
          <w:p w14:paraId="56FE8227" w14:textId="77777777" w:rsidR="00452285" w:rsidRPr="0058432E" w:rsidRDefault="00D329A4" w:rsidP="00C831C4">
            <w:pPr>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w:t>
            </w:r>
            <w:r w:rsidRPr="0058432E">
              <w:rPr>
                <w:color w:val="000000" w:themeColor="text1"/>
                <w:vertAlign w:val="superscript"/>
              </w:rPr>
              <w:t>1</w:t>
            </w:r>
          </w:p>
        </w:tc>
      </w:tr>
      <w:tr w:rsidR="00452285" w:rsidRPr="0058432E" w14:paraId="36C51B57" w14:textId="77777777" w:rsidTr="00054A92">
        <w:trPr>
          <w:cantSplit/>
        </w:trPr>
        <w:tc>
          <w:tcPr>
            <w:tcW w:w="2628" w:type="dxa"/>
            <w:vMerge/>
            <w:tcBorders>
              <w:left w:val="single" w:sz="4" w:space="0" w:color="auto"/>
              <w:bottom w:val="single" w:sz="4" w:space="0" w:color="auto"/>
              <w:right w:val="single" w:sz="4" w:space="0" w:color="auto"/>
            </w:tcBorders>
          </w:tcPr>
          <w:p w14:paraId="6834845B"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1C67AF0" w14:textId="77777777" w:rsidR="00452285" w:rsidRPr="0058432E" w:rsidRDefault="00452285" w:rsidP="00982118">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766727E5" w14:textId="77777777" w:rsidR="00452285" w:rsidRPr="0058432E" w:rsidRDefault="00452285" w:rsidP="00982118">
            <w:pPr>
              <w:rPr>
                <w:color w:val="000000" w:themeColor="text1"/>
              </w:rPr>
            </w:pPr>
            <w:r w:rsidRPr="0058432E">
              <w:rPr>
                <w:color w:val="000000" w:themeColor="text1"/>
              </w:rPr>
              <w:t>Aggravation des symptômes de dermatomyosite</w:t>
            </w:r>
            <w:r w:rsidRPr="0058432E">
              <w:rPr>
                <w:color w:val="000000" w:themeColor="text1"/>
                <w:vertAlign w:val="superscript"/>
              </w:rPr>
              <w:t>1</w:t>
            </w:r>
          </w:p>
          <w:p w14:paraId="6E726CCE" w14:textId="77777777" w:rsidR="00452285" w:rsidRPr="0058432E" w:rsidRDefault="00452285" w:rsidP="00982118">
            <w:pPr>
              <w:rPr>
                <w:color w:val="000000" w:themeColor="text1"/>
              </w:rPr>
            </w:pPr>
          </w:p>
        </w:tc>
      </w:tr>
      <w:tr w:rsidR="00452285" w:rsidRPr="0058432E" w14:paraId="1930159E"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42B69FDD" w14:textId="77777777" w:rsidR="00452285" w:rsidRPr="0058432E" w:rsidRDefault="00452285" w:rsidP="00982118">
            <w:pPr>
              <w:rPr>
                <w:color w:val="000000" w:themeColor="text1"/>
              </w:rPr>
            </w:pPr>
            <w:r w:rsidRPr="0058432E">
              <w:rPr>
                <w:color w:val="000000" w:themeColor="text1"/>
              </w:rPr>
              <w:t>Affections musculo-squelettiques et systémiques</w:t>
            </w:r>
          </w:p>
        </w:tc>
        <w:tc>
          <w:tcPr>
            <w:tcW w:w="1621" w:type="dxa"/>
            <w:tcBorders>
              <w:top w:val="single" w:sz="4" w:space="0" w:color="auto"/>
              <w:left w:val="single" w:sz="4" w:space="0" w:color="auto"/>
              <w:bottom w:val="single" w:sz="4" w:space="0" w:color="auto"/>
              <w:right w:val="single" w:sz="4" w:space="0" w:color="auto"/>
            </w:tcBorders>
          </w:tcPr>
          <w:p w14:paraId="731FB128" w14:textId="77777777" w:rsidR="00452285" w:rsidRPr="0058432E" w:rsidRDefault="00E56EF7" w:rsidP="00982118">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21DC3D80" w14:textId="77777777" w:rsidR="00452285" w:rsidRPr="0058432E" w:rsidRDefault="00452285" w:rsidP="00C831C4">
            <w:pPr>
              <w:rPr>
                <w:color w:val="000000" w:themeColor="text1"/>
              </w:rPr>
            </w:pPr>
            <w:r w:rsidRPr="0058432E">
              <w:rPr>
                <w:color w:val="000000" w:themeColor="text1"/>
              </w:rPr>
              <w:t>Douleurs musculo-squelettiques</w:t>
            </w:r>
          </w:p>
        </w:tc>
      </w:tr>
      <w:tr w:rsidR="00452285" w:rsidRPr="0058432E" w14:paraId="0F8AD33E" w14:textId="77777777" w:rsidTr="00054A92">
        <w:trPr>
          <w:cantSplit/>
        </w:trPr>
        <w:tc>
          <w:tcPr>
            <w:tcW w:w="2628" w:type="dxa"/>
            <w:vMerge/>
            <w:tcBorders>
              <w:left w:val="single" w:sz="4" w:space="0" w:color="auto"/>
              <w:right w:val="single" w:sz="4" w:space="0" w:color="auto"/>
            </w:tcBorders>
          </w:tcPr>
          <w:p w14:paraId="64BA1820"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23C79A3" w14:textId="77777777" w:rsidR="00452285" w:rsidRPr="0058432E" w:rsidRDefault="00452285" w:rsidP="00982118">
            <w:pPr>
              <w:rPr>
                <w:color w:val="000000" w:themeColor="text1"/>
              </w:rPr>
            </w:pPr>
            <w:r w:rsidRPr="0058432E">
              <w:rPr>
                <w:color w:val="000000" w:themeColor="text1"/>
              </w:rPr>
              <w:t>Fréquent</w:t>
            </w:r>
          </w:p>
          <w:p w14:paraId="75133F46"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7E6F5131" w14:textId="77777777" w:rsidR="00452285" w:rsidRPr="0058432E" w:rsidRDefault="00452285" w:rsidP="00C831C4">
            <w:pPr>
              <w:rPr>
                <w:color w:val="000000" w:themeColor="text1"/>
              </w:rPr>
            </w:pPr>
            <w:r w:rsidRPr="0058432E">
              <w:rPr>
                <w:color w:val="000000" w:themeColor="text1"/>
              </w:rPr>
              <w:t>Spasmes musculaires (y compris augmentation de la créatine phosphokinase sérique)</w:t>
            </w:r>
          </w:p>
        </w:tc>
      </w:tr>
      <w:tr w:rsidR="00452285" w:rsidRPr="0058432E" w14:paraId="37C2F599" w14:textId="77777777" w:rsidTr="00054A92">
        <w:trPr>
          <w:cantSplit/>
        </w:trPr>
        <w:tc>
          <w:tcPr>
            <w:tcW w:w="2628" w:type="dxa"/>
            <w:vMerge/>
            <w:tcBorders>
              <w:left w:val="single" w:sz="4" w:space="0" w:color="auto"/>
              <w:right w:val="single" w:sz="4" w:space="0" w:color="auto"/>
            </w:tcBorders>
          </w:tcPr>
          <w:p w14:paraId="5BD6B089"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63F6EC1" w14:textId="77777777" w:rsidR="00452285" w:rsidRPr="0058432E" w:rsidRDefault="00452285" w:rsidP="00982118">
            <w:pPr>
              <w:rPr>
                <w:color w:val="000000" w:themeColor="text1"/>
              </w:rPr>
            </w:pPr>
            <w:r w:rsidRPr="0058432E">
              <w:rPr>
                <w:color w:val="000000" w:themeColor="text1"/>
              </w:rPr>
              <w:t>Peu fréquent</w:t>
            </w:r>
          </w:p>
          <w:p w14:paraId="5A88CD09" w14:textId="77777777" w:rsidR="00452285" w:rsidRPr="0058432E" w:rsidRDefault="00452285" w:rsidP="00982118">
            <w:pPr>
              <w:rPr>
                <w:color w:val="000000" w:themeColor="text1"/>
              </w:rPr>
            </w:pPr>
          </w:p>
        </w:tc>
        <w:tc>
          <w:tcPr>
            <w:tcW w:w="0" w:type="auto"/>
            <w:tcBorders>
              <w:left w:val="single" w:sz="4" w:space="0" w:color="auto"/>
              <w:right w:val="single" w:sz="4" w:space="0" w:color="auto"/>
            </w:tcBorders>
          </w:tcPr>
          <w:p w14:paraId="4D2EB3D3" w14:textId="77777777" w:rsidR="00452285" w:rsidRPr="0058432E" w:rsidRDefault="00452285" w:rsidP="00982118">
            <w:pPr>
              <w:rPr>
                <w:color w:val="000000" w:themeColor="text1"/>
              </w:rPr>
            </w:pPr>
            <w:r w:rsidRPr="0058432E">
              <w:rPr>
                <w:color w:val="000000" w:themeColor="text1"/>
              </w:rPr>
              <w:t>Rhabdomyolyse,</w:t>
            </w:r>
          </w:p>
          <w:p w14:paraId="13B59287" w14:textId="77777777" w:rsidR="00452285" w:rsidRPr="0058432E" w:rsidRDefault="00452285" w:rsidP="00C831C4">
            <w:pPr>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w:t>
            </w:r>
          </w:p>
        </w:tc>
      </w:tr>
      <w:tr w:rsidR="00452285" w:rsidRPr="0058432E" w14:paraId="611DE6E3" w14:textId="77777777" w:rsidTr="00054A92">
        <w:trPr>
          <w:cantSplit/>
        </w:trPr>
        <w:tc>
          <w:tcPr>
            <w:tcW w:w="2628" w:type="dxa"/>
            <w:vMerge/>
            <w:tcBorders>
              <w:left w:val="single" w:sz="4" w:space="0" w:color="auto"/>
              <w:bottom w:val="single" w:sz="4" w:space="0" w:color="auto"/>
              <w:right w:val="single" w:sz="4" w:space="0" w:color="auto"/>
            </w:tcBorders>
          </w:tcPr>
          <w:p w14:paraId="4D54BD08" w14:textId="77777777" w:rsidR="00452285" w:rsidRPr="0058432E" w:rsidRDefault="0045228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6E4BC90" w14:textId="77777777" w:rsidR="00452285" w:rsidRPr="0058432E" w:rsidRDefault="00452285"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5022C64A" w14:textId="77777777" w:rsidR="00452285" w:rsidRPr="0058432E" w:rsidRDefault="00452285" w:rsidP="00C831C4">
            <w:pPr>
              <w:rPr>
                <w:color w:val="000000" w:themeColor="text1"/>
              </w:rPr>
            </w:pPr>
            <w:r w:rsidRPr="0058432E">
              <w:rPr>
                <w:color w:val="000000" w:themeColor="text1"/>
              </w:rPr>
              <w:t>Syndrome de type lupus</w:t>
            </w:r>
            <w:r w:rsidRPr="0058432E">
              <w:rPr>
                <w:color w:val="000000" w:themeColor="text1"/>
                <w:vertAlign w:val="superscript"/>
              </w:rPr>
              <w:t>1</w:t>
            </w:r>
          </w:p>
        </w:tc>
      </w:tr>
      <w:tr w:rsidR="00452285" w:rsidRPr="0058432E" w14:paraId="63DB7F13"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32F82C8" w14:textId="77777777" w:rsidR="00452285" w:rsidRPr="0058432E" w:rsidRDefault="00452285" w:rsidP="00982118">
            <w:pPr>
              <w:rPr>
                <w:color w:val="000000" w:themeColor="text1"/>
              </w:rPr>
            </w:pPr>
            <w:r w:rsidRPr="0058432E">
              <w:rPr>
                <w:color w:val="000000" w:themeColor="text1"/>
              </w:rPr>
              <w:t>Affections du rein et des voies urinaires</w:t>
            </w:r>
          </w:p>
        </w:tc>
        <w:tc>
          <w:tcPr>
            <w:tcW w:w="1621" w:type="dxa"/>
            <w:tcBorders>
              <w:top w:val="single" w:sz="4" w:space="0" w:color="auto"/>
              <w:left w:val="single" w:sz="4" w:space="0" w:color="auto"/>
              <w:right w:val="single" w:sz="4" w:space="0" w:color="auto"/>
            </w:tcBorders>
          </w:tcPr>
          <w:p w14:paraId="60B91735" w14:textId="77777777" w:rsidR="00452285" w:rsidRPr="0058432E" w:rsidRDefault="00452285"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37BC4351" w14:textId="77777777" w:rsidR="00452285" w:rsidRPr="0058432E" w:rsidRDefault="00452285" w:rsidP="00982118">
            <w:pPr>
              <w:rPr>
                <w:color w:val="000000" w:themeColor="text1"/>
              </w:rPr>
            </w:pPr>
            <w:r w:rsidRPr="0058432E">
              <w:rPr>
                <w:color w:val="000000" w:themeColor="text1"/>
              </w:rPr>
              <w:t>Insuffisance rénale</w:t>
            </w:r>
            <w:r w:rsidR="008C5A6D" w:rsidRPr="0058432E">
              <w:rPr>
                <w:color w:val="000000" w:themeColor="text1"/>
              </w:rPr>
              <w:t>,</w:t>
            </w:r>
          </w:p>
          <w:p w14:paraId="4C6F45F4" w14:textId="77777777" w:rsidR="00452285" w:rsidRPr="0058432E" w:rsidRDefault="00452285" w:rsidP="00C831C4">
            <w:pPr>
              <w:rPr>
                <w:color w:val="000000" w:themeColor="text1"/>
              </w:rPr>
            </w:pPr>
            <w:proofErr w:type="gramStart"/>
            <w:r w:rsidRPr="0058432E">
              <w:rPr>
                <w:color w:val="000000" w:themeColor="text1"/>
              </w:rPr>
              <w:t>hématurie</w:t>
            </w:r>
            <w:proofErr w:type="gramEnd"/>
          </w:p>
        </w:tc>
      </w:tr>
      <w:tr w:rsidR="00452285" w:rsidRPr="0058432E" w14:paraId="683DDCC5" w14:textId="77777777" w:rsidTr="00054A92">
        <w:trPr>
          <w:cantSplit/>
        </w:trPr>
        <w:tc>
          <w:tcPr>
            <w:tcW w:w="2628" w:type="dxa"/>
            <w:vMerge/>
            <w:tcBorders>
              <w:left w:val="single" w:sz="4" w:space="0" w:color="auto"/>
              <w:bottom w:val="single" w:sz="4" w:space="0" w:color="auto"/>
              <w:right w:val="single" w:sz="4" w:space="0" w:color="auto"/>
            </w:tcBorders>
          </w:tcPr>
          <w:p w14:paraId="76A6E925" w14:textId="77777777" w:rsidR="00452285" w:rsidRPr="0058432E"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7C4B2A32" w14:textId="77777777" w:rsidR="00452285" w:rsidRPr="0058432E" w:rsidRDefault="00452285" w:rsidP="00C831C4">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6A9EC6CF" w14:textId="77777777" w:rsidR="00452285" w:rsidRPr="0058432E" w:rsidRDefault="00452285" w:rsidP="00982118">
            <w:pPr>
              <w:rPr>
                <w:color w:val="000000" w:themeColor="text1"/>
              </w:rPr>
            </w:pPr>
            <w:r w:rsidRPr="0058432E">
              <w:rPr>
                <w:color w:val="000000" w:themeColor="text1"/>
              </w:rPr>
              <w:t>Nycturie</w:t>
            </w:r>
          </w:p>
        </w:tc>
      </w:tr>
      <w:tr w:rsidR="00452285" w:rsidRPr="0058432E" w14:paraId="1E786581"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284B6F26" w14:textId="77777777" w:rsidR="00452285" w:rsidRPr="0058432E" w:rsidRDefault="00452285" w:rsidP="00982118">
            <w:pPr>
              <w:rPr>
                <w:color w:val="000000" w:themeColor="text1"/>
              </w:rPr>
            </w:pPr>
            <w:r w:rsidRPr="0058432E">
              <w:rPr>
                <w:color w:val="000000" w:themeColor="text1"/>
              </w:rPr>
              <w:t>Affections des organes de reproduction et du sein</w:t>
            </w:r>
          </w:p>
        </w:tc>
        <w:tc>
          <w:tcPr>
            <w:tcW w:w="1621" w:type="dxa"/>
            <w:tcBorders>
              <w:top w:val="single" w:sz="4" w:space="0" w:color="auto"/>
              <w:left w:val="single" w:sz="4" w:space="0" w:color="auto"/>
              <w:bottom w:val="single" w:sz="4" w:space="0" w:color="auto"/>
              <w:right w:val="single" w:sz="4" w:space="0" w:color="auto"/>
            </w:tcBorders>
            <w:hideMark/>
          </w:tcPr>
          <w:p w14:paraId="70F3C8C3" w14:textId="77777777" w:rsidR="00452285" w:rsidRPr="0058432E" w:rsidRDefault="00452285"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hideMark/>
          </w:tcPr>
          <w:p w14:paraId="5369D760" w14:textId="77777777" w:rsidR="00452285" w:rsidRPr="0058432E" w:rsidRDefault="00452285" w:rsidP="00982118">
            <w:pPr>
              <w:rPr>
                <w:color w:val="000000" w:themeColor="text1"/>
              </w:rPr>
            </w:pPr>
            <w:r w:rsidRPr="0058432E">
              <w:rPr>
                <w:color w:val="000000" w:themeColor="text1"/>
              </w:rPr>
              <w:t>Troubles de la fonction érectile</w:t>
            </w:r>
          </w:p>
        </w:tc>
      </w:tr>
      <w:tr w:rsidR="00452285" w:rsidRPr="0058432E" w14:paraId="1211A43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BDAC15C" w14:textId="77777777" w:rsidR="00452285" w:rsidRPr="0058432E" w:rsidRDefault="00452285" w:rsidP="006271A6">
            <w:pPr>
              <w:keepNext/>
              <w:rPr>
                <w:color w:val="000000" w:themeColor="text1"/>
              </w:rPr>
            </w:pPr>
            <w:r w:rsidRPr="0058432E">
              <w:rPr>
                <w:color w:val="000000" w:themeColor="text1"/>
              </w:rPr>
              <w:t>Troubles généraux et anomalies au site d’administration*</w:t>
            </w:r>
          </w:p>
        </w:tc>
        <w:tc>
          <w:tcPr>
            <w:tcW w:w="1621" w:type="dxa"/>
            <w:tcBorders>
              <w:top w:val="single" w:sz="4" w:space="0" w:color="auto"/>
              <w:left w:val="single" w:sz="4" w:space="0" w:color="auto"/>
              <w:right w:val="single" w:sz="4" w:space="0" w:color="auto"/>
            </w:tcBorders>
          </w:tcPr>
          <w:p w14:paraId="6238A270" w14:textId="77777777" w:rsidR="00452285" w:rsidRPr="0058432E" w:rsidRDefault="00E56EF7" w:rsidP="006271A6">
            <w:pPr>
              <w:keepNext/>
              <w:rPr>
                <w:color w:val="000000" w:themeColor="text1"/>
              </w:rPr>
            </w:pPr>
            <w:r w:rsidRPr="0058432E">
              <w:rPr>
                <w:color w:val="000000" w:themeColor="text1"/>
              </w:rPr>
              <w:t>Très fréquent</w:t>
            </w:r>
          </w:p>
          <w:p w14:paraId="31BC8F7C" w14:textId="77777777" w:rsidR="00452285" w:rsidRPr="0058432E" w:rsidRDefault="00452285" w:rsidP="006271A6">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29D957FF" w14:textId="77777777" w:rsidR="00452285" w:rsidRPr="0058432E" w:rsidRDefault="00452285" w:rsidP="00C831C4">
            <w:pPr>
              <w:keepNext/>
              <w:rPr>
                <w:color w:val="000000" w:themeColor="text1"/>
              </w:rPr>
            </w:pPr>
            <w:r w:rsidRPr="0058432E">
              <w:rPr>
                <w:color w:val="000000" w:themeColor="text1"/>
              </w:rPr>
              <w:t>Réaction au site d’injection (y compris érythème au site d’injection)</w:t>
            </w:r>
          </w:p>
        </w:tc>
      </w:tr>
      <w:tr w:rsidR="00452285" w:rsidRPr="0058432E" w14:paraId="1F5D5EE0" w14:textId="77777777" w:rsidTr="00054A92">
        <w:trPr>
          <w:cantSplit/>
        </w:trPr>
        <w:tc>
          <w:tcPr>
            <w:tcW w:w="2628" w:type="dxa"/>
            <w:vMerge/>
            <w:tcBorders>
              <w:left w:val="single" w:sz="4" w:space="0" w:color="auto"/>
              <w:right w:val="single" w:sz="4" w:space="0" w:color="auto"/>
            </w:tcBorders>
          </w:tcPr>
          <w:p w14:paraId="49D56589" w14:textId="77777777" w:rsidR="00452285" w:rsidRPr="0058432E" w:rsidRDefault="00452285" w:rsidP="006271A6">
            <w:pPr>
              <w:keepNext/>
              <w:rPr>
                <w:color w:val="000000" w:themeColor="text1"/>
              </w:rPr>
            </w:pPr>
          </w:p>
        </w:tc>
        <w:tc>
          <w:tcPr>
            <w:tcW w:w="1621" w:type="dxa"/>
            <w:tcBorders>
              <w:left w:val="single" w:sz="4" w:space="0" w:color="auto"/>
              <w:right w:val="single" w:sz="4" w:space="0" w:color="auto"/>
            </w:tcBorders>
          </w:tcPr>
          <w:p w14:paraId="1AA52245" w14:textId="77777777" w:rsidR="00452285" w:rsidRPr="0058432E" w:rsidRDefault="00452285" w:rsidP="006271A6">
            <w:pPr>
              <w:keepNext/>
              <w:rPr>
                <w:color w:val="000000" w:themeColor="text1"/>
              </w:rPr>
            </w:pPr>
            <w:r w:rsidRPr="0058432E">
              <w:rPr>
                <w:color w:val="000000" w:themeColor="text1"/>
              </w:rPr>
              <w:t>Fréquent</w:t>
            </w:r>
          </w:p>
          <w:p w14:paraId="4C208150" w14:textId="77777777" w:rsidR="00452285" w:rsidRPr="0058432E" w:rsidRDefault="00452285" w:rsidP="006271A6">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160DC882" w14:textId="77777777" w:rsidR="00452285" w:rsidRPr="0058432E" w:rsidRDefault="00452285" w:rsidP="006271A6">
            <w:pPr>
              <w:keepNext/>
              <w:rPr>
                <w:color w:val="000000" w:themeColor="text1"/>
              </w:rPr>
            </w:pPr>
            <w:r w:rsidRPr="0058432E">
              <w:rPr>
                <w:color w:val="000000" w:themeColor="text1"/>
              </w:rPr>
              <w:t>Douleur thoracique,</w:t>
            </w:r>
          </w:p>
          <w:p w14:paraId="29D1F307" w14:textId="77777777" w:rsidR="00452285" w:rsidRPr="0058432E" w:rsidRDefault="00452285" w:rsidP="006271A6">
            <w:pPr>
              <w:keepNext/>
              <w:rPr>
                <w:color w:val="000000" w:themeColor="text1"/>
              </w:rPr>
            </w:pPr>
            <w:proofErr w:type="gramStart"/>
            <w:r w:rsidRPr="0058432E">
              <w:rPr>
                <w:color w:val="000000" w:themeColor="text1"/>
              </w:rPr>
              <w:t>œdème</w:t>
            </w:r>
            <w:proofErr w:type="gramEnd"/>
            <w:r w:rsidRPr="0058432E">
              <w:rPr>
                <w:color w:val="000000" w:themeColor="text1"/>
              </w:rPr>
              <w:t>,</w:t>
            </w:r>
          </w:p>
          <w:p w14:paraId="7665182D" w14:textId="77777777" w:rsidR="00452285" w:rsidRPr="0058432E" w:rsidRDefault="00452285" w:rsidP="00C831C4">
            <w:pPr>
              <w:keepNext/>
              <w:rPr>
                <w:color w:val="000000" w:themeColor="text1"/>
              </w:rPr>
            </w:pPr>
            <w:proofErr w:type="gramStart"/>
            <w:r w:rsidRPr="0058432E">
              <w:rPr>
                <w:color w:val="000000" w:themeColor="text1"/>
              </w:rPr>
              <w:t>fièvre</w:t>
            </w:r>
            <w:proofErr w:type="gramEnd"/>
            <w:r w:rsidRPr="0058432E">
              <w:rPr>
                <w:color w:val="000000" w:themeColor="text1"/>
                <w:vertAlign w:val="superscript"/>
              </w:rPr>
              <w:t>1</w:t>
            </w:r>
          </w:p>
        </w:tc>
      </w:tr>
      <w:tr w:rsidR="00452285" w:rsidRPr="0058432E" w14:paraId="7B374A68" w14:textId="77777777" w:rsidTr="00054A92">
        <w:trPr>
          <w:cantSplit/>
        </w:trPr>
        <w:tc>
          <w:tcPr>
            <w:tcW w:w="2628" w:type="dxa"/>
            <w:vMerge/>
            <w:tcBorders>
              <w:left w:val="single" w:sz="4" w:space="0" w:color="auto"/>
              <w:bottom w:val="single" w:sz="4" w:space="0" w:color="auto"/>
              <w:right w:val="single" w:sz="4" w:space="0" w:color="auto"/>
            </w:tcBorders>
          </w:tcPr>
          <w:p w14:paraId="5C0D79D6" w14:textId="77777777" w:rsidR="00452285" w:rsidRPr="0058432E" w:rsidRDefault="00452285" w:rsidP="00982118">
            <w:pPr>
              <w:rPr>
                <w:color w:val="000000" w:themeColor="text1"/>
              </w:rPr>
            </w:pPr>
          </w:p>
        </w:tc>
        <w:tc>
          <w:tcPr>
            <w:tcW w:w="1621" w:type="dxa"/>
            <w:tcBorders>
              <w:left w:val="single" w:sz="4" w:space="0" w:color="auto"/>
              <w:bottom w:val="single" w:sz="4" w:space="0" w:color="auto"/>
              <w:right w:val="single" w:sz="4" w:space="0" w:color="auto"/>
            </w:tcBorders>
          </w:tcPr>
          <w:p w14:paraId="0C07E501" w14:textId="77777777" w:rsidR="00452285" w:rsidRPr="0058432E" w:rsidRDefault="00452285" w:rsidP="00C831C4">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25E91E2C" w14:textId="77777777" w:rsidR="00452285" w:rsidRPr="0058432E" w:rsidRDefault="00452285" w:rsidP="00982118">
            <w:pPr>
              <w:rPr>
                <w:color w:val="000000" w:themeColor="text1"/>
              </w:rPr>
            </w:pPr>
            <w:r w:rsidRPr="0058432E">
              <w:rPr>
                <w:color w:val="000000" w:themeColor="text1"/>
              </w:rPr>
              <w:t>Inflammation</w:t>
            </w:r>
          </w:p>
        </w:tc>
      </w:tr>
      <w:tr w:rsidR="00776D2E" w:rsidRPr="0058432E" w14:paraId="43E33B4D" w14:textId="77777777" w:rsidTr="00941B47">
        <w:trPr>
          <w:cantSplit/>
        </w:trPr>
        <w:tc>
          <w:tcPr>
            <w:tcW w:w="2628" w:type="dxa"/>
            <w:vMerge w:val="restart"/>
            <w:tcBorders>
              <w:top w:val="single" w:sz="4" w:space="0" w:color="auto"/>
              <w:left w:val="single" w:sz="4" w:space="0" w:color="auto"/>
              <w:right w:val="single" w:sz="4" w:space="0" w:color="auto"/>
            </w:tcBorders>
            <w:hideMark/>
          </w:tcPr>
          <w:p w14:paraId="132E827A" w14:textId="77777777" w:rsidR="00776D2E" w:rsidRPr="0058432E" w:rsidRDefault="00776D2E" w:rsidP="00982118">
            <w:pPr>
              <w:rPr>
                <w:color w:val="000000" w:themeColor="text1"/>
              </w:rPr>
            </w:pPr>
            <w:r w:rsidRPr="0058432E">
              <w:rPr>
                <w:color w:val="000000" w:themeColor="text1"/>
              </w:rPr>
              <w:t>Investigations*</w:t>
            </w:r>
          </w:p>
        </w:tc>
        <w:tc>
          <w:tcPr>
            <w:tcW w:w="1621" w:type="dxa"/>
            <w:tcBorders>
              <w:top w:val="single" w:sz="4" w:space="0" w:color="auto"/>
              <w:left w:val="single" w:sz="4" w:space="0" w:color="auto"/>
              <w:bottom w:val="single" w:sz="4" w:space="0" w:color="auto"/>
              <w:right w:val="single" w:sz="4" w:space="0" w:color="auto"/>
            </w:tcBorders>
            <w:hideMark/>
          </w:tcPr>
          <w:p w14:paraId="7A503E2F" w14:textId="77777777" w:rsidR="00776D2E" w:rsidRPr="0058432E" w:rsidRDefault="00776D2E"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736E964B" w14:textId="77777777" w:rsidR="00776D2E" w:rsidRPr="0058432E" w:rsidRDefault="00776D2E" w:rsidP="00982118">
            <w:pPr>
              <w:autoSpaceDE w:val="0"/>
              <w:autoSpaceDN w:val="0"/>
              <w:adjustRightInd w:val="0"/>
              <w:rPr>
                <w:color w:val="000000" w:themeColor="text1"/>
              </w:rPr>
            </w:pPr>
            <w:r w:rsidRPr="0058432E">
              <w:rPr>
                <w:color w:val="000000" w:themeColor="text1"/>
              </w:rPr>
              <w:t xml:space="preserve">Troubles de la coagulation et troubles hémorragiques (incluant un allongement du temps de céphaline activé), </w:t>
            </w:r>
          </w:p>
          <w:p w14:paraId="7488B9F2" w14:textId="77777777" w:rsidR="00776D2E" w:rsidRPr="0058432E" w:rsidRDefault="00776D2E" w:rsidP="00982118">
            <w:pPr>
              <w:autoSpaceDE w:val="0"/>
              <w:autoSpaceDN w:val="0"/>
              <w:adjustRightInd w:val="0"/>
              <w:rPr>
                <w:color w:val="000000" w:themeColor="text1"/>
              </w:rPr>
            </w:pPr>
            <w:proofErr w:type="gramStart"/>
            <w:r w:rsidRPr="0058432E">
              <w:rPr>
                <w:color w:val="000000" w:themeColor="text1"/>
              </w:rPr>
              <w:t>positivité</w:t>
            </w:r>
            <w:proofErr w:type="gramEnd"/>
            <w:r w:rsidRPr="0058432E">
              <w:rPr>
                <w:color w:val="000000" w:themeColor="text1"/>
              </w:rPr>
              <w:t xml:space="preserve"> aux auto-anticorps (y compris aux anticorps anti-ADN double brin), </w:t>
            </w:r>
          </w:p>
          <w:p w14:paraId="3C527F1C" w14:textId="77777777" w:rsidR="00776D2E" w:rsidRPr="0058432E" w:rsidRDefault="00776D2E" w:rsidP="00C831C4">
            <w:pPr>
              <w:autoSpaceDE w:val="0"/>
              <w:autoSpaceDN w:val="0"/>
              <w:adjustRightInd w:val="0"/>
              <w:rPr>
                <w:color w:val="000000" w:themeColor="text1"/>
              </w:rPr>
            </w:pPr>
            <w:proofErr w:type="gramStart"/>
            <w:r w:rsidRPr="0058432E">
              <w:rPr>
                <w:color w:val="000000" w:themeColor="text1"/>
              </w:rPr>
              <w:t>lactate</w:t>
            </w:r>
            <w:proofErr w:type="gramEnd"/>
            <w:r w:rsidRPr="0058432E">
              <w:rPr>
                <w:color w:val="000000" w:themeColor="text1"/>
              </w:rPr>
              <w:t xml:space="preserve"> déshydrogénase sanguine augmentée</w:t>
            </w:r>
          </w:p>
        </w:tc>
      </w:tr>
      <w:tr w:rsidR="00776D2E" w:rsidRPr="0058432E" w14:paraId="5DA4BD88" w14:textId="77777777" w:rsidTr="00941B47">
        <w:trPr>
          <w:cantSplit/>
        </w:trPr>
        <w:tc>
          <w:tcPr>
            <w:tcW w:w="2628" w:type="dxa"/>
            <w:vMerge/>
            <w:tcBorders>
              <w:left w:val="single" w:sz="4" w:space="0" w:color="auto"/>
              <w:bottom w:val="single" w:sz="4" w:space="0" w:color="auto"/>
              <w:right w:val="single" w:sz="4" w:space="0" w:color="auto"/>
            </w:tcBorders>
          </w:tcPr>
          <w:p w14:paraId="7F66C28C" w14:textId="77777777" w:rsidR="00776D2E" w:rsidRPr="0058432E" w:rsidRDefault="00776D2E"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442834D" w14:textId="77777777" w:rsidR="00776D2E" w:rsidRPr="0058432E" w:rsidRDefault="00776D2E" w:rsidP="00982118">
            <w:pPr>
              <w:rPr>
                <w:color w:val="000000" w:themeColor="text1"/>
              </w:rPr>
            </w:pPr>
            <w:r w:rsidRPr="0058432E">
              <w:rPr>
                <w:color w:val="000000" w:themeColor="text1"/>
              </w:rPr>
              <w:t>Fréquence indéterminée</w:t>
            </w:r>
          </w:p>
        </w:tc>
        <w:tc>
          <w:tcPr>
            <w:tcW w:w="0" w:type="auto"/>
            <w:tcBorders>
              <w:top w:val="single" w:sz="4" w:space="0" w:color="auto"/>
              <w:left w:val="single" w:sz="4" w:space="0" w:color="auto"/>
              <w:bottom w:val="single" w:sz="4" w:space="0" w:color="auto"/>
              <w:right w:val="single" w:sz="4" w:space="0" w:color="auto"/>
            </w:tcBorders>
          </w:tcPr>
          <w:p w14:paraId="26B3DFFD" w14:textId="77777777" w:rsidR="00776D2E" w:rsidRPr="0058432E" w:rsidRDefault="00776D2E" w:rsidP="00982118">
            <w:pPr>
              <w:autoSpaceDE w:val="0"/>
              <w:autoSpaceDN w:val="0"/>
              <w:adjustRightInd w:val="0"/>
              <w:rPr>
                <w:color w:val="000000" w:themeColor="text1"/>
              </w:rPr>
            </w:pPr>
            <w:r w:rsidRPr="0058432E">
              <w:rPr>
                <w:color w:val="000000" w:themeColor="text1"/>
              </w:rPr>
              <w:t>Augmentation du poids</w:t>
            </w:r>
            <w:r w:rsidRPr="0058432E">
              <w:rPr>
                <w:color w:val="000000" w:themeColor="text1"/>
                <w:vertAlign w:val="superscript"/>
              </w:rPr>
              <w:t>2</w:t>
            </w:r>
          </w:p>
        </w:tc>
      </w:tr>
      <w:tr w:rsidR="00452285" w:rsidRPr="0058432E" w14:paraId="688A570F"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1407F555" w14:textId="77777777" w:rsidR="00452285" w:rsidRPr="0058432E" w:rsidRDefault="00452285" w:rsidP="00982118">
            <w:pPr>
              <w:rPr>
                <w:color w:val="000000" w:themeColor="text1"/>
              </w:rPr>
            </w:pPr>
            <w:r w:rsidRPr="0058432E">
              <w:rPr>
                <w:color w:val="000000" w:themeColor="text1"/>
              </w:rPr>
              <w:lastRenderedPageBreak/>
              <w:t>Lésions, intoxications et complications liées aux procédures</w:t>
            </w:r>
          </w:p>
        </w:tc>
        <w:tc>
          <w:tcPr>
            <w:tcW w:w="1621" w:type="dxa"/>
            <w:tcBorders>
              <w:top w:val="single" w:sz="4" w:space="0" w:color="auto"/>
              <w:left w:val="single" w:sz="4" w:space="0" w:color="auto"/>
              <w:bottom w:val="single" w:sz="4" w:space="0" w:color="auto"/>
              <w:right w:val="single" w:sz="4" w:space="0" w:color="auto"/>
            </w:tcBorders>
            <w:hideMark/>
          </w:tcPr>
          <w:p w14:paraId="105B7913" w14:textId="77777777" w:rsidR="00452285" w:rsidRPr="0058432E" w:rsidRDefault="00452285"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2040946A" w14:textId="77777777" w:rsidR="00452285" w:rsidRPr="0058432E" w:rsidRDefault="00452285" w:rsidP="00982118">
            <w:pPr>
              <w:rPr>
                <w:color w:val="000000" w:themeColor="text1"/>
              </w:rPr>
            </w:pPr>
            <w:r w:rsidRPr="0058432E">
              <w:rPr>
                <w:color w:val="000000" w:themeColor="text1"/>
              </w:rPr>
              <w:t>Mauvaise cicatrisation</w:t>
            </w:r>
          </w:p>
        </w:tc>
      </w:tr>
      <w:tr w:rsidR="00452285" w:rsidRPr="0058432E" w14:paraId="5D3A21F3" w14:textId="77777777" w:rsidTr="00054A92">
        <w:trPr>
          <w:cantSplit/>
        </w:trPr>
        <w:tc>
          <w:tcPr>
            <w:tcW w:w="0" w:type="auto"/>
            <w:gridSpan w:val="3"/>
            <w:tcBorders>
              <w:top w:val="single" w:sz="4" w:space="0" w:color="auto"/>
              <w:left w:val="nil"/>
              <w:bottom w:val="nil"/>
              <w:right w:val="nil"/>
            </w:tcBorders>
            <w:hideMark/>
          </w:tcPr>
          <w:p w14:paraId="1E3ACF44" w14:textId="77777777" w:rsidR="00452285" w:rsidRPr="0058432E" w:rsidRDefault="00452285" w:rsidP="00982118">
            <w:pPr>
              <w:tabs>
                <w:tab w:val="left" w:pos="360"/>
              </w:tabs>
              <w:rPr>
                <w:color w:val="000000" w:themeColor="text1"/>
                <w:sz w:val="20"/>
                <w:szCs w:val="20"/>
              </w:rPr>
            </w:pPr>
            <w:r w:rsidRPr="0058432E">
              <w:rPr>
                <w:color w:val="000000" w:themeColor="text1"/>
                <w:sz w:val="20"/>
                <w:szCs w:val="20"/>
              </w:rPr>
              <w:t>*</w:t>
            </w:r>
            <w:r w:rsidRPr="0058432E">
              <w:rPr>
                <w:color w:val="000000" w:themeColor="text1"/>
                <w:sz w:val="20"/>
                <w:szCs w:val="20"/>
              </w:rPr>
              <w:tab/>
            </w:r>
            <w:r w:rsidR="009C489C" w:rsidRPr="0058432E">
              <w:rPr>
                <w:color w:val="000000" w:themeColor="text1"/>
                <w:sz w:val="20"/>
                <w:szCs w:val="20"/>
              </w:rPr>
              <w:t>D</w:t>
            </w:r>
            <w:r w:rsidRPr="0058432E">
              <w:rPr>
                <w:color w:val="000000" w:themeColor="text1"/>
                <w:sz w:val="20"/>
                <w:szCs w:val="20"/>
              </w:rPr>
              <w:t>e plus amples informations sont disponibles aux rubriques 4.3, 4.4 et 4.8. </w:t>
            </w:r>
          </w:p>
          <w:p w14:paraId="512E1DFF" w14:textId="77777777" w:rsidR="00452285" w:rsidRPr="0058432E" w:rsidRDefault="00452285" w:rsidP="00982118">
            <w:pPr>
              <w:tabs>
                <w:tab w:val="left" w:pos="360"/>
              </w:tabs>
              <w:rPr>
                <w:color w:val="000000" w:themeColor="text1"/>
                <w:sz w:val="20"/>
                <w:szCs w:val="20"/>
              </w:rPr>
            </w:pPr>
            <w:r w:rsidRPr="0058432E">
              <w:rPr>
                <w:color w:val="000000" w:themeColor="text1"/>
                <w:sz w:val="20"/>
                <w:szCs w:val="20"/>
              </w:rPr>
              <w:t>**</w:t>
            </w:r>
            <w:r w:rsidRPr="0058432E">
              <w:rPr>
                <w:color w:val="000000" w:themeColor="text1"/>
                <w:sz w:val="20"/>
                <w:szCs w:val="20"/>
              </w:rPr>
              <w:tab/>
              <w:t>y compris les études d’extension en ouvert</w:t>
            </w:r>
          </w:p>
          <w:p w14:paraId="7141A59D" w14:textId="77777777" w:rsidR="00452285" w:rsidRPr="0058432E" w:rsidRDefault="00452285" w:rsidP="00982118">
            <w:pPr>
              <w:tabs>
                <w:tab w:val="left" w:pos="360"/>
              </w:tabs>
              <w:rPr>
                <w:color w:val="000000" w:themeColor="text1"/>
                <w:sz w:val="20"/>
                <w:szCs w:val="20"/>
              </w:rPr>
            </w:pPr>
            <w:r w:rsidRPr="0058432E">
              <w:rPr>
                <w:color w:val="000000" w:themeColor="text1"/>
                <w:sz w:val="20"/>
                <w:szCs w:val="20"/>
                <w:vertAlign w:val="superscript"/>
              </w:rPr>
              <w:t>1</w:t>
            </w:r>
            <w:r w:rsidRPr="0058432E">
              <w:rPr>
                <w:color w:val="000000" w:themeColor="text1"/>
                <w:sz w:val="20"/>
                <w:szCs w:val="20"/>
              </w:rPr>
              <w:t xml:space="preserve"> </w:t>
            </w:r>
            <w:r w:rsidRPr="0058432E">
              <w:rPr>
                <w:color w:val="000000" w:themeColor="text1"/>
                <w:sz w:val="20"/>
                <w:szCs w:val="20"/>
              </w:rPr>
              <w:tab/>
              <w:t xml:space="preserve">comprenant les données des notifications spontanées </w:t>
            </w:r>
          </w:p>
          <w:p w14:paraId="7E7B5A0A" w14:textId="77777777" w:rsidR="00776D2E" w:rsidRPr="0058432E" w:rsidRDefault="00776D2E" w:rsidP="00776D2E">
            <w:pPr>
              <w:tabs>
                <w:tab w:val="left" w:pos="360"/>
              </w:tabs>
              <w:rPr>
                <w:color w:val="000000" w:themeColor="text1"/>
                <w:sz w:val="20"/>
                <w:szCs w:val="20"/>
              </w:rPr>
            </w:pPr>
            <w:r w:rsidRPr="0058432E">
              <w:rPr>
                <w:color w:val="000000" w:themeColor="text1"/>
                <w:sz w:val="20"/>
                <w:szCs w:val="20"/>
                <w:vertAlign w:val="superscript"/>
              </w:rPr>
              <w:t>2</w:t>
            </w:r>
            <w:r w:rsidRPr="0058432E">
              <w:rPr>
                <w:color w:val="000000" w:themeColor="text1"/>
                <w:sz w:val="20"/>
                <w:szCs w:val="20"/>
              </w:rPr>
              <w:t xml:space="preserve">     Le changement de poids moyen par rapport aux valeurs initiales pour l’adalimumab allait de 0,3 kg à 1,0 kg      pour toutes les indications chez l’adulte, contre (moins) -0,4 kg à 0,4 kg pour le placebo, sur une période de traitement de 4 à 6 mois. Une augmentation de poids comprise entre 5 et 6 kg a également été observée au cours d’études d’extension à long terme, avec des expositions moyennes d’environ 1 à 2 ans sans groupe témoin, en particulier chez les patients atteints de la maladie de Crohn et de colite ulcéreuse. Le mécanisme qui sous-tend cet effet n’est pas clair mais pourrait être associé à l’action anti-inflammatoire de l’adalimumab.</w:t>
            </w:r>
          </w:p>
        </w:tc>
      </w:tr>
    </w:tbl>
    <w:p w14:paraId="1A354BE9" w14:textId="77777777" w:rsidR="00452285" w:rsidRPr="0058432E" w:rsidRDefault="00452285" w:rsidP="0009685B">
      <w:pPr>
        <w:rPr>
          <w:color w:val="000000" w:themeColor="text1"/>
        </w:rPr>
      </w:pPr>
    </w:p>
    <w:p w14:paraId="09ADDAF3" w14:textId="77777777" w:rsidR="00452285" w:rsidRPr="0058432E" w:rsidRDefault="00452285" w:rsidP="00971955">
      <w:pPr>
        <w:pStyle w:val="BodyText"/>
        <w:keepNext/>
        <w:widowControl/>
        <w:kinsoku w:val="0"/>
        <w:overflowPunct w:val="0"/>
        <w:ind w:left="0"/>
        <w:rPr>
          <w:color w:val="000000" w:themeColor="text1"/>
        </w:rPr>
      </w:pPr>
      <w:r w:rsidRPr="0058432E">
        <w:rPr>
          <w:color w:val="000000" w:themeColor="text1"/>
          <w:u w:val="single"/>
        </w:rPr>
        <w:t>Uvéite</w:t>
      </w:r>
    </w:p>
    <w:p w14:paraId="6DB563AE" w14:textId="77777777" w:rsidR="00452285" w:rsidRPr="0058432E" w:rsidRDefault="00452285" w:rsidP="00971955">
      <w:pPr>
        <w:pStyle w:val="BodyText"/>
        <w:keepNext/>
        <w:widowControl/>
        <w:kinsoku w:val="0"/>
        <w:overflowPunct w:val="0"/>
        <w:ind w:left="0"/>
        <w:rPr>
          <w:color w:val="000000" w:themeColor="text1"/>
        </w:rPr>
      </w:pPr>
    </w:p>
    <w:p w14:paraId="62BE0E62"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Le profil de sécurité chez les patients atteints d’uvéite traités par adalimumab toutes les deux semaines correspond au profil de </w:t>
      </w:r>
      <w:r w:rsidR="00311ADD" w:rsidRPr="0058432E">
        <w:rPr>
          <w:color w:val="000000" w:themeColor="text1"/>
        </w:rPr>
        <w:t xml:space="preserve">tolérance </w:t>
      </w:r>
      <w:r w:rsidRPr="0058432E">
        <w:rPr>
          <w:color w:val="000000" w:themeColor="text1"/>
        </w:rPr>
        <w:t>connu de l’adalimumab.</w:t>
      </w:r>
    </w:p>
    <w:p w14:paraId="303AAF54" w14:textId="77777777" w:rsidR="00452285" w:rsidRPr="0058432E" w:rsidRDefault="00452285" w:rsidP="0009685B">
      <w:pPr>
        <w:pStyle w:val="BodyText"/>
        <w:widowControl/>
        <w:kinsoku w:val="0"/>
        <w:overflowPunct w:val="0"/>
        <w:ind w:left="0"/>
        <w:rPr>
          <w:color w:val="000000" w:themeColor="text1"/>
        </w:rPr>
      </w:pPr>
    </w:p>
    <w:p w14:paraId="5664E84E" w14:textId="77777777" w:rsidR="00452285" w:rsidRPr="0058432E" w:rsidRDefault="00452285" w:rsidP="000E0085">
      <w:pPr>
        <w:pStyle w:val="BodyText"/>
        <w:keepNext/>
        <w:widowControl/>
        <w:kinsoku w:val="0"/>
        <w:overflowPunct w:val="0"/>
        <w:ind w:left="0"/>
        <w:rPr>
          <w:color w:val="000000" w:themeColor="text1"/>
        </w:rPr>
      </w:pPr>
      <w:r w:rsidRPr="0058432E">
        <w:rPr>
          <w:color w:val="000000" w:themeColor="text1"/>
          <w:u w:val="single"/>
        </w:rPr>
        <w:t>Description des effets indésirables sélectionnés</w:t>
      </w:r>
    </w:p>
    <w:p w14:paraId="7830DA6A" w14:textId="77777777" w:rsidR="00452285" w:rsidRPr="0058432E" w:rsidRDefault="00452285" w:rsidP="000E0085">
      <w:pPr>
        <w:pStyle w:val="BodyText"/>
        <w:keepNext/>
        <w:widowControl/>
        <w:kinsoku w:val="0"/>
        <w:overflowPunct w:val="0"/>
        <w:ind w:left="0"/>
        <w:rPr>
          <w:color w:val="000000" w:themeColor="text1"/>
        </w:rPr>
      </w:pPr>
    </w:p>
    <w:p w14:paraId="05380BCC" w14:textId="77777777" w:rsidR="00452285" w:rsidRPr="0058432E" w:rsidRDefault="00452285" w:rsidP="000E0085">
      <w:pPr>
        <w:pStyle w:val="BodyText"/>
        <w:keepNext/>
        <w:widowControl/>
        <w:kinsoku w:val="0"/>
        <w:overflowPunct w:val="0"/>
        <w:ind w:left="0"/>
        <w:rPr>
          <w:color w:val="000000" w:themeColor="text1"/>
        </w:rPr>
      </w:pPr>
      <w:r w:rsidRPr="0058432E">
        <w:rPr>
          <w:i/>
          <w:iCs/>
          <w:color w:val="000000" w:themeColor="text1"/>
        </w:rPr>
        <w:t>Réactions au point d</w:t>
      </w:r>
      <w:r w:rsidR="002C0F17" w:rsidRPr="0058432E">
        <w:rPr>
          <w:i/>
          <w:iCs/>
          <w:color w:val="000000" w:themeColor="text1"/>
        </w:rPr>
        <w:t>’</w:t>
      </w:r>
      <w:r w:rsidRPr="0058432E">
        <w:rPr>
          <w:i/>
          <w:iCs/>
          <w:color w:val="000000" w:themeColor="text1"/>
        </w:rPr>
        <w:t>injection</w:t>
      </w:r>
    </w:p>
    <w:p w14:paraId="52294B2E" w14:textId="77777777" w:rsidR="00452285" w:rsidRPr="0058432E" w:rsidRDefault="00452285" w:rsidP="000E0085">
      <w:pPr>
        <w:pStyle w:val="BodyText"/>
        <w:keepNext/>
        <w:widowControl/>
        <w:kinsoku w:val="0"/>
        <w:overflowPunct w:val="0"/>
        <w:ind w:left="0"/>
        <w:rPr>
          <w:i/>
          <w:iCs/>
          <w:color w:val="000000" w:themeColor="text1"/>
          <w:szCs w:val="21"/>
        </w:rPr>
      </w:pPr>
    </w:p>
    <w:p w14:paraId="1535F4C9" w14:textId="77777777" w:rsidR="00452285" w:rsidRPr="0058432E" w:rsidRDefault="00452285" w:rsidP="000E0085">
      <w:pPr>
        <w:pStyle w:val="BodyText"/>
        <w:keepNext/>
        <w:widowControl/>
        <w:kinsoku w:val="0"/>
        <w:overflowPunct w:val="0"/>
        <w:ind w:left="0"/>
        <w:rPr>
          <w:color w:val="000000" w:themeColor="text1"/>
        </w:rPr>
      </w:pPr>
      <w:r w:rsidRPr="0058432E">
        <w:rPr>
          <w:color w:val="000000" w:themeColor="text1"/>
        </w:rPr>
        <w:t xml:space="preserve">Dans les essais </w:t>
      </w:r>
      <w:r w:rsidR="001A1687" w:rsidRPr="0058432E">
        <w:rPr>
          <w:color w:val="000000" w:themeColor="text1"/>
        </w:rPr>
        <w:t xml:space="preserve">pivots </w:t>
      </w:r>
      <w:r w:rsidRPr="0058432E">
        <w:rPr>
          <w:color w:val="000000" w:themeColor="text1"/>
        </w:rPr>
        <w:t>contrôlés menés chez l’adulte et l’enfant, 12,9 % des patients traités par adalimumab ont présenté des réactions au point d</w:t>
      </w:r>
      <w:r w:rsidR="00670BDF" w:rsidRPr="0058432E">
        <w:rPr>
          <w:color w:val="000000" w:themeColor="text1"/>
        </w:rPr>
        <w:t>’</w:t>
      </w:r>
      <w:r w:rsidRPr="0058432E">
        <w:rPr>
          <w:color w:val="000000" w:themeColor="text1"/>
        </w:rPr>
        <w:t>injection (érythème et/ou prurit, saignement, douleur ou tuméfaction) contre 7,2 % des patients recevant le placebo ou le comparateur actif. Les réactions au point d’injection n’ont généralement pas nécessité l’arrêt du médicament.</w:t>
      </w:r>
    </w:p>
    <w:p w14:paraId="51FC8B06" w14:textId="77777777" w:rsidR="00452285" w:rsidRPr="0058432E" w:rsidRDefault="00452285" w:rsidP="0009685B">
      <w:pPr>
        <w:pStyle w:val="BodyText"/>
        <w:widowControl/>
        <w:kinsoku w:val="0"/>
        <w:overflowPunct w:val="0"/>
        <w:ind w:left="0"/>
        <w:rPr>
          <w:color w:val="000000" w:themeColor="text1"/>
        </w:rPr>
      </w:pPr>
    </w:p>
    <w:p w14:paraId="606E545F" w14:textId="77777777" w:rsidR="00452285" w:rsidRPr="0058432E" w:rsidRDefault="00452285" w:rsidP="0009685B">
      <w:pPr>
        <w:pStyle w:val="BodyText"/>
        <w:widowControl/>
        <w:kinsoku w:val="0"/>
        <w:overflowPunct w:val="0"/>
        <w:ind w:left="0"/>
        <w:rPr>
          <w:color w:val="000000" w:themeColor="text1"/>
        </w:rPr>
      </w:pPr>
      <w:r w:rsidRPr="0058432E">
        <w:rPr>
          <w:i/>
          <w:iCs/>
          <w:color w:val="000000" w:themeColor="text1"/>
        </w:rPr>
        <w:t>Infections</w:t>
      </w:r>
    </w:p>
    <w:p w14:paraId="03A7AFA2" w14:textId="77777777" w:rsidR="00452285" w:rsidRPr="0058432E" w:rsidRDefault="00452285" w:rsidP="0009685B">
      <w:pPr>
        <w:pStyle w:val="BodyText"/>
        <w:widowControl/>
        <w:kinsoku w:val="0"/>
        <w:overflowPunct w:val="0"/>
        <w:ind w:left="0"/>
        <w:rPr>
          <w:i/>
          <w:iCs/>
          <w:color w:val="000000" w:themeColor="text1"/>
          <w:szCs w:val="21"/>
        </w:rPr>
      </w:pPr>
    </w:p>
    <w:p w14:paraId="53099BA3"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Dans les essais </w:t>
      </w:r>
      <w:r w:rsidR="00A35F10" w:rsidRPr="0058432E">
        <w:rPr>
          <w:color w:val="000000" w:themeColor="text1"/>
        </w:rPr>
        <w:t xml:space="preserve">pivots </w:t>
      </w:r>
      <w:r w:rsidRPr="0058432E">
        <w:rPr>
          <w:color w:val="000000" w:themeColor="text1"/>
        </w:rPr>
        <w:t>contrôlés menés chez l’adulte et l’enfant, la fréquence des infections a été de 1,51 par patient-année dans le groupe adalimumab et de 1,46 par patient-année dans le groupe placebo et le groupe contrôle. Les infections consistaient essentiellement en rhinopharyngites, infections de l’appareil respiratoire supérieur et sinusites. La plupart des patients ont continué l’adalimumab après la guérison de l’infection.</w:t>
      </w:r>
    </w:p>
    <w:p w14:paraId="32A4A87D" w14:textId="77777777" w:rsidR="00452285" w:rsidRPr="0058432E" w:rsidRDefault="00452285" w:rsidP="0009685B">
      <w:pPr>
        <w:pStyle w:val="BodyText"/>
        <w:widowControl/>
        <w:kinsoku w:val="0"/>
        <w:overflowPunct w:val="0"/>
        <w:ind w:left="0"/>
        <w:rPr>
          <w:color w:val="000000" w:themeColor="text1"/>
        </w:rPr>
      </w:pPr>
    </w:p>
    <w:p w14:paraId="71E088F1"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L’incidence des infections graves a été de 0,04 par patient-année dans le groupe adalimumab et de 0,03 par patient-année dans le groupe placebo et le groupe contrôle.</w:t>
      </w:r>
    </w:p>
    <w:p w14:paraId="4DF274F8" w14:textId="77777777" w:rsidR="00452285" w:rsidRPr="0058432E" w:rsidRDefault="00452285" w:rsidP="0009685B">
      <w:pPr>
        <w:pStyle w:val="BodyText"/>
        <w:widowControl/>
        <w:kinsoku w:val="0"/>
        <w:overflowPunct w:val="0"/>
        <w:ind w:left="0"/>
        <w:rPr>
          <w:color w:val="000000" w:themeColor="text1"/>
          <w:szCs w:val="21"/>
        </w:rPr>
      </w:pPr>
    </w:p>
    <w:p w14:paraId="697E2BD4"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Dans les études contrôlées et en ouvert avec l’adalimumab menées chez l</w:t>
      </w:r>
      <w:r w:rsidR="004709A8" w:rsidRPr="0058432E">
        <w:rPr>
          <w:color w:val="000000" w:themeColor="text1"/>
        </w:rPr>
        <w:t>’</w:t>
      </w:r>
      <w:r w:rsidRPr="0058432E">
        <w:rPr>
          <w:color w:val="000000" w:themeColor="text1"/>
        </w:rPr>
        <w:t>adulte et dans la population pédiatrique, des infections graves (y compris des infections d’issue fatale, ce qui s</w:t>
      </w:r>
      <w:r w:rsidR="00386E4B" w:rsidRPr="0058432E">
        <w:rPr>
          <w:color w:val="000000" w:themeColor="text1"/>
        </w:rPr>
        <w:t>’</w:t>
      </w:r>
      <w:r w:rsidRPr="0058432E">
        <w:rPr>
          <w:color w:val="000000" w:themeColor="text1"/>
        </w:rPr>
        <w:t>est produit rarement) ont été rapportées dont des signalements de tuberculose (y compris miliaire et à localisations extra-pulmonaires) et d</w:t>
      </w:r>
      <w:r w:rsidR="00692B22" w:rsidRPr="0058432E">
        <w:rPr>
          <w:color w:val="000000" w:themeColor="text1"/>
        </w:rPr>
        <w:t>’</w:t>
      </w:r>
      <w:r w:rsidRPr="0058432E">
        <w:rPr>
          <w:color w:val="000000" w:themeColor="text1"/>
        </w:rPr>
        <w:t>infections opportunistes invasives (par ex</w:t>
      </w:r>
      <w:r w:rsidR="00A67736" w:rsidRPr="0058432E">
        <w:rPr>
          <w:color w:val="000000" w:themeColor="text1"/>
        </w:rPr>
        <w:t>emple,</w:t>
      </w:r>
      <w:r w:rsidRPr="0058432E">
        <w:rPr>
          <w:color w:val="000000" w:themeColor="text1"/>
        </w:rPr>
        <w:t xml:space="preserve"> histoplasmose disséminée ou histoplasmose extrapulmonaire, blastomycose, coccidioïdomycose, pneumocystose, candidose, aspergillose et listériose). La plupart des cas de tuberculose sont survenus dans les huit premiers mois après le début du traitement et peuvent être le reflet d’une réactivation d’une maladie latente.</w:t>
      </w:r>
    </w:p>
    <w:p w14:paraId="286446C6" w14:textId="77777777" w:rsidR="00452285" w:rsidRPr="0058432E" w:rsidRDefault="00452285" w:rsidP="0009685B">
      <w:pPr>
        <w:pStyle w:val="BodyText"/>
        <w:widowControl/>
        <w:kinsoku w:val="0"/>
        <w:overflowPunct w:val="0"/>
        <w:ind w:left="0"/>
        <w:rPr>
          <w:color w:val="000000" w:themeColor="text1"/>
        </w:rPr>
      </w:pPr>
    </w:p>
    <w:p w14:paraId="29FBDCD8" w14:textId="77777777" w:rsidR="00452285" w:rsidRPr="0058432E" w:rsidRDefault="00452285" w:rsidP="006271A6">
      <w:pPr>
        <w:pStyle w:val="BodyText"/>
        <w:keepNext/>
        <w:widowControl/>
        <w:kinsoku w:val="0"/>
        <w:overflowPunct w:val="0"/>
        <w:ind w:left="0"/>
        <w:rPr>
          <w:color w:val="000000" w:themeColor="text1"/>
        </w:rPr>
      </w:pPr>
      <w:r w:rsidRPr="0058432E">
        <w:rPr>
          <w:i/>
          <w:iCs/>
          <w:color w:val="000000" w:themeColor="text1"/>
        </w:rPr>
        <w:t>Tumeurs malignes et troubles lymphoprolifératifs</w:t>
      </w:r>
    </w:p>
    <w:p w14:paraId="3E5405D0" w14:textId="77777777" w:rsidR="00452285" w:rsidRPr="0058432E" w:rsidRDefault="00452285" w:rsidP="006271A6">
      <w:pPr>
        <w:pStyle w:val="BodyText"/>
        <w:keepNext/>
        <w:widowControl/>
        <w:kinsoku w:val="0"/>
        <w:overflowPunct w:val="0"/>
        <w:ind w:left="0"/>
        <w:rPr>
          <w:i/>
          <w:iCs/>
          <w:color w:val="000000" w:themeColor="text1"/>
          <w:szCs w:val="21"/>
        </w:rPr>
      </w:pPr>
    </w:p>
    <w:p w14:paraId="386FD102" w14:textId="77777777" w:rsidR="00452285" w:rsidRPr="0058432E" w:rsidRDefault="00452285" w:rsidP="006271A6">
      <w:pPr>
        <w:pStyle w:val="BodyText"/>
        <w:keepNext/>
        <w:widowControl/>
        <w:kinsoku w:val="0"/>
        <w:overflowPunct w:val="0"/>
        <w:ind w:left="0"/>
        <w:rPr>
          <w:color w:val="000000" w:themeColor="text1"/>
        </w:rPr>
      </w:pPr>
      <w:r w:rsidRPr="0058432E">
        <w:rPr>
          <w:color w:val="000000" w:themeColor="text1"/>
        </w:rPr>
        <w:t>Aucun cas de cancer n’a été observé chez 249 patients pédiatriques représentant une exposition de 655,6 patient</w:t>
      </w:r>
      <w:r w:rsidR="007348BA" w:rsidRPr="0058432E">
        <w:rPr>
          <w:color w:val="000000" w:themeColor="text1"/>
        </w:rPr>
        <w:t>s</w:t>
      </w:r>
      <w:r w:rsidRPr="0058432E">
        <w:rPr>
          <w:color w:val="000000" w:themeColor="text1"/>
        </w:rPr>
        <w:noBreakHyphen/>
        <w:t xml:space="preserve">année lors des </w:t>
      </w:r>
      <w:r w:rsidR="00A35F10" w:rsidRPr="0058432E">
        <w:rPr>
          <w:color w:val="000000" w:themeColor="text1"/>
        </w:rPr>
        <w:t xml:space="preserve">essais </w:t>
      </w:r>
      <w:r w:rsidRPr="0058432E">
        <w:rPr>
          <w:color w:val="000000" w:themeColor="text1"/>
        </w:rPr>
        <w:t>avec l’adalimumab chez les patients atteints d’arthrite juvénile idiopathique (arthrite juvénile idiopathique polyarticulaire et arthrite liée à l’enthésite). De plus, aucun cas de cancer n’a été observé chez 192</w:t>
      </w:r>
      <w:r w:rsidR="00701AFC" w:rsidRPr="0058432E">
        <w:rPr>
          <w:color w:val="000000" w:themeColor="text1"/>
        </w:rPr>
        <w:t> </w:t>
      </w:r>
      <w:r w:rsidRPr="0058432E">
        <w:rPr>
          <w:color w:val="000000" w:themeColor="text1"/>
        </w:rPr>
        <w:t>patients pédiatriques représentant une exposition de 498,1 patient</w:t>
      </w:r>
      <w:r w:rsidR="007348BA" w:rsidRPr="0058432E">
        <w:rPr>
          <w:color w:val="000000" w:themeColor="text1"/>
        </w:rPr>
        <w:t>s</w:t>
      </w:r>
      <w:r w:rsidRPr="0058432E">
        <w:rPr>
          <w:color w:val="000000" w:themeColor="text1"/>
        </w:rPr>
        <w:noBreakHyphen/>
        <w:t xml:space="preserve">année lors des </w:t>
      </w:r>
      <w:r w:rsidR="00A35F10" w:rsidRPr="0058432E">
        <w:rPr>
          <w:color w:val="000000" w:themeColor="text1"/>
        </w:rPr>
        <w:t xml:space="preserve">essais </w:t>
      </w:r>
      <w:r w:rsidRPr="0058432E">
        <w:rPr>
          <w:color w:val="000000" w:themeColor="text1"/>
        </w:rPr>
        <w:t xml:space="preserve">avec l’adalimumab </w:t>
      </w:r>
      <w:r w:rsidR="007348BA" w:rsidRPr="0058432E">
        <w:rPr>
          <w:color w:val="000000" w:themeColor="text1"/>
        </w:rPr>
        <w:t>chez les patients atteints de</w:t>
      </w:r>
      <w:r w:rsidRPr="0058432E">
        <w:rPr>
          <w:color w:val="000000" w:themeColor="text1"/>
        </w:rPr>
        <w:t xml:space="preserve"> la maladie de Crohn pédiatrique. Aucun cas de cancer n’a été observé chez 77 patients pédiatriques </w:t>
      </w:r>
      <w:r w:rsidR="007348BA" w:rsidRPr="0058432E">
        <w:rPr>
          <w:color w:val="000000" w:themeColor="text1"/>
        </w:rPr>
        <w:t>représentant</w:t>
      </w:r>
      <w:r w:rsidRPr="0058432E">
        <w:rPr>
          <w:color w:val="000000" w:themeColor="text1"/>
        </w:rPr>
        <w:t xml:space="preserve"> une exposition de 80,0 patients</w:t>
      </w:r>
      <w:r w:rsidRPr="0058432E">
        <w:rPr>
          <w:color w:val="000000" w:themeColor="text1"/>
        </w:rPr>
        <w:noBreakHyphen/>
        <w:t xml:space="preserve">année lors d’un </w:t>
      </w:r>
      <w:r w:rsidR="007348BA" w:rsidRPr="0058432E">
        <w:rPr>
          <w:color w:val="000000" w:themeColor="text1"/>
        </w:rPr>
        <w:t xml:space="preserve">essai </w:t>
      </w:r>
      <w:r w:rsidRPr="0058432E">
        <w:rPr>
          <w:color w:val="000000" w:themeColor="text1"/>
        </w:rPr>
        <w:t xml:space="preserve">avec l’adalimumab </w:t>
      </w:r>
      <w:r w:rsidR="007348BA" w:rsidRPr="0058432E">
        <w:rPr>
          <w:color w:val="000000" w:themeColor="text1"/>
        </w:rPr>
        <w:t>chez les patients atteints de</w:t>
      </w:r>
      <w:r w:rsidRPr="0058432E">
        <w:rPr>
          <w:color w:val="000000" w:themeColor="text1"/>
        </w:rPr>
        <w:t xml:space="preserve"> psoriasis en plaques chronique pédiatrique. Aucun cas de cancer n’a été observé chez 60 patients </w:t>
      </w:r>
      <w:r w:rsidRPr="0058432E">
        <w:rPr>
          <w:color w:val="000000" w:themeColor="text1"/>
        </w:rPr>
        <w:lastRenderedPageBreak/>
        <w:t>pédiatriques représentant une exposition de 58,4 patient</w:t>
      </w:r>
      <w:r w:rsidR="007348BA" w:rsidRPr="0058432E">
        <w:rPr>
          <w:color w:val="000000" w:themeColor="text1"/>
        </w:rPr>
        <w:t>s</w:t>
      </w:r>
      <w:r w:rsidRPr="0058432E">
        <w:rPr>
          <w:color w:val="000000" w:themeColor="text1"/>
        </w:rPr>
        <w:noBreakHyphen/>
        <w:t xml:space="preserve">année lors d’une étude avec l’adalimumab </w:t>
      </w:r>
      <w:r w:rsidR="007348BA" w:rsidRPr="0058432E">
        <w:rPr>
          <w:color w:val="000000" w:themeColor="text1"/>
        </w:rPr>
        <w:t xml:space="preserve">chez les patients atteints </w:t>
      </w:r>
      <w:r w:rsidR="00E91790" w:rsidRPr="0058432E">
        <w:rPr>
          <w:color w:val="000000" w:themeColor="text1"/>
        </w:rPr>
        <w:t>d</w:t>
      </w:r>
      <w:r w:rsidRPr="0058432E">
        <w:rPr>
          <w:color w:val="000000" w:themeColor="text1"/>
        </w:rPr>
        <w:t>’uvéite pédiatrique.</w:t>
      </w:r>
    </w:p>
    <w:p w14:paraId="34B20867" w14:textId="77777777" w:rsidR="00452285" w:rsidRPr="0058432E" w:rsidRDefault="00452285" w:rsidP="0009685B">
      <w:pPr>
        <w:pStyle w:val="BodyText"/>
        <w:widowControl/>
        <w:kinsoku w:val="0"/>
        <w:overflowPunct w:val="0"/>
        <w:ind w:left="0"/>
        <w:rPr>
          <w:color w:val="000000" w:themeColor="text1"/>
        </w:rPr>
      </w:pPr>
    </w:p>
    <w:p w14:paraId="2CF9269E"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Pendant les périodes contrôlées des essais </w:t>
      </w:r>
      <w:r w:rsidR="0064270C" w:rsidRPr="0058432E">
        <w:rPr>
          <w:color w:val="000000" w:themeColor="text1"/>
        </w:rPr>
        <w:t xml:space="preserve">pivots </w:t>
      </w:r>
      <w:r w:rsidRPr="0058432E">
        <w:rPr>
          <w:color w:val="000000" w:themeColor="text1"/>
        </w:rPr>
        <w:t>chez l’adulte avec l’adalimumab d’une durée d’au moins 12</w:t>
      </w:r>
      <w:r w:rsidR="00F50681" w:rsidRPr="0058432E">
        <w:rPr>
          <w:color w:val="000000" w:themeColor="text1"/>
        </w:rPr>
        <w:t> </w:t>
      </w:r>
      <w:r w:rsidRPr="0058432E">
        <w:rPr>
          <w:color w:val="000000" w:themeColor="text1"/>
        </w:rPr>
        <w:t xml:space="preserve">semaines chez des patients </w:t>
      </w:r>
      <w:r w:rsidR="00D546C9" w:rsidRPr="0058432E">
        <w:rPr>
          <w:color w:val="000000" w:themeColor="text1"/>
        </w:rPr>
        <w:t>atteints</w:t>
      </w:r>
      <w:r w:rsidRPr="0058432E">
        <w:rPr>
          <w:color w:val="000000" w:themeColor="text1"/>
        </w:rPr>
        <w:t xml:space="preserve"> de polyarthrite rhumatoïde </w:t>
      </w:r>
      <w:r w:rsidR="007B1DF4" w:rsidRPr="0058432E">
        <w:rPr>
          <w:color w:val="000000" w:themeColor="text1"/>
        </w:rPr>
        <w:t>active modérée à sévère</w:t>
      </w:r>
      <w:r w:rsidRPr="0058432E">
        <w:rPr>
          <w:color w:val="000000" w:themeColor="text1"/>
        </w:rPr>
        <w:t>, de spondylarthrite ankylosante, de spondyl</w:t>
      </w:r>
      <w:r w:rsidR="009D048D" w:rsidRPr="0058432E">
        <w:rPr>
          <w:color w:val="000000" w:themeColor="text1"/>
        </w:rPr>
        <w:t>o</w:t>
      </w:r>
      <w:r w:rsidRPr="0058432E">
        <w:rPr>
          <w:color w:val="000000" w:themeColor="text1"/>
        </w:rPr>
        <w:t>arthrite axiale sans signes radiographiques de SA, de rhumatisme psoriasique, de psoriasis, d’hidrosadénite suppurée, de la maladie de Crohn, de rectocolite hémorragique et d’uvéite, un taux (intervalle de confiance à 95 %) de cancers autres que lymphomes ou cancers de la peau non mélanomes, de 6,8 (4,4</w:t>
      </w:r>
      <w:r w:rsidR="00C0328B" w:rsidRPr="0058432E">
        <w:rPr>
          <w:color w:val="000000" w:themeColor="text1"/>
        </w:rPr>
        <w:t> </w:t>
      </w:r>
      <w:r w:rsidRPr="0058432E">
        <w:rPr>
          <w:color w:val="000000" w:themeColor="text1"/>
        </w:rPr>
        <w:t>–</w:t>
      </w:r>
      <w:r w:rsidR="00C0328B" w:rsidRPr="0058432E">
        <w:rPr>
          <w:color w:val="000000" w:themeColor="text1"/>
        </w:rPr>
        <w:t> </w:t>
      </w:r>
      <w:r w:rsidRPr="0058432E">
        <w:rPr>
          <w:color w:val="000000" w:themeColor="text1"/>
        </w:rPr>
        <w:t>10,5) pour 1 000 patient</w:t>
      </w:r>
      <w:r w:rsidR="0059782B" w:rsidRPr="0058432E">
        <w:rPr>
          <w:color w:val="000000" w:themeColor="text1"/>
        </w:rPr>
        <w:t>s</w:t>
      </w:r>
      <w:r w:rsidRPr="0058432E">
        <w:rPr>
          <w:color w:val="000000" w:themeColor="text1"/>
        </w:rPr>
        <w:t xml:space="preserve">-année parmi les 5 291 patients traités par adalimumab, a été observé </w:t>
      </w:r>
      <w:r w:rsidRPr="0058432E">
        <w:rPr>
          <w:i/>
          <w:iCs/>
          <w:color w:val="000000" w:themeColor="text1"/>
        </w:rPr>
        <w:t>versus</w:t>
      </w:r>
      <w:r w:rsidRPr="0058432E">
        <w:rPr>
          <w:color w:val="000000" w:themeColor="text1"/>
        </w:rPr>
        <w:t xml:space="preserve"> un taux de 6,3 (3,4</w:t>
      </w:r>
      <w:r w:rsidR="00926520" w:rsidRPr="0058432E">
        <w:rPr>
          <w:color w:val="000000" w:themeColor="text1"/>
        </w:rPr>
        <w:t> </w:t>
      </w:r>
      <w:r w:rsidRPr="0058432E">
        <w:rPr>
          <w:color w:val="000000" w:themeColor="text1"/>
        </w:rPr>
        <w:t>–</w:t>
      </w:r>
      <w:r w:rsidR="00926520" w:rsidRPr="0058432E">
        <w:rPr>
          <w:color w:val="000000" w:themeColor="text1"/>
        </w:rPr>
        <w:t> </w:t>
      </w:r>
      <w:r w:rsidRPr="0058432E">
        <w:rPr>
          <w:color w:val="000000" w:themeColor="text1"/>
        </w:rPr>
        <w:t>11,8) pour 1 000 patient</w:t>
      </w:r>
      <w:r w:rsidR="0059782B" w:rsidRPr="0058432E">
        <w:rPr>
          <w:color w:val="000000" w:themeColor="text1"/>
        </w:rPr>
        <w:t>s</w:t>
      </w:r>
      <w:r w:rsidRPr="0058432E">
        <w:rPr>
          <w:color w:val="000000" w:themeColor="text1"/>
        </w:rPr>
        <w:t xml:space="preserve">-année parmi les 3 444 patients du groupe contrôle (la durée moyenne du traitement était de 4,0 mois pour les patients traités par adalimumab et de 3,8 mois pour les patients du groupe contrôle). Le taux (intervalle de confiance à 95 %) de cancers de la peau </w:t>
      </w:r>
      <w:proofErr w:type="gramStart"/>
      <w:r w:rsidRPr="0058432E">
        <w:rPr>
          <w:color w:val="000000" w:themeColor="text1"/>
        </w:rPr>
        <w:t>non mélanomes</w:t>
      </w:r>
      <w:proofErr w:type="gramEnd"/>
      <w:r w:rsidRPr="0058432E">
        <w:rPr>
          <w:color w:val="000000" w:themeColor="text1"/>
        </w:rPr>
        <w:t xml:space="preserve"> était de 8,8 (6,0</w:t>
      </w:r>
      <w:r w:rsidR="00006CDF" w:rsidRPr="0058432E">
        <w:rPr>
          <w:color w:val="000000" w:themeColor="text1"/>
        </w:rPr>
        <w:t> </w:t>
      </w:r>
      <w:r w:rsidRPr="0058432E">
        <w:rPr>
          <w:color w:val="000000" w:themeColor="text1"/>
        </w:rPr>
        <w:t>–</w:t>
      </w:r>
      <w:r w:rsidR="00006CDF" w:rsidRPr="0058432E">
        <w:rPr>
          <w:color w:val="000000" w:themeColor="text1"/>
        </w:rPr>
        <w:t> </w:t>
      </w:r>
      <w:r w:rsidRPr="0058432E">
        <w:rPr>
          <w:color w:val="000000" w:themeColor="text1"/>
        </w:rPr>
        <w:t>13,0) pour 1 000 patient</w:t>
      </w:r>
      <w:r w:rsidR="0059782B" w:rsidRPr="0058432E">
        <w:rPr>
          <w:color w:val="000000" w:themeColor="text1"/>
        </w:rPr>
        <w:t>s</w:t>
      </w:r>
      <w:r w:rsidRPr="0058432E">
        <w:rPr>
          <w:color w:val="000000" w:themeColor="text1"/>
        </w:rPr>
        <w:t xml:space="preserve">-année </w:t>
      </w:r>
      <w:r w:rsidR="00997FA2" w:rsidRPr="0058432E">
        <w:rPr>
          <w:color w:val="000000" w:themeColor="text1"/>
        </w:rPr>
        <w:t>parmi</w:t>
      </w:r>
      <w:r w:rsidR="00E91790" w:rsidRPr="0058432E">
        <w:rPr>
          <w:color w:val="000000" w:themeColor="text1"/>
        </w:rPr>
        <w:t xml:space="preserve"> </w:t>
      </w:r>
      <w:r w:rsidRPr="0058432E">
        <w:rPr>
          <w:color w:val="000000" w:themeColor="text1"/>
        </w:rPr>
        <w:t>les patients traités par adalimumab et de 3,2 (1,3</w:t>
      </w:r>
      <w:r w:rsidR="00006CDF" w:rsidRPr="0058432E">
        <w:rPr>
          <w:color w:val="000000" w:themeColor="text1"/>
        </w:rPr>
        <w:t> </w:t>
      </w:r>
      <w:r w:rsidRPr="0058432E">
        <w:rPr>
          <w:color w:val="000000" w:themeColor="text1"/>
        </w:rPr>
        <w:t>–</w:t>
      </w:r>
      <w:r w:rsidR="00006CDF" w:rsidRPr="0058432E">
        <w:rPr>
          <w:color w:val="000000" w:themeColor="text1"/>
        </w:rPr>
        <w:t> </w:t>
      </w:r>
      <w:r w:rsidRPr="0058432E">
        <w:rPr>
          <w:color w:val="000000" w:themeColor="text1"/>
        </w:rPr>
        <w:t>7,6) pour 1 000 patient</w:t>
      </w:r>
      <w:r w:rsidR="0064270C" w:rsidRPr="0058432E">
        <w:rPr>
          <w:color w:val="000000" w:themeColor="text1"/>
        </w:rPr>
        <w:t>s</w:t>
      </w:r>
      <w:r w:rsidRPr="0058432E">
        <w:rPr>
          <w:color w:val="000000" w:themeColor="text1"/>
        </w:rPr>
        <w:t xml:space="preserve">-année parmi les patients du groupe contrôle. Dans ces cancers de la peau, </w:t>
      </w:r>
      <w:r w:rsidR="0059782B" w:rsidRPr="0058432E">
        <w:rPr>
          <w:color w:val="000000" w:themeColor="text1"/>
        </w:rPr>
        <w:t>des</w:t>
      </w:r>
      <w:r w:rsidRPr="0058432E">
        <w:rPr>
          <w:color w:val="000000" w:themeColor="text1"/>
        </w:rPr>
        <w:t xml:space="preserve"> carcinomes spino-cellulaires sont survenus à des taux</w:t>
      </w:r>
      <w:r w:rsidR="0059782B" w:rsidRPr="0058432E">
        <w:rPr>
          <w:color w:val="000000" w:themeColor="text1"/>
        </w:rPr>
        <w:t xml:space="preserve"> </w:t>
      </w:r>
      <w:r w:rsidR="0059782B" w:rsidRPr="0058432E">
        <w:rPr>
          <w:color w:val="000000" w:themeColor="text1"/>
          <w:spacing w:val="-1"/>
        </w:rPr>
        <w:t>(intervalle</w:t>
      </w:r>
      <w:r w:rsidR="0059782B" w:rsidRPr="0058432E">
        <w:rPr>
          <w:color w:val="000000" w:themeColor="text1"/>
        </w:rPr>
        <w:t xml:space="preserve"> de</w:t>
      </w:r>
      <w:r w:rsidR="0059782B" w:rsidRPr="0058432E">
        <w:rPr>
          <w:color w:val="000000" w:themeColor="text1"/>
          <w:spacing w:val="-2"/>
        </w:rPr>
        <w:t xml:space="preserve"> </w:t>
      </w:r>
      <w:r w:rsidR="0059782B" w:rsidRPr="0058432E">
        <w:rPr>
          <w:color w:val="000000" w:themeColor="text1"/>
          <w:spacing w:val="-1"/>
        </w:rPr>
        <w:t>confiance</w:t>
      </w:r>
      <w:r w:rsidR="0059782B" w:rsidRPr="0058432E">
        <w:rPr>
          <w:color w:val="000000" w:themeColor="text1"/>
          <w:spacing w:val="-2"/>
        </w:rPr>
        <w:t xml:space="preserve"> </w:t>
      </w:r>
      <w:r w:rsidR="0059782B" w:rsidRPr="0058432E">
        <w:rPr>
          <w:color w:val="000000" w:themeColor="text1"/>
        </w:rPr>
        <w:t>à 95</w:t>
      </w:r>
      <w:r w:rsidR="0059782B" w:rsidRPr="0058432E">
        <w:rPr>
          <w:color w:val="000000" w:themeColor="text1"/>
          <w:spacing w:val="-3"/>
        </w:rPr>
        <w:t xml:space="preserve"> </w:t>
      </w:r>
      <w:r w:rsidR="0059782B" w:rsidRPr="0058432E">
        <w:rPr>
          <w:color w:val="000000" w:themeColor="text1"/>
        </w:rPr>
        <w:t>%)</w:t>
      </w:r>
      <w:r w:rsidR="0059782B" w:rsidRPr="0058432E">
        <w:rPr>
          <w:color w:val="000000" w:themeColor="text1"/>
          <w:spacing w:val="1"/>
        </w:rPr>
        <w:t xml:space="preserve"> </w:t>
      </w:r>
      <w:r w:rsidRPr="0058432E">
        <w:rPr>
          <w:color w:val="000000" w:themeColor="text1"/>
        </w:rPr>
        <w:t>de 2,7 (1,4</w:t>
      </w:r>
      <w:r w:rsidR="004F3E31" w:rsidRPr="0058432E">
        <w:rPr>
          <w:color w:val="000000" w:themeColor="text1"/>
        </w:rPr>
        <w:t> </w:t>
      </w:r>
      <w:r w:rsidRPr="0058432E">
        <w:rPr>
          <w:color w:val="000000" w:themeColor="text1"/>
        </w:rPr>
        <w:t>–</w:t>
      </w:r>
      <w:r w:rsidR="004F3E31" w:rsidRPr="0058432E">
        <w:rPr>
          <w:color w:val="000000" w:themeColor="text1"/>
        </w:rPr>
        <w:t> </w:t>
      </w:r>
      <w:r w:rsidRPr="0058432E">
        <w:rPr>
          <w:color w:val="000000" w:themeColor="text1"/>
        </w:rPr>
        <w:t>5,4) pour 1 000 patient</w:t>
      </w:r>
      <w:r w:rsidR="0059782B" w:rsidRPr="0058432E">
        <w:rPr>
          <w:color w:val="000000" w:themeColor="text1"/>
        </w:rPr>
        <w:t>s</w:t>
      </w:r>
      <w:r w:rsidRPr="0058432E">
        <w:rPr>
          <w:color w:val="000000" w:themeColor="text1"/>
        </w:rPr>
        <w:t xml:space="preserve">-année </w:t>
      </w:r>
      <w:r w:rsidR="00997FA2" w:rsidRPr="0058432E">
        <w:rPr>
          <w:color w:val="000000" w:themeColor="text1"/>
        </w:rPr>
        <w:t xml:space="preserve">parmi </w:t>
      </w:r>
      <w:r w:rsidRPr="0058432E">
        <w:rPr>
          <w:color w:val="000000" w:themeColor="text1"/>
        </w:rPr>
        <w:t>les patients traités par adalimumab et 0,6 (0,1</w:t>
      </w:r>
      <w:r w:rsidR="004F3E31" w:rsidRPr="0058432E">
        <w:rPr>
          <w:color w:val="000000" w:themeColor="text1"/>
        </w:rPr>
        <w:t> </w:t>
      </w:r>
      <w:r w:rsidRPr="0058432E">
        <w:rPr>
          <w:color w:val="000000" w:themeColor="text1"/>
        </w:rPr>
        <w:t>–</w:t>
      </w:r>
      <w:r w:rsidR="004F3E31" w:rsidRPr="0058432E">
        <w:rPr>
          <w:color w:val="000000" w:themeColor="text1"/>
        </w:rPr>
        <w:t> </w:t>
      </w:r>
      <w:r w:rsidRPr="0058432E">
        <w:rPr>
          <w:color w:val="000000" w:themeColor="text1"/>
        </w:rPr>
        <w:t>4,5) pour 1 000 patient</w:t>
      </w:r>
      <w:r w:rsidR="0064270C" w:rsidRPr="0058432E">
        <w:rPr>
          <w:color w:val="000000" w:themeColor="text1"/>
        </w:rPr>
        <w:t>s</w:t>
      </w:r>
      <w:r w:rsidRPr="0058432E">
        <w:rPr>
          <w:color w:val="000000" w:themeColor="text1"/>
        </w:rPr>
        <w:t xml:space="preserve">-année </w:t>
      </w:r>
      <w:r w:rsidR="00997FA2" w:rsidRPr="0058432E">
        <w:rPr>
          <w:color w:val="000000" w:themeColor="text1"/>
        </w:rPr>
        <w:t xml:space="preserve">parmi </w:t>
      </w:r>
      <w:r w:rsidRPr="0058432E">
        <w:rPr>
          <w:color w:val="000000" w:themeColor="text1"/>
        </w:rPr>
        <w:t>les patients du groupe contrôle. Le taux (intervalle de confiance à 95 %) de lymphomes était de 0,7 (0,2</w:t>
      </w:r>
      <w:r w:rsidR="004F3E31" w:rsidRPr="0058432E">
        <w:rPr>
          <w:color w:val="000000" w:themeColor="text1"/>
        </w:rPr>
        <w:t> </w:t>
      </w:r>
      <w:r w:rsidRPr="0058432E">
        <w:rPr>
          <w:color w:val="000000" w:themeColor="text1"/>
        </w:rPr>
        <w:t>–</w:t>
      </w:r>
      <w:r w:rsidR="004F3E31" w:rsidRPr="0058432E">
        <w:rPr>
          <w:color w:val="000000" w:themeColor="text1"/>
        </w:rPr>
        <w:t> </w:t>
      </w:r>
      <w:r w:rsidRPr="0058432E">
        <w:rPr>
          <w:color w:val="000000" w:themeColor="text1"/>
        </w:rPr>
        <w:t>2,7) pour 1 000 patient</w:t>
      </w:r>
      <w:r w:rsidR="00D9328E" w:rsidRPr="0058432E">
        <w:rPr>
          <w:color w:val="000000" w:themeColor="text1"/>
        </w:rPr>
        <w:t>s</w:t>
      </w:r>
      <w:r w:rsidRPr="0058432E">
        <w:rPr>
          <w:color w:val="000000" w:themeColor="text1"/>
        </w:rPr>
        <w:t xml:space="preserve">-année </w:t>
      </w:r>
      <w:r w:rsidR="00D9328E" w:rsidRPr="0058432E">
        <w:rPr>
          <w:color w:val="000000" w:themeColor="text1"/>
        </w:rPr>
        <w:t xml:space="preserve">parmi </w:t>
      </w:r>
      <w:r w:rsidRPr="0058432E">
        <w:rPr>
          <w:color w:val="000000" w:themeColor="text1"/>
        </w:rPr>
        <w:t>les patients traités par adalimumab et 0,6 (0,1</w:t>
      </w:r>
      <w:r w:rsidR="004F3E31" w:rsidRPr="0058432E">
        <w:rPr>
          <w:color w:val="000000" w:themeColor="text1"/>
        </w:rPr>
        <w:t> </w:t>
      </w:r>
      <w:r w:rsidRPr="0058432E">
        <w:rPr>
          <w:color w:val="000000" w:themeColor="text1"/>
        </w:rPr>
        <w:t>–</w:t>
      </w:r>
      <w:r w:rsidR="004F3E31" w:rsidRPr="0058432E">
        <w:rPr>
          <w:color w:val="000000" w:themeColor="text1"/>
        </w:rPr>
        <w:t> </w:t>
      </w:r>
      <w:r w:rsidRPr="0058432E">
        <w:rPr>
          <w:color w:val="000000" w:themeColor="text1"/>
        </w:rPr>
        <w:t>4,5) pour 1 000 patient</w:t>
      </w:r>
      <w:r w:rsidR="0059782B" w:rsidRPr="0058432E">
        <w:rPr>
          <w:color w:val="000000" w:themeColor="text1"/>
        </w:rPr>
        <w:t>s</w:t>
      </w:r>
      <w:r w:rsidRPr="0058432E">
        <w:rPr>
          <w:color w:val="000000" w:themeColor="text1"/>
        </w:rPr>
        <w:t xml:space="preserve">-année </w:t>
      </w:r>
      <w:r w:rsidR="00D9328E" w:rsidRPr="0058432E">
        <w:rPr>
          <w:color w:val="000000" w:themeColor="text1"/>
        </w:rPr>
        <w:t xml:space="preserve">parmi </w:t>
      </w:r>
      <w:r w:rsidRPr="0058432E">
        <w:rPr>
          <w:color w:val="000000" w:themeColor="text1"/>
        </w:rPr>
        <w:t>les patients du groupe contrôle.</w:t>
      </w:r>
    </w:p>
    <w:p w14:paraId="6D4B5503" w14:textId="77777777" w:rsidR="00452285" w:rsidRPr="0058432E" w:rsidRDefault="00452285" w:rsidP="0009685B">
      <w:pPr>
        <w:pStyle w:val="BodyText"/>
        <w:widowControl/>
        <w:kinsoku w:val="0"/>
        <w:overflowPunct w:val="0"/>
        <w:ind w:left="0"/>
        <w:rPr>
          <w:color w:val="000000" w:themeColor="text1"/>
        </w:rPr>
      </w:pPr>
    </w:p>
    <w:p w14:paraId="7E093737"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En joignant les périodes contrôlées de ces essais et les </w:t>
      </w:r>
      <w:r w:rsidR="001F7E7A" w:rsidRPr="0058432E">
        <w:rPr>
          <w:color w:val="000000" w:themeColor="text1"/>
        </w:rPr>
        <w:t xml:space="preserve">études </w:t>
      </w:r>
      <w:r w:rsidRPr="0058432E">
        <w:rPr>
          <w:color w:val="000000" w:themeColor="text1"/>
        </w:rPr>
        <w:t>d</w:t>
      </w:r>
      <w:r w:rsidR="00F32B6A" w:rsidRPr="0058432E">
        <w:rPr>
          <w:color w:val="000000" w:themeColor="text1"/>
        </w:rPr>
        <w:t>’</w:t>
      </w:r>
      <w:r w:rsidRPr="0058432E">
        <w:rPr>
          <w:color w:val="000000" w:themeColor="text1"/>
        </w:rPr>
        <w:t>extension en ouvert terminé</w:t>
      </w:r>
      <w:r w:rsidR="001F7E7A" w:rsidRPr="0058432E">
        <w:rPr>
          <w:color w:val="000000" w:themeColor="text1"/>
        </w:rPr>
        <w:t>e</w:t>
      </w:r>
      <w:r w:rsidRPr="0058432E">
        <w:rPr>
          <w:color w:val="000000" w:themeColor="text1"/>
        </w:rPr>
        <w:t>s ou en cours avec une durée moyenne d’environ 3,3 ans incluant 6 427 patients et plus de 26 439 patient</w:t>
      </w:r>
      <w:r w:rsidR="0059782B" w:rsidRPr="0058432E">
        <w:rPr>
          <w:color w:val="000000" w:themeColor="text1"/>
        </w:rPr>
        <w:t>s</w:t>
      </w:r>
      <w:r w:rsidRPr="0058432E">
        <w:rPr>
          <w:color w:val="000000" w:themeColor="text1"/>
        </w:rPr>
        <w:t xml:space="preserve">-année de traitement, le taux observé de cancers, autres que lymphomes et cancers de la peau </w:t>
      </w:r>
      <w:proofErr w:type="gramStart"/>
      <w:r w:rsidRPr="0058432E">
        <w:rPr>
          <w:color w:val="000000" w:themeColor="text1"/>
        </w:rPr>
        <w:t>non mélanomes</w:t>
      </w:r>
      <w:proofErr w:type="gramEnd"/>
      <w:r w:rsidR="001F7E7A" w:rsidRPr="0058432E">
        <w:rPr>
          <w:color w:val="000000" w:themeColor="text1"/>
        </w:rPr>
        <w:t>,</w:t>
      </w:r>
      <w:r w:rsidRPr="0058432E">
        <w:rPr>
          <w:color w:val="000000" w:themeColor="text1"/>
        </w:rPr>
        <w:t xml:space="preserve"> est d</w:t>
      </w:r>
      <w:r w:rsidR="009D17F3" w:rsidRPr="0058432E">
        <w:rPr>
          <w:color w:val="000000" w:themeColor="text1"/>
        </w:rPr>
        <w:t>’</w:t>
      </w:r>
      <w:r w:rsidRPr="0058432E">
        <w:rPr>
          <w:color w:val="000000" w:themeColor="text1"/>
        </w:rPr>
        <w:t>environ 8,5 pour 1 000 patient</w:t>
      </w:r>
      <w:r w:rsidR="0059782B" w:rsidRPr="0058432E">
        <w:rPr>
          <w:color w:val="000000" w:themeColor="text1"/>
        </w:rPr>
        <w:t>s</w:t>
      </w:r>
      <w:r w:rsidRPr="0058432E">
        <w:rPr>
          <w:color w:val="000000" w:themeColor="text1"/>
        </w:rPr>
        <w:t xml:space="preserve">-année. Le taux observé de cancers de la peau </w:t>
      </w:r>
      <w:proofErr w:type="gramStart"/>
      <w:r w:rsidRPr="0058432E">
        <w:rPr>
          <w:color w:val="000000" w:themeColor="text1"/>
        </w:rPr>
        <w:t>non</w:t>
      </w:r>
      <w:r w:rsidR="001F7E7A" w:rsidRPr="0058432E">
        <w:rPr>
          <w:color w:val="000000" w:themeColor="text1"/>
        </w:rPr>
        <w:t xml:space="preserve"> </w:t>
      </w:r>
      <w:r w:rsidRPr="0058432E">
        <w:rPr>
          <w:color w:val="000000" w:themeColor="text1"/>
        </w:rPr>
        <w:t>mélanomes</w:t>
      </w:r>
      <w:proofErr w:type="gramEnd"/>
      <w:r w:rsidRPr="0058432E">
        <w:rPr>
          <w:color w:val="000000" w:themeColor="text1"/>
        </w:rPr>
        <w:t xml:space="preserve"> est d’environ 9,6 pour 1 000 patient</w:t>
      </w:r>
      <w:r w:rsidR="0059782B" w:rsidRPr="0058432E">
        <w:rPr>
          <w:color w:val="000000" w:themeColor="text1"/>
        </w:rPr>
        <w:t>s</w:t>
      </w:r>
      <w:r w:rsidRPr="0058432E">
        <w:rPr>
          <w:color w:val="000000" w:themeColor="text1"/>
        </w:rPr>
        <w:t>-année et le taux de lymphomes observés est d’environ 1,3 pour 1 000 patient</w:t>
      </w:r>
      <w:r w:rsidR="0059782B" w:rsidRPr="0058432E">
        <w:rPr>
          <w:color w:val="000000" w:themeColor="text1"/>
        </w:rPr>
        <w:t>s</w:t>
      </w:r>
      <w:r w:rsidRPr="0058432E">
        <w:rPr>
          <w:color w:val="000000" w:themeColor="text1"/>
        </w:rPr>
        <w:t>-année.</w:t>
      </w:r>
    </w:p>
    <w:p w14:paraId="4298452C" w14:textId="77777777" w:rsidR="00452285" w:rsidRPr="0058432E" w:rsidRDefault="00452285" w:rsidP="0009685B">
      <w:pPr>
        <w:pStyle w:val="BodyText"/>
        <w:widowControl/>
        <w:kinsoku w:val="0"/>
        <w:overflowPunct w:val="0"/>
        <w:ind w:left="0"/>
        <w:rPr>
          <w:color w:val="000000" w:themeColor="text1"/>
        </w:rPr>
      </w:pPr>
    </w:p>
    <w:p w14:paraId="66A27D20" w14:textId="66B7190D" w:rsidR="00452285" w:rsidRPr="0058432E" w:rsidRDefault="00F44898" w:rsidP="0009685B">
      <w:pPr>
        <w:pStyle w:val="BodyText"/>
        <w:widowControl/>
        <w:kinsoku w:val="0"/>
        <w:overflowPunct w:val="0"/>
        <w:ind w:left="0"/>
        <w:rPr>
          <w:color w:val="000000" w:themeColor="text1"/>
        </w:rPr>
      </w:pPr>
      <w:r w:rsidRPr="0058432E">
        <w:rPr>
          <w:color w:val="000000" w:themeColor="text1"/>
        </w:rPr>
        <w:t>Après la mise sur le marché</w:t>
      </w:r>
      <w:r w:rsidR="00452285" w:rsidRPr="0058432E">
        <w:rPr>
          <w:color w:val="000000" w:themeColor="text1"/>
        </w:rPr>
        <w:t xml:space="preserve"> de janvier 2003 à décembre 2010, essentiellement chez les patients atteints de polyarthrite rhumatoïde, le taux </w:t>
      </w:r>
      <w:r w:rsidR="005C3FBC" w:rsidRPr="0058432E">
        <w:rPr>
          <w:color w:val="000000" w:themeColor="text1"/>
        </w:rPr>
        <w:t xml:space="preserve">spontanément </w:t>
      </w:r>
      <w:r w:rsidR="00452285" w:rsidRPr="0058432E">
        <w:rPr>
          <w:color w:val="000000" w:themeColor="text1"/>
        </w:rPr>
        <w:t>rapporté de cancers est approximativement de 2,7 pour 1 000 patient</w:t>
      </w:r>
      <w:r w:rsidR="0059782B" w:rsidRPr="0058432E">
        <w:rPr>
          <w:color w:val="000000" w:themeColor="text1"/>
        </w:rPr>
        <w:t>s</w:t>
      </w:r>
      <w:r w:rsidR="00452285" w:rsidRPr="0058432E">
        <w:rPr>
          <w:color w:val="000000" w:themeColor="text1"/>
        </w:rPr>
        <w:t xml:space="preserve">-année de traitement. Les taux </w:t>
      </w:r>
      <w:r w:rsidR="005C3FBC" w:rsidRPr="0058432E">
        <w:rPr>
          <w:color w:val="000000" w:themeColor="text1"/>
        </w:rPr>
        <w:t xml:space="preserve">spontanément </w:t>
      </w:r>
      <w:r w:rsidR="00452285" w:rsidRPr="0058432E">
        <w:rPr>
          <w:color w:val="000000" w:themeColor="text1"/>
        </w:rPr>
        <w:t xml:space="preserve">rapportés pour les cancers de la peau </w:t>
      </w:r>
      <w:proofErr w:type="gramStart"/>
      <w:r w:rsidR="00452285" w:rsidRPr="0058432E">
        <w:rPr>
          <w:color w:val="000000" w:themeColor="text1"/>
        </w:rPr>
        <w:t>non</w:t>
      </w:r>
      <w:r w:rsidRPr="0058432E">
        <w:rPr>
          <w:color w:val="000000" w:themeColor="text1"/>
        </w:rPr>
        <w:t xml:space="preserve"> </w:t>
      </w:r>
      <w:r w:rsidR="00452285" w:rsidRPr="0058432E">
        <w:rPr>
          <w:color w:val="000000" w:themeColor="text1"/>
        </w:rPr>
        <w:t>mélanomes</w:t>
      </w:r>
      <w:proofErr w:type="gramEnd"/>
      <w:r w:rsidR="00452285" w:rsidRPr="0058432E">
        <w:rPr>
          <w:color w:val="000000" w:themeColor="text1"/>
        </w:rPr>
        <w:t xml:space="preserve"> et les lymphomes sont respectivement d</w:t>
      </w:r>
      <w:r w:rsidR="00036D84" w:rsidRPr="0058432E">
        <w:rPr>
          <w:color w:val="000000" w:themeColor="text1"/>
        </w:rPr>
        <w:t>’</w:t>
      </w:r>
      <w:r w:rsidR="00452285" w:rsidRPr="0058432E">
        <w:rPr>
          <w:color w:val="000000" w:themeColor="text1"/>
        </w:rPr>
        <w:t>environ 0,2 et 0,3 pour 1 000 patient</w:t>
      </w:r>
      <w:r w:rsidR="0059782B" w:rsidRPr="0058432E">
        <w:rPr>
          <w:color w:val="000000" w:themeColor="text1"/>
        </w:rPr>
        <w:t>s</w:t>
      </w:r>
      <w:r w:rsidR="00452285" w:rsidRPr="0058432E">
        <w:rPr>
          <w:color w:val="000000" w:themeColor="text1"/>
        </w:rPr>
        <w:t>-année de traitement (voir rubrique 4.4).</w:t>
      </w:r>
    </w:p>
    <w:p w14:paraId="02A73428" w14:textId="77777777" w:rsidR="00452285" w:rsidRPr="0058432E" w:rsidRDefault="00452285" w:rsidP="0009685B">
      <w:pPr>
        <w:pStyle w:val="BodyText"/>
        <w:widowControl/>
        <w:kinsoku w:val="0"/>
        <w:overflowPunct w:val="0"/>
        <w:ind w:left="0"/>
        <w:rPr>
          <w:color w:val="000000" w:themeColor="text1"/>
        </w:rPr>
      </w:pPr>
    </w:p>
    <w:p w14:paraId="63889BD9" w14:textId="77777777" w:rsidR="00452285" w:rsidRPr="0058432E" w:rsidRDefault="00086FA9" w:rsidP="0009685B">
      <w:pPr>
        <w:pStyle w:val="BodyText"/>
        <w:widowControl/>
        <w:kinsoku w:val="0"/>
        <w:overflowPunct w:val="0"/>
        <w:ind w:left="0" w:hanging="1"/>
        <w:rPr>
          <w:color w:val="000000" w:themeColor="text1"/>
        </w:rPr>
      </w:pPr>
      <w:r w:rsidRPr="0058432E">
        <w:rPr>
          <w:color w:val="000000" w:themeColor="text1"/>
        </w:rPr>
        <w:t>Après la mise sur le marché</w:t>
      </w:r>
      <w:r w:rsidR="00452285" w:rsidRPr="0058432E">
        <w:rPr>
          <w:color w:val="000000" w:themeColor="text1"/>
        </w:rPr>
        <w:t>, de rares cas de lymphome hépatosplénique à lymphocytes</w:t>
      </w:r>
      <w:r w:rsidR="005438DE" w:rsidRPr="0058432E">
        <w:rPr>
          <w:color w:val="000000" w:themeColor="text1"/>
        </w:rPr>
        <w:t> </w:t>
      </w:r>
      <w:r w:rsidR="00452285" w:rsidRPr="0058432E">
        <w:rPr>
          <w:color w:val="000000" w:themeColor="text1"/>
        </w:rPr>
        <w:t xml:space="preserve">T ont été rapportés chez des patients traités </w:t>
      </w:r>
      <w:r w:rsidR="008E7545" w:rsidRPr="0058432E">
        <w:rPr>
          <w:color w:val="000000" w:themeColor="text1"/>
        </w:rPr>
        <w:t>par adalimumab</w:t>
      </w:r>
      <w:r w:rsidR="00452285" w:rsidRPr="0058432E">
        <w:rPr>
          <w:color w:val="000000" w:themeColor="text1"/>
        </w:rPr>
        <w:t xml:space="preserve"> (voir rubrique 4.4).</w:t>
      </w:r>
    </w:p>
    <w:p w14:paraId="0ACFD251" w14:textId="77777777" w:rsidR="00452285" w:rsidRPr="0058432E" w:rsidRDefault="00452285" w:rsidP="0009685B">
      <w:pPr>
        <w:pStyle w:val="BodyText"/>
        <w:widowControl/>
        <w:kinsoku w:val="0"/>
        <w:overflowPunct w:val="0"/>
        <w:ind w:left="0"/>
        <w:rPr>
          <w:color w:val="000000" w:themeColor="text1"/>
        </w:rPr>
      </w:pPr>
    </w:p>
    <w:p w14:paraId="61C428EB" w14:textId="77777777" w:rsidR="00452285" w:rsidRPr="0058432E" w:rsidRDefault="00452285" w:rsidP="0009685B">
      <w:pPr>
        <w:pStyle w:val="BodyText"/>
        <w:keepNext/>
        <w:widowControl/>
        <w:kinsoku w:val="0"/>
        <w:overflowPunct w:val="0"/>
        <w:ind w:left="0"/>
        <w:rPr>
          <w:color w:val="000000" w:themeColor="text1"/>
        </w:rPr>
      </w:pPr>
      <w:r w:rsidRPr="0058432E">
        <w:rPr>
          <w:i/>
          <w:iCs/>
          <w:color w:val="000000" w:themeColor="text1"/>
        </w:rPr>
        <w:t>Auto-anticorps</w:t>
      </w:r>
    </w:p>
    <w:p w14:paraId="3D62A1C1" w14:textId="77777777" w:rsidR="00452285" w:rsidRPr="0058432E" w:rsidRDefault="00452285" w:rsidP="0009685B">
      <w:pPr>
        <w:pStyle w:val="BodyText"/>
        <w:keepNext/>
        <w:widowControl/>
        <w:kinsoku w:val="0"/>
        <w:overflowPunct w:val="0"/>
        <w:ind w:left="0"/>
        <w:rPr>
          <w:i/>
          <w:iCs/>
          <w:color w:val="000000" w:themeColor="text1"/>
          <w:szCs w:val="21"/>
        </w:rPr>
      </w:pPr>
    </w:p>
    <w:p w14:paraId="0BE42F8D"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Des recherches d</w:t>
      </w:r>
      <w:r w:rsidR="001A2BF4" w:rsidRPr="0058432E">
        <w:rPr>
          <w:color w:val="000000" w:themeColor="text1"/>
        </w:rPr>
        <w:t>’</w:t>
      </w:r>
      <w:r w:rsidRPr="0058432E">
        <w:rPr>
          <w:color w:val="000000" w:themeColor="text1"/>
        </w:rPr>
        <w:t>auto-anticorps répétées ont été effectuées sur des échantillons de sérum des patients des essais I-V dans la polyarthrite rhumatoïde. Dans ces essais, les titres d</w:t>
      </w:r>
      <w:r w:rsidR="00654810" w:rsidRPr="0058432E">
        <w:rPr>
          <w:color w:val="000000" w:themeColor="text1"/>
        </w:rPr>
        <w:t>’</w:t>
      </w:r>
      <w:r w:rsidRPr="0058432E">
        <w:rPr>
          <w:color w:val="000000" w:themeColor="text1"/>
        </w:rPr>
        <w:t xml:space="preserve">anticorps antinucléaires initialement négatifs étaient positifs à la semaine 24 chez 11,9 % des patients traités </w:t>
      </w:r>
      <w:r w:rsidR="008E7545" w:rsidRPr="0058432E">
        <w:rPr>
          <w:color w:val="000000" w:themeColor="text1"/>
        </w:rPr>
        <w:t>par adalimumab</w:t>
      </w:r>
      <w:r w:rsidRPr="0058432E">
        <w:rPr>
          <w:color w:val="000000" w:themeColor="text1"/>
        </w:rPr>
        <w:t xml:space="preserve"> et 8,1 % des patients sous placebo et comparateur. Deux patients sur les 3 441 traités par adalimumab dans toutes les études dans la polyarthrite rhumatoïde et le rhumatisme psoriasique ont présenté des signes cliniques évoquant un syndrome pseudo-lupique d'apparition nouvelle. L</w:t>
      </w:r>
      <w:r w:rsidR="00A025CA" w:rsidRPr="0058432E">
        <w:rPr>
          <w:color w:val="000000" w:themeColor="text1"/>
        </w:rPr>
        <w:t>’</w:t>
      </w:r>
      <w:r w:rsidRPr="0058432E">
        <w:rPr>
          <w:color w:val="000000" w:themeColor="text1"/>
        </w:rPr>
        <w:t>état des patients s</w:t>
      </w:r>
      <w:r w:rsidR="00A025CA" w:rsidRPr="0058432E">
        <w:rPr>
          <w:color w:val="000000" w:themeColor="text1"/>
        </w:rPr>
        <w:t>’</w:t>
      </w:r>
      <w:r w:rsidRPr="0058432E">
        <w:rPr>
          <w:color w:val="000000" w:themeColor="text1"/>
        </w:rPr>
        <w:t>est amélioré après l</w:t>
      </w:r>
      <w:r w:rsidR="00A025CA" w:rsidRPr="0058432E">
        <w:rPr>
          <w:color w:val="000000" w:themeColor="text1"/>
        </w:rPr>
        <w:t>’</w:t>
      </w:r>
      <w:r w:rsidRPr="0058432E">
        <w:rPr>
          <w:color w:val="000000" w:themeColor="text1"/>
        </w:rPr>
        <w:t>arrêt du traitement. Aucun patient n</w:t>
      </w:r>
      <w:r w:rsidR="00D002C0" w:rsidRPr="0058432E">
        <w:rPr>
          <w:color w:val="000000" w:themeColor="text1"/>
        </w:rPr>
        <w:t>’</w:t>
      </w:r>
      <w:r w:rsidRPr="0058432E">
        <w:rPr>
          <w:color w:val="000000" w:themeColor="text1"/>
        </w:rPr>
        <w:t xml:space="preserve">a présenté de néphrite lupique ou de symptômes </w:t>
      </w:r>
      <w:r w:rsidR="005C7D1D" w:rsidRPr="0058432E">
        <w:rPr>
          <w:color w:val="000000" w:themeColor="text1"/>
        </w:rPr>
        <w:t xml:space="preserve">du système </w:t>
      </w:r>
      <w:r w:rsidRPr="0058432E">
        <w:rPr>
          <w:color w:val="000000" w:themeColor="text1"/>
        </w:rPr>
        <w:t>nerveux centra</w:t>
      </w:r>
      <w:r w:rsidR="005C7D1D" w:rsidRPr="0058432E">
        <w:rPr>
          <w:color w:val="000000" w:themeColor="text1"/>
        </w:rPr>
        <w:t>l</w:t>
      </w:r>
      <w:r w:rsidRPr="0058432E">
        <w:rPr>
          <w:color w:val="000000" w:themeColor="text1"/>
        </w:rPr>
        <w:t>.</w:t>
      </w:r>
    </w:p>
    <w:p w14:paraId="4C00DDCF" w14:textId="77777777" w:rsidR="00452285" w:rsidRPr="0058432E" w:rsidRDefault="00452285" w:rsidP="0009685B">
      <w:pPr>
        <w:pStyle w:val="BodyText"/>
        <w:widowControl/>
        <w:kinsoku w:val="0"/>
        <w:overflowPunct w:val="0"/>
        <w:ind w:left="0"/>
        <w:rPr>
          <w:color w:val="000000" w:themeColor="text1"/>
        </w:rPr>
      </w:pPr>
    </w:p>
    <w:p w14:paraId="584A20C5" w14:textId="77777777" w:rsidR="00452285" w:rsidRPr="0058432E" w:rsidRDefault="00BA3C3F" w:rsidP="0009685B">
      <w:pPr>
        <w:pStyle w:val="BodyText"/>
        <w:keepNext/>
        <w:widowControl/>
        <w:kinsoku w:val="0"/>
        <w:overflowPunct w:val="0"/>
        <w:ind w:left="0"/>
        <w:rPr>
          <w:color w:val="000000" w:themeColor="text1"/>
        </w:rPr>
      </w:pPr>
      <w:r w:rsidRPr="0058432E">
        <w:rPr>
          <w:i/>
          <w:iCs/>
          <w:color w:val="000000" w:themeColor="text1"/>
        </w:rPr>
        <w:t>É</w:t>
      </w:r>
      <w:r w:rsidR="00452285" w:rsidRPr="0058432E">
        <w:rPr>
          <w:i/>
          <w:iCs/>
          <w:color w:val="000000" w:themeColor="text1"/>
        </w:rPr>
        <w:t>vénements hépatobiliaires</w:t>
      </w:r>
    </w:p>
    <w:p w14:paraId="2ED805DA" w14:textId="77777777" w:rsidR="00452285" w:rsidRPr="0058432E" w:rsidRDefault="00452285" w:rsidP="0009685B">
      <w:pPr>
        <w:pStyle w:val="BodyText"/>
        <w:keepNext/>
        <w:widowControl/>
        <w:kinsoku w:val="0"/>
        <w:overflowPunct w:val="0"/>
        <w:ind w:left="0"/>
        <w:rPr>
          <w:i/>
          <w:iCs/>
          <w:color w:val="000000" w:themeColor="text1"/>
          <w:szCs w:val="21"/>
        </w:rPr>
      </w:pPr>
    </w:p>
    <w:p w14:paraId="30653F55"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Dans les essais contrôlés de phase III </w:t>
      </w:r>
      <w:r w:rsidR="004C410F" w:rsidRPr="0058432E">
        <w:rPr>
          <w:color w:val="000000" w:themeColor="text1"/>
        </w:rPr>
        <w:t>chez les patients atteints de</w:t>
      </w:r>
      <w:r w:rsidRPr="0058432E">
        <w:rPr>
          <w:color w:val="000000" w:themeColor="text1"/>
        </w:rPr>
        <w:t xml:space="preserve"> polyarthrite rhumatoïde et </w:t>
      </w:r>
      <w:r w:rsidR="004C410F" w:rsidRPr="0058432E">
        <w:rPr>
          <w:color w:val="000000" w:themeColor="text1"/>
        </w:rPr>
        <w:t>d</w:t>
      </w:r>
      <w:r w:rsidRPr="0058432E">
        <w:rPr>
          <w:color w:val="000000" w:themeColor="text1"/>
        </w:rPr>
        <w:t>e rhumatisme psoriasique avec une période de contrôle de 4 à 104</w:t>
      </w:r>
      <w:r w:rsidR="00AD72F3" w:rsidRPr="0058432E">
        <w:rPr>
          <w:color w:val="000000" w:themeColor="text1"/>
        </w:rPr>
        <w:t> </w:t>
      </w:r>
      <w:r w:rsidRPr="0058432E">
        <w:rPr>
          <w:color w:val="000000" w:themeColor="text1"/>
        </w:rPr>
        <w:t>semaines, des élévations d</w:t>
      </w:r>
      <w:r w:rsidR="004957C1" w:rsidRPr="0058432E">
        <w:rPr>
          <w:color w:val="000000" w:themeColor="text1"/>
        </w:rPr>
        <w:t>’</w:t>
      </w:r>
      <w:r w:rsidRPr="0058432E">
        <w:rPr>
          <w:color w:val="000000" w:themeColor="text1"/>
        </w:rPr>
        <w:t>ALAT ≥ 3 x LSN sont survenues chez 3,7 % des patients traités par adalimumab et chez 1,6 % des patients du groupe contrôle.</w:t>
      </w:r>
    </w:p>
    <w:p w14:paraId="373B7021" w14:textId="77777777" w:rsidR="00452285" w:rsidRPr="0058432E" w:rsidRDefault="00452285" w:rsidP="0009685B">
      <w:pPr>
        <w:pStyle w:val="BodyText"/>
        <w:widowControl/>
        <w:kinsoku w:val="0"/>
        <w:overflowPunct w:val="0"/>
        <w:ind w:left="0"/>
        <w:rPr>
          <w:color w:val="000000" w:themeColor="text1"/>
          <w:szCs w:val="21"/>
        </w:rPr>
      </w:pPr>
    </w:p>
    <w:p w14:paraId="7E496A11"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Dans les essais contrôlés de phase III de l’adalimumab chez les patients atteints d’arthrite juvénile idiopathique polyarticulaire âgés de 4 à 17</w:t>
      </w:r>
      <w:r w:rsidR="000E2D3F" w:rsidRPr="0058432E">
        <w:rPr>
          <w:color w:val="000000" w:themeColor="text1"/>
        </w:rPr>
        <w:t> </w:t>
      </w:r>
      <w:r w:rsidRPr="0058432E">
        <w:rPr>
          <w:color w:val="000000" w:themeColor="text1"/>
        </w:rPr>
        <w:t xml:space="preserve">ans et les patients atteints d’arthrite liée à l’enthésite âgés </w:t>
      </w:r>
      <w:r w:rsidRPr="0058432E">
        <w:rPr>
          <w:color w:val="000000" w:themeColor="text1"/>
        </w:rPr>
        <w:lastRenderedPageBreak/>
        <w:t>de 6 à 17 ans, des élévations d’ALAT ≥ 3 x LSN sont survenues chez 6,1 % des patients traités par adalimumab et chez 1,3 % des patients du groupe contrôle. La plupart des élévations d’ALAT sont survenues dans le cadre d’une utilisation concomitante de méthotrexate. Aucune élévation d’ALAT ≥ 3 x LSN n’est survenue au cours de l’essai de phase III de l’adalimumab chez des patients atteints d’arthrite juvénile idiopathique polyarticulaire âgés de 2 à &lt; 4 ans.</w:t>
      </w:r>
    </w:p>
    <w:p w14:paraId="61770456" w14:textId="77777777" w:rsidR="00452285" w:rsidRPr="0058432E" w:rsidRDefault="00452285" w:rsidP="0009685B">
      <w:pPr>
        <w:pStyle w:val="BodyText"/>
        <w:widowControl/>
        <w:kinsoku w:val="0"/>
        <w:overflowPunct w:val="0"/>
        <w:ind w:left="0"/>
        <w:rPr>
          <w:color w:val="000000" w:themeColor="text1"/>
        </w:rPr>
      </w:pPr>
    </w:p>
    <w:p w14:paraId="2DEE4251"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Dans les essais contrôlés de phase III de l’adalimumab chez les patients atteints de maladie de Crohn et de rectocolite hémorragique avec une période de contrôle de 4 à 52 semaines, des élévations d</w:t>
      </w:r>
      <w:r w:rsidR="000E2D3F" w:rsidRPr="0058432E">
        <w:rPr>
          <w:color w:val="000000" w:themeColor="text1"/>
        </w:rPr>
        <w:t>’</w:t>
      </w:r>
      <w:r w:rsidRPr="0058432E">
        <w:rPr>
          <w:color w:val="000000" w:themeColor="text1"/>
        </w:rPr>
        <w:t>ALAT ≥ 3 x LSN sont survenues chez 0,9 % des patients traités par adalimumab et chez 0,9 % des patients du groupe contrôle.</w:t>
      </w:r>
    </w:p>
    <w:p w14:paraId="2872E68F" w14:textId="77777777" w:rsidR="00B60C60" w:rsidRPr="0058432E" w:rsidRDefault="00B60C60" w:rsidP="0009685B">
      <w:pPr>
        <w:pStyle w:val="BodyText"/>
        <w:widowControl/>
        <w:kinsoku w:val="0"/>
        <w:overflowPunct w:val="0"/>
        <w:ind w:left="0"/>
        <w:rPr>
          <w:color w:val="000000" w:themeColor="text1"/>
        </w:rPr>
      </w:pPr>
    </w:p>
    <w:p w14:paraId="5B03BA37"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Dans l’essai de phase III de l’adalimumab chez les enfants et adolescents atteints de maladie de Crohn qui a évalué l’efficacité et le profil de </w:t>
      </w:r>
      <w:r w:rsidR="00786860" w:rsidRPr="0058432E">
        <w:rPr>
          <w:color w:val="000000" w:themeColor="text1"/>
        </w:rPr>
        <w:t xml:space="preserve">tolérance </w:t>
      </w:r>
      <w:r w:rsidRPr="0058432E">
        <w:rPr>
          <w:color w:val="000000" w:themeColor="text1"/>
        </w:rPr>
        <w:t xml:space="preserve">de deux schémas posologiques d’entretien en fonction du poids </w:t>
      </w:r>
      <w:r w:rsidR="00786860" w:rsidRPr="0058432E">
        <w:rPr>
          <w:color w:val="000000" w:themeColor="text1"/>
        </w:rPr>
        <w:t xml:space="preserve">corporel </w:t>
      </w:r>
      <w:r w:rsidRPr="0058432E">
        <w:rPr>
          <w:color w:val="000000" w:themeColor="text1"/>
        </w:rPr>
        <w:t xml:space="preserve">après un traitement d’induction ajusté au poids </w:t>
      </w:r>
      <w:r w:rsidR="00786860" w:rsidRPr="0058432E">
        <w:rPr>
          <w:color w:val="000000" w:themeColor="text1"/>
        </w:rPr>
        <w:t xml:space="preserve">corporel </w:t>
      </w:r>
      <w:r w:rsidRPr="0058432E">
        <w:rPr>
          <w:color w:val="000000" w:themeColor="text1"/>
        </w:rPr>
        <w:t>jusqu’à 52</w:t>
      </w:r>
      <w:r w:rsidR="00D14329" w:rsidRPr="0058432E">
        <w:rPr>
          <w:color w:val="000000" w:themeColor="text1"/>
        </w:rPr>
        <w:t> </w:t>
      </w:r>
      <w:r w:rsidRPr="0058432E">
        <w:rPr>
          <w:color w:val="000000" w:themeColor="text1"/>
        </w:rPr>
        <w:t xml:space="preserve">semaines de traitement, des élévations d’ALAT ≥ 3 x LSN sont survenues chez 2,6 % des patients (5/192), parmi lesquels 4 étaient traités en association avec des immunosuppresseurs </w:t>
      </w:r>
      <w:r w:rsidR="00786860" w:rsidRPr="0058432E">
        <w:rPr>
          <w:color w:val="000000" w:themeColor="text1"/>
        </w:rPr>
        <w:t>à l’inclusion</w:t>
      </w:r>
      <w:r w:rsidRPr="0058432E">
        <w:rPr>
          <w:color w:val="000000" w:themeColor="text1"/>
        </w:rPr>
        <w:t>.</w:t>
      </w:r>
    </w:p>
    <w:p w14:paraId="390BA7A6" w14:textId="77777777" w:rsidR="00452285" w:rsidRPr="0058432E" w:rsidRDefault="00452285" w:rsidP="0009685B">
      <w:pPr>
        <w:pStyle w:val="BodyText"/>
        <w:widowControl/>
        <w:kinsoku w:val="0"/>
        <w:overflowPunct w:val="0"/>
        <w:ind w:left="0"/>
        <w:rPr>
          <w:color w:val="000000" w:themeColor="text1"/>
          <w:szCs w:val="21"/>
        </w:rPr>
      </w:pPr>
    </w:p>
    <w:p w14:paraId="0F2B52B7"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Dans les essais contrôlés de phase III dans le psoriasis en plaques avec une période de contrôle de 12 à 24 semaines, des élévations d'ALAT ≥ 3 x LSN sont survenues chez 1,8 % des patients traités par adalimumab et chez 1,8 % des patients du groupe contrôle.</w:t>
      </w:r>
    </w:p>
    <w:p w14:paraId="0C10EDEE" w14:textId="77777777" w:rsidR="00452285" w:rsidRPr="0058432E" w:rsidRDefault="00452285" w:rsidP="0009685B">
      <w:pPr>
        <w:pStyle w:val="BodyText"/>
        <w:widowControl/>
        <w:kinsoku w:val="0"/>
        <w:overflowPunct w:val="0"/>
        <w:ind w:left="0"/>
        <w:rPr>
          <w:color w:val="000000" w:themeColor="text1"/>
          <w:szCs w:val="21"/>
        </w:rPr>
      </w:pPr>
    </w:p>
    <w:p w14:paraId="008486D3"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Il n’a pas été observé d’élévations de l’ALAT ≥ 3 x LSN dans </w:t>
      </w:r>
      <w:r w:rsidR="00786860" w:rsidRPr="0058432E">
        <w:rPr>
          <w:color w:val="000000" w:themeColor="text1"/>
        </w:rPr>
        <w:t xml:space="preserve">l’essai </w:t>
      </w:r>
      <w:r w:rsidRPr="0058432E">
        <w:rPr>
          <w:color w:val="000000" w:themeColor="text1"/>
        </w:rPr>
        <w:t>de phase III de l’adalimumab chez des patients pédiatriques atteints de psoriasis en plaques.</w:t>
      </w:r>
    </w:p>
    <w:p w14:paraId="77350B70" w14:textId="77777777" w:rsidR="00452285" w:rsidRPr="0058432E" w:rsidRDefault="00452285" w:rsidP="0009685B">
      <w:pPr>
        <w:pStyle w:val="BodyText"/>
        <w:widowControl/>
        <w:kinsoku w:val="0"/>
        <w:overflowPunct w:val="0"/>
        <w:ind w:left="0"/>
        <w:rPr>
          <w:color w:val="000000" w:themeColor="text1"/>
        </w:rPr>
      </w:pPr>
    </w:p>
    <w:p w14:paraId="4904D022"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Dans les essais contrôlés de l’adalimumab (dose initiale de 80 mg à la semaine</w:t>
      </w:r>
      <w:r w:rsidR="00353EF2" w:rsidRPr="0058432E">
        <w:rPr>
          <w:color w:val="000000" w:themeColor="text1"/>
        </w:rPr>
        <w:t> </w:t>
      </w:r>
      <w:r w:rsidRPr="0058432E">
        <w:rPr>
          <w:color w:val="000000" w:themeColor="text1"/>
        </w:rPr>
        <w:t>0 suivie de 40 mg toutes les deux semaines à partir de la semaine</w:t>
      </w:r>
      <w:r w:rsidR="00DE2D0A" w:rsidRPr="0058432E">
        <w:rPr>
          <w:color w:val="000000" w:themeColor="text1"/>
        </w:rPr>
        <w:t> </w:t>
      </w:r>
      <w:r w:rsidRPr="0058432E">
        <w:rPr>
          <w:color w:val="000000" w:themeColor="text1"/>
        </w:rPr>
        <w:t>1) chez les patients adultes atteints d’uvéite pour une durée allant jusqu’à 80 semaines, avec une durée médiane d’exposition de respectivement 166,5</w:t>
      </w:r>
      <w:r w:rsidR="008C2754" w:rsidRPr="0058432E">
        <w:rPr>
          <w:color w:val="000000" w:themeColor="text1"/>
        </w:rPr>
        <w:t> </w:t>
      </w:r>
      <w:r w:rsidRPr="0058432E">
        <w:rPr>
          <w:color w:val="000000" w:themeColor="text1"/>
        </w:rPr>
        <w:t>jours et 105,0 jours pour les patients traités par adalimumab et les patients du groupe contrôle, des élévations d’ALAT ≥ 3 x LSN sont survenues chez 2,4 % des patients traités par adalimumab et 2,4 % des patients du groupe contrôle.</w:t>
      </w:r>
    </w:p>
    <w:p w14:paraId="58B184E3" w14:textId="77777777" w:rsidR="00452285" w:rsidRPr="0058432E" w:rsidRDefault="00452285" w:rsidP="0009685B">
      <w:pPr>
        <w:pStyle w:val="BodyText"/>
        <w:widowControl/>
        <w:kinsoku w:val="0"/>
        <w:overflowPunct w:val="0"/>
        <w:ind w:left="0"/>
        <w:rPr>
          <w:color w:val="000000" w:themeColor="text1"/>
        </w:rPr>
      </w:pPr>
    </w:p>
    <w:p w14:paraId="2D43DED1"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Dans les essais, toutes indications confondues, les patients avec ALAT augmentées étaient asymptomatiques et dans la plupart des cas les élévations étaient transitoires et réversibles lors de la poursuite du traitement. Cependant, </w:t>
      </w:r>
      <w:r w:rsidR="00786860" w:rsidRPr="0058432E">
        <w:rPr>
          <w:color w:val="000000" w:themeColor="text1"/>
        </w:rPr>
        <w:t>après la mise sur le marché</w:t>
      </w:r>
      <w:r w:rsidRPr="0058432E">
        <w:rPr>
          <w:color w:val="000000" w:themeColor="text1"/>
        </w:rPr>
        <w:t xml:space="preserve">, des insuffisances hépatiques ainsi que des </w:t>
      </w:r>
      <w:r w:rsidR="00786860" w:rsidRPr="0058432E">
        <w:rPr>
          <w:color w:val="000000" w:themeColor="text1"/>
        </w:rPr>
        <w:t xml:space="preserve">affections </w:t>
      </w:r>
      <w:r w:rsidRPr="0058432E">
        <w:rPr>
          <w:color w:val="000000" w:themeColor="text1"/>
        </w:rPr>
        <w:t>hépatiques moins sévères, qui peuvent précéder une insuffisance hépatique, tel</w:t>
      </w:r>
      <w:r w:rsidR="00786860" w:rsidRPr="0058432E">
        <w:rPr>
          <w:color w:val="000000" w:themeColor="text1"/>
        </w:rPr>
        <w:t>le</w:t>
      </w:r>
      <w:r w:rsidRPr="0058432E">
        <w:rPr>
          <w:color w:val="000000" w:themeColor="text1"/>
        </w:rPr>
        <w:t>s que des hépatites y compris des hépatites auto-immunes, ont été rapportées chez des patients recevant de l’adalimumab.</w:t>
      </w:r>
    </w:p>
    <w:p w14:paraId="1FC7D66A" w14:textId="77777777" w:rsidR="00452285" w:rsidRPr="0058432E" w:rsidRDefault="00452285" w:rsidP="0009685B">
      <w:pPr>
        <w:pStyle w:val="BodyText"/>
        <w:widowControl/>
        <w:kinsoku w:val="0"/>
        <w:overflowPunct w:val="0"/>
        <w:ind w:left="0"/>
        <w:rPr>
          <w:color w:val="000000" w:themeColor="text1"/>
        </w:rPr>
      </w:pPr>
    </w:p>
    <w:p w14:paraId="507955DB" w14:textId="77777777" w:rsidR="00452285" w:rsidRPr="0058432E" w:rsidRDefault="00452285" w:rsidP="0009685B">
      <w:pPr>
        <w:pStyle w:val="BodyText"/>
        <w:keepNext/>
        <w:widowControl/>
        <w:kinsoku w:val="0"/>
        <w:overflowPunct w:val="0"/>
        <w:ind w:left="0"/>
        <w:rPr>
          <w:color w:val="000000" w:themeColor="text1"/>
        </w:rPr>
      </w:pPr>
      <w:r w:rsidRPr="0058432E">
        <w:rPr>
          <w:color w:val="000000" w:themeColor="text1"/>
          <w:u w:val="single"/>
        </w:rPr>
        <w:t>Administration concomitante d’azathioprine/6-mercaptopurine</w:t>
      </w:r>
    </w:p>
    <w:p w14:paraId="59DF98FC" w14:textId="77777777" w:rsidR="00452285" w:rsidRPr="0058432E" w:rsidRDefault="00452285" w:rsidP="0009685B">
      <w:pPr>
        <w:pStyle w:val="BodyText"/>
        <w:keepNext/>
        <w:widowControl/>
        <w:kinsoku w:val="0"/>
        <w:overflowPunct w:val="0"/>
        <w:ind w:left="0"/>
        <w:rPr>
          <w:color w:val="000000" w:themeColor="text1"/>
        </w:rPr>
      </w:pPr>
    </w:p>
    <w:p w14:paraId="71FCE0FF" w14:textId="77777777" w:rsidR="00452285" w:rsidRPr="0058432E" w:rsidRDefault="00452285" w:rsidP="00054A92">
      <w:pPr>
        <w:pStyle w:val="BodyText"/>
        <w:widowControl/>
        <w:kinsoku w:val="0"/>
        <w:overflowPunct w:val="0"/>
        <w:ind w:left="0"/>
        <w:rPr>
          <w:color w:val="000000" w:themeColor="text1"/>
        </w:rPr>
      </w:pPr>
      <w:r w:rsidRPr="0058432E">
        <w:rPr>
          <w:color w:val="000000" w:themeColor="text1"/>
        </w:rPr>
        <w:t xml:space="preserve">Lors d’études dans la maladie de Crohn chez l’adulte, une incidence plus élevée </w:t>
      </w:r>
      <w:r w:rsidR="00D43CD7" w:rsidRPr="0058432E">
        <w:rPr>
          <w:color w:val="000000" w:themeColor="text1"/>
        </w:rPr>
        <w:t xml:space="preserve">d’événements indésirables tumoraux et liés à des </w:t>
      </w:r>
      <w:r w:rsidRPr="0058432E">
        <w:rPr>
          <w:color w:val="000000" w:themeColor="text1"/>
        </w:rPr>
        <w:t>infections graves a été observée avec l’association adalimumab et azathioprine/6-mercaptopurine comparativement à l’adalimumab utilisé seul.</w:t>
      </w:r>
    </w:p>
    <w:p w14:paraId="0D509498" w14:textId="77777777" w:rsidR="00452285" w:rsidRPr="0058432E" w:rsidRDefault="00452285" w:rsidP="0009685B">
      <w:pPr>
        <w:pStyle w:val="BodyText"/>
        <w:widowControl/>
        <w:kinsoku w:val="0"/>
        <w:overflowPunct w:val="0"/>
        <w:ind w:left="0"/>
        <w:rPr>
          <w:color w:val="000000" w:themeColor="text1"/>
        </w:rPr>
      </w:pPr>
    </w:p>
    <w:p w14:paraId="67614BBB" w14:textId="77777777" w:rsidR="00452285" w:rsidRPr="0058432E" w:rsidRDefault="00452285" w:rsidP="0009685B">
      <w:pPr>
        <w:pStyle w:val="BodyText"/>
        <w:keepNext/>
        <w:widowControl/>
        <w:kinsoku w:val="0"/>
        <w:overflowPunct w:val="0"/>
        <w:ind w:left="0"/>
        <w:rPr>
          <w:color w:val="000000" w:themeColor="text1"/>
        </w:rPr>
      </w:pPr>
      <w:r w:rsidRPr="0058432E">
        <w:rPr>
          <w:color w:val="000000" w:themeColor="text1"/>
          <w:u w:val="single"/>
        </w:rPr>
        <w:t>Déclaration des effets indésirables suspectés</w:t>
      </w:r>
    </w:p>
    <w:p w14:paraId="1AA32DD6" w14:textId="77777777" w:rsidR="00452285" w:rsidRPr="0058432E" w:rsidRDefault="00452285" w:rsidP="0009685B">
      <w:pPr>
        <w:pStyle w:val="BodyText"/>
        <w:keepNext/>
        <w:widowControl/>
        <w:kinsoku w:val="0"/>
        <w:overflowPunct w:val="0"/>
        <w:ind w:left="0"/>
        <w:rPr>
          <w:color w:val="000000" w:themeColor="text1"/>
        </w:rPr>
      </w:pPr>
    </w:p>
    <w:p w14:paraId="0122299C" w14:textId="572C45B5"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58432E">
        <w:rPr>
          <w:color w:val="000000" w:themeColor="text1"/>
          <w:highlight w:val="lightGray"/>
        </w:rPr>
        <w:t>le système national de déclaration</w:t>
      </w:r>
      <w:r w:rsidRPr="0058432E">
        <w:rPr>
          <w:color w:val="000000" w:themeColor="text1"/>
        </w:rPr>
        <w:t xml:space="preserve"> – </w:t>
      </w:r>
      <w:hyperlink r:id="rId9" w:history="1">
        <w:r w:rsidRPr="0058432E">
          <w:rPr>
            <w:rStyle w:val="Hyperlink"/>
            <w:highlight w:val="lightGray"/>
          </w:rPr>
          <w:t>voir Annexe V</w:t>
        </w:r>
      </w:hyperlink>
      <w:r w:rsidRPr="0058432E">
        <w:rPr>
          <w:color w:val="000000" w:themeColor="text1"/>
        </w:rPr>
        <w:t>.</w:t>
      </w:r>
    </w:p>
    <w:p w14:paraId="16A3085C" w14:textId="77777777" w:rsidR="00452285" w:rsidRPr="0058432E" w:rsidRDefault="00452285" w:rsidP="0009685B">
      <w:pPr>
        <w:pStyle w:val="BodyText"/>
        <w:widowControl/>
        <w:kinsoku w:val="0"/>
        <w:overflowPunct w:val="0"/>
        <w:ind w:left="0"/>
        <w:rPr>
          <w:color w:val="000000" w:themeColor="text1"/>
        </w:rPr>
      </w:pPr>
    </w:p>
    <w:p w14:paraId="07847E3A" w14:textId="77777777" w:rsidR="00452285" w:rsidRPr="0058432E" w:rsidRDefault="00452285" w:rsidP="00B93DAC">
      <w:pPr>
        <w:pStyle w:val="BodyText"/>
        <w:keepNext/>
        <w:widowControl/>
        <w:numPr>
          <w:ilvl w:val="1"/>
          <w:numId w:val="21"/>
        </w:numPr>
        <w:kinsoku w:val="0"/>
        <w:overflowPunct w:val="0"/>
        <w:spacing w:before="8"/>
        <w:ind w:left="0" w:firstLine="0"/>
        <w:rPr>
          <w:b/>
          <w:bCs/>
          <w:color w:val="000000" w:themeColor="text1"/>
        </w:rPr>
      </w:pPr>
      <w:r w:rsidRPr="0058432E">
        <w:rPr>
          <w:b/>
          <w:bCs/>
          <w:color w:val="000000" w:themeColor="text1"/>
        </w:rPr>
        <w:t>Surdosage</w:t>
      </w:r>
    </w:p>
    <w:p w14:paraId="00EB3D05" w14:textId="77777777" w:rsidR="00452285" w:rsidRPr="0058432E" w:rsidRDefault="00452285" w:rsidP="0009685B">
      <w:pPr>
        <w:pStyle w:val="BodyText"/>
        <w:keepNext/>
        <w:widowControl/>
        <w:kinsoku w:val="0"/>
        <w:overflowPunct w:val="0"/>
        <w:ind w:left="0"/>
        <w:rPr>
          <w:b/>
          <w:bCs/>
          <w:color w:val="000000" w:themeColor="text1"/>
          <w:szCs w:val="23"/>
        </w:rPr>
      </w:pPr>
    </w:p>
    <w:p w14:paraId="5B909EA7" w14:textId="77777777" w:rsidR="00452285" w:rsidRPr="0058432E" w:rsidRDefault="00452285" w:rsidP="0009685B">
      <w:pPr>
        <w:pStyle w:val="BodyText"/>
        <w:widowControl/>
        <w:kinsoku w:val="0"/>
        <w:overflowPunct w:val="0"/>
        <w:ind w:left="0"/>
        <w:rPr>
          <w:color w:val="000000" w:themeColor="text1"/>
        </w:rPr>
      </w:pPr>
      <w:r w:rsidRPr="0058432E">
        <w:rPr>
          <w:color w:val="000000" w:themeColor="text1"/>
        </w:rPr>
        <w:t xml:space="preserve">Aucune toxicité </w:t>
      </w:r>
      <w:r w:rsidR="00D43CD7" w:rsidRPr="0058432E">
        <w:rPr>
          <w:color w:val="000000" w:themeColor="text1"/>
        </w:rPr>
        <w:t>limitant</w:t>
      </w:r>
      <w:r w:rsidRPr="0058432E">
        <w:rPr>
          <w:color w:val="000000" w:themeColor="text1"/>
        </w:rPr>
        <w:t xml:space="preserve"> la dose n</w:t>
      </w:r>
      <w:r w:rsidR="000F14B3" w:rsidRPr="0058432E">
        <w:rPr>
          <w:color w:val="000000" w:themeColor="text1"/>
        </w:rPr>
        <w:t>’</w:t>
      </w:r>
      <w:r w:rsidRPr="0058432E">
        <w:rPr>
          <w:color w:val="000000" w:themeColor="text1"/>
        </w:rPr>
        <w:t xml:space="preserve">a été observée dans les essais cliniques. La plus forte dose évaluée était constituée de doses </w:t>
      </w:r>
      <w:r w:rsidR="00D43CD7" w:rsidRPr="0058432E">
        <w:rPr>
          <w:color w:val="000000" w:themeColor="text1"/>
        </w:rPr>
        <w:t xml:space="preserve">intraveineuses </w:t>
      </w:r>
      <w:r w:rsidRPr="0058432E">
        <w:rPr>
          <w:color w:val="000000" w:themeColor="text1"/>
        </w:rPr>
        <w:t xml:space="preserve">répétées de 10 mg/kg, ce qui représente </w:t>
      </w:r>
      <w:r w:rsidR="00D43CD7" w:rsidRPr="0058432E">
        <w:rPr>
          <w:color w:val="000000" w:themeColor="text1"/>
        </w:rPr>
        <w:t xml:space="preserve">environ </w:t>
      </w:r>
      <w:r w:rsidRPr="0058432E">
        <w:rPr>
          <w:color w:val="000000" w:themeColor="text1"/>
        </w:rPr>
        <w:t>15 fois la dose recommandée.</w:t>
      </w:r>
    </w:p>
    <w:p w14:paraId="562346D8" w14:textId="77777777" w:rsidR="00452285" w:rsidRPr="0058432E" w:rsidRDefault="00452285" w:rsidP="0009685B">
      <w:pPr>
        <w:pStyle w:val="BodyText"/>
        <w:widowControl/>
        <w:kinsoku w:val="0"/>
        <w:overflowPunct w:val="0"/>
        <w:ind w:left="0"/>
        <w:rPr>
          <w:color w:val="000000" w:themeColor="text1"/>
        </w:rPr>
      </w:pPr>
    </w:p>
    <w:p w14:paraId="2261B5D2" w14:textId="77777777" w:rsidR="00D51DC6" w:rsidRPr="0058432E" w:rsidRDefault="00D51DC6" w:rsidP="0009685B">
      <w:pPr>
        <w:pStyle w:val="BodyText"/>
        <w:widowControl/>
        <w:kinsoku w:val="0"/>
        <w:overflowPunct w:val="0"/>
        <w:ind w:left="0"/>
        <w:rPr>
          <w:color w:val="000000" w:themeColor="text1"/>
        </w:rPr>
      </w:pPr>
    </w:p>
    <w:p w14:paraId="1988FB9A" w14:textId="77777777" w:rsidR="00264096" w:rsidRPr="0058432E" w:rsidRDefault="00264096"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lastRenderedPageBreak/>
        <w:t>PROPRIÉTÉS PHARMACOLOGIQUES</w:t>
      </w:r>
    </w:p>
    <w:p w14:paraId="37291345" w14:textId="77777777" w:rsidR="00264096" w:rsidRPr="0058432E" w:rsidRDefault="00264096" w:rsidP="006271A6">
      <w:pPr>
        <w:pStyle w:val="BodyText"/>
        <w:keepNext/>
        <w:widowControl/>
        <w:kinsoku w:val="0"/>
        <w:overflowPunct w:val="0"/>
        <w:ind w:left="0"/>
        <w:rPr>
          <w:b/>
          <w:bCs/>
          <w:color w:val="000000" w:themeColor="text1"/>
        </w:rPr>
      </w:pPr>
    </w:p>
    <w:p w14:paraId="3DD50D1E" w14:textId="77777777" w:rsidR="00264096" w:rsidRPr="0058432E" w:rsidRDefault="00264096" w:rsidP="006271A6">
      <w:pPr>
        <w:pStyle w:val="BodyText"/>
        <w:keepNext/>
        <w:widowControl/>
        <w:numPr>
          <w:ilvl w:val="1"/>
          <w:numId w:val="21"/>
        </w:numPr>
        <w:kinsoku w:val="0"/>
        <w:overflowPunct w:val="0"/>
        <w:autoSpaceDE w:val="0"/>
        <w:autoSpaceDN w:val="0"/>
        <w:adjustRightInd w:val="0"/>
        <w:ind w:left="0" w:firstLine="0"/>
        <w:rPr>
          <w:color w:val="000000" w:themeColor="text1"/>
        </w:rPr>
      </w:pPr>
      <w:r w:rsidRPr="0058432E">
        <w:rPr>
          <w:b/>
          <w:bCs/>
          <w:color w:val="000000" w:themeColor="text1"/>
        </w:rPr>
        <w:t>Propriétés pharmacodynamiques</w:t>
      </w:r>
    </w:p>
    <w:p w14:paraId="31650394" w14:textId="77777777" w:rsidR="00264096" w:rsidRPr="0058432E" w:rsidRDefault="00264096" w:rsidP="006271A6">
      <w:pPr>
        <w:pStyle w:val="BodyText"/>
        <w:keepNext/>
        <w:widowControl/>
        <w:kinsoku w:val="0"/>
        <w:overflowPunct w:val="0"/>
        <w:ind w:left="0"/>
        <w:rPr>
          <w:b/>
          <w:bCs/>
          <w:color w:val="000000" w:themeColor="text1"/>
        </w:rPr>
      </w:pPr>
    </w:p>
    <w:p w14:paraId="0B4709C7" w14:textId="77777777" w:rsidR="00264096" w:rsidRPr="0058432E" w:rsidRDefault="00264096" w:rsidP="006271A6">
      <w:pPr>
        <w:pStyle w:val="BodyText"/>
        <w:keepNext/>
        <w:widowControl/>
        <w:kinsoku w:val="0"/>
        <w:overflowPunct w:val="0"/>
        <w:ind w:left="0"/>
        <w:rPr>
          <w:color w:val="000000" w:themeColor="text1"/>
        </w:rPr>
      </w:pPr>
      <w:r w:rsidRPr="0058432E">
        <w:rPr>
          <w:color w:val="000000" w:themeColor="text1"/>
        </w:rPr>
        <w:t>Classe pharmacothérapeutique : Immunosuppresseurs, inhibiteurs du facteur de nécrose tumorale alpha (TNF-α). Code ATC : L04AB04</w:t>
      </w:r>
    </w:p>
    <w:p w14:paraId="3F4ED5EF" w14:textId="77777777" w:rsidR="00E56A72" w:rsidRPr="0058432E" w:rsidRDefault="00E56A72" w:rsidP="0009685B">
      <w:pPr>
        <w:pStyle w:val="BodyText"/>
        <w:widowControl/>
        <w:kinsoku w:val="0"/>
        <w:overflowPunct w:val="0"/>
        <w:ind w:left="0"/>
        <w:rPr>
          <w:color w:val="000000" w:themeColor="text1"/>
        </w:rPr>
      </w:pPr>
    </w:p>
    <w:p w14:paraId="4E7205F8" w14:textId="587B1C6D" w:rsidR="00264096" w:rsidRPr="0058432E" w:rsidRDefault="006A1144" w:rsidP="0009685B">
      <w:pPr>
        <w:pStyle w:val="BodyText"/>
        <w:widowControl/>
        <w:kinsoku w:val="0"/>
        <w:overflowPunct w:val="0"/>
        <w:ind w:left="0"/>
        <w:rPr>
          <w:color w:val="000000" w:themeColor="text1"/>
        </w:rPr>
      </w:pPr>
      <w:r w:rsidRPr="0058432E">
        <w:rPr>
          <w:color w:val="000000" w:themeColor="text1"/>
        </w:rPr>
        <w:t xml:space="preserve">Amsparity est un médicament biosimilaire. Des informations détaillées sont disponibles sur le site internet de l’Agence européenne des médicaments </w:t>
      </w:r>
      <w:hyperlink r:id="rId10" w:history="1">
        <w:r w:rsidR="00A70FBE" w:rsidRPr="0058432E">
          <w:rPr>
            <w:rStyle w:val="Hyperlink"/>
          </w:rPr>
          <w:t>https://www.ema.europa.eu</w:t>
        </w:r>
      </w:hyperlink>
      <w:r w:rsidRPr="0058432E">
        <w:rPr>
          <w:color w:val="000000" w:themeColor="text1"/>
        </w:rPr>
        <w:t>.</w:t>
      </w:r>
    </w:p>
    <w:p w14:paraId="075BD443" w14:textId="77777777" w:rsidR="00E56A72" w:rsidRPr="0058432E" w:rsidRDefault="00E56A72" w:rsidP="0009685B">
      <w:pPr>
        <w:pStyle w:val="BodyText"/>
        <w:widowControl/>
        <w:kinsoku w:val="0"/>
        <w:overflowPunct w:val="0"/>
        <w:ind w:left="0"/>
        <w:rPr>
          <w:color w:val="000000" w:themeColor="text1"/>
        </w:rPr>
      </w:pPr>
    </w:p>
    <w:p w14:paraId="68EAC7A8" w14:textId="77777777" w:rsidR="00264096" w:rsidRPr="0058432E" w:rsidRDefault="00264096" w:rsidP="00D51DC6">
      <w:pPr>
        <w:pStyle w:val="BodyText"/>
        <w:keepNext/>
        <w:widowControl/>
        <w:kinsoku w:val="0"/>
        <w:overflowPunct w:val="0"/>
        <w:ind w:left="0"/>
        <w:rPr>
          <w:color w:val="000000" w:themeColor="text1"/>
        </w:rPr>
      </w:pPr>
      <w:r w:rsidRPr="0058432E">
        <w:rPr>
          <w:color w:val="000000" w:themeColor="text1"/>
          <w:u w:val="single"/>
        </w:rPr>
        <w:t>Mécanisme d’action</w:t>
      </w:r>
    </w:p>
    <w:p w14:paraId="11FA7683" w14:textId="77777777" w:rsidR="00264096" w:rsidRPr="0058432E" w:rsidRDefault="00264096" w:rsidP="0009685B">
      <w:pPr>
        <w:pStyle w:val="BodyText"/>
        <w:widowControl/>
        <w:kinsoku w:val="0"/>
        <w:overflowPunct w:val="0"/>
        <w:ind w:left="0"/>
        <w:rPr>
          <w:color w:val="000000" w:themeColor="text1"/>
        </w:rPr>
      </w:pPr>
    </w:p>
    <w:p w14:paraId="50A14A71" w14:textId="77777777" w:rsidR="00264096" w:rsidRPr="0058432E" w:rsidRDefault="00264096" w:rsidP="0009685B">
      <w:pPr>
        <w:pStyle w:val="BodyText"/>
        <w:widowControl/>
        <w:kinsoku w:val="0"/>
        <w:overflowPunct w:val="0"/>
        <w:ind w:left="0"/>
        <w:rPr>
          <w:color w:val="000000" w:themeColor="text1"/>
        </w:rPr>
      </w:pPr>
      <w:r w:rsidRPr="0058432E">
        <w:rPr>
          <w:color w:val="000000" w:themeColor="text1"/>
        </w:rPr>
        <w:t>L’adalimumab se lie spécifiquement au TNF dont il neutralise la fonction biologique en bloquant son interaction avec les récepteurs du TNF p55 et p75 situés à la surface cellulaire.</w:t>
      </w:r>
    </w:p>
    <w:p w14:paraId="56B1BC7F" w14:textId="77777777" w:rsidR="00264096" w:rsidRPr="0058432E" w:rsidRDefault="00264096" w:rsidP="006B001C">
      <w:pPr>
        <w:pStyle w:val="BodyText"/>
        <w:widowControl/>
        <w:kinsoku w:val="0"/>
        <w:overflowPunct w:val="0"/>
        <w:ind w:left="0"/>
        <w:rPr>
          <w:color w:val="000000" w:themeColor="text1"/>
        </w:rPr>
      </w:pPr>
    </w:p>
    <w:p w14:paraId="7B99401B" w14:textId="77777777" w:rsidR="00264096" w:rsidRPr="0058432E" w:rsidRDefault="00264096" w:rsidP="006B001C">
      <w:pPr>
        <w:pStyle w:val="BodyText"/>
        <w:widowControl/>
        <w:kinsoku w:val="0"/>
        <w:overflowPunct w:val="0"/>
        <w:ind w:left="0"/>
        <w:rPr>
          <w:color w:val="000000" w:themeColor="text1"/>
        </w:rPr>
      </w:pPr>
      <w:r w:rsidRPr="0058432E">
        <w:rPr>
          <w:color w:val="000000" w:themeColor="text1"/>
        </w:rPr>
        <w:t>L’adalimumab module aussi les réponses biologiques induites ou régulées par le TNF, y compris les variations des taux des molécules d</w:t>
      </w:r>
      <w:r w:rsidR="000E344A" w:rsidRPr="0058432E">
        <w:rPr>
          <w:color w:val="000000" w:themeColor="text1"/>
        </w:rPr>
        <w:t>’</w:t>
      </w:r>
      <w:r w:rsidRPr="0058432E">
        <w:rPr>
          <w:color w:val="000000" w:themeColor="text1"/>
        </w:rPr>
        <w:t>adhésion responsables de la migration des leucocytes (ELAM-1, VCAM-1 et ICAM-1 avec une CI50 de 0,1-0,2 nM).</w:t>
      </w:r>
    </w:p>
    <w:p w14:paraId="413D4232" w14:textId="77777777" w:rsidR="00264096" w:rsidRPr="0058432E" w:rsidRDefault="00264096" w:rsidP="006B001C">
      <w:pPr>
        <w:pStyle w:val="BodyText"/>
        <w:widowControl/>
        <w:kinsoku w:val="0"/>
        <w:overflowPunct w:val="0"/>
        <w:ind w:left="0"/>
        <w:rPr>
          <w:color w:val="000000" w:themeColor="text1"/>
        </w:rPr>
      </w:pPr>
    </w:p>
    <w:p w14:paraId="662151B4" w14:textId="77777777" w:rsidR="00264096" w:rsidRPr="0058432E" w:rsidRDefault="00264096" w:rsidP="006B001C">
      <w:pPr>
        <w:pStyle w:val="BodyText"/>
        <w:keepNext/>
        <w:widowControl/>
        <w:kinsoku w:val="0"/>
        <w:overflowPunct w:val="0"/>
        <w:ind w:left="0"/>
        <w:rPr>
          <w:color w:val="000000" w:themeColor="text1"/>
        </w:rPr>
      </w:pPr>
      <w:r w:rsidRPr="0058432E">
        <w:rPr>
          <w:color w:val="000000" w:themeColor="text1"/>
          <w:u w:val="single"/>
        </w:rPr>
        <w:t>Effets pharmacodynamiques</w:t>
      </w:r>
    </w:p>
    <w:p w14:paraId="2748428E" w14:textId="77777777" w:rsidR="00264096" w:rsidRPr="0058432E" w:rsidRDefault="00264096" w:rsidP="006B001C">
      <w:pPr>
        <w:pStyle w:val="BodyText"/>
        <w:keepNext/>
        <w:widowControl/>
        <w:kinsoku w:val="0"/>
        <w:overflowPunct w:val="0"/>
        <w:ind w:left="0"/>
        <w:rPr>
          <w:color w:val="000000" w:themeColor="text1"/>
        </w:rPr>
      </w:pPr>
    </w:p>
    <w:p w14:paraId="1A2E0519" w14:textId="77777777" w:rsidR="00264096" w:rsidRPr="0058432E" w:rsidRDefault="00264096" w:rsidP="006B001C">
      <w:pPr>
        <w:pStyle w:val="BodyText"/>
        <w:widowControl/>
        <w:kinsoku w:val="0"/>
        <w:overflowPunct w:val="0"/>
        <w:ind w:left="0"/>
        <w:rPr>
          <w:color w:val="000000" w:themeColor="text1"/>
        </w:rPr>
      </w:pPr>
      <w:r w:rsidRPr="0058432E">
        <w:rPr>
          <w:color w:val="000000" w:themeColor="text1"/>
        </w:rPr>
        <w:t xml:space="preserve">Après traitement par adalimumab chez des patients atteints de polyarthrite rhumatoïde, on a observé une diminution rapide du taux des </w:t>
      </w:r>
      <w:r w:rsidR="00B505DB" w:rsidRPr="0058432E">
        <w:rPr>
          <w:color w:val="000000" w:themeColor="text1"/>
        </w:rPr>
        <w:t xml:space="preserve">réactifs </w:t>
      </w:r>
      <w:r w:rsidRPr="0058432E">
        <w:rPr>
          <w:color w:val="000000" w:themeColor="text1"/>
        </w:rPr>
        <w:t>de la phase aiguë de l</w:t>
      </w:r>
      <w:r w:rsidR="00A92C88" w:rsidRPr="0058432E">
        <w:rPr>
          <w:color w:val="000000" w:themeColor="text1"/>
        </w:rPr>
        <w:t>’</w:t>
      </w:r>
      <w:r w:rsidRPr="0058432E">
        <w:rPr>
          <w:color w:val="000000" w:themeColor="text1"/>
        </w:rPr>
        <w:t>inflammation (protéine réactive C (CRP)</w:t>
      </w:r>
      <w:r w:rsidR="0059782B" w:rsidRPr="0058432E">
        <w:rPr>
          <w:color w:val="000000" w:themeColor="text1"/>
        </w:rPr>
        <w:t xml:space="preserve"> et</w:t>
      </w:r>
      <w:r w:rsidR="00213381" w:rsidRPr="0058432E">
        <w:rPr>
          <w:color w:val="000000" w:themeColor="text1"/>
        </w:rPr>
        <w:t xml:space="preserve"> </w:t>
      </w:r>
      <w:r w:rsidRPr="0058432E">
        <w:rPr>
          <w:color w:val="000000" w:themeColor="text1"/>
        </w:rPr>
        <w:t>vitesse de sédimentation</w:t>
      </w:r>
      <w:r w:rsidR="00213381" w:rsidRPr="0058432E">
        <w:rPr>
          <w:color w:val="000000" w:themeColor="text1"/>
        </w:rPr>
        <w:t xml:space="preserve"> des érythrocytes</w:t>
      </w:r>
      <w:r w:rsidRPr="0058432E">
        <w:rPr>
          <w:color w:val="000000" w:themeColor="text1"/>
        </w:rPr>
        <w:t xml:space="preserve"> [VS</w:t>
      </w:r>
      <w:r w:rsidR="00213381" w:rsidRPr="0058432E">
        <w:rPr>
          <w:color w:val="000000" w:themeColor="text1"/>
        </w:rPr>
        <w:t>E</w:t>
      </w:r>
      <w:r w:rsidRPr="0058432E">
        <w:rPr>
          <w:color w:val="000000" w:themeColor="text1"/>
        </w:rPr>
        <w:t>]) et des cytokines sériques [IL-6] par rapport aux valeurs initiales. L</w:t>
      </w:r>
      <w:r w:rsidR="006C57D0" w:rsidRPr="0058432E">
        <w:rPr>
          <w:color w:val="000000" w:themeColor="text1"/>
        </w:rPr>
        <w:t>’</w:t>
      </w:r>
      <w:r w:rsidRPr="0058432E">
        <w:rPr>
          <w:color w:val="000000" w:themeColor="text1"/>
        </w:rPr>
        <w:t>administration de l’adalimumab est également associée à une diminution des taux sériques des métalloprotéinases matricielles (MMP-1 et MMP-3) qui permettent le remodelage tissulaire responsable de la destruction cartilagineuse. Les patients traités par adalimumab présentent généralement une amélioration des signes hématologiques de l’inflammation chronique.</w:t>
      </w:r>
    </w:p>
    <w:p w14:paraId="72865CCE" w14:textId="77777777" w:rsidR="00264096" w:rsidRPr="0058432E" w:rsidRDefault="00264096" w:rsidP="0009685B">
      <w:pPr>
        <w:pStyle w:val="BodyText"/>
        <w:widowControl/>
        <w:kinsoku w:val="0"/>
        <w:overflowPunct w:val="0"/>
        <w:ind w:left="0"/>
        <w:rPr>
          <w:color w:val="000000" w:themeColor="text1"/>
        </w:rPr>
      </w:pPr>
    </w:p>
    <w:p w14:paraId="27A34B0A" w14:textId="77777777" w:rsidR="00264096" w:rsidRPr="0058432E" w:rsidRDefault="00264096" w:rsidP="0009685B">
      <w:pPr>
        <w:pStyle w:val="BodyText"/>
        <w:widowControl/>
        <w:kinsoku w:val="0"/>
        <w:overflowPunct w:val="0"/>
        <w:ind w:left="0"/>
        <w:rPr>
          <w:color w:val="000000" w:themeColor="text1"/>
        </w:rPr>
      </w:pPr>
      <w:r w:rsidRPr="0058432E">
        <w:rPr>
          <w:color w:val="000000" w:themeColor="text1"/>
        </w:rPr>
        <w:t>Une diminution rapide du taux de CRP a également été observée chez les patients atteints d’arthrite juvénile idiopathique polyarticulaire, de la maladie de Crohn, de rectocolite hémorragique et d’hidrosadénite suppurée après traitement par adalimumab. Chez les patients atteints de la maladie de Crohn, une réduction du nombre de cellules exprimant les marqueurs de l’inflammation dans le c</w:t>
      </w:r>
      <w:r w:rsidR="00590B6F" w:rsidRPr="0058432E">
        <w:rPr>
          <w:color w:val="000000" w:themeColor="text1"/>
        </w:rPr>
        <w:t>ô</w:t>
      </w:r>
      <w:r w:rsidRPr="0058432E">
        <w:rPr>
          <w:color w:val="000000" w:themeColor="text1"/>
        </w:rPr>
        <w:t>lon y compris une réduction significative de l’expression du TNFα a été observée. Des études endoscopiques sur la muqueuse intestinale ont mis en évidence une cicatrisation de la muqueuse chez les patients traités par adalimumab.</w:t>
      </w:r>
    </w:p>
    <w:p w14:paraId="3E829061" w14:textId="77777777" w:rsidR="00452285" w:rsidRPr="0058432E" w:rsidRDefault="00452285" w:rsidP="0009685B">
      <w:pPr>
        <w:rPr>
          <w:color w:val="000000" w:themeColor="text1"/>
        </w:rPr>
      </w:pPr>
    </w:p>
    <w:p w14:paraId="31E9B999" w14:textId="77777777" w:rsidR="00264096" w:rsidRPr="0058432E" w:rsidRDefault="00264096" w:rsidP="0009685B">
      <w:pPr>
        <w:pStyle w:val="BodyText"/>
        <w:keepNext/>
        <w:widowControl/>
        <w:kinsoku w:val="0"/>
        <w:overflowPunct w:val="0"/>
        <w:ind w:left="0"/>
        <w:rPr>
          <w:color w:val="000000" w:themeColor="text1"/>
        </w:rPr>
      </w:pPr>
      <w:r w:rsidRPr="0058432E">
        <w:rPr>
          <w:color w:val="000000" w:themeColor="text1"/>
          <w:u w:val="single"/>
        </w:rPr>
        <w:t>Efficacité et sécurité cliniques</w:t>
      </w:r>
    </w:p>
    <w:p w14:paraId="6E81ECAF" w14:textId="77777777" w:rsidR="00264096" w:rsidRPr="0058432E" w:rsidRDefault="00264096" w:rsidP="0009685B">
      <w:pPr>
        <w:pStyle w:val="BodyText"/>
        <w:keepNext/>
        <w:widowControl/>
        <w:kinsoku w:val="0"/>
        <w:overflowPunct w:val="0"/>
        <w:ind w:left="0"/>
        <w:rPr>
          <w:color w:val="000000" w:themeColor="text1"/>
        </w:rPr>
      </w:pPr>
    </w:p>
    <w:p w14:paraId="0961E811" w14:textId="77777777" w:rsidR="00D2772B" w:rsidRPr="0058432E" w:rsidRDefault="00D2772B" w:rsidP="0009685B">
      <w:pPr>
        <w:pStyle w:val="BodyText"/>
        <w:keepNext/>
        <w:widowControl/>
        <w:kinsoku w:val="0"/>
        <w:overflowPunct w:val="0"/>
        <w:ind w:left="0"/>
        <w:rPr>
          <w:color w:val="000000" w:themeColor="text1"/>
        </w:rPr>
      </w:pPr>
      <w:r w:rsidRPr="0058432E">
        <w:rPr>
          <w:i/>
          <w:iCs/>
          <w:color w:val="000000" w:themeColor="text1"/>
        </w:rPr>
        <w:t>Adultes avec une polyarthrite rhumatoïde</w:t>
      </w:r>
    </w:p>
    <w:p w14:paraId="0C109CA3" w14:textId="77777777" w:rsidR="00D2772B" w:rsidRPr="0058432E" w:rsidRDefault="00D2772B" w:rsidP="0009685B">
      <w:pPr>
        <w:pStyle w:val="BodyText"/>
        <w:keepNext/>
        <w:widowControl/>
        <w:kinsoku w:val="0"/>
        <w:overflowPunct w:val="0"/>
        <w:ind w:left="0"/>
        <w:rPr>
          <w:i/>
          <w:iCs/>
          <w:color w:val="000000" w:themeColor="text1"/>
          <w:szCs w:val="21"/>
        </w:rPr>
      </w:pPr>
    </w:p>
    <w:p w14:paraId="7455BF20" w14:textId="77777777" w:rsidR="00D2772B" w:rsidRPr="0058432E" w:rsidRDefault="00E56A72" w:rsidP="0009685B">
      <w:pPr>
        <w:pStyle w:val="BodyText"/>
        <w:widowControl/>
        <w:kinsoku w:val="0"/>
        <w:overflowPunct w:val="0"/>
        <w:ind w:left="0"/>
        <w:rPr>
          <w:color w:val="000000" w:themeColor="text1"/>
        </w:rPr>
      </w:pPr>
      <w:r w:rsidRPr="0058432E">
        <w:rPr>
          <w:color w:val="000000" w:themeColor="text1"/>
        </w:rPr>
        <w:t>L’adalimumab a fait l’objet d</w:t>
      </w:r>
      <w:r w:rsidR="004761E6" w:rsidRPr="0058432E">
        <w:rPr>
          <w:color w:val="000000" w:themeColor="text1"/>
        </w:rPr>
        <w:t>’</w:t>
      </w:r>
      <w:r w:rsidRPr="0058432E">
        <w:rPr>
          <w:color w:val="000000" w:themeColor="text1"/>
        </w:rPr>
        <w:t>études chez plus de 3 000 patients dans l’ensemble des essais cliniques dans la polyarthrite rhumatoïde. L</w:t>
      </w:r>
      <w:r w:rsidR="004761E6" w:rsidRPr="0058432E">
        <w:rPr>
          <w:color w:val="000000" w:themeColor="text1"/>
        </w:rPr>
        <w:t>’</w:t>
      </w:r>
      <w:r w:rsidRPr="0058432E">
        <w:rPr>
          <w:color w:val="000000" w:themeColor="text1"/>
        </w:rPr>
        <w:t xml:space="preserve">efficacité et </w:t>
      </w:r>
      <w:r w:rsidR="005175CB" w:rsidRPr="0058432E">
        <w:rPr>
          <w:color w:val="000000" w:themeColor="text1"/>
        </w:rPr>
        <w:t>la tolérance</w:t>
      </w:r>
      <w:r w:rsidRPr="0058432E">
        <w:rPr>
          <w:color w:val="000000" w:themeColor="text1"/>
        </w:rPr>
        <w:t xml:space="preserve"> de l’adalimumab ont été évalué</w:t>
      </w:r>
      <w:r w:rsidR="00B52D4E" w:rsidRPr="0058432E">
        <w:rPr>
          <w:color w:val="000000" w:themeColor="text1"/>
        </w:rPr>
        <w:t>e</w:t>
      </w:r>
      <w:r w:rsidRPr="0058432E">
        <w:rPr>
          <w:color w:val="000000" w:themeColor="text1"/>
        </w:rPr>
        <w:t>s dans cinq études contrôlées randomisées, en double aveugle. Certains patients ont été traités pendant 120 mois.</w:t>
      </w:r>
    </w:p>
    <w:p w14:paraId="18922B62" w14:textId="77777777" w:rsidR="00D2772B" w:rsidRPr="0058432E" w:rsidRDefault="00D2772B" w:rsidP="0009685B">
      <w:pPr>
        <w:pStyle w:val="BodyText"/>
        <w:widowControl/>
        <w:kinsoku w:val="0"/>
        <w:overflowPunct w:val="0"/>
        <w:ind w:left="0"/>
        <w:rPr>
          <w:color w:val="000000" w:themeColor="text1"/>
        </w:rPr>
      </w:pPr>
    </w:p>
    <w:p w14:paraId="3A9712B6"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L’étude</w:t>
      </w:r>
      <w:r w:rsidR="007A5F14" w:rsidRPr="0058432E">
        <w:rPr>
          <w:color w:val="000000" w:themeColor="text1"/>
        </w:rPr>
        <w:t> </w:t>
      </w:r>
      <w:r w:rsidRPr="0058432E">
        <w:rPr>
          <w:color w:val="000000" w:themeColor="text1"/>
        </w:rPr>
        <w:t xml:space="preserve">I sur </w:t>
      </w:r>
      <w:proofErr w:type="gramStart"/>
      <w:r w:rsidRPr="0058432E">
        <w:rPr>
          <w:color w:val="000000" w:themeColor="text1"/>
        </w:rPr>
        <w:t>la PR</w:t>
      </w:r>
      <w:proofErr w:type="gramEnd"/>
      <w:r w:rsidRPr="0058432E">
        <w:rPr>
          <w:color w:val="000000" w:themeColor="text1"/>
        </w:rPr>
        <w:t xml:space="preserve"> a porté sur 271 patients atteints de polyarthrite rhumatoïde </w:t>
      </w:r>
      <w:r w:rsidR="007B1DF4"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Pr="0058432E">
        <w:rPr>
          <w:color w:val="000000" w:themeColor="text1"/>
        </w:rPr>
        <w:t xml:space="preserve"> avait échoué et chez qui le méthotrexate à la posologie de 12,5 à 25 mg/semaine (10 mg en cas d</w:t>
      </w:r>
      <w:r w:rsidR="008B7FEA" w:rsidRPr="0058432E">
        <w:rPr>
          <w:color w:val="000000" w:themeColor="text1"/>
        </w:rPr>
        <w:t>’</w:t>
      </w:r>
      <w:r w:rsidRPr="0058432E">
        <w:rPr>
          <w:color w:val="000000" w:themeColor="text1"/>
        </w:rPr>
        <w:t>intolérance au méthotrexate), s</w:t>
      </w:r>
      <w:r w:rsidR="00481633" w:rsidRPr="0058432E">
        <w:rPr>
          <w:color w:val="000000" w:themeColor="text1"/>
        </w:rPr>
        <w:t>’</w:t>
      </w:r>
      <w:r w:rsidRPr="0058432E">
        <w:rPr>
          <w:color w:val="000000" w:themeColor="text1"/>
        </w:rPr>
        <w:t>était avéré insuffisamment efficace alors que la dose de méthotrexate était restée constante de 10 à 25 mg par semaine. Ces patients ont reçu 20, 40 ou 80 mg d’adalimumab ou un placebo toutes les deux semaines pendant 24 semaines.</w:t>
      </w:r>
    </w:p>
    <w:p w14:paraId="50B5AE3A" w14:textId="77777777" w:rsidR="00D2772B" w:rsidRPr="0058432E" w:rsidRDefault="00D2772B" w:rsidP="0009685B">
      <w:pPr>
        <w:pStyle w:val="BodyText"/>
        <w:widowControl/>
        <w:kinsoku w:val="0"/>
        <w:overflowPunct w:val="0"/>
        <w:ind w:left="0"/>
        <w:rPr>
          <w:color w:val="000000" w:themeColor="text1"/>
        </w:rPr>
      </w:pPr>
    </w:p>
    <w:p w14:paraId="64E9C64D"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L’étude</w:t>
      </w:r>
      <w:r w:rsidR="003A2C44" w:rsidRPr="0058432E">
        <w:rPr>
          <w:color w:val="000000" w:themeColor="text1"/>
        </w:rPr>
        <w:t> </w:t>
      </w:r>
      <w:r w:rsidRPr="0058432E">
        <w:rPr>
          <w:color w:val="000000" w:themeColor="text1"/>
        </w:rPr>
        <w:t xml:space="preserve">II sur </w:t>
      </w:r>
      <w:proofErr w:type="gramStart"/>
      <w:r w:rsidRPr="0058432E">
        <w:rPr>
          <w:color w:val="000000" w:themeColor="text1"/>
        </w:rPr>
        <w:t>la PR</w:t>
      </w:r>
      <w:proofErr w:type="gramEnd"/>
      <w:r w:rsidRPr="0058432E">
        <w:rPr>
          <w:color w:val="000000" w:themeColor="text1"/>
        </w:rPr>
        <w:t xml:space="preserve"> a évalué 544 patients atteints de polyarthrite rhumatoïde </w:t>
      </w:r>
      <w:r w:rsidR="00FE50EF"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Pr="0058432E">
        <w:rPr>
          <w:color w:val="000000" w:themeColor="text1"/>
        </w:rPr>
        <w:t xml:space="preserve"> avait échoué. Les patients ont été traités par 20 ou 40 mg d’adalimumab par voie sous-cutanée toutes les deux semaines en alternance avec un placebo, ou chaque semaine pendant 26 semaines ; un placebo a été administré toutes les semaines pendant la même durée. Aucun autre </w:t>
      </w:r>
      <w:r w:rsidR="007B1DF4" w:rsidRPr="0058432E">
        <w:rPr>
          <w:color w:val="000000" w:themeColor="text1"/>
        </w:rPr>
        <w:t>DMARD</w:t>
      </w:r>
      <w:r w:rsidRPr="0058432E">
        <w:rPr>
          <w:color w:val="000000" w:themeColor="text1"/>
        </w:rPr>
        <w:t xml:space="preserve"> n’était autorisé.</w:t>
      </w:r>
    </w:p>
    <w:p w14:paraId="77697300" w14:textId="77777777" w:rsidR="00D2772B" w:rsidRPr="0058432E" w:rsidRDefault="00D2772B" w:rsidP="0009685B">
      <w:pPr>
        <w:pStyle w:val="BodyText"/>
        <w:widowControl/>
        <w:kinsoku w:val="0"/>
        <w:overflowPunct w:val="0"/>
        <w:ind w:left="0"/>
        <w:rPr>
          <w:color w:val="000000" w:themeColor="text1"/>
          <w:szCs w:val="21"/>
        </w:rPr>
      </w:pPr>
    </w:p>
    <w:p w14:paraId="236DD0F2"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L’étude</w:t>
      </w:r>
      <w:r w:rsidR="00DA6255" w:rsidRPr="0058432E">
        <w:rPr>
          <w:color w:val="000000" w:themeColor="text1"/>
        </w:rPr>
        <w:t> </w:t>
      </w:r>
      <w:r w:rsidRPr="0058432E">
        <w:rPr>
          <w:color w:val="000000" w:themeColor="text1"/>
        </w:rPr>
        <w:t xml:space="preserve">III sur </w:t>
      </w:r>
      <w:proofErr w:type="gramStart"/>
      <w:r w:rsidRPr="0058432E">
        <w:rPr>
          <w:color w:val="000000" w:themeColor="text1"/>
        </w:rPr>
        <w:t>la PR</w:t>
      </w:r>
      <w:proofErr w:type="gramEnd"/>
      <w:r w:rsidRPr="0058432E">
        <w:rPr>
          <w:color w:val="000000" w:themeColor="text1"/>
        </w:rPr>
        <w:t xml:space="preserve"> a évalué 619 patients atteints de polyarthrite rhumatoïde </w:t>
      </w:r>
      <w:r w:rsidR="00FE50EF" w:rsidRPr="0058432E">
        <w:rPr>
          <w:color w:val="000000" w:themeColor="text1"/>
        </w:rPr>
        <w:t>active modérée à sévère</w:t>
      </w:r>
      <w:r w:rsidRPr="0058432E">
        <w:rPr>
          <w:color w:val="000000" w:themeColor="text1"/>
        </w:rPr>
        <w:t>, âgés de 18 ans et plus qui n’avaient pas présenté de réponse au méthotrexate aux doses de 12,5 à 25 mg ou qui ne toléraient pas une dose de 10 mg de méthotrexate une fois par semaine. L’étude a comporté trois groupes : le premier a reçu des injections hebdomadaires de placebo pendant 52 semaines, le deuxième a reçu 20 mg d’adalimumab toutes les semaines pendant 52 semaines et le troisième a été traité par 40 mg d’adalimumab toutes les deux semaines en alternance avec le placebo. Après la fin de la première période de 52</w:t>
      </w:r>
      <w:r w:rsidR="00686266" w:rsidRPr="0058432E">
        <w:rPr>
          <w:color w:val="000000" w:themeColor="text1"/>
        </w:rPr>
        <w:t> </w:t>
      </w:r>
      <w:r w:rsidRPr="0058432E">
        <w:rPr>
          <w:color w:val="000000" w:themeColor="text1"/>
        </w:rPr>
        <w:t>semaines, 457</w:t>
      </w:r>
      <w:r w:rsidR="00CC1F72" w:rsidRPr="0058432E">
        <w:rPr>
          <w:color w:val="000000" w:themeColor="text1"/>
        </w:rPr>
        <w:t> </w:t>
      </w:r>
      <w:r w:rsidRPr="0058432E">
        <w:rPr>
          <w:color w:val="000000" w:themeColor="text1"/>
        </w:rPr>
        <w:t>patients ont été inclus dans une phase d’extension en ouvert au cours de laquelle l’adalimumab a été administré à la dose de 40 mg toutes les deux semaines en association au méthotrexate pendant 10 ans.</w:t>
      </w:r>
    </w:p>
    <w:p w14:paraId="46F596D3" w14:textId="77777777" w:rsidR="00D2772B" w:rsidRPr="0058432E" w:rsidRDefault="00D2772B" w:rsidP="0009685B">
      <w:pPr>
        <w:pStyle w:val="BodyText"/>
        <w:widowControl/>
        <w:kinsoku w:val="0"/>
        <w:overflowPunct w:val="0"/>
        <w:ind w:left="0"/>
        <w:rPr>
          <w:color w:val="000000" w:themeColor="text1"/>
        </w:rPr>
      </w:pPr>
    </w:p>
    <w:p w14:paraId="56A7FE5C"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L’étude</w:t>
      </w:r>
      <w:r w:rsidR="00F04A58" w:rsidRPr="0058432E">
        <w:rPr>
          <w:color w:val="000000" w:themeColor="text1"/>
        </w:rPr>
        <w:t> </w:t>
      </w:r>
      <w:r w:rsidRPr="0058432E">
        <w:rPr>
          <w:color w:val="000000" w:themeColor="text1"/>
        </w:rPr>
        <w:t xml:space="preserve">IV sur </w:t>
      </w:r>
      <w:proofErr w:type="gramStart"/>
      <w:r w:rsidRPr="0058432E">
        <w:rPr>
          <w:color w:val="000000" w:themeColor="text1"/>
        </w:rPr>
        <w:t>la PR</w:t>
      </w:r>
      <w:proofErr w:type="gramEnd"/>
      <w:r w:rsidRPr="0058432E">
        <w:rPr>
          <w:color w:val="000000" w:themeColor="text1"/>
        </w:rPr>
        <w:t xml:space="preserve"> a évalué principalement la </w:t>
      </w:r>
      <w:r w:rsidR="0059782B" w:rsidRPr="0058432E">
        <w:rPr>
          <w:color w:val="000000" w:themeColor="text1"/>
        </w:rPr>
        <w:t>tolérance</w:t>
      </w:r>
      <w:r w:rsidR="001811A3" w:rsidRPr="0058432E">
        <w:rPr>
          <w:color w:val="000000" w:themeColor="text1"/>
        </w:rPr>
        <w:t xml:space="preserve"> </w:t>
      </w:r>
      <w:r w:rsidRPr="0058432E">
        <w:rPr>
          <w:color w:val="000000" w:themeColor="text1"/>
        </w:rPr>
        <w:t xml:space="preserve">chez 636 patients atteints de polyarthrite rhumatoïde </w:t>
      </w:r>
      <w:r w:rsidR="00EF7EE9" w:rsidRPr="0058432E">
        <w:rPr>
          <w:color w:val="000000" w:themeColor="text1"/>
        </w:rPr>
        <w:t>active</w:t>
      </w:r>
      <w:r w:rsidRPr="0058432E">
        <w:rPr>
          <w:color w:val="000000" w:themeColor="text1"/>
        </w:rPr>
        <w:t xml:space="preserve"> modérée à sévère et âgés de 18 ans et plus. Les patients pouvaient n’avoir jamais reçu de </w:t>
      </w:r>
      <w:r w:rsidR="007B1DF4" w:rsidRPr="0058432E">
        <w:rPr>
          <w:color w:val="000000" w:themeColor="text1"/>
        </w:rPr>
        <w:t>DMARD</w:t>
      </w:r>
      <w:r w:rsidRPr="0058432E">
        <w:rPr>
          <w:color w:val="000000" w:themeColor="text1"/>
        </w:rPr>
        <w:t xml:space="preserve"> ou pouvaient poursuivre leur traitement rhumatologique préexistant pourvu que ce dernier soit stable depuis au moins 28 jours. Ces traitements comprenaient le méthotrexate, le léflunomide, l’hydroxychloroquine, la sulfasalazine et/ou les sels d’or. Les patients après randomisation ont reçu soit 40 mg d’adalimumab soit un placebo toutes les deux semaines pendant 24 semaines.</w:t>
      </w:r>
    </w:p>
    <w:p w14:paraId="05D5E3DF" w14:textId="77777777" w:rsidR="00D2772B" w:rsidRPr="0058432E" w:rsidRDefault="00D2772B" w:rsidP="0009685B">
      <w:pPr>
        <w:pStyle w:val="BodyText"/>
        <w:widowControl/>
        <w:kinsoku w:val="0"/>
        <w:overflowPunct w:val="0"/>
        <w:ind w:left="0"/>
        <w:rPr>
          <w:color w:val="000000" w:themeColor="text1"/>
          <w:szCs w:val="21"/>
        </w:rPr>
      </w:pPr>
    </w:p>
    <w:p w14:paraId="79938A52" w14:textId="77777777" w:rsidR="00D2772B" w:rsidRPr="0058432E" w:rsidRDefault="00D2772B" w:rsidP="00971955">
      <w:pPr>
        <w:pStyle w:val="BodyText"/>
        <w:widowControl/>
        <w:kinsoku w:val="0"/>
        <w:overflowPunct w:val="0"/>
        <w:ind w:left="0"/>
        <w:rPr>
          <w:color w:val="000000" w:themeColor="text1"/>
        </w:rPr>
      </w:pPr>
      <w:r w:rsidRPr="0058432E">
        <w:rPr>
          <w:color w:val="000000" w:themeColor="text1"/>
        </w:rPr>
        <w:t>L’étude</w:t>
      </w:r>
      <w:r w:rsidR="00182B28" w:rsidRPr="0058432E">
        <w:rPr>
          <w:color w:val="000000" w:themeColor="text1"/>
        </w:rPr>
        <w:t> </w:t>
      </w:r>
      <w:r w:rsidRPr="0058432E">
        <w:rPr>
          <w:color w:val="000000" w:themeColor="text1"/>
        </w:rPr>
        <w:t xml:space="preserve">V sur </w:t>
      </w:r>
      <w:proofErr w:type="gramStart"/>
      <w:r w:rsidRPr="0058432E">
        <w:rPr>
          <w:color w:val="000000" w:themeColor="text1"/>
        </w:rPr>
        <w:t>la PR</w:t>
      </w:r>
      <w:proofErr w:type="gramEnd"/>
      <w:r w:rsidRPr="0058432E">
        <w:rPr>
          <w:color w:val="000000" w:themeColor="text1"/>
        </w:rPr>
        <w:t xml:space="preserve"> a évalué 799 patients adultes naïfs de méthotrexate ayant une polyarthrite rhumatoïde </w:t>
      </w:r>
      <w:r w:rsidR="00FE50EF" w:rsidRPr="0058432E">
        <w:rPr>
          <w:color w:val="000000" w:themeColor="text1"/>
        </w:rPr>
        <w:t>active modérée à sévère</w:t>
      </w:r>
      <w:r w:rsidRPr="0058432E">
        <w:rPr>
          <w:color w:val="000000" w:themeColor="text1"/>
        </w:rPr>
        <w:t xml:space="preserve">, récente (durée moyenne de la maladie inférieure à 9 mois). Cette étude a évalué l’efficacité de l’association adalimumab à la dose de 40 mg toutes les deux semaines/méthotrexate, adalimumab </w:t>
      </w:r>
      <w:r w:rsidR="00724E80" w:rsidRPr="0058432E">
        <w:rPr>
          <w:color w:val="000000" w:themeColor="text1"/>
        </w:rPr>
        <w:t xml:space="preserve">à la dose de </w:t>
      </w:r>
      <w:r w:rsidRPr="0058432E">
        <w:rPr>
          <w:color w:val="000000" w:themeColor="text1"/>
        </w:rPr>
        <w:t xml:space="preserve">40 mg toutes les deux semaines en monothérapie et une monothérapie de méthotrexate </w:t>
      </w:r>
      <w:r w:rsidR="00B07390" w:rsidRPr="0058432E">
        <w:rPr>
          <w:color w:val="000000" w:themeColor="text1"/>
        </w:rPr>
        <w:t xml:space="preserve">pour réduire </w:t>
      </w:r>
      <w:r w:rsidRPr="0058432E">
        <w:rPr>
          <w:color w:val="000000" w:themeColor="text1"/>
        </w:rPr>
        <w:t xml:space="preserve">les signes et symptômes et le taux de progression des dommages </w:t>
      </w:r>
      <w:r w:rsidR="00F32359" w:rsidRPr="0058432E">
        <w:rPr>
          <w:color w:val="000000" w:themeColor="text1"/>
        </w:rPr>
        <w:t xml:space="preserve">articulaires </w:t>
      </w:r>
      <w:r w:rsidRPr="0058432E">
        <w:rPr>
          <w:color w:val="000000" w:themeColor="text1"/>
        </w:rPr>
        <w:t>dans la polyarthrite rhumatoïde, pendant 104 semaines. Après la fin de la première période de 104 semaines, 497 patients ont été inclus dans une phase d’extension en ouvert au cours de laquelle l’adalimumab a été administré à la dose de 40 mg toutes les deux semaines jusqu’à 10 ans.</w:t>
      </w:r>
    </w:p>
    <w:p w14:paraId="2C2E615A" w14:textId="77777777" w:rsidR="00D2772B" w:rsidRPr="0058432E" w:rsidRDefault="00D2772B" w:rsidP="0009685B">
      <w:pPr>
        <w:pStyle w:val="BodyText"/>
        <w:widowControl/>
        <w:kinsoku w:val="0"/>
        <w:overflowPunct w:val="0"/>
        <w:ind w:left="0"/>
        <w:rPr>
          <w:color w:val="000000" w:themeColor="text1"/>
          <w:szCs w:val="21"/>
        </w:rPr>
      </w:pPr>
    </w:p>
    <w:p w14:paraId="0A599363"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 xml:space="preserve">Le critère </w:t>
      </w:r>
      <w:r w:rsidR="00532C97" w:rsidRPr="0058432E">
        <w:rPr>
          <w:color w:val="000000" w:themeColor="text1"/>
        </w:rPr>
        <w:t>d’évaluation</w:t>
      </w:r>
      <w:r w:rsidRPr="0058432E">
        <w:rPr>
          <w:color w:val="000000" w:themeColor="text1"/>
        </w:rPr>
        <w:t xml:space="preserve"> principal des études</w:t>
      </w:r>
      <w:r w:rsidR="00586A67" w:rsidRPr="0058432E">
        <w:rPr>
          <w:color w:val="000000" w:themeColor="text1"/>
        </w:rPr>
        <w:t> </w:t>
      </w:r>
      <w:r w:rsidRPr="0058432E">
        <w:rPr>
          <w:color w:val="000000" w:themeColor="text1"/>
        </w:rPr>
        <w:t xml:space="preserve">I, II et III sur </w:t>
      </w:r>
      <w:proofErr w:type="gramStart"/>
      <w:r w:rsidRPr="0058432E">
        <w:rPr>
          <w:color w:val="000000" w:themeColor="text1"/>
        </w:rPr>
        <w:t>la PR</w:t>
      </w:r>
      <w:proofErr w:type="gramEnd"/>
      <w:r w:rsidRPr="0058432E">
        <w:rPr>
          <w:color w:val="000000" w:themeColor="text1"/>
        </w:rPr>
        <w:t xml:space="preserve"> et le critère </w:t>
      </w:r>
      <w:r w:rsidR="00532C97" w:rsidRPr="0058432E">
        <w:rPr>
          <w:color w:val="000000" w:themeColor="text1"/>
        </w:rPr>
        <w:t>d’évaluation</w:t>
      </w:r>
      <w:r w:rsidRPr="0058432E">
        <w:rPr>
          <w:color w:val="000000" w:themeColor="text1"/>
        </w:rPr>
        <w:t xml:space="preserve"> secondaire de l</w:t>
      </w:r>
      <w:r w:rsidR="00C141DB" w:rsidRPr="0058432E">
        <w:rPr>
          <w:color w:val="000000" w:themeColor="text1"/>
        </w:rPr>
        <w:t>’</w:t>
      </w:r>
      <w:r w:rsidRPr="0058432E">
        <w:rPr>
          <w:color w:val="000000" w:themeColor="text1"/>
        </w:rPr>
        <w:t>étude</w:t>
      </w:r>
      <w:r w:rsidR="00C141DB" w:rsidRPr="0058432E">
        <w:rPr>
          <w:color w:val="000000" w:themeColor="text1"/>
        </w:rPr>
        <w:t> </w:t>
      </w:r>
      <w:r w:rsidRPr="0058432E">
        <w:rPr>
          <w:color w:val="000000" w:themeColor="text1"/>
        </w:rPr>
        <w:t xml:space="preserve">IV sur </w:t>
      </w:r>
      <w:proofErr w:type="gramStart"/>
      <w:r w:rsidRPr="0058432E">
        <w:rPr>
          <w:color w:val="000000" w:themeColor="text1"/>
        </w:rPr>
        <w:t>la PR</w:t>
      </w:r>
      <w:proofErr w:type="gramEnd"/>
      <w:r w:rsidRPr="0058432E">
        <w:rPr>
          <w:color w:val="000000" w:themeColor="text1"/>
        </w:rPr>
        <w:t xml:space="preserve"> étaient le pourcentage de patients ayant obtenu une réponse ACR 20 à la 24</w:t>
      </w:r>
      <w:r w:rsidRPr="0058432E">
        <w:rPr>
          <w:color w:val="000000" w:themeColor="text1"/>
          <w:vertAlign w:val="superscript"/>
        </w:rPr>
        <w:t>e</w:t>
      </w:r>
      <w:r w:rsidRPr="0058432E">
        <w:rPr>
          <w:color w:val="000000" w:themeColor="text1"/>
        </w:rPr>
        <w:t xml:space="preserve"> ou la 26</w:t>
      </w:r>
      <w:r w:rsidRPr="0058432E">
        <w:rPr>
          <w:color w:val="000000" w:themeColor="text1"/>
          <w:vertAlign w:val="superscript"/>
        </w:rPr>
        <w:t>e</w:t>
      </w:r>
      <w:r w:rsidR="001B3889" w:rsidRPr="0058432E">
        <w:rPr>
          <w:color w:val="000000" w:themeColor="text1"/>
        </w:rPr>
        <w:t> </w:t>
      </w:r>
      <w:r w:rsidRPr="0058432E">
        <w:rPr>
          <w:color w:val="000000" w:themeColor="text1"/>
        </w:rPr>
        <w:t xml:space="preserve">semaine. Le critère </w:t>
      </w:r>
      <w:r w:rsidR="00532C97" w:rsidRPr="0058432E">
        <w:rPr>
          <w:color w:val="000000" w:themeColor="text1"/>
        </w:rPr>
        <w:t>d’évaluation</w:t>
      </w:r>
      <w:r w:rsidRPr="0058432E">
        <w:rPr>
          <w:color w:val="000000" w:themeColor="text1"/>
        </w:rPr>
        <w:t xml:space="preserve"> principal dans l’étude V sur </w:t>
      </w:r>
      <w:proofErr w:type="gramStart"/>
      <w:r w:rsidRPr="0058432E">
        <w:rPr>
          <w:color w:val="000000" w:themeColor="text1"/>
        </w:rPr>
        <w:t>la PR</w:t>
      </w:r>
      <w:proofErr w:type="gramEnd"/>
      <w:r w:rsidRPr="0058432E">
        <w:rPr>
          <w:color w:val="000000" w:themeColor="text1"/>
        </w:rPr>
        <w:t xml:space="preserve"> était le pourcentage de patients qui avaient obtenu une réponse ACR 50 à la semaine 52. Les études</w:t>
      </w:r>
      <w:r w:rsidR="00E16601" w:rsidRPr="0058432E">
        <w:rPr>
          <w:color w:val="000000" w:themeColor="text1"/>
        </w:rPr>
        <w:t> </w:t>
      </w:r>
      <w:r w:rsidRPr="0058432E">
        <w:rPr>
          <w:color w:val="000000" w:themeColor="text1"/>
        </w:rPr>
        <w:t xml:space="preserve">III et V sur </w:t>
      </w:r>
      <w:proofErr w:type="gramStart"/>
      <w:r w:rsidRPr="0058432E">
        <w:rPr>
          <w:color w:val="000000" w:themeColor="text1"/>
        </w:rPr>
        <w:t>la PR</w:t>
      </w:r>
      <w:proofErr w:type="gramEnd"/>
      <w:r w:rsidRPr="0058432E">
        <w:rPr>
          <w:color w:val="000000" w:themeColor="text1"/>
        </w:rPr>
        <w:t xml:space="preserve"> avaient un critère </w:t>
      </w:r>
      <w:r w:rsidR="00532C97" w:rsidRPr="0058432E">
        <w:rPr>
          <w:color w:val="000000" w:themeColor="text1"/>
        </w:rPr>
        <w:t>d’évaluation</w:t>
      </w:r>
      <w:r w:rsidRPr="0058432E">
        <w:rPr>
          <w:color w:val="000000" w:themeColor="text1"/>
        </w:rPr>
        <w:t xml:space="preserve"> principal supplémentaire à 52 semaines</w:t>
      </w:r>
      <w:r w:rsidR="00532C97" w:rsidRPr="0058432E">
        <w:rPr>
          <w:color w:val="000000" w:themeColor="text1"/>
        </w:rPr>
        <w:t>,</w:t>
      </w:r>
      <w:r w:rsidRPr="0058432E">
        <w:rPr>
          <w:color w:val="000000" w:themeColor="text1"/>
        </w:rPr>
        <w:t xml:space="preserve"> à savoir le retard de progression de la maladie (attesté par les résultats radiologiques). L’étude III sur </w:t>
      </w:r>
      <w:proofErr w:type="gramStart"/>
      <w:r w:rsidRPr="0058432E">
        <w:rPr>
          <w:color w:val="000000" w:themeColor="text1"/>
        </w:rPr>
        <w:t>la PR</w:t>
      </w:r>
      <w:proofErr w:type="gramEnd"/>
      <w:r w:rsidRPr="0058432E">
        <w:rPr>
          <w:color w:val="000000" w:themeColor="text1"/>
        </w:rPr>
        <w:t xml:space="preserve"> avait aussi comme critère </w:t>
      </w:r>
      <w:r w:rsidR="00532C97" w:rsidRPr="0058432E">
        <w:rPr>
          <w:color w:val="000000" w:themeColor="text1"/>
        </w:rPr>
        <w:t>d’évaluation</w:t>
      </w:r>
      <w:r w:rsidRPr="0058432E">
        <w:rPr>
          <w:color w:val="000000" w:themeColor="text1"/>
        </w:rPr>
        <w:t xml:space="preserve"> principal les modifications de la qualité de vie.</w:t>
      </w:r>
    </w:p>
    <w:p w14:paraId="297800B4" w14:textId="77777777" w:rsidR="00D2772B" w:rsidRPr="0058432E" w:rsidRDefault="00D2772B" w:rsidP="0009685B">
      <w:pPr>
        <w:pStyle w:val="BodyText"/>
        <w:widowControl/>
        <w:kinsoku w:val="0"/>
        <w:overflowPunct w:val="0"/>
        <w:ind w:left="0"/>
        <w:rPr>
          <w:color w:val="000000" w:themeColor="text1"/>
        </w:rPr>
      </w:pPr>
    </w:p>
    <w:p w14:paraId="7BBFB4A8" w14:textId="77777777" w:rsidR="00D2772B" w:rsidRPr="0058432E" w:rsidRDefault="00D2772B" w:rsidP="00D51DC6">
      <w:pPr>
        <w:pStyle w:val="BodyText"/>
        <w:keepNext/>
        <w:widowControl/>
        <w:kinsoku w:val="0"/>
        <w:overflowPunct w:val="0"/>
        <w:ind w:left="0"/>
        <w:rPr>
          <w:color w:val="000000" w:themeColor="text1"/>
        </w:rPr>
      </w:pPr>
      <w:r w:rsidRPr="0058432E">
        <w:rPr>
          <w:i/>
          <w:iCs/>
          <w:color w:val="000000" w:themeColor="text1"/>
          <w:u w:val="single"/>
        </w:rPr>
        <w:t>Réponse ACR</w:t>
      </w:r>
    </w:p>
    <w:p w14:paraId="048284E0" w14:textId="77777777" w:rsidR="00D2772B" w:rsidRPr="0058432E" w:rsidRDefault="00D2772B" w:rsidP="00D51DC6">
      <w:pPr>
        <w:pStyle w:val="BodyText"/>
        <w:keepNext/>
        <w:widowControl/>
        <w:kinsoku w:val="0"/>
        <w:overflowPunct w:val="0"/>
        <w:ind w:left="0"/>
        <w:rPr>
          <w:i/>
          <w:iCs/>
          <w:color w:val="000000" w:themeColor="text1"/>
        </w:rPr>
      </w:pPr>
    </w:p>
    <w:p w14:paraId="1E3031F6" w14:textId="77777777" w:rsidR="00D2772B" w:rsidRPr="0058432E" w:rsidRDefault="00D2772B" w:rsidP="0009685B">
      <w:pPr>
        <w:pStyle w:val="BodyText"/>
        <w:widowControl/>
        <w:kinsoku w:val="0"/>
        <w:overflowPunct w:val="0"/>
        <w:ind w:left="0"/>
        <w:rPr>
          <w:color w:val="000000" w:themeColor="text1"/>
        </w:rPr>
      </w:pPr>
      <w:r w:rsidRPr="0058432E">
        <w:rPr>
          <w:color w:val="000000" w:themeColor="text1"/>
        </w:rPr>
        <w:t xml:space="preserve">Le pourcentage de patients sous adalimumab qui ont obtenu une réponse ACR 20, 50 ou 70 a été cohérent dans les </w:t>
      </w:r>
      <w:r w:rsidR="005776BD" w:rsidRPr="0058432E">
        <w:rPr>
          <w:color w:val="000000" w:themeColor="text1"/>
        </w:rPr>
        <w:t>études </w:t>
      </w:r>
      <w:r w:rsidRPr="0058432E">
        <w:rPr>
          <w:color w:val="000000" w:themeColor="text1"/>
        </w:rPr>
        <w:t>I, II et III sur la PR. Le tableau </w:t>
      </w:r>
      <w:r w:rsidR="006B2FBE" w:rsidRPr="0058432E">
        <w:rPr>
          <w:color w:val="000000" w:themeColor="text1"/>
        </w:rPr>
        <w:t>7</w:t>
      </w:r>
      <w:r w:rsidRPr="0058432E">
        <w:rPr>
          <w:color w:val="000000" w:themeColor="text1"/>
        </w:rPr>
        <w:t xml:space="preserve"> résume les résultats obtenus à la posologie de 40 mg toutes les deux semaines.</w:t>
      </w:r>
    </w:p>
    <w:p w14:paraId="39F960C4" w14:textId="77777777" w:rsidR="00264096" w:rsidRPr="0058432E" w:rsidRDefault="00264096" w:rsidP="00905FFD">
      <w:pPr>
        <w:rPr>
          <w:color w:val="000000" w:themeColor="text1"/>
        </w:rPr>
      </w:pPr>
    </w:p>
    <w:p w14:paraId="2F021419" w14:textId="77777777" w:rsidR="00D2772B" w:rsidRPr="0058432E" w:rsidRDefault="00D2772B" w:rsidP="006D1A33">
      <w:pPr>
        <w:pStyle w:val="BodyText"/>
        <w:keepNext/>
        <w:keepLines/>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7</w:t>
      </w:r>
      <w:r w:rsidR="00905FFD" w:rsidRPr="0058432E">
        <w:rPr>
          <w:b/>
          <w:color w:val="000000" w:themeColor="text1"/>
        </w:rPr>
        <w:t>.</w:t>
      </w:r>
    </w:p>
    <w:p w14:paraId="7DC9D533" w14:textId="77777777" w:rsidR="00FB15B9" w:rsidRPr="0058432E" w:rsidRDefault="00FB15B9" w:rsidP="00A53E17">
      <w:pPr>
        <w:keepNext/>
        <w:rPr>
          <w:b/>
          <w:color w:val="000000" w:themeColor="text1"/>
        </w:rPr>
      </w:pPr>
      <w:r w:rsidRPr="0058432E">
        <w:rPr>
          <w:b/>
          <w:color w:val="000000" w:themeColor="text1"/>
        </w:rPr>
        <w:t>Réponses ACR dans les essais contrôlés contre placebo (pourcentage de patients)</w:t>
      </w:r>
    </w:p>
    <w:p w14:paraId="430508BA" w14:textId="77777777" w:rsidR="00FB15B9" w:rsidRPr="0058432E" w:rsidRDefault="00FB15B9" w:rsidP="00FB15B9">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023"/>
        <w:gridCol w:w="1616"/>
        <w:gridCol w:w="1033"/>
        <w:gridCol w:w="1686"/>
        <w:gridCol w:w="1000"/>
        <w:gridCol w:w="1544"/>
      </w:tblGrid>
      <w:tr w:rsidR="00FB15B9" w:rsidRPr="0058432E" w14:paraId="4FECE2C1" w14:textId="77777777" w:rsidTr="00B51A46">
        <w:trPr>
          <w:tblHeader/>
        </w:trPr>
        <w:tc>
          <w:tcPr>
            <w:tcW w:w="1239" w:type="dxa"/>
            <w:vMerge w:val="restart"/>
            <w:shd w:val="clear" w:color="auto" w:fill="auto"/>
          </w:tcPr>
          <w:p w14:paraId="332CA382" w14:textId="77777777" w:rsidR="00FB15B9" w:rsidRPr="0058432E" w:rsidRDefault="00FB15B9" w:rsidP="00D67346">
            <w:pPr>
              <w:pStyle w:val="TableParagraph"/>
              <w:keepNext/>
              <w:keepLines/>
              <w:widowControl/>
              <w:kinsoku w:val="0"/>
              <w:overflowPunct w:val="0"/>
              <w:spacing w:before="7"/>
              <w:ind w:left="-2"/>
              <w:rPr>
                <w:rFonts w:ascii="Times New Roman" w:hAnsi="Times New Roman"/>
                <w:b/>
                <w:color w:val="000000" w:themeColor="text1"/>
              </w:rPr>
            </w:pPr>
            <w:r w:rsidRPr="0058432E">
              <w:rPr>
                <w:rFonts w:ascii="Times New Roman" w:hAnsi="Times New Roman"/>
                <w:b/>
                <w:color w:val="000000" w:themeColor="text1"/>
              </w:rPr>
              <w:t>Réponse</w:t>
            </w:r>
          </w:p>
        </w:tc>
        <w:tc>
          <w:tcPr>
            <w:tcW w:w="2642" w:type="dxa"/>
            <w:gridSpan w:val="2"/>
            <w:shd w:val="clear" w:color="auto" w:fill="auto"/>
            <w:vAlign w:val="center"/>
          </w:tcPr>
          <w:p w14:paraId="52898732" w14:textId="77777777" w:rsidR="00FB15B9" w:rsidRPr="0058432E" w:rsidRDefault="00FB15B9" w:rsidP="00D67346">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58432E">
              <w:rPr>
                <w:rFonts w:ascii="Times New Roman" w:hAnsi="Times New Roman"/>
                <w:b/>
                <w:color w:val="000000" w:themeColor="text1"/>
              </w:rPr>
              <w:t>Étude 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722" w:type="dxa"/>
            <w:gridSpan w:val="2"/>
            <w:shd w:val="clear" w:color="auto" w:fill="auto"/>
            <w:vAlign w:val="center"/>
          </w:tcPr>
          <w:p w14:paraId="01146242" w14:textId="77777777" w:rsidR="00FB15B9" w:rsidRPr="0058432E" w:rsidRDefault="00FB15B9" w:rsidP="00D67346">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58432E">
              <w:rPr>
                <w:rFonts w:ascii="Times New Roman" w:hAnsi="Times New Roman"/>
                <w:b/>
                <w:color w:val="000000" w:themeColor="text1"/>
              </w:rPr>
              <w:t>Étude 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547" w:type="dxa"/>
            <w:gridSpan w:val="2"/>
            <w:shd w:val="clear" w:color="auto" w:fill="auto"/>
            <w:vAlign w:val="center"/>
          </w:tcPr>
          <w:p w14:paraId="060A3055" w14:textId="77777777" w:rsidR="00FB15B9" w:rsidRPr="0058432E" w:rsidRDefault="00FB15B9" w:rsidP="00D67346">
            <w:pPr>
              <w:pStyle w:val="TableParagraph"/>
              <w:keepNext/>
              <w:keepLines/>
              <w:widowControl/>
              <w:kinsoku w:val="0"/>
              <w:overflowPunct w:val="0"/>
              <w:spacing w:line="260" w:lineRule="exact"/>
              <w:jc w:val="center"/>
              <w:rPr>
                <w:rFonts w:ascii="Times New Roman" w:hAnsi="Times New Roman"/>
                <w:b/>
                <w:color w:val="000000" w:themeColor="text1"/>
              </w:rPr>
            </w:pPr>
            <w:r w:rsidRPr="0058432E">
              <w:rPr>
                <w:rFonts w:ascii="Times New Roman" w:hAnsi="Times New Roman"/>
                <w:b/>
                <w:color w:val="000000" w:themeColor="text1"/>
              </w:rPr>
              <w:t>Étude III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r>
      <w:tr w:rsidR="00FB15B9" w:rsidRPr="0058432E" w14:paraId="5555CD94" w14:textId="77777777" w:rsidTr="00B51A46">
        <w:trPr>
          <w:tblHeader/>
        </w:trPr>
        <w:tc>
          <w:tcPr>
            <w:tcW w:w="1239" w:type="dxa"/>
            <w:vMerge/>
            <w:shd w:val="clear" w:color="auto" w:fill="auto"/>
          </w:tcPr>
          <w:p w14:paraId="4DC3DC17" w14:textId="77777777" w:rsidR="00FB15B9" w:rsidRPr="0058432E" w:rsidRDefault="00FB15B9" w:rsidP="00D67346">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1024" w:type="dxa"/>
            <w:shd w:val="clear" w:color="auto" w:fill="auto"/>
          </w:tcPr>
          <w:p w14:paraId="6DDF2E00"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25F4B96D"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60</w:t>
            </w:r>
          </w:p>
        </w:tc>
        <w:tc>
          <w:tcPr>
            <w:tcW w:w="1618" w:type="dxa"/>
            <w:shd w:val="clear" w:color="auto" w:fill="auto"/>
            <w:vAlign w:val="center"/>
          </w:tcPr>
          <w:p w14:paraId="387A5527"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482188BE"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63</w:t>
            </w:r>
          </w:p>
        </w:tc>
        <w:tc>
          <w:tcPr>
            <w:tcW w:w="1034" w:type="dxa"/>
            <w:shd w:val="clear" w:color="auto" w:fill="auto"/>
            <w:vAlign w:val="center"/>
          </w:tcPr>
          <w:p w14:paraId="4987B71E" w14:textId="77777777" w:rsidR="00FB15B9" w:rsidRPr="0058432E" w:rsidRDefault="00FB15B9" w:rsidP="00D67346">
            <w:pPr>
              <w:pStyle w:val="TableParagraph"/>
              <w:keepNext/>
              <w:keepLines/>
              <w:widowControl/>
              <w:kinsoku w:val="0"/>
              <w:overflowPunct w:val="0"/>
              <w:ind w:hanging="66"/>
              <w:jc w:val="center"/>
              <w:rPr>
                <w:rFonts w:ascii="Times New Roman" w:hAnsi="Times New Roman"/>
                <w:b/>
                <w:color w:val="000000" w:themeColor="text1"/>
              </w:rPr>
            </w:pPr>
            <w:r w:rsidRPr="0058432E">
              <w:rPr>
                <w:rFonts w:ascii="Times New Roman" w:hAnsi="Times New Roman"/>
                <w:b/>
                <w:color w:val="000000" w:themeColor="text1"/>
              </w:rPr>
              <w:t>Placebo</w:t>
            </w:r>
          </w:p>
          <w:p w14:paraId="7688C86C"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110</w:t>
            </w:r>
          </w:p>
        </w:tc>
        <w:tc>
          <w:tcPr>
            <w:tcW w:w="1688" w:type="dxa"/>
            <w:shd w:val="clear" w:color="auto" w:fill="auto"/>
            <w:vAlign w:val="center"/>
          </w:tcPr>
          <w:p w14:paraId="787DBEDB" w14:textId="77777777" w:rsidR="00FB15B9" w:rsidRPr="0058432E" w:rsidRDefault="00FB15B9" w:rsidP="00D67346">
            <w:pPr>
              <w:pStyle w:val="TableParagraph"/>
              <w:keepNext/>
              <w:keepLines/>
              <w:widowControl/>
              <w:kinsoku w:val="0"/>
              <w:overflowPunct w:val="0"/>
              <w:ind w:left="59" w:right="9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p>
          <w:p w14:paraId="0B0FDFDB" w14:textId="77777777" w:rsidR="00FB15B9" w:rsidRPr="0058432E" w:rsidRDefault="00FB15B9" w:rsidP="00D67346">
            <w:pPr>
              <w:pStyle w:val="TableParagraph"/>
              <w:keepNext/>
              <w:keepLines/>
              <w:widowControl/>
              <w:kinsoku w:val="0"/>
              <w:overflowPunct w:val="0"/>
              <w:ind w:left="59" w:right="9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113</w:t>
            </w:r>
          </w:p>
        </w:tc>
        <w:tc>
          <w:tcPr>
            <w:tcW w:w="1001" w:type="dxa"/>
            <w:shd w:val="clear" w:color="auto" w:fill="auto"/>
            <w:vAlign w:val="center"/>
          </w:tcPr>
          <w:p w14:paraId="7B0B979E" w14:textId="77777777" w:rsidR="00FB15B9" w:rsidRPr="0058432E" w:rsidRDefault="00FB15B9" w:rsidP="00D67346">
            <w:pPr>
              <w:pStyle w:val="TableParagraph"/>
              <w:keepNext/>
              <w:keepLines/>
              <w:widowControl/>
              <w:kinsoku w:val="0"/>
              <w:overflowPunct w:val="0"/>
              <w:ind w:hanging="3"/>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06C4780C" w14:textId="77777777" w:rsidR="00FB15B9" w:rsidRPr="0058432E" w:rsidRDefault="00FB15B9" w:rsidP="00D67346">
            <w:pPr>
              <w:pStyle w:val="TableParagraph"/>
              <w:keepNext/>
              <w:keepLines/>
              <w:widowControl/>
              <w:kinsoku w:val="0"/>
              <w:overflowPunct w:val="0"/>
              <w:ind w:hanging="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200</w:t>
            </w:r>
          </w:p>
        </w:tc>
        <w:tc>
          <w:tcPr>
            <w:tcW w:w="1546" w:type="dxa"/>
            <w:shd w:val="clear" w:color="auto" w:fill="auto"/>
            <w:vAlign w:val="center"/>
          </w:tcPr>
          <w:p w14:paraId="3A3E0A59"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791FD5B1"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207</w:t>
            </w:r>
          </w:p>
        </w:tc>
      </w:tr>
      <w:tr w:rsidR="00FB15B9" w:rsidRPr="0058432E" w14:paraId="16AD7301" w14:textId="77777777" w:rsidTr="00B51A46">
        <w:tc>
          <w:tcPr>
            <w:tcW w:w="1239" w:type="dxa"/>
            <w:shd w:val="clear" w:color="auto" w:fill="auto"/>
          </w:tcPr>
          <w:p w14:paraId="57BC7E5B" w14:textId="77777777" w:rsidR="00FB15B9" w:rsidRPr="0058432E" w:rsidRDefault="00FB15B9" w:rsidP="00D67346">
            <w:pPr>
              <w:pStyle w:val="TableParagraph"/>
              <w:keepNext/>
              <w:keepLines/>
              <w:widowControl/>
              <w:kinsoku w:val="0"/>
              <w:overflowPunct w:val="0"/>
              <w:spacing w:before="6"/>
              <w:ind w:left="-2"/>
              <w:rPr>
                <w:rFonts w:ascii="Times New Roman" w:hAnsi="Times New Roman"/>
                <w:color w:val="000000" w:themeColor="text1"/>
              </w:rPr>
            </w:pPr>
            <w:r w:rsidRPr="0058432E">
              <w:rPr>
                <w:rFonts w:ascii="Times New Roman" w:hAnsi="Times New Roman"/>
                <w:color w:val="000000" w:themeColor="text1"/>
              </w:rPr>
              <w:t>ACR 20</w:t>
            </w:r>
          </w:p>
        </w:tc>
        <w:tc>
          <w:tcPr>
            <w:tcW w:w="1024" w:type="dxa"/>
            <w:shd w:val="clear" w:color="auto" w:fill="auto"/>
          </w:tcPr>
          <w:p w14:paraId="75484FDB"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618" w:type="dxa"/>
            <w:shd w:val="clear" w:color="auto" w:fill="auto"/>
          </w:tcPr>
          <w:p w14:paraId="722C8CDA"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034" w:type="dxa"/>
            <w:shd w:val="clear" w:color="auto" w:fill="auto"/>
          </w:tcPr>
          <w:p w14:paraId="3224709F"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688" w:type="dxa"/>
            <w:shd w:val="clear" w:color="auto" w:fill="auto"/>
          </w:tcPr>
          <w:p w14:paraId="3B014D1E"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001" w:type="dxa"/>
            <w:shd w:val="clear" w:color="auto" w:fill="auto"/>
          </w:tcPr>
          <w:p w14:paraId="3BF84B12"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546" w:type="dxa"/>
            <w:shd w:val="clear" w:color="auto" w:fill="auto"/>
          </w:tcPr>
          <w:p w14:paraId="3F64BCD8"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r>
      <w:tr w:rsidR="00FB15B9" w:rsidRPr="0058432E" w14:paraId="3414FE20" w14:textId="77777777" w:rsidTr="00B51A46">
        <w:tc>
          <w:tcPr>
            <w:tcW w:w="1239" w:type="dxa"/>
            <w:shd w:val="clear" w:color="auto" w:fill="auto"/>
          </w:tcPr>
          <w:p w14:paraId="17219A40" w14:textId="77777777" w:rsidR="00FB15B9" w:rsidRPr="0058432E" w:rsidRDefault="00FB15B9" w:rsidP="00D67346">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024" w:type="dxa"/>
            <w:shd w:val="clear" w:color="auto" w:fill="auto"/>
          </w:tcPr>
          <w:p w14:paraId="7F273528"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13,3 %</w:t>
            </w:r>
          </w:p>
        </w:tc>
        <w:tc>
          <w:tcPr>
            <w:tcW w:w="1618" w:type="dxa"/>
            <w:shd w:val="clear" w:color="auto" w:fill="auto"/>
          </w:tcPr>
          <w:p w14:paraId="1E2F2A4E"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65,1 %</w:t>
            </w:r>
          </w:p>
        </w:tc>
        <w:tc>
          <w:tcPr>
            <w:tcW w:w="1034" w:type="dxa"/>
            <w:shd w:val="clear" w:color="auto" w:fill="auto"/>
          </w:tcPr>
          <w:p w14:paraId="1276C609"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19,1 %</w:t>
            </w:r>
          </w:p>
        </w:tc>
        <w:tc>
          <w:tcPr>
            <w:tcW w:w="1688" w:type="dxa"/>
            <w:shd w:val="clear" w:color="auto" w:fill="auto"/>
          </w:tcPr>
          <w:p w14:paraId="7197F69F"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46,0 %</w:t>
            </w:r>
          </w:p>
        </w:tc>
        <w:tc>
          <w:tcPr>
            <w:tcW w:w="1001" w:type="dxa"/>
            <w:shd w:val="clear" w:color="auto" w:fill="auto"/>
          </w:tcPr>
          <w:p w14:paraId="6DDD2A2B"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29,5 %</w:t>
            </w:r>
          </w:p>
        </w:tc>
        <w:tc>
          <w:tcPr>
            <w:tcW w:w="1546" w:type="dxa"/>
            <w:shd w:val="clear" w:color="auto" w:fill="auto"/>
          </w:tcPr>
          <w:p w14:paraId="58A7AFED"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63,3 %</w:t>
            </w:r>
          </w:p>
        </w:tc>
      </w:tr>
      <w:tr w:rsidR="00FB15B9" w:rsidRPr="0058432E" w14:paraId="6DD1A7A6" w14:textId="77777777" w:rsidTr="00B51A46">
        <w:tc>
          <w:tcPr>
            <w:tcW w:w="1239" w:type="dxa"/>
            <w:shd w:val="clear" w:color="auto" w:fill="auto"/>
          </w:tcPr>
          <w:p w14:paraId="2465E21A"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024" w:type="dxa"/>
            <w:shd w:val="clear" w:color="auto" w:fill="auto"/>
          </w:tcPr>
          <w:p w14:paraId="739FB611"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18" w:type="dxa"/>
            <w:shd w:val="clear" w:color="auto" w:fill="auto"/>
          </w:tcPr>
          <w:p w14:paraId="511893F9"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34" w:type="dxa"/>
            <w:shd w:val="clear" w:color="auto" w:fill="auto"/>
          </w:tcPr>
          <w:p w14:paraId="36F1A394"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88" w:type="dxa"/>
            <w:shd w:val="clear" w:color="auto" w:fill="auto"/>
          </w:tcPr>
          <w:p w14:paraId="6F1D42B9"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01" w:type="dxa"/>
            <w:shd w:val="clear" w:color="auto" w:fill="auto"/>
          </w:tcPr>
          <w:p w14:paraId="5095AAD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24,0 %</w:t>
            </w:r>
          </w:p>
        </w:tc>
        <w:tc>
          <w:tcPr>
            <w:tcW w:w="1546" w:type="dxa"/>
            <w:shd w:val="clear" w:color="auto" w:fill="auto"/>
          </w:tcPr>
          <w:p w14:paraId="18C8E3A3"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58,9 %</w:t>
            </w:r>
          </w:p>
        </w:tc>
      </w:tr>
      <w:tr w:rsidR="00FB15B9" w:rsidRPr="0058432E" w14:paraId="42C175FC" w14:textId="77777777" w:rsidTr="00B51A46">
        <w:tc>
          <w:tcPr>
            <w:tcW w:w="1239" w:type="dxa"/>
            <w:shd w:val="clear" w:color="auto" w:fill="auto"/>
          </w:tcPr>
          <w:p w14:paraId="1F19776E" w14:textId="77777777" w:rsidR="00FB15B9" w:rsidRPr="0058432E" w:rsidRDefault="00FB15B9" w:rsidP="00D67346">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t>ACR 50</w:t>
            </w:r>
          </w:p>
        </w:tc>
        <w:tc>
          <w:tcPr>
            <w:tcW w:w="1024" w:type="dxa"/>
            <w:shd w:val="clear" w:color="auto" w:fill="auto"/>
          </w:tcPr>
          <w:p w14:paraId="2F076EA2" w14:textId="77777777" w:rsidR="00FB15B9" w:rsidRPr="0058432E" w:rsidRDefault="00FB15B9" w:rsidP="00D67346">
            <w:pPr>
              <w:keepNext/>
              <w:keepLines/>
              <w:jc w:val="center"/>
              <w:rPr>
                <w:rFonts w:eastAsia="Calibri"/>
                <w:color w:val="000000" w:themeColor="text1"/>
              </w:rPr>
            </w:pPr>
          </w:p>
        </w:tc>
        <w:tc>
          <w:tcPr>
            <w:tcW w:w="1618" w:type="dxa"/>
            <w:shd w:val="clear" w:color="auto" w:fill="auto"/>
          </w:tcPr>
          <w:p w14:paraId="4B2C151E" w14:textId="77777777" w:rsidR="00FB15B9" w:rsidRPr="0058432E" w:rsidRDefault="00FB15B9" w:rsidP="00D67346">
            <w:pPr>
              <w:keepNext/>
              <w:keepLines/>
              <w:jc w:val="center"/>
              <w:rPr>
                <w:rFonts w:eastAsia="Calibri"/>
                <w:color w:val="000000" w:themeColor="text1"/>
              </w:rPr>
            </w:pPr>
          </w:p>
        </w:tc>
        <w:tc>
          <w:tcPr>
            <w:tcW w:w="1034" w:type="dxa"/>
            <w:shd w:val="clear" w:color="auto" w:fill="auto"/>
          </w:tcPr>
          <w:p w14:paraId="7532F8AF" w14:textId="77777777" w:rsidR="00FB15B9" w:rsidRPr="0058432E" w:rsidRDefault="00FB15B9" w:rsidP="00D67346">
            <w:pPr>
              <w:keepNext/>
              <w:keepLines/>
              <w:jc w:val="center"/>
              <w:rPr>
                <w:rFonts w:eastAsia="Calibri"/>
                <w:color w:val="000000" w:themeColor="text1"/>
              </w:rPr>
            </w:pPr>
          </w:p>
        </w:tc>
        <w:tc>
          <w:tcPr>
            <w:tcW w:w="1688" w:type="dxa"/>
            <w:shd w:val="clear" w:color="auto" w:fill="auto"/>
          </w:tcPr>
          <w:p w14:paraId="3F7B5B25" w14:textId="77777777" w:rsidR="00FB15B9" w:rsidRPr="0058432E" w:rsidRDefault="00FB15B9" w:rsidP="00D67346">
            <w:pPr>
              <w:keepNext/>
              <w:keepLines/>
              <w:jc w:val="center"/>
              <w:rPr>
                <w:rFonts w:eastAsia="Calibri"/>
                <w:color w:val="000000" w:themeColor="text1"/>
              </w:rPr>
            </w:pPr>
          </w:p>
        </w:tc>
        <w:tc>
          <w:tcPr>
            <w:tcW w:w="1001" w:type="dxa"/>
            <w:shd w:val="clear" w:color="auto" w:fill="auto"/>
          </w:tcPr>
          <w:p w14:paraId="7A6460CC" w14:textId="77777777" w:rsidR="00FB15B9" w:rsidRPr="0058432E" w:rsidRDefault="00FB15B9" w:rsidP="00D67346">
            <w:pPr>
              <w:keepNext/>
              <w:keepLines/>
              <w:jc w:val="center"/>
              <w:rPr>
                <w:rFonts w:eastAsia="Calibri"/>
                <w:color w:val="000000" w:themeColor="text1"/>
              </w:rPr>
            </w:pPr>
          </w:p>
        </w:tc>
        <w:tc>
          <w:tcPr>
            <w:tcW w:w="1546" w:type="dxa"/>
            <w:shd w:val="clear" w:color="auto" w:fill="auto"/>
          </w:tcPr>
          <w:p w14:paraId="77E26173" w14:textId="77777777" w:rsidR="00FB15B9" w:rsidRPr="0058432E" w:rsidRDefault="00FB15B9" w:rsidP="00D67346">
            <w:pPr>
              <w:keepNext/>
              <w:keepLines/>
              <w:jc w:val="center"/>
              <w:rPr>
                <w:rFonts w:eastAsia="Calibri"/>
                <w:color w:val="000000" w:themeColor="text1"/>
              </w:rPr>
            </w:pPr>
          </w:p>
        </w:tc>
      </w:tr>
      <w:tr w:rsidR="00FB15B9" w:rsidRPr="0058432E" w14:paraId="18A02709" w14:textId="77777777" w:rsidTr="00B51A46">
        <w:tc>
          <w:tcPr>
            <w:tcW w:w="1239" w:type="dxa"/>
            <w:shd w:val="clear" w:color="auto" w:fill="auto"/>
          </w:tcPr>
          <w:p w14:paraId="12D80C1B" w14:textId="77777777" w:rsidR="00FB15B9" w:rsidRPr="0058432E" w:rsidRDefault="00FB15B9" w:rsidP="00D67346">
            <w:pPr>
              <w:pStyle w:val="TableParagraph"/>
              <w:keepNext/>
              <w:keepLines/>
              <w:widowControl/>
              <w:kinsoku w:val="0"/>
              <w:overflowPunct w:val="0"/>
              <w:spacing w:line="251"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024" w:type="dxa"/>
            <w:shd w:val="clear" w:color="auto" w:fill="auto"/>
          </w:tcPr>
          <w:p w14:paraId="05552D32"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6,7 %</w:t>
            </w:r>
          </w:p>
        </w:tc>
        <w:tc>
          <w:tcPr>
            <w:tcW w:w="1618" w:type="dxa"/>
            <w:shd w:val="clear" w:color="auto" w:fill="auto"/>
          </w:tcPr>
          <w:p w14:paraId="2FB39249"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52,4 %</w:t>
            </w:r>
          </w:p>
        </w:tc>
        <w:tc>
          <w:tcPr>
            <w:tcW w:w="1034" w:type="dxa"/>
            <w:shd w:val="clear" w:color="auto" w:fill="auto"/>
          </w:tcPr>
          <w:p w14:paraId="16FFBA10"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8,2 %</w:t>
            </w:r>
          </w:p>
        </w:tc>
        <w:tc>
          <w:tcPr>
            <w:tcW w:w="1688" w:type="dxa"/>
            <w:shd w:val="clear" w:color="auto" w:fill="auto"/>
          </w:tcPr>
          <w:p w14:paraId="6B91AC7C"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22,1 %</w:t>
            </w:r>
          </w:p>
        </w:tc>
        <w:tc>
          <w:tcPr>
            <w:tcW w:w="1001" w:type="dxa"/>
            <w:shd w:val="clear" w:color="auto" w:fill="auto"/>
          </w:tcPr>
          <w:p w14:paraId="4E93057C"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46" w:type="dxa"/>
            <w:shd w:val="clear" w:color="auto" w:fill="auto"/>
          </w:tcPr>
          <w:p w14:paraId="79464A5F"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39,1 %</w:t>
            </w:r>
          </w:p>
        </w:tc>
      </w:tr>
      <w:tr w:rsidR="00FB15B9" w:rsidRPr="0058432E" w14:paraId="01AE7AEC" w14:textId="77777777" w:rsidTr="00B51A46">
        <w:tc>
          <w:tcPr>
            <w:tcW w:w="1239" w:type="dxa"/>
            <w:shd w:val="clear" w:color="auto" w:fill="auto"/>
          </w:tcPr>
          <w:p w14:paraId="530635F2"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024" w:type="dxa"/>
            <w:shd w:val="clear" w:color="auto" w:fill="auto"/>
          </w:tcPr>
          <w:p w14:paraId="30506F2A"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18" w:type="dxa"/>
            <w:shd w:val="clear" w:color="auto" w:fill="auto"/>
          </w:tcPr>
          <w:p w14:paraId="18C56777"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34" w:type="dxa"/>
            <w:shd w:val="clear" w:color="auto" w:fill="auto"/>
          </w:tcPr>
          <w:p w14:paraId="681F0576"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88" w:type="dxa"/>
            <w:shd w:val="clear" w:color="auto" w:fill="auto"/>
          </w:tcPr>
          <w:p w14:paraId="092179C7"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01" w:type="dxa"/>
            <w:shd w:val="clear" w:color="auto" w:fill="auto"/>
          </w:tcPr>
          <w:p w14:paraId="64498F13"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46" w:type="dxa"/>
            <w:shd w:val="clear" w:color="auto" w:fill="auto"/>
          </w:tcPr>
          <w:p w14:paraId="7502A630"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41,5 %</w:t>
            </w:r>
          </w:p>
        </w:tc>
      </w:tr>
      <w:tr w:rsidR="00FB15B9" w:rsidRPr="0058432E" w14:paraId="48451994" w14:textId="77777777" w:rsidTr="00B51A46">
        <w:tc>
          <w:tcPr>
            <w:tcW w:w="1239" w:type="dxa"/>
            <w:shd w:val="clear" w:color="auto" w:fill="auto"/>
          </w:tcPr>
          <w:p w14:paraId="1DAE7066" w14:textId="77777777" w:rsidR="00FB15B9" w:rsidRPr="0058432E" w:rsidRDefault="00FB15B9" w:rsidP="00D67346">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lastRenderedPageBreak/>
              <w:t>ACR 70</w:t>
            </w:r>
          </w:p>
        </w:tc>
        <w:tc>
          <w:tcPr>
            <w:tcW w:w="1024" w:type="dxa"/>
            <w:shd w:val="clear" w:color="auto" w:fill="auto"/>
          </w:tcPr>
          <w:p w14:paraId="481AC988" w14:textId="77777777" w:rsidR="00FB15B9" w:rsidRPr="0058432E" w:rsidRDefault="00FB15B9" w:rsidP="00D67346">
            <w:pPr>
              <w:keepNext/>
              <w:keepLines/>
              <w:jc w:val="center"/>
              <w:rPr>
                <w:rFonts w:eastAsia="Calibri"/>
                <w:color w:val="000000" w:themeColor="text1"/>
              </w:rPr>
            </w:pPr>
          </w:p>
        </w:tc>
        <w:tc>
          <w:tcPr>
            <w:tcW w:w="1618" w:type="dxa"/>
            <w:shd w:val="clear" w:color="auto" w:fill="auto"/>
          </w:tcPr>
          <w:p w14:paraId="46B23408" w14:textId="77777777" w:rsidR="00FB15B9" w:rsidRPr="0058432E" w:rsidRDefault="00FB15B9" w:rsidP="00D67346">
            <w:pPr>
              <w:keepNext/>
              <w:keepLines/>
              <w:jc w:val="center"/>
              <w:rPr>
                <w:rFonts w:eastAsia="Calibri"/>
                <w:color w:val="000000" w:themeColor="text1"/>
              </w:rPr>
            </w:pPr>
          </w:p>
        </w:tc>
        <w:tc>
          <w:tcPr>
            <w:tcW w:w="1034" w:type="dxa"/>
            <w:shd w:val="clear" w:color="auto" w:fill="auto"/>
          </w:tcPr>
          <w:p w14:paraId="3D82F7A4" w14:textId="77777777" w:rsidR="00FB15B9" w:rsidRPr="0058432E" w:rsidRDefault="00FB15B9" w:rsidP="00D67346">
            <w:pPr>
              <w:keepNext/>
              <w:keepLines/>
              <w:jc w:val="center"/>
              <w:rPr>
                <w:rFonts w:eastAsia="Calibri"/>
                <w:color w:val="000000" w:themeColor="text1"/>
              </w:rPr>
            </w:pPr>
          </w:p>
        </w:tc>
        <w:tc>
          <w:tcPr>
            <w:tcW w:w="1688" w:type="dxa"/>
            <w:shd w:val="clear" w:color="auto" w:fill="auto"/>
          </w:tcPr>
          <w:p w14:paraId="64631529" w14:textId="77777777" w:rsidR="00FB15B9" w:rsidRPr="0058432E" w:rsidRDefault="00FB15B9" w:rsidP="00D67346">
            <w:pPr>
              <w:keepNext/>
              <w:keepLines/>
              <w:jc w:val="center"/>
              <w:rPr>
                <w:rFonts w:eastAsia="Calibri"/>
                <w:color w:val="000000" w:themeColor="text1"/>
              </w:rPr>
            </w:pPr>
          </w:p>
        </w:tc>
        <w:tc>
          <w:tcPr>
            <w:tcW w:w="1001" w:type="dxa"/>
            <w:shd w:val="clear" w:color="auto" w:fill="auto"/>
          </w:tcPr>
          <w:p w14:paraId="482FA3C8" w14:textId="77777777" w:rsidR="00FB15B9" w:rsidRPr="0058432E" w:rsidRDefault="00FB15B9" w:rsidP="00D67346">
            <w:pPr>
              <w:keepNext/>
              <w:keepLines/>
              <w:jc w:val="center"/>
              <w:rPr>
                <w:rFonts w:eastAsia="Calibri"/>
                <w:color w:val="000000" w:themeColor="text1"/>
              </w:rPr>
            </w:pPr>
          </w:p>
        </w:tc>
        <w:tc>
          <w:tcPr>
            <w:tcW w:w="1546" w:type="dxa"/>
            <w:shd w:val="clear" w:color="auto" w:fill="auto"/>
          </w:tcPr>
          <w:p w14:paraId="66AAF9FC" w14:textId="77777777" w:rsidR="00FB15B9" w:rsidRPr="0058432E" w:rsidRDefault="00FB15B9" w:rsidP="00D67346">
            <w:pPr>
              <w:keepNext/>
              <w:keepLines/>
              <w:jc w:val="center"/>
              <w:rPr>
                <w:rFonts w:eastAsia="Calibri"/>
                <w:color w:val="000000" w:themeColor="text1"/>
              </w:rPr>
            </w:pPr>
          </w:p>
        </w:tc>
      </w:tr>
      <w:tr w:rsidR="00FB15B9" w:rsidRPr="0058432E" w14:paraId="2D400947" w14:textId="77777777" w:rsidTr="00B51A46">
        <w:tc>
          <w:tcPr>
            <w:tcW w:w="1239" w:type="dxa"/>
            <w:shd w:val="clear" w:color="auto" w:fill="auto"/>
          </w:tcPr>
          <w:p w14:paraId="1DF32539" w14:textId="77777777" w:rsidR="00FB15B9" w:rsidRPr="0058432E" w:rsidRDefault="00FB15B9" w:rsidP="00D67346">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024" w:type="dxa"/>
            <w:shd w:val="clear" w:color="auto" w:fill="auto"/>
          </w:tcPr>
          <w:p w14:paraId="13E7C91C"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3,3 %</w:t>
            </w:r>
          </w:p>
        </w:tc>
        <w:tc>
          <w:tcPr>
            <w:tcW w:w="1618" w:type="dxa"/>
            <w:shd w:val="clear" w:color="auto" w:fill="auto"/>
          </w:tcPr>
          <w:p w14:paraId="3E1B0300"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23,8 %</w:t>
            </w:r>
          </w:p>
        </w:tc>
        <w:tc>
          <w:tcPr>
            <w:tcW w:w="1034" w:type="dxa"/>
            <w:shd w:val="clear" w:color="auto" w:fill="auto"/>
          </w:tcPr>
          <w:p w14:paraId="2D4EE9F2"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1,8 %</w:t>
            </w:r>
          </w:p>
        </w:tc>
        <w:tc>
          <w:tcPr>
            <w:tcW w:w="1688" w:type="dxa"/>
            <w:shd w:val="clear" w:color="auto" w:fill="auto"/>
          </w:tcPr>
          <w:p w14:paraId="4771C5AD"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12,4 %</w:t>
            </w:r>
          </w:p>
        </w:tc>
        <w:tc>
          <w:tcPr>
            <w:tcW w:w="1001" w:type="dxa"/>
            <w:shd w:val="clear" w:color="auto" w:fill="auto"/>
          </w:tcPr>
          <w:p w14:paraId="72B952BD"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2,5 %</w:t>
            </w:r>
          </w:p>
        </w:tc>
        <w:tc>
          <w:tcPr>
            <w:tcW w:w="1546" w:type="dxa"/>
            <w:shd w:val="clear" w:color="auto" w:fill="auto"/>
          </w:tcPr>
          <w:p w14:paraId="4AA81525"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20,8 %</w:t>
            </w:r>
          </w:p>
        </w:tc>
      </w:tr>
      <w:tr w:rsidR="00FB15B9" w:rsidRPr="0058432E" w14:paraId="1E275F9F" w14:textId="77777777" w:rsidTr="00B51A46">
        <w:tc>
          <w:tcPr>
            <w:tcW w:w="1239" w:type="dxa"/>
            <w:tcBorders>
              <w:bottom w:val="single" w:sz="4" w:space="0" w:color="auto"/>
            </w:tcBorders>
            <w:shd w:val="clear" w:color="auto" w:fill="auto"/>
          </w:tcPr>
          <w:p w14:paraId="0CB0C4A9"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024" w:type="dxa"/>
            <w:tcBorders>
              <w:bottom w:val="single" w:sz="4" w:space="0" w:color="auto"/>
            </w:tcBorders>
            <w:shd w:val="clear" w:color="auto" w:fill="auto"/>
          </w:tcPr>
          <w:p w14:paraId="74752F07"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18" w:type="dxa"/>
            <w:tcBorders>
              <w:bottom w:val="single" w:sz="4" w:space="0" w:color="auto"/>
            </w:tcBorders>
            <w:shd w:val="clear" w:color="auto" w:fill="auto"/>
          </w:tcPr>
          <w:p w14:paraId="4E9A231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34" w:type="dxa"/>
            <w:tcBorders>
              <w:bottom w:val="single" w:sz="4" w:space="0" w:color="auto"/>
            </w:tcBorders>
            <w:shd w:val="clear" w:color="auto" w:fill="auto"/>
          </w:tcPr>
          <w:p w14:paraId="0A420E3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688" w:type="dxa"/>
            <w:tcBorders>
              <w:bottom w:val="single" w:sz="4" w:space="0" w:color="auto"/>
            </w:tcBorders>
            <w:shd w:val="clear" w:color="auto" w:fill="auto"/>
          </w:tcPr>
          <w:p w14:paraId="232919EC"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01" w:type="dxa"/>
            <w:tcBorders>
              <w:bottom w:val="single" w:sz="4" w:space="0" w:color="auto"/>
            </w:tcBorders>
            <w:shd w:val="clear" w:color="auto" w:fill="auto"/>
          </w:tcPr>
          <w:p w14:paraId="7AD42B74"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4,5 %</w:t>
            </w:r>
          </w:p>
        </w:tc>
        <w:tc>
          <w:tcPr>
            <w:tcW w:w="1546" w:type="dxa"/>
            <w:tcBorders>
              <w:bottom w:val="single" w:sz="4" w:space="0" w:color="auto"/>
            </w:tcBorders>
            <w:shd w:val="clear" w:color="auto" w:fill="auto"/>
          </w:tcPr>
          <w:p w14:paraId="3893EE3D"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23,2 %</w:t>
            </w:r>
          </w:p>
        </w:tc>
      </w:tr>
      <w:tr w:rsidR="00D27A26" w:rsidRPr="0058432E" w14:paraId="2C6B4274" w14:textId="77777777" w:rsidTr="00B51A46">
        <w:tc>
          <w:tcPr>
            <w:tcW w:w="9150" w:type="dxa"/>
            <w:gridSpan w:val="7"/>
            <w:tcBorders>
              <w:left w:val="nil"/>
              <w:bottom w:val="nil"/>
              <w:right w:val="nil"/>
            </w:tcBorders>
            <w:shd w:val="clear" w:color="auto" w:fill="auto"/>
          </w:tcPr>
          <w:p w14:paraId="678C18D9" w14:textId="77777777" w:rsidR="00D27A26" w:rsidRPr="0058432E" w:rsidRDefault="00D27A26" w:rsidP="00D27A26">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vertAlign w:val="superscript"/>
              </w:rPr>
              <w:t xml:space="preserve"> </w:t>
            </w:r>
            <w:r w:rsidRPr="0058432E">
              <w:rPr>
                <w:color w:val="000000" w:themeColor="text1"/>
                <w:sz w:val="20"/>
              </w:rPr>
              <w:tab/>
              <w:t>Étude</w:t>
            </w:r>
            <w:r w:rsidR="00D53C07" w:rsidRPr="0058432E">
              <w:rPr>
                <w:color w:val="000000" w:themeColor="text1"/>
                <w:sz w:val="20"/>
              </w:rPr>
              <w:t> </w:t>
            </w:r>
            <w:r w:rsidRPr="0058432E">
              <w:rPr>
                <w:color w:val="000000" w:themeColor="text1"/>
                <w:sz w:val="20"/>
              </w:rPr>
              <w:t xml:space="preserve">I sur </w:t>
            </w:r>
            <w:proofErr w:type="gramStart"/>
            <w:r w:rsidRPr="0058432E">
              <w:rPr>
                <w:color w:val="000000" w:themeColor="text1"/>
                <w:sz w:val="20"/>
              </w:rPr>
              <w:t>la PR</w:t>
            </w:r>
            <w:proofErr w:type="gramEnd"/>
            <w:r w:rsidRPr="0058432E">
              <w:rPr>
                <w:color w:val="000000" w:themeColor="text1"/>
                <w:sz w:val="20"/>
              </w:rPr>
              <w:t xml:space="preserve"> à 24 semaines, étude</w:t>
            </w:r>
            <w:r w:rsidR="00E3432A" w:rsidRPr="0058432E">
              <w:rPr>
                <w:color w:val="000000" w:themeColor="text1"/>
                <w:sz w:val="20"/>
              </w:rPr>
              <w:t> </w:t>
            </w:r>
            <w:r w:rsidRPr="0058432E">
              <w:rPr>
                <w:color w:val="000000" w:themeColor="text1"/>
                <w:sz w:val="20"/>
              </w:rPr>
              <w:t xml:space="preserve">II sur </w:t>
            </w:r>
            <w:proofErr w:type="gramStart"/>
            <w:r w:rsidRPr="0058432E">
              <w:rPr>
                <w:color w:val="000000" w:themeColor="text1"/>
                <w:sz w:val="20"/>
              </w:rPr>
              <w:t>la PR</w:t>
            </w:r>
            <w:proofErr w:type="gramEnd"/>
            <w:r w:rsidRPr="0058432E">
              <w:rPr>
                <w:color w:val="000000" w:themeColor="text1"/>
                <w:sz w:val="20"/>
              </w:rPr>
              <w:t xml:space="preserve"> à 26 semaines et étude</w:t>
            </w:r>
            <w:r w:rsidR="00E3432A" w:rsidRPr="0058432E">
              <w:rPr>
                <w:color w:val="000000" w:themeColor="text1"/>
                <w:sz w:val="20"/>
              </w:rPr>
              <w:t> </w:t>
            </w:r>
            <w:r w:rsidRPr="0058432E">
              <w:rPr>
                <w:color w:val="000000" w:themeColor="text1"/>
                <w:sz w:val="20"/>
              </w:rPr>
              <w:t xml:space="preserve">III sur </w:t>
            </w:r>
            <w:proofErr w:type="gramStart"/>
            <w:r w:rsidRPr="0058432E">
              <w:rPr>
                <w:color w:val="000000" w:themeColor="text1"/>
                <w:sz w:val="20"/>
              </w:rPr>
              <w:t>la PR</w:t>
            </w:r>
            <w:proofErr w:type="gramEnd"/>
            <w:r w:rsidRPr="0058432E">
              <w:rPr>
                <w:color w:val="000000" w:themeColor="text1"/>
                <w:sz w:val="20"/>
              </w:rPr>
              <w:t xml:space="preserve"> à 24 et 52 semaines</w:t>
            </w:r>
          </w:p>
          <w:p w14:paraId="04A21E9E" w14:textId="77777777" w:rsidR="00D27A26" w:rsidRPr="0058432E" w:rsidRDefault="00D27A26" w:rsidP="00D27A26">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vertAlign w:val="superscript"/>
              </w:rPr>
              <w:t xml:space="preserve"> </w:t>
            </w:r>
            <w:r w:rsidRPr="0058432E">
              <w:rPr>
                <w:color w:val="000000" w:themeColor="text1"/>
                <w:sz w:val="20"/>
              </w:rPr>
              <w:tab/>
              <w:t>40 mg d’adalimumab administré toutes les deux semaines</w:t>
            </w:r>
          </w:p>
          <w:p w14:paraId="5A7D4872" w14:textId="77777777" w:rsidR="00D27A26" w:rsidRPr="0058432E" w:rsidRDefault="00D27A26" w:rsidP="00D27A26">
            <w:pPr>
              <w:tabs>
                <w:tab w:val="left" w:pos="288"/>
              </w:tabs>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vertAlign w:val="superscript"/>
              </w:rPr>
              <w:t xml:space="preserve"> </w:t>
            </w:r>
            <w:r w:rsidRPr="0058432E">
              <w:rPr>
                <w:color w:val="000000" w:themeColor="text1"/>
                <w:sz w:val="20"/>
              </w:rPr>
              <w:tab/>
              <w:t>MTX = méthotrexate</w:t>
            </w:r>
          </w:p>
          <w:p w14:paraId="13512E56" w14:textId="77777777" w:rsidR="00D27A26" w:rsidRPr="0058432E" w:rsidRDefault="00D27A26" w:rsidP="00D27A26">
            <w:pPr>
              <w:tabs>
                <w:tab w:val="left" w:pos="288"/>
              </w:tabs>
              <w:ind w:left="270" w:hanging="270"/>
              <w:rPr>
                <w:color w:val="000000" w:themeColor="text1"/>
                <w:sz w:val="20"/>
              </w:rPr>
            </w:pPr>
            <w:r w:rsidRPr="0058432E">
              <w:rPr>
                <w:color w:val="000000" w:themeColor="text1"/>
                <w:sz w:val="20"/>
              </w:rPr>
              <w:t>**</w:t>
            </w:r>
            <w:r w:rsidRPr="0058432E">
              <w:rPr>
                <w:color w:val="000000" w:themeColor="text1"/>
                <w:sz w:val="20"/>
                <w:vertAlign w:val="superscript"/>
              </w:rPr>
              <w:tab/>
            </w:r>
            <w:r w:rsidRPr="0058432E">
              <w:rPr>
                <w:color w:val="000000" w:themeColor="text1"/>
                <w:sz w:val="20"/>
              </w:rPr>
              <w:t xml:space="preserve">p &lt; 0,01, adalimumab </w:t>
            </w:r>
            <w:r w:rsidRPr="0058432E">
              <w:rPr>
                <w:i/>
                <w:color w:val="000000" w:themeColor="text1"/>
                <w:sz w:val="20"/>
              </w:rPr>
              <w:t>versus</w:t>
            </w:r>
            <w:r w:rsidRPr="0058432E">
              <w:rPr>
                <w:color w:val="000000" w:themeColor="text1"/>
                <w:sz w:val="20"/>
              </w:rPr>
              <w:t xml:space="preserve"> placebo</w:t>
            </w:r>
          </w:p>
        </w:tc>
      </w:tr>
    </w:tbl>
    <w:p w14:paraId="29E1323C" w14:textId="77777777" w:rsidR="00264096" w:rsidRPr="0058432E" w:rsidRDefault="00264096" w:rsidP="006B7D5A">
      <w:pPr>
        <w:rPr>
          <w:color w:val="000000" w:themeColor="text1"/>
        </w:rPr>
      </w:pPr>
    </w:p>
    <w:p w14:paraId="3F50F652" w14:textId="77777777" w:rsidR="00D2772B" w:rsidRPr="0058432E" w:rsidRDefault="00D2772B" w:rsidP="006B7D5A">
      <w:pPr>
        <w:pStyle w:val="BodyText"/>
        <w:widowControl/>
        <w:kinsoku w:val="0"/>
        <w:overflowPunct w:val="0"/>
        <w:ind w:left="0"/>
        <w:rPr>
          <w:color w:val="000000" w:themeColor="text1"/>
        </w:rPr>
      </w:pPr>
      <w:r w:rsidRPr="0058432E">
        <w:rPr>
          <w:color w:val="000000" w:themeColor="text1"/>
        </w:rPr>
        <w:t xml:space="preserve">Dans les études I-IV sur </w:t>
      </w:r>
      <w:proofErr w:type="gramStart"/>
      <w:r w:rsidRPr="0058432E">
        <w:rPr>
          <w:color w:val="000000" w:themeColor="text1"/>
        </w:rPr>
        <w:t>la PR</w:t>
      </w:r>
      <w:proofErr w:type="gramEnd"/>
      <w:r w:rsidRPr="0058432E">
        <w:rPr>
          <w:color w:val="000000" w:themeColor="text1"/>
        </w:rPr>
        <w:t>, les composantes individuelles des critères de réponse de l</w:t>
      </w:r>
      <w:r w:rsidR="00EB7174" w:rsidRPr="0058432E">
        <w:rPr>
          <w:color w:val="000000" w:themeColor="text1"/>
        </w:rPr>
        <w:t>’</w:t>
      </w:r>
      <w:r w:rsidRPr="0058432E">
        <w:rPr>
          <w:color w:val="000000" w:themeColor="text1"/>
        </w:rPr>
        <w:t>ACR (nombre d</w:t>
      </w:r>
      <w:r w:rsidR="001D1E24" w:rsidRPr="0058432E">
        <w:rPr>
          <w:color w:val="000000" w:themeColor="text1"/>
        </w:rPr>
        <w:t>’</w:t>
      </w:r>
      <w:r w:rsidRPr="0058432E">
        <w:rPr>
          <w:color w:val="000000" w:themeColor="text1"/>
        </w:rPr>
        <w:t>articulations sensibles et tuméfiées, évaluation par le médecin et le patient de l</w:t>
      </w:r>
      <w:r w:rsidR="00E81DA5" w:rsidRPr="0058432E">
        <w:rPr>
          <w:color w:val="000000" w:themeColor="text1"/>
        </w:rPr>
        <w:t>’</w:t>
      </w:r>
      <w:r w:rsidRPr="0058432E">
        <w:rPr>
          <w:color w:val="000000" w:themeColor="text1"/>
        </w:rPr>
        <w:t>activité de la maladie et de la douleur, indice</w:t>
      </w:r>
      <w:r w:rsidR="005776BD" w:rsidRPr="0058432E">
        <w:rPr>
          <w:color w:val="000000" w:themeColor="text1"/>
        </w:rPr>
        <w:t>s</w:t>
      </w:r>
      <w:r w:rsidRPr="0058432E">
        <w:rPr>
          <w:color w:val="000000" w:themeColor="text1"/>
        </w:rPr>
        <w:t xml:space="preserve"> d</w:t>
      </w:r>
      <w:r w:rsidR="003525A0" w:rsidRPr="0058432E">
        <w:rPr>
          <w:color w:val="000000" w:themeColor="text1"/>
        </w:rPr>
        <w:t>’</w:t>
      </w:r>
      <w:r w:rsidRPr="0058432E">
        <w:rPr>
          <w:color w:val="000000" w:themeColor="text1"/>
        </w:rPr>
        <w:t>invalidité (HAQ) et valeurs de la CRP [mg/dl]) ont été améliorées à 24 ou 26</w:t>
      </w:r>
      <w:r w:rsidR="0037667D" w:rsidRPr="0058432E">
        <w:rPr>
          <w:color w:val="000000" w:themeColor="text1"/>
        </w:rPr>
        <w:t> </w:t>
      </w:r>
      <w:r w:rsidRPr="0058432E">
        <w:rPr>
          <w:color w:val="000000" w:themeColor="text1"/>
        </w:rPr>
        <w:t>semaines par rapport au placebo. Dans l</w:t>
      </w:r>
      <w:r w:rsidR="00786C99" w:rsidRPr="0058432E">
        <w:rPr>
          <w:color w:val="000000" w:themeColor="text1"/>
        </w:rPr>
        <w:t>’</w:t>
      </w:r>
      <w:r w:rsidRPr="0058432E">
        <w:rPr>
          <w:color w:val="000000" w:themeColor="text1"/>
        </w:rPr>
        <w:t xml:space="preserve">étude III sur </w:t>
      </w:r>
      <w:proofErr w:type="gramStart"/>
      <w:r w:rsidRPr="0058432E">
        <w:rPr>
          <w:color w:val="000000" w:themeColor="text1"/>
        </w:rPr>
        <w:t>la PR</w:t>
      </w:r>
      <w:proofErr w:type="gramEnd"/>
      <w:r w:rsidRPr="0058432E">
        <w:rPr>
          <w:color w:val="000000" w:themeColor="text1"/>
        </w:rPr>
        <w:t>, ces améliorations se sont maintenues tout au long des 52</w:t>
      </w:r>
      <w:r w:rsidR="0037667D" w:rsidRPr="0058432E">
        <w:rPr>
          <w:color w:val="000000" w:themeColor="text1"/>
        </w:rPr>
        <w:t> </w:t>
      </w:r>
      <w:r w:rsidRPr="0058432E">
        <w:rPr>
          <w:color w:val="000000" w:themeColor="text1"/>
        </w:rPr>
        <w:t>semaines.</w:t>
      </w:r>
    </w:p>
    <w:p w14:paraId="20068F6B" w14:textId="77777777" w:rsidR="00D2772B" w:rsidRPr="0058432E" w:rsidRDefault="00D2772B" w:rsidP="006B7D5A">
      <w:pPr>
        <w:pStyle w:val="BodyText"/>
        <w:widowControl/>
        <w:kinsoku w:val="0"/>
        <w:overflowPunct w:val="0"/>
        <w:ind w:left="0"/>
        <w:rPr>
          <w:color w:val="000000" w:themeColor="text1"/>
          <w:szCs w:val="21"/>
        </w:rPr>
      </w:pPr>
    </w:p>
    <w:p w14:paraId="36B8B75D" w14:textId="77777777" w:rsidR="00D2772B" w:rsidRPr="0058432E" w:rsidRDefault="00D2772B" w:rsidP="006B7D5A">
      <w:pPr>
        <w:pStyle w:val="BodyText"/>
        <w:widowControl/>
        <w:kinsoku w:val="0"/>
        <w:overflowPunct w:val="0"/>
        <w:ind w:left="0"/>
        <w:rPr>
          <w:color w:val="000000" w:themeColor="text1"/>
        </w:rPr>
      </w:pPr>
      <w:r w:rsidRPr="0058432E">
        <w:rPr>
          <w:color w:val="000000" w:themeColor="text1"/>
        </w:rPr>
        <w:t>Dans la phase d’extension en ouvert de l</w:t>
      </w:r>
      <w:r w:rsidR="007915FB" w:rsidRPr="0058432E">
        <w:rPr>
          <w:color w:val="000000" w:themeColor="text1"/>
        </w:rPr>
        <w:t>’</w:t>
      </w:r>
      <w:r w:rsidRPr="0058432E">
        <w:rPr>
          <w:color w:val="000000" w:themeColor="text1"/>
        </w:rPr>
        <w:t>étude</w:t>
      </w:r>
      <w:r w:rsidR="007915FB" w:rsidRPr="0058432E">
        <w:rPr>
          <w:color w:val="000000" w:themeColor="text1"/>
        </w:rPr>
        <w:t> </w:t>
      </w:r>
      <w:r w:rsidRPr="0058432E">
        <w:rPr>
          <w:color w:val="000000" w:themeColor="text1"/>
        </w:rPr>
        <w:t xml:space="preserve">III sur </w:t>
      </w:r>
      <w:proofErr w:type="gramStart"/>
      <w:r w:rsidRPr="0058432E">
        <w:rPr>
          <w:color w:val="000000" w:themeColor="text1"/>
        </w:rPr>
        <w:t>la PR</w:t>
      </w:r>
      <w:proofErr w:type="gramEnd"/>
      <w:r w:rsidRPr="0058432E">
        <w:rPr>
          <w:color w:val="000000" w:themeColor="text1"/>
        </w:rPr>
        <w:t>, les taux de réponse ACR ont été maintenus chez la plupart des patients suivis jusqu’à 10 ans. Sur 207 patients randomisés pour recevoir l’adalimumab 40 mg toutes les deux semaines, 114 patients ont poursuivi l’adalimumab à la dose de 40 mg toutes les deux semaines pendant 5 ans. Parmi ces patients, 86</w:t>
      </w:r>
      <w:r w:rsidR="0077358F" w:rsidRPr="0058432E">
        <w:rPr>
          <w:color w:val="000000" w:themeColor="text1"/>
        </w:rPr>
        <w:t> </w:t>
      </w:r>
      <w:r w:rsidRPr="0058432E">
        <w:rPr>
          <w:color w:val="000000" w:themeColor="text1"/>
        </w:rPr>
        <w:t>patients (75,4 %) ont eu une réponse ACR</w:t>
      </w:r>
      <w:r w:rsidR="0077358F" w:rsidRPr="0058432E">
        <w:rPr>
          <w:color w:val="000000" w:themeColor="text1"/>
        </w:rPr>
        <w:t> </w:t>
      </w:r>
      <w:r w:rsidRPr="0058432E">
        <w:rPr>
          <w:color w:val="000000" w:themeColor="text1"/>
        </w:rPr>
        <w:t>20 ; 72</w:t>
      </w:r>
      <w:r w:rsidR="0077358F" w:rsidRPr="0058432E">
        <w:rPr>
          <w:color w:val="000000" w:themeColor="text1"/>
        </w:rPr>
        <w:t> </w:t>
      </w:r>
      <w:r w:rsidRPr="0058432E">
        <w:rPr>
          <w:color w:val="000000" w:themeColor="text1"/>
        </w:rPr>
        <w:t>patients (63,2 %) ont eu une réponse ACR</w:t>
      </w:r>
      <w:r w:rsidR="0077358F" w:rsidRPr="0058432E">
        <w:rPr>
          <w:color w:val="000000" w:themeColor="text1"/>
        </w:rPr>
        <w:t> </w:t>
      </w:r>
      <w:r w:rsidRPr="0058432E">
        <w:rPr>
          <w:color w:val="000000" w:themeColor="text1"/>
        </w:rPr>
        <w:t>50 et 41</w:t>
      </w:r>
      <w:r w:rsidR="0077358F" w:rsidRPr="0058432E">
        <w:rPr>
          <w:color w:val="000000" w:themeColor="text1"/>
        </w:rPr>
        <w:t> </w:t>
      </w:r>
      <w:r w:rsidRPr="0058432E">
        <w:rPr>
          <w:color w:val="000000" w:themeColor="text1"/>
        </w:rPr>
        <w:t>patients (36 %) ont eu une réponse ACR</w:t>
      </w:r>
      <w:r w:rsidR="0068537E" w:rsidRPr="0058432E">
        <w:rPr>
          <w:color w:val="000000" w:themeColor="text1"/>
        </w:rPr>
        <w:t> </w:t>
      </w:r>
      <w:r w:rsidRPr="0058432E">
        <w:rPr>
          <w:color w:val="000000" w:themeColor="text1"/>
        </w:rPr>
        <w:t>70. Sur 207</w:t>
      </w:r>
      <w:r w:rsidR="00CC06FD" w:rsidRPr="0058432E">
        <w:rPr>
          <w:color w:val="000000" w:themeColor="text1"/>
        </w:rPr>
        <w:t> </w:t>
      </w:r>
      <w:r w:rsidRPr="0058432E">
        <w:rPr>
          <w:color w:val="000000" w:themeColor="text1"/>
        </w:rPr>
        <w:t>patients, 81</w:t>
      </w:r>
      <w:r w:rsidR="00CC06FD" w:rsidRPr="0058432E">
        <w:rPr>
          <w:color w:val="000000" w:themeColor="text1"/>
        </w:rPr>
        <w:t> </w:t>
      </w:r>
      <w:r w:rsidRPr="0058432E">
        <w:rPr>
          <w:color w:val="000000" w:themeColor="text1"/>
        </w:rPr>
        <w:t>patients ont poursuivi l’adalimumab à la dose de 40 mg toutes les deux semaines pendant 10</w:t>
      </w:r>
      <w:r w:rsidR="00CC06FD" w:rsidRPr="0058432E">
        <w:rPr>
          <w:color w:val="000000" w:themeColor="text1"/>
        </w:rPr>
        <w:t> </w:t>
      </w:r>
      <w:r w:rsidRPr="0058432E">
        <w:rPr>
          <w:color w:val="000000" w:themeColor="text1"/>
        </w:rPr>
        <w:t>ans. Parmi ces patients, 64 patients (79,0 %) ont eu une réponse ACR</w:t>
      </w:r>
      <w:r w:rsidR="0059060F" w:rsidRPr="0058432E">
        <w:rPr>
          <w:color w:val="000000" w:themeColor="text1"/>
        </w:rPr>
        <w:t> </w:t>
      </w:r>
      <w:r w:rsidRPr="0058432E">
        <w:rPr>
          <w:color w:val="000000" w:themeColor="text1"/>
        </w:rPr>
        <w:t>20 ; 56 patients (69,1 %) ont eu une réponse ACR</w:t>
      </w:r>
      <w:r w:rsidR="00AB5739" w:rsidRPr="0058432E">
        <w:rPr>
          <w:color w:val="000000" w:themeColor="text1"/>
        </w:rPr>
        <w:t> </w:t>
      </w:r>
      <w:r w:rsidRPr="0058432E">
        <w:rPr>
          <w:color w:val="000000" w:themeColor="text1"/>
        </w:rPr>
        <w:t>50 et 43 patients (53,1 %) ont eu une réponse ACR</w:t>
      </w:r>
      <w:r w:rsidR="00AB5739" w:rsidRPr="0058432E">
        <w:rPr>
          <w:color w:val="000000" w:themeColor="text1"/>
        </w:rPr>
        <w:t> </w:t>
      </w:r>
      <w:r w:rsidRPr="0058432E">
        <w:rPr>
          <w:color w:val="000000" w:themeColor="text1"/>
        </w:rPr>
        <w:t>70.</w:t>
      </w:r>
    </w:p>
    <w:p w14:paraId="675F4D2A" w14:textId="77777777" w:rsidR="00D2772B" w:rsidRPr="0058432E" w:rsidRDefault="00D2772B" w:rsidP="006B7D5A">
      <w:pPr>
        <w:pStyle w:val="BodyText"/>
        <w:widowControl/>
        <w:kinsoku w:val="0"/>
        <w:overflowPunct w:val="0"/>
        <w:ind w:left="0"/>
        <w:rPr>
          <w:color w:val="000000" w:themeColor="text1"/>
        </w:rPr>
      </w:pPr>
    </w:p>
    <w:p w14:paraId="4E20310E" w14:textId="77777777" w:rsidR="00D2772B" w:rsidRPr="0058432E" w:rsidRDefault="00D2772B" w:rsidP="006B7D5A">
      <w:pPr>
        <w:pStyle w:val="BodyText"/>
        <w:widowControl/>
        <w:kinsoku w:val="0"/>
        <w:overflowPunct w:val="0"/>
        <w:ind w:left="0"/>
        <w:rPr>
          <w:color w:val="000000" w:themeColor="text1"/>
        </w:rPr>
      </w:pPr>
      <w:r w:rsidRPr="0058432E">
        <w:rPr>
          <w:color w:val="000000" w:themeColor="text1"/>
        </w:rPr>
        <w:t>Dans l’étude</w:t>
      </w:r>
      <w:r w:rsidR="00AB5739" w:rsidRPr="0058432E">
        <w:rPr>
          <w:color w:val="000000" w:themeColor="text1"/>
        </w:rPr>
        <w:t> </w:t>
      </w:r>
      <w:r w:rsidRPr="0058432E">
        <w:rPr>
          <w:color w:val="000000" w:themeColor="text1"/>
        </w:rPr>
        <w:t xml:space="preserve">IV sur </w:t>
      </w:r>
      <w:proofErr w:type="gramStart"/>
      <w:r w:rsidRPr="0058432E">
        <w:rPr>
          <w:color w:val="000000" w:themeColor="text1"/>
        </w:rPr>
        <w:t>la PR</w:t>
      </w:r>
      <w:proofErr w:type="gramEnd"/>
      <w:r w:rsidRPr="0058432E">
        <w:rPr>
          <w:color w:val="000000" w:themeColor="text1"/>
        </w:rPr>
        <w:t>, la réponse ACR</w:t>
      </w:r>
      <w:r w:rsidR="00AB5739" w:rsidRPr="0058432E">
        <w:rPr>
          <w:color w:val="000000" w:themeColor="text1"/>
        </w:rPr>
        <w:t> </w:t>
      </w:r>
      <w:r w:rsidRPr="0058432E">
        <w:rPr>
          <w:color w:val="000000" w:themeColor="text1"/>
        </w:rPr>
        <w:t>20 des patients traités par adalimumab en plus des soins habituels a été significativement meilleure que chez les patients recevant le placebo plus les soins habituels (p &lt; 0,001).</w:t>
      </w:r>
    </w:p>
    <w:p w14:paraId="4406B609" w14:textId="77777777" w:rsidR="00D2772B" w:rsidRPr="0058432E" w:rsidRDefault="00D2772B" w:rsidP="006B7D5A">
      <w:pPr>
        <w:pStyle w:val="BodyText"/>
        <w:widowControl/>
        <w:kinsoku w:val="0"/>
        <w:overflowPunct w:val="0"/>
        <w:ind w:left="0"/>
        <w:rPr>
          <w:color w:val="000000" w:themeColor="text1"/>
        </w:rPr>
      </w:pPr>
    </w:p>
    <w:p w14:paraId="508249D7" w14:textId="77777777" w:rsidR="00D2772B" w:rsidRPr="0058432E" w:rsidRDefault="00D2772B" w:rsidP="006B7D5A">
      <w:pPr>
        <w:pStyle w:val="BodyText"/>
        <w:widowControl/>
        <w:kinsoku w:val="0"/>
        <w:overflowPunct w:val="0"/>
        <w:ind w:left="0"/>
        <w:rPr>
          <w:color w:val="000000" w:themeColor="text1"/>
        </w:rPr>
      </w:pPr>
      <w:r w:rsidRPr="0058432E">
        <w:rPr>
          <w:color w:val="000000" w:themeColor="text1"/>
        </w:rPr>
        <w:t>Dans les études</w:t>
      </w:r>
      <w:r w:rsidR="00AB5739" w:rsidRPr="0058432E">
        <w:rPr>
          <w:color w:val="000000" w:themeColor="text1"/>
        </w:rPr>
        <w:t> </w:t>
      </w:r>
      <w:r w:rsidRPr="0058432E">
        <w:rPr>
          <w:color w:val="000000" w:themeColor="text1"/>
        </w:rPr>
        <w:t xml:space="preserve">I-IV sur </w:t>
      </w:r>
      <w:proofErr w:type="gramStart"/>
      <w:r w:rsidRPr="0058432E">
        <w:rPr>
          <w:color w:val="000000" w:themeColor="text1"/>
        </w:rPr>
        <w:t>la PR</w:t>
      </w:r>
      <w:proofErr w:type="gramEnd"/>
      <w:r w:rsidRPr="0058432E">
        <w:rPr>
          <w:color w:val="000000" w:themeColor="text1"/>
        </w:rPr>
        <w:t>, les réponses ACR</w:t>
      </w:r>
      <w:r w:rsidR="004168FC" w:rsidRPr="0058432E">
        <w:rPr>
          <w:color w:val="000000" w:themeColor="text1"/>
        </w:rPr>
        <w:t> </w:t>
      </w:r>
      <w:r w:rsidRPr="0058432E">
        <w:rPr>
          <w:color w:val="000000" w:themeColor="text1"/>
        </w:rPr>
        <w:t>20 et 50 des patients traités par adalimumab ont été statistiquement significatives par rapport au placebo dès la première ou la deuxième semaine de traitement.</w:t>
      </w:r>
    </w:p>
    <w:p w14:paraId="31579D64" w14:textId="77777777" w:rsidR="00D2772B" w:rsidRPr="0058432E" w:rsidRDefault="00D2772B" w:rsidP="006B7D5A">
      <w:pPr>
        <w:pStyle w:val="BodyText"/>
        <w:widowControl/>
        <w:kinsoku w:val="0"/>
        <w:overflowPunct w:val="0"/>
        <w:ind w:left="0"/>
        <w:rPr>
          <w:color w:val="000000" w:themeColor="text1"/>
          <w:szCs w:val="21"/>
        </w:rPr>
      </w:pPr>
    </w:p>
    <w:p w14:paraId="093DC878" w14:textId="77777777" w:rsidR="00D2772B" w:rsidRPr="0058432E" w:rsidRDefault="00D2772B" w:rsidP="006B7D5A">
      <w:pPr>
        <w:pStyle w:val="BodyText"/>
        <w:widowControl/>
        <w:kinsoku w:val="0"/>
        <w:overflowPunct w:val="0"/>
        <w:ind w:left="0"/>
        <w:rPr>
          <w:color w:val="000000" w:themeColor="text1"/>
        </w:rPr>
      </w:pPr>
      <w:r w:rsidRPr="0058432E">
        <w:rPr>
          <w:color w:val="000000" w:themeColor="text1"/>
        </w:rPr>
        <w:t>Dans l’étude</w:t>
      </w:r>
      <w:r w:rsidR="00AB5739" w:rsidRPr="0058432E">
        <w:rPr>
          <w:color w:val="000000" w:themeColor="text1"/>
        </w:rPr>
        <w:t> </w:t>
      </w:r>
      <w:r w:rsidRPr="0058432E">
        <w:rPr>
          <w:color w:val="000000" w:themeColor="text1"/>
        </w:rPr>
        <w:t xml:space="preserve">V sur </w:t>
      </w:r>
      <w:proofErr w:type="gramStart"/>
      <w:r w:rsidRPr="0058432E">
        <w:rPr>
          <w:color w:val="000000" w:themeColor="text1"/>
        </w:rPr>
        <w:t>la PR</w:t>
      </w:r>
      <w:proofErr w:type="gramEnd"/>
      <w:r w:rsidRPr="0058432E">
        <w:rPr>
          <w:color w:val="000000" w:themeColor="text1"/>
        </w:rPr>
        <w:t xml:space="preserve"> chez des patients ayant une polyarthrite rhumatoïde récente, naïfs de méthotrexate, un traitement associant de l’adalimumab et du méthotrexate a conduit à des réponses ACR plus rapides et significativement plus importantes qu</w:t>
      </w:r>
      <w:r w:rsidR="00EA6E74" w:rsidRPr="0058432E">
        <w:rPr>
          <w:color w:val="000000" w:themeColor="text1"/>
        </w:rPr>
        <w:t>’</w:t>
      </w:r>
      <w:r w:rsidRPr="0058432E">
        <w:rPr>
          <w:color w:val="000000" w:themeColor="text1"/>
        </w:rPr>
        <w:t>avec le méthotrexate seul et l’adalimumab seul à la semaine 52 et les réponses étaient maintenues à la semaine</w:t>
      </w:r>
      <w:r w:rsidR="005E7A02" w:rsidRPr="0058432E">
        <w:rPr>
          <w:color w:val="000000" w:themeColor="text1"/>
        </w:rPr>
        <w:t> </w:t>
      </w:r>
      <w:r w:rsidRPr="0058432E">
        <w:rPr>
          <w:color w:val="000000" w:themeColor="text1"/>
        </w:rPr>
        <w:t>104 (voir tableau </w:t>
      </w:r>
      <w:r w:rsidR="006B2FBE" w:rsidRPr="0058432E">
        <w:rPr>
          <w:color w:val="000000" w:themeColor="text1"/>
        </w:rPr>
        <w:t>8</w:t>
      </w:r>
      <w:r w:rsidRPr="0058432E">
        <w:rPr>
          <w:color w:val="000000" w:themeColor="text1"/>
        </w:rPr>
        <w:t>).</w:t>
      </w:r>
    </w:p>
    <w:p w14:paraId="22404D7B" w14:textId="77777777" w:rsidR="00264096" w:rsidRPr="0058432E" w:rsidRDefault="00264096" w:rsidP="006B7D5A">
      <w:pPr>
        <w:rPr>
          <w:color w:val="000000" w:themeColor="text1"/>
        </w:rPr>
      </w:pPr>
    </w:p>
    <w:p w14:paraId="17E92FC4" w14:textId="77777777" w:rsidR="00D2772B" w:rsidRPr="0058432E" w:rsidRDefault="00D2772B" w:rsidP="006D1A33">
      <w:pPr>
        <w:pStyle w:val="BodyText"/>
        <w:keepNext/>
        <w:keepLines/>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8</w:t>
      </w:r>
      <w:r w:rsidR="00905FFD" w:rsidRPr="0058432E">
        <w:rPr>
          <w:b/>
          <w:color w:val="000000" w:themeColor="text1"/>
        </w:rPr>
        <w:t>.</w:t>
      </w:r>
    </w:p>
    <w:p w14:paraId="67DA4200" w14:textId="77777777" w:rsidR="003716CB" w:rsidRPr="0058432E" w:rsidRDefault="003716CB" w:rsidP="00A53E17">
      <w:pPr>
        <w:keepNext/>
        <w:rPr>
          <w:b/>
          <w:color w:val="000000" w:themeColor="text1"/>
        </w:rPr>
      </w:pPr>
      <w:r w:rsidRPr="0058432E">
        <w:rPr>
          <w:b/>
          <w:color w:val="000000" w:themeColor="text1"/>
        </w:rPr>
        <w:t>Réponses ACR dans l’étude V sur la PR (pourcentage de patients)</w:t>
      </w:r>
    </w:p>
    <w:p w14:paraId="3B22E500" w14:textId="77777777" w:rsidR="003716CB" w:rsidRPr="0058432E" w:rsidRDefault="003716CB" w:rsidP="003716CB">
      <w:pPr>
        <w:keepNext/>
        <w:rPr>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620"/>
        <w:gridCol w:w="2070"/>
        <w:gridCol w:w="1110"/>
        <w:gridCol w:w="1110"/>
        <w:gridCol w:w="1110"/>
      </w:tblGrid>
      <w:tr w:rsidR="003716CB" w:rsidRPr="0058432E" w14:paraId="7BB2D3F2" w14:textId="77777777" w:rsidTr="00BF1C5A">
        <w:trPr>
          <w:tblHeader/>
        </w:trPr>
        <w:tc>
          <w:tcPr>
            <w:tcW w:w="1638" w:type="dxa"/>
            <w:tcBorders>
              <w:top w:val="single" w:sz="4" w:space="0" w:color="auto"/>
              <w:left w:val="single" w:sz="4" w:space="0" w:color="auto"/>
              <w:bottom w:val="single" w:sz="4" w:space="0" w:color="auto"/>
              <w:right w:val="single" w:sz="4" w:space="0" w:color="auto"/>
            </w:tcBorders>
            <w:vAlign w:val="center"/>
            <w:hideMark/>
          </w:tcPr>
          <w:p w14:paraId="44B7F329" w14:textId="77777777" w:rsidR="003716CB" w:rsidRPr="0058432E" w:rsidRDefault="003716CB" w:rsidP="00E9681E">
            <w:pPr>
              <w:keepNext/>
              <w:jc w:val="center"/>
              <w:rPr>
                <w:b/>
                <w:color w:val="000000" w:themeColor="text1"/>
              </w:rPr>
            </w:pPr>
            <w:r w:rsidRPr="0058432E">
              <w:rPr>
                <w:b/>
                <w:color w:val="000000" w:themeColor="text1"/>
              </w:rPr>
              <w:t>Réponse</w:t>
            </w:r>
          </w:p>
        </w:tc>
        <w:tc>
          <w:tcPr>
            <w:tcW w:w="990" w:type="dxa"/>
            <w:tcBorders>
              <w:top w:val="single" w:sz="4" w:space="0" w:color="auto"/>
              <w:left w:val="single" w:sz="4" w:space="0" w:color="auto"/>
              <w:bottom w:val="single" w:sz="4" w:space="0" w:color="auto"/>
              <w:right w:val="single" w:sz="4" w:space="0" w:color="auto"/>
            </w:tcBorders>
            <w:hideMark/>
          </w:tcPr>
          <w:p w14:paraId="5FF854A5" w14:textId="77777777" w:rsidR="003716CB" w:rsidRPr="0058432E" w:rsidRDefault="003716CB" w:rsidP="00E9681E">
            <w:pPr>
              <w:keepNext/>
              <w:jc w:val="center"/>
              <w:rPr>
                <w:b/>
                <w:color w:val="000000" w:themeColor="text1"/>
              </w:rPr>
            </w:pPr>
            <w:r w:rsidRPr="0058432E">
              <w:rPr>
                <w:b/>
                <w:color w:val="000000" w:themeColor="text1"/>
              </w:rPr>
              <w:t>MTX</w:t>
            </w:r>
          </w:p>
          <w:p w14:paraId="54D4153B"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257</w:t>
            </w:r>
          </w:p>
        </w:tc>
        <w:tc>
          <w:tcPr>
            <w:tcW w:w="1620" w:type="dxa"/>
            <w:tcBorders>
              <w:top w:val="single" w:sz="4" w:space="0" w:color="auto"/>
              <w:left w:val="single" w:sz="4" w:space="0" w:color="auto"/>
              <w:bottom w:val="single" w:sz="4" w:space="0" w:color="auto"/>
              <w:right w:val="single" w:sz="4" w:space="0" w:color="auto"/>
            </w:tcBorders>
            <w:hideMark/>
          </w:tcPr>
          <w:p w14:paraId="673F69B9" w14:textId="77777777" w:rsidR="003716CB" w:rsidRPr="0058432E" w:rsidRDefault="003716CB" w:rsidP="00E9681E">
            <w:pPr>
              <w:keepNext/>
              <w:jc w:val="center"/>
              <w:rPr>
                <w:b/>
                <w:color w:val="000000" w:themeColor="text1"/>
              </w:rPr>
            </w:pPr>
            <w:r w:rsidRPr="0058432E">
              <w:rPr>
                <w:b/>
                <w:color w:val="000000" w:themeColor="text1"/>
              </w:rPr>
              <w:t>Adalimumab</w:t>
            </w:r>
          </w:p>
          <w:p w14:paraId="06C7D0A0"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274</w:t>
            </w:r>
          </w:p>
        </w:tc>
        <w:tc>
          <w:tcPr>
            <w:tcW w:w="2070" w:type="dxa"/>
            <w:tcBorders>
              <w:top w:val="single" w:sz="4" w:space="0" w:color="auto"/>
              <w:left w:val="single" w:sz="4" w:space="0" w:color="auto"/>
              <w:bottom w:val="single" w:sz="4" w:space="0" w:color="auto"/>
              <w:right w:val="single" w:sz="4" w:space="0" w:color="auto"/>
            </w:tcBorders>
            <w:hideMark/>
          </w:tcPr>
          <w:p w14:paraId="3A9B4B9D" w14:textId="77777777" w:rsidR="003716CB" w:rsidRPr="0058432E" w:rsidRDefault="003716CB" w:rsidP="00E9681E">
            <w:pPr>
              <w:keepNext/>
              <w:jc w:val="center"/>
              <w:rPr>
                <w:b/>
                <w:color w:val="000000" w:themeColor="text1"/>
              </w:rPr>
            </w:pPr>
            <w:r w:rsidRPr="0058432E">
              <w:rPr>
                <w:b/>
                <w:color w:val="000000" w:themeColor="text1"/>
              </w:rPr>
              <w:t>Adalimumab/MTX</w:t>
            </w:r>
          </w:p>
          <w:p w14:paraId="72B0966E"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268</w:t>
            </w:r>
          </w:p>
        </w:tc>
        <w:tc>
          <w:tcPr>
            <w:tcW w:w="1110" w:type="dxa"/>
            <w:tcBorders>
              <w:top w:val="single" w:sz="4" w:space="0" w:color="auto"/>
              <w:left w:val="single" w:sz="4" w:space="0" w:color="auto"/>
              <w:bottom w:val="single" w:sz="4" w:space="0" w:color="auto"/>
              <w:right w:val="single" w:sz="4" w:space="0" w:color="auto"/>
            </w:tcBorders>
            <w:vAlign w:val="center"/>
            <w:hideMark/>
          </w:tcPr>
          <w:p w14:paraId="7B87F657"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a</w:t>
            </w:r>
          </w:p>
        </w:tc>
        <w:tc>
          <w:tcPr>
            <w:tcW w:w="1110" w:type="dxa"/>
            <w:tcBorders>
              <w:top w:val="single" w:sz="4" w:space="0" w:color="auto"/>
              <w:left w:val="single" w:sz="4" w:space="0" w:color="auto"/>
              <w:bottom w:val="single" w:sz="4" w:space="0" w:color="auto"/>
              <w:right w:val="single" w:sz="4" w:space="0" w:color="auto"/>
            </w:tcBorders>
            <w:vAlign w:val="center"/>
            <w:hideMark/>
          </w:tcPr>
          <w:p w14:paraId="2A025587"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b</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697E181"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c</w:t>
            </w:r>
          </w:p>
        </w:tc>
      </w:tr>
      <w:tr w:rsidR="003716CB" w:rsidRPr="0058432E" w14:paraId="3E1112DF"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1679F310" w14:textId="77777777" w:rsidR="003716CB" w:rsidRPr="0058432E" w:rsidRDefault="003716CB" w:rsidP="00E9681E">
            <w:pPr>
              <w:keepNext/>
              <w:rPr>
                <w:color w:val="000000" w:themeColor="text1"/>
              </w:rPr>
            </w:pPr>
            <w:r w:rsidRPr="0058432E">
              <w:rPr>
                <w:color w:val="000000" w:themeColor="text1"/>
              </w:rPr>
              <w:t>ACR 20</w:t>
            </w:r>
          </w:p>
        </w:tc>
        <w:tc>
          <w:tcPr>
            <w:tcW w:w="990" w:type="dxa"/>
            <w:tcBorders>
              <w:top w:val="single" w:sz="4" w:space="0" w:color="auto"/>
              <w:left w:val="single" w:sz="4" w:space="0" w:color="auto"/>
              <w:bottom w:val="single" w:sz="4" w:space="0" w:color="auto"/>
              <w:right w:val="single" w:sz="4" w:space="0" w:color="auto"/>
            </w:tcBorders>
          </w:tcPr>
          <w:p w14:paraId="5F6E61EF" w14:textId="77777777" w:rsidR="003716CB" w:rsidRPr="0058432E" w:rsidRDefault="003716CB" w:rsidP="00E9681E">
            <w:pPr>
              <w:keepNext/>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28B005B6" w14:textId="77777777" w:rsidR="003716CB" w:rsidRPr="0058432E" w:rsidRDefault="003716CB" w:rsidP="00E9681E">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03D7E293" w14:textId="77777777" w:rsidR="003716CB" w:rsidRPr="0058432E"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0C1BD183" w14:textId="77777777" w:rsidR="003716CB" w:rsidRPr="0058432E"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2241333B" w14:textId="77777777" w:rsidR="003716CB" w:rsidRPr="0058432E" w:rsidRDefault="003716CB" w:rsidP="00E9681E">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3A573174" w14:textId="77777777" w:rsidR="003716CB" w:rsidRPr="0058432E" w:rsidRDefault="003716CB" w:rsidP="00E9681E">
            <w:pPr>
              <w:keepNext/>
              <w:jc w:val="center"/>
              <w:rPr>
                <w:color w:val="000000" w:themeColor="text1"/>
              </w:rPr>
            </w:pPr>
          </w:p>
        </w:tc>
      </w:tr>
      <w:tr w:rsidR="003716CB" w:rsidRPr="0058432E" w14:paraId="6A7EBD3A"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300DC5C9" w14:textId="77777777" w:rsidR="003716CB" w:rsidRPr="0058432E" w:rsidRDefault="003716CB" w:rsidP="00E9681E">
            <w:pPr>
              <w:keepNext/>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1B698285" w14:textId="77777777" w:rsidR="003716CB" w:rsidRPr="0058432E" w:rsidRDefault="003716CB" w:rsidP="00E9681E">
            <w:pPr>
              <w:keepNext/>
              <w:jc w:val="center"/>
              <w:rPr>
                <w:color w:val="000000" w:themeColor="text1"/>
              </w:rPr>
            </w:pPr>
            <w:r w:rsidRPr="0058432E">
              <w:rPr>
                <w:color w:val="000000" w:themeColor="text1"/>
              </w:rPr>
              <w:t>62,6 %</w:t>
            </w:r>
          </w:p>
        </w:tc>
        <w:tc>
          <w:tcPr>
            <w:tcW w:w="1620" w:type="dxa"/>
            <w:tcBorders>
              <w:top w:val="single" w:sz="4" w:space="0" w:color="auto"/>
              <w:left w:val="single" w:sz="4" w:space="0" w:color="auto"/>
              <w:bottom w:val="single" w:sz="4" w:space="0" w:color="auto"/>
              <w:right w:val="single" w:sz="4" w:space="0" w:color="auto"/>
            </w:tcBorders>
            <w:hideMark/>
          </w:tcPr>
          <w:p w14:paraId="39C0DB45" w14:textId="77777777" w:rsidR="003716CB" w:rsidRPr="0058432E" w:rsidRDefault="003716CB" w:rsidP="00E9681E">
            <w:pPr>
              <w:keepNext/>
              <w:jc w:val="center"/>
              <w:rPr>
                <w:color w:val="000000" w:themeColor="text1"/>
              </w:rPr>
            </w:pPr>
            <w:r w:rsidRPr="0058432E">
              <w:rPr>
                <w:color w:val="000000" w:themeColor="text1"/>
              </w:rPr>
              <w:t>54,4 %</w:t>
            </w:r>
          </w:p>
        </w:tc>
        <w:tc>
          <w:tcPr>
            <w:tcW w:w="2070" w:type="dxa"/>
            <w:tcBorders>
              <w:top w:val="single" w:sz="4" w:space="0" w:color="auto"/>
              <w:left w:val="single" w:sz="4" w:space="0" w:color="auto"/>
              <w:bottom w:val="single" w:sz="4" w:space="0" w:color="auto"/>
              <w:right w:val="single" w:sz="4" w:space="0" w:color="auto"/>
            </w:tcBorders>
            <w:hideMark/>
          </w:tcPr>
          <w:p w14:paraId="36A8AD53" w14:textId="77777777" w:rsidR="003716CB" w:rsidRPr="0058432E" w:rsidRDefault="003716CB" w:rsidP="00E9681E">
            <w:pPr>
              <w:keepNext/>
              <w:jc w:val="center"/>
              <w:rPr>
                <w:color w:val="000000" w:themeColor="text1"/>
              </w:rPr>
            </w:pPr>
            <w:r w:rsidRPr="0058432E">
              <w:rPr>
                <w:color w:val="000000" w:themeColor="text1"/>
              </w:rPr>
              <w:t>72,8 %</w:t>
            </w:r>
          </w:p>
        </w:tc>
        <w:tc>
          <w:tcPr>
            <w:tcW w:w="1110" w:type="dxa"/>
            <w:tcBorders>
              <w:top w:val="single" w:sz="4" w:space="0" w:color="auto"/>
              <w:left w:val="single" w:sz="4" w:space="0" w:color="auto"/>
              <w:bottom w:val="single" w:sz="4" w:space="0" w:color="auto"/>
              <w:right w:val="single" w:sz="4" w:space="0" w:color="auto"/>
            </w:tcBorders>
            <w:hideMark/>
          </w:tcPr>
          <w:p w14:paraId="000E1908" w14:textId="77777777" w:rsidR="003716CB" w:rsidRPr="0058432E" w:rsidRDefault="003716CB" w:rsidP="00E9681E">
            <w:pPr>
              <w:keepNext/>
              <w:jc w:val="center"/>
              <w:rPr>
                <w:color w:val="000000" w:themeColor="text1"/>
              </w:rPr>
            </w:pPr>
            <w:r w:rsidRPr="0058432E">
              <w:rPr>
                <w:color w:val="000000" w:themeColor="text1"/>
              </w:rPr>
              <w:t>0,013</w:t>
            </w:r>
          </w:p>
        </w:tc>
        <w:tc>
          <w:tcPr>
            <w:tcW w:w="1110" w:type="dxa"/>
            <w:tcBorders>
              <w:top w:val="single" w:sz="4" w:space="0" w:color="auto"/>
              <w:left w:val="single" w:sz="4" w:space="0" w:color="auto"/>
              <w:bottom w:val="single" w:sz="4" w:space="0" w:color="auto"/>
              <w:right w:val="single" w:sz="4" w:space="0" w:color="auto"/>
            </w:tcBorders>
            <w:hideMark/>
          </w:tcPr>
          <w:p w14:paraId="37E2ED25" w14:textId="77777777" w:rsidR="003716CB" w:rsidRPr="0058432E" w:rsidRDefault="003716CB" w:rsidP="00E9681E">
            <w:pPr>
              <w:keepNext/>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17B088D9" w14:textId="77777777" w:rsidR="003716CB" w:rsidRPr="0058432E" w:rsidRDefault="003716CB" w:rsidP="00E9681E">
            <w:pPr>
              <w:keepNext/>
              <w:jc w:val="center"/>
              <w:rPr>
                <w:color w:val="000000" w:themeColor="text1"/>
              </w:rPr>
            </w:pPr>
            <w:r w:rsidRPr="0058432E">
              <w:rPr>
                <w:color w:val="000000" w:themeColor="text1"/>
              </w:rPr>
              <w:t>0,043</w:t>
            </w:r>
          </w:p>
        </w:tc>
      </w:tr>
      <w:tr w:rsidR="003716CB" w:rsidRPr="0058432E" w14:paraId="4779BC12"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1B2E5674" w14:textId="77777777" w:rsidR="003716CB" w:rsidRPr="0058432E" w:rsidRDefault="003716CB" w:rsidP="00E9681E">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5BB767B2" w14:textId="77777777" w:rsidR="003716CB" w:rsidRPr="0058432E" w:rsidRDefault="003716CB" w:rsidP="00E9681E">
            <w:pPr>
              <w:jc w:val="center"/>
              <w:rPr>
                <w:color w:val="000000" w:themeColor="text1"/>
              </w:rPr>
            </w:pPr>
            <w:r w:rsidRPr="0058432E">
              <w:rPr>
                <w:color w:val="000000" w:themeColor="text1"/>
              </w:rPr>
              <w:t>56,0 %</w:t>
            </w:r>
          </w:p>
        </w:tc>
        <w:tc>
          <w:tcPr>
            <w:tcW w:w="1620" w:type="dxa"/>
            <w:tcBorders>
              <w:top w:val="single" w:sz="4" w:space="0" w:color="auto"/>
              <w:left w:val="single" w:sz="4" w:space="0" w:color="auto"/>
              <w:bottom w:val="single" w:sz="4" w:space="0" w:color="auto"/>
              <w:right w:val="single" w:sz="4" w:space="0" w:color="auto"/>
            </w:tcBorders>
            <w:hideMark/>
          </w:tcPr>
          <w:p w14:paraId="2612036A" w14:textId="77777777" w:rsidR="003716CB" w:rsidRPr="0058432E" w:rsidRDefault="003716CB" w:rsidP="00E9681E">
            <w:pPr>
              <w:jc w:val="center"/>
              <w:rPr>
                <w:color w:val="000000" w:themeColor="text1"/>
              </w:rPr>
            </w:pPr>
            <w:r w:rsidRPr="0058432E">
              <w:rPr>
                <w:color w:val="000000" w:themeColor="text1"/>
              </w:rPr>
              <w:t>49,3 %</w:t>
            </w:r>
          </w:p>
        </w:tc>
        <w:tc>
          <w:tcPr>
            <w:tcW w:w="2070" w:type="dxa"/>
            <w:tcBorders>
              <w:top w:val="single" w:sz="4" w:space="0" w:color="auto"/>
              <w:left w:val="single" w:sz="4" w:space="0" w:color="auto"/>
              <w:bottom w:val="single" w:sz="4" w:space="0" w:color="auto"/>
              <w:right w:val="single" w:sz="4" w:space="0" w:color="auto"/>
            </w:tcBorders>
            <w:hideMark/>
          </w:tcPr>
          <w:p w14:paraId="1C19B4A1" w14:textId="77777777" w:rsidR="003716CB" w:rsidRPr="0058432E" w:rsidRDefault="003716CB" w:rsidP="00E9681E">
            <w:pPr>
              <w:jc w:val="center"/>
              <w:rPr>
                <w:color w:val="000000" w:themeColor="text1"/>
              </w:rPr>
            </w:pPr>
            <w:r w:rsidRPr="0058432E">
              <w:rPr>
                <w:color w:val="000000" w:themeColor="text1"/>
              </w:rPr>
              <w:t>69,4 %</w:t>
            </w:r>
          </w:p>
        </w:tc>
        <w:tc>
          <w:tcPr>
            <w:tcW w:w="1110" w:type="dxa"/>
            <w:tcBorders>
              <w:top w:val="single" w:sz="4" w:space="0" w:color="auto"/>
              <w:left w:val="single" w:sz="4" w:space="0" w:color="auto"/>
              <w:bottom w:val="single" w:sz="4" w:space="0" w:color="auto"/>
              <w:right w:val="single" w:sz="4" w:space="0" w:color="auto"/>
            </w:tcBorders>
            <w:hideMark/>
          </w:tcPr>
          <w:p w14:paraId="21334408" w14:textId="77777777" w:rsidR="003716CB" w:rsidRPr="0058432E" w:rsidRDefault="003716CB" w:rsidP="00E9681E">
            <w:pPr>
              <w:jc w:val="center"/>
              <w:rPr>
                <w:color w:val="000000" w:themeColor="text1"/>
              </w:rPr>
            </w:pPr>
            <w:r w:rsidRPr="0058432E">
              <w:rPr>
                <w:color w:val="000000" w:themeColor="text1"/>
              </w:rPr>
              <w:t>0,002</w:t>
            </w:r>
          </w:p>
        </w:tc>
        <w:tc>
          <w:tcPr>
            <w:tcW w:w="1110" w:type="dxa"/>
            <w:tcBorders>
              <w:top w:val="single" w:sz="4" w:space="0" w:color="auto"/>
              <w:left w:val="single" w:sz="4" w:space="0" w:color="auto"/>
              <w:bottom w:val="single" w:sz="4" w:space="0" w:color="auto"/>
              <w:right w:val="single" w:sz="4" w:space="0" w:color="auto"/>
            </w:tcBorders>
            <w:hideMark/>
          </w:tcPr>
          <w:p w14:paraId="46C59B95"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25EE7135" w14:textId="77777777" w:rsidR="003716CB" w:rsidRPr="0058432E" w:rsidRDefault="003716CB" w:rsidP="00E9681E">
            <w:pPr>
              <w:jc w:val="center"/>
              <w:rPr>
                <w:color w:val="000000" w:themeColor="text1"/>
              </w:rPr>
            </w:pPr>
            <w:r w:rsidRPr="0058432E">
              <w:rPr>
                <w:color w:val="000000" w:themeColor="text1"/>
              </w:rPr>
              <w:t>0,140</w:t>
            </w:r>
          </w:p>
        </w:tc>
      </w:tr>
      <w:tr w:rsidR="003716CB" w:rsidRPr="0058432E" w14:paraId="78E13808"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2430D2C3" w14:textId="77777777" w:rsidR="003716CB" w:rsidRPr="0058432E" w:rsidRDefault="003716CB" w:rsidP="00E9681E">
            <w:pPr>
              <w:rPr>
                <w:color w:val="000000" w:themeColor="text1"/>
              </w:rPr>
            </w:pPr>
            <w:r w:rsidRPr="0058432E">
              <w:rPr>
                <w:color w:val="000000" w:themeColor="text1"/>
              </w:rPr>
              <w:t>ACR 50</w:t>
            </w:r>
          </w:p>
        </w:tc>
        <w:tc>
          <w:tcPr>
            <w:tcW w:w="990" w:type="dxa"/>
            <w:tcBorders>
              <w:top w:val="single" w:sz="4" w:space="0" w:color="auto"/>
              <w:left w:val="single" w:sz="4" w:space="0" w:color="auto"/>
              <w:bottom w:val="single" w:sz="4" w:space="0" w:color="auto"/>
              <w:right w:val="single" w:sz="4" w:space="0" w:color="auto"/>
            </w:tcBorders>
          </w:tcPr>
          <w:p w14:paraId="00123C9D" w14:textId="77777777" w:rsidR="003716CB" w:rsidRPr="0058432E" w:rsidRDefault="003716CB" w:rsidP="00E9681E">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56AC083C" w14:textId="77777777" w:rsidR="003716CB" w:rsidRPr="0058432E" w:rsidRDefault="003716CB" w:rsidP="00E9681E">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20C4BE4A"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36C4F1DA"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3C7F1149"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71C6F63B" w14:textId="77777777" w:rsidR="003716CB" w:rsidRPr="0058432E" w:rsidRDefault="003716CB" w:rsidP="00E9681E">
            <w:pPr>
              <w:jc w:val="center"/>
              <w:rPr>
                <w:color w:val="000000" w:themeColor="text1"/>
              </w:rPr>
            </w:pPr>
          </w:p>
        </w:tc>
      </w:tr>
      <w:tr w:rsidR="003716CB" w:rsidRPr="0058432E" w14:paraId="7E89A60B"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732F7BD2" w14:textId="77777777" w:rsidR="003716CB" w:rsidRPr="0058432E" w:rsidRDefault="003716CB" w:rsidP="00E9681E">
            <w:pPr>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7FAE1D4C" w14:textId="77777777" w:rsidR="003716CB" w:rsidRPr="0058432E" w:rsidRDefault="003716CB" w:rsidP="00E9681E">
            <w:pPr>
              <w:jc w:val="center"/>
              <w:rPr>
                <w:color w:val="000000" w:themeColor="text1"/>
              </w:rPr>
            </w:pPr>
            <w:r w:rsidRPr="0058432E">
              <w:rPr>
                <w:color w:val="000000" w:themeColor="text1"/>
              </w:rPr>
              <w:t>45,9 %</w:t>
            </w:r>
          </w:p>
        </w:tc>
        <w:tc>
          <w:tcPr>
            <w:tcW w:w="1620" w:type="dxa"/>
            <w:tcBorders>
              <w:top w:val="single" w:sz="4" w:space="0" w:color="auto"/>
              <w:left w:val="single" w:sz="4" w:space="0" w:color="auto"/>
              <w:bottom w:val="single" w:sz="4" w:space="0" w:color="auto"/>
              <w:right w:val="single" w:sz="4" w:space="0" w:color="auto"/>
            </w:tcBorders>
            <w:hideMark/>
          </w:tcPr>
          <w:p w14:paraId="55A6F01C" w14:textId="77777777" w:rsidR="003716CB" w:rsidRPr="0058432E" w:rsidRDefault="003716CB" w:rsidP="00E9681E">
            <w:pPr>
              <w:jc w:val="center"/>
              <w:rPr>
                <w:color w:val="000000" w:themeColor="text1"/>
              </w:rPr>
            </w:pPr>
            <w:r w:rsidRPr="0058432E">
              <w:rPr>
                <w:color w:val="000000" w:themeColor="text1"/>
              </w:rPr>
              <w:t>41,2 %</w:t>
            </w:r>
          </w:p>
        </w:tc>
        <w:tc>
          <w:tcPr>
            <w:tcW w:w="2070" w:type="dxa"/>
            <w:tcBorders>
              <w:top w:val="single" w:sz="4" w:space="0" w:color="auto"/>
              <w:left w:val="single" w:sz="4" w:space="0" w:color="auto"/>
              <w:bottom w:val="single" w:sz="4" w:space="0" w:color="auto"/>
              <w:right w:val="single" w:sz="4" w:space="0" w:color="auto"/>
            </w:tcBorders>
            <w:hideMark/>
          </w:tcPr>
          <w:p w14:paraId="005633A0" w14:textId="77777777" w:rsidR="003716CB" w:rsidRPr="0058432E" w:rsidRDefault="003716CB" w:rsidP="00E9681E">
            <w:pPr>
              <w:jc w:val="center"/>
              <w:rPr>
                <w:color w:val="000000" w:themeColor="text1"/>
              </w:rPr>
            </w:pPr>
            <w:r w:rsidRPr="0058432E">
              <w:rPr>
                <w:color w:val="000000" w:themeColor="text1"/>
              </w:rPr>
              <w:t>61,6 %</w:t>
            </w:r>
          </w:p>
        </w:tc>
        <w:tc>
          <w:tcPr>
            <w:tcW w:w="1110" w:type="dxa"/>
            <w:tcBorders>
              <w:top w:val="single" w:sz="4" w:space="0" w:color="auto"/>
              <w:left w:val="single" w:sz="4" w:space="0" w:color="auto"/>
              <w:bottom w:val="single" w:sz="4" w:space="0" w:color="auto"/>
              <w:right w:val="single" w:sz="4" w:space="0" w:color="auto"/>
            </w:tcBorders>
            <w:hideMark/>
          </w:tcPr>
          <w:p w14:paraId="06071F40"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A468E7A"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FD4B752" w14:textId="77777777" w:rsidR="003716CB" w:rsidRPr="0058432E" w:rsidRDefault="003716CB" w:rsidP="00E9681E">
            <w:pPr>
              <w:jc w:val="center"/>
              <w:rPr>
                <w:color w:val="000000" w:themeColor="text1"/>
              </w:rPr>
            </w:pPr>
            <w:r w:rsidRPr="0058432E">
              <w:rPr>
                <w:color w:val="000000" w:themeColor="text1"/>
              </w:rPr>
              <w:t>0,317</w:t>
            </w:r>
          </w:p>
        </w:tc>
      </w:tr>
      <w:tr w:rsidR="003716CB" w:rsidRPr="0058432E" w14:paraId="25ED1B78"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01B3EB5C" w14:textId="77777777" w:rsidR="003716CB" w:rsidRPr="0058432E" w:rsidRDefault="003716CB" w:rsidP="00E9681E">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6E58E988" w14:textId="77777777" w:rsidR="003716CB" w:rsidRPr="0058432E" w:rsidRDefault="003716CB" w:rsidP="00E9681E">
            <w:pPr>
              <w:jc w:val="center"/>
              <w:rPr>
                <w:color w:val="000000" w:themeColor="text1"/>
              </w:rPr>
            </w:pPr>
            <w:r w:rsidRPr="0058432E">
              <w:rPr>
                <w:color w:val="000000" w:themeColor="text1"/>
              </w:rPr>
              <w:t>42,8 %</w:t>
            </w:r>
          </w:p>
        </w:tc>
        <w:tc>
          <w:tcPr>
            <w:tcW w:w="1620" w:type="dxa"/>
            <w:tcBorders>
              <w:top w:val="single" w:sz="4" w:space="0" w:color="auto"/>
              <w:left w:val="single" w:sz="4" w:space="0" w:color="auto"/>
              <w:bottom w:val="single" w:sz="4" w:space="0" w:color="auto"/>
              <w:right w:val="single" w:sz="4" w:space="0" w:color="auto"/>
            </w:tcBorders>
            <w:hideMark/>
          </w:tcPr>
          <w:p w14:paraId="640400B1" w14:textId="77777777" w:rsidR="003716CB" w:rsidRPr="0058432E" w:rsidRDefault="003716CB" w:rsidP="00E9681E">
            <w:pPr>
              <w:jc w:val="center"/>
              <w:rPr>
                <w:color w:val="000000" w:themeColor="text1"/>
              </w:rPr>
            </w:pPr>
            <w:r w:rsidRPr="0058432E">
              <w:rPr>
                <w:color w:val="000000" w:themeColor="text1"/>
              </w:rPr>
              <w:t>36,9 %</w:t>
            </w:r>
          </w:p>
        </w:tc>
        <w:tc>
          <w:tcPr>
            <w:tcW w:w="2070" w:type="dxa"/>
            <w:tcBorders>
              <w:top w:val="single" w:sz="4" w:space="0" w:color="auto"/>
              <w:left w:val="single" w:sz="4" w:space="0" w:color="auto"/>
              <w:bottom w:val="single" w:sz="4" w:space="0" w:color="auto"/>
              <w:right w:val="single" w:sz="4" w:space="0" w:color="auto"/>
            </w:tcBorders>
            <w:hideMark/>
          </w:tcPr>
          <w:p w14:paraId="089B61A4" w14:textId="77777777" w:rsidR="003716CB" w:rsidRPr="0058432E" w:rsidRDefault="003716CB" w:rsidP="00E9681E">
            <w:pPr>
              <w:jc w:val="center"/>
              <w:rPr>
                <w:color w:val="000000" w:themeColor="text1"/>
              </w:rPr>
            </w:pPr>
            <w:r w:rsidRPr="0058432E">
              <w:rPr>
                <w:color w:val="000000" w:themeColor="text1"/>
              </w:rPr>
              <w:t>59,0 %</w:t>
            </w:r>
          </w:p>
        </w:tc>
        <w:tc>
          <w:tcPr>
            <w:tcW w:w="1110" w:type="dxa"/>
            <w:tcBorders>
              <w:top w:val="single" w:sz="4" w:space="0" w:color="auto"/>
              <w:left w:val="single" w:sz="4" w:space="0" w:color="auto"/>
              <w:bottom w:val="single" w:sz="4" w:space="0" w:color="auto"/>
              <w:right w:val="single" w:sz="4" w:space="0" w:color="auto"/>
            </w:tcBorders>
            <w:hideMark/>
          </w:tcPr>
          <w:p w14:paraId="4BFD942A"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A29E2F4"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13F4805D" w14:textId="77777777" w:rsidR="003716CB" w:rsidRPr="0058432E" w:rsidRDefault="003716CB" w:rsidP="00E9681E">
            <w:pPr>
              <w:jc w:val="center"/>
              <w:rPr>
                <w:color w:val="000000" w:themeColor="text1"/>
              </w:rPr>
            </w:pPr>
            <w:r w:rsidRPr="0058432E">
              <w:rPr>
                <w:color w:val="000000" w:themeColor="text1"/>
              </w:rPr>
              <w:t>0,162</w:t>
            </w:r>
          </w:p>
        </w:tc>
      </w:tr>
      <w:tr w:rsidR="003716CB" w:rsidRPr="0058432E" w14:paraId="11BE35AD"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1443A077" w14:textId="77777777" w:rsidR="003716CB" w:rsidRPr="0058432E" w:rsidRDefault="003716CB" w:rsidP="00E9681E">
            <w:pPr>
              <w:rPr>
                <w:color w:val="000000" w:themeColor="text1"/>
              </w:rPr>
            </w:pPr>
            <w:r w:rsidRPr="0058432E">
              <w:rPr>
                <w:color w:val="000000" w:themeColor="text1"/>
              </w:rPr>
              <w:t>ACR 70</w:t>
            </w:r>
          </w:p>
        </w:tc>
        <w:tc>
          <w:tcPr>
            <w:tcW w:w="990" w:type="dxa"/>
            <w:tcBorders>
              <w:top w:val="single" w:sz="4" w:space="0" w:color="auto"/>
              <w:left w:val="single" w:sz="4" w:space="0" w:color="auto"/>
              <w:bottom w:val="single" w:sz="4" w:space="0" w:color="auto"/>
              <w:right w:val="single" w:sz="4" w:space="0" w:color="auto"/>
            </w:tcBorders>
          </w:tcPr>
          <w:p w14:paraId="016FAEDB" w14:textId="77777777" w:rsidR="003716CB" w:rsidRPr="0058432E" w:rsidRDefault="003716CB" w:rsidP="00E9681E">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493AED2" w14:textId="77777777" w:rsidR="003716CB" w:rsidRPr="0058432E" w:rsidRDefault="003716CB" w:rsidP="00E9681E">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20A68F06"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30C9AB44"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43BC15E0" w14:textId="77777777" w:rsidR="003716CB" w:rsidRPr="0058432E" w:rsidRDefault="003716CB" w:rsidP="00E9681E">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219FFD1E" w14:textId="77777777" w:rsidR="003716CB" w:rsidRPr="0058432E" w:rsidRDefault="003716CB" w:rsidP="00E9681E">
            <w:pPr>
              <w:jc w:val="center"/>
              <w:rPr>
                <w:color w:val="000000" w:themeColor="text1"/>
              </w:rPr>
            </w:pPr>
          </w:p>
        </w:tc>
      </w:tr>
      <w:tr w:rsidR="003716CB" w:rsidRPr="0058432E" w14:paraId="09720ED7"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491DF627" w14:textId="77777777" w:rsidR="003716CB" w:rsidRPr="0058432E" w:rsidRDefault="003716CB" w:rsidP="00E9681E">
            <w:pPr>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1D791AE0" w14:textId="77777777" w:rsidR="003716CB" w:rsidRPr="0058432E" w:rsidRDefault="003716CB" w:rsidP="00E9681E">
            <w:pPr>
              <w:jc w:val="center"/>
              <w:rPr>
                <w:color w:val="000000" w:themeColor="text1"/>
              </w:rPr>
            </w:pPr>
            <w:r w:rsidRPr="0058432E">
              <w:rPr>
                <w:color w:val="000000" w:themeColor="text1"/>
              </w:rPr>
              <w:t>27,2 %</w:t>
            </w:r>
          </w:p>
        </w:tc>
        <w:tc>
          <w:tcPr>
            <w:tcW w:w="1620" w:type="dxa"/>
            <w:tcBorders>
              <w:top w:val="single" w:sz="4" w:space="0" w:color="auto"/>
              <w:left w:val="single" w:sz="4" w:space="0" w:color="auto"/>
              <w:bottom w:val="single" w:sz="4" w:space="0" w:color="auto"/>
              <w:right w:val="single" w:sz="4" w:space="0" w:color="auto"/>
            </w:tcBorders>
            <w:hideMark/>
          </w:tcPr>
          <w:p w14:paraId="4A08BBA5" w14:textId="77777777" w:rsidR="003716CB" w:rsidRPr="0058432E" w:rsidRDefault="003716CB" w:rsidP="00E9681E">
            <w:pPr>
              <w:jc w:val="center"/>
              <w:rPr>
                <w:color w:val="000000" w:themeColor="text1"/>
              </w:rPr>
            </w:pPr>
            <w:r w:rsidRPr="0058432E">
              <w:rPr>
                <w:color w:val="000000" w:themeColor="text1"/>
              </w:rPr>
              <w:t>25,9 %</w:t>
            </w:r>
          </w:p>
        </w:tc>
        <w:tc>
          <w:tcPr>
            <w:tcW w:w="2070" w:type="dxa"/>
            <w:tcBorders>
              <w:top w:val="single" w:sz="4" w:space="0" w:color="auto"/>
              <w:left w:val="single" w:sz="4" w:space="0" w:color="auto"/>
              <w:bottom w:val="single" w:sz="4" w:space="0" w:color="auto"/>
              <w:right w:val="single" w:sz="4" w:space="0" w:color="auto"/>
            </w:tcBorders>
            <w:hideMark/>
          </w:tcPr>
          <w:p w14:paraId="4C139297" w14:textId="77777777" w:rsidR="003716CB" w:rsidRPr="0058432E" w:rsidRDefault="003716CB" w:rsidP="00E9681E">
            <w:pPr>
              <w:jc w:val="center"/>
              <w:rPr>
                <w:color w:val="000000" w:themeColor="text1"/>
              </w:rPr>
            </w:pPr>
            <w:r w:rsidRPr="0058432E">
              <w:rPr>
                <w:color w:val="000000" w:themeColor="text1"/>
              </w:rPr>
              <w:t>45,5 %</w:t>
            </w:r>
          </w:p>
        </w:tc>
        <w:tc>
          <w:tcPr>
            <w:tcW w:w="1110" w:type="dxa"/>
            <w:tcBorders>
              <w:top w:val="single" w:sz="4" w:space="0" w:color="auto"/>
              <w:left w:val="single" w:sz="4" w:space="0" w:color="auto"/>
              <w:bottom w:val="single" w:sz="4" w:space="0" w:color="auto"/>
              <w:right w:val="single" w:sz="4" w:space="0" w:color="auto"/>
            </w:tcBorders>
            <w:hideMark/>
          </w:tcPr>
          <w:p w14:paraId="25EB890B"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7F52AD5"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7379244A" w14:textId="77777777" w:rsidR="003716CB" w:rsidRPr="0058432E" w:rsidRDefault="003716CB" w:rsidP="00E9681E">
            <w:pPr>
              <w:jc w:val="center"/>
              <w:rPr>
                <w:color w:val="000000" w:themeColor="text1"/>
              </w:rPr>
            </w:pPr>
            <w:r w:rsidRPr="0058432E">
              <w:rPr>
                <w:color w:val="000000" w:themeColor="text1"/>
              </w:rPr>
              <w:t>0,656</w:t>
            </w:r>
          </w:p>
        </w:tc>
      </w:tr>
      <w:tr w:rsidR="003716CB" w:rsidRPr="0058432E" w14:paraId="1DF5E324" w14:textId="77777777" w:rsidTr="006A2129">
        <w:tc>
          <w:tcPr>
            <w:tcW w:w="1638" w:type="dxa"/>
            <w:tcBorders>
              <w:top w:val="single" w:sz="4" w:space="0" w:color="auto"/>
              <w:left w:val="single" w:sz="4" w:space="0" w:color="auto"/>
              <w:bottom w:val="single" w:sz="4" w:space="0" w:color="auto"/>
              <w:right w:val="single" w:sz="4" w:space="0" w:color="auto"/>
            </w:tcBorders>
            <w:hideMark/>
          </w:tcPr>
          <w:p w14:paraId="77B00D91" w14:textId="77777777" w:rsidR="003716CB" w:rsidRPr="0058432E" w:rsidRDefault="003716CB" w:rsidP="00E9681E">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38056E1C" w14:textId="77777777" w:rsidR="003716CB" w:rsidRPr="0058432E" w:rsidRDefault="003716CB" w:rsidP="00E9681E">
            <w:pPr>
              <w:jc w:val="center"/>
              <w:rPr>
                <w:color w:val="000000" w:themeColor="text1"/>
              </w:rPr>
            </w:pPr>
            <w:r w:rsidRPr="0058432E">
              <w:rPr>
                <w:color w:val="000000" w:themeColor="text1"/>
              </w:rPr>
              <w:t>28,4 %</w:t>
            </w:r>
          </w:p>
        </w:tc>
        <w:tc>
          <w:tcPr>
            <w:tcW w:w="1620" w:type="dxa"/>
            <w:tcBorders>
              <w:top w:val="single" w:sz="4" w:space="0" w:color="auto"/>
              <w:left w:val="single" w:sz="4" w:space="0" w:color="auto"/>
              <w:bottom w:val="single" w:sz="4" w:space="0" w:color="auto"/>
              <w:right w:val="single" w:sz="4" w:space="0" w:color="auto"/>
            </w:tcBorders>
            <w:hideMark/>
          </w:tcPr>
          <w:p w14:paraId="435DFA85" w14:textId="77777777" w:rsidR="003716CB" w:rsidRPr="0058432E" w:rsidRDefault="003716CB" w:rsidP="00E9681E">
            <w:pPr>
              <w:jc w:val="center"/>
              <w:rPr>
                <w:color w:val="000000" w:themeColor="text1"/>
              </w:rPr>
            </w:pPr>
            <w:r w:rsidRPr="0058432E">
              <w:rPr>
                <w:color w:val="000000" w:themeColor="text1"/>
              </w:rPr>
              <w:t>28,1 %</w:t>
            </w:r>
          </w:p>
        </w:tc>
        <w:tc>
          <w:tcPr>
            <w:tcW w:w="2070" w:type="dxa"/>
            <w:tcBorders>
              <w:top w:val="single" w:sz="4" w:space="0" w:color="auto"/>
              <w:left w:val="single" w:sz="4" w:space="0" w:color="auto"/>
              <w:bottom w:val="single" w:sz="4" w:space="0" w:color="auto"/>
              <w:right w:val="single" w:sz="4" w:space="0" w:color="auto"/>
            </w:tcBorders>
            <w:hideMark/>
          </w:tcPr>
          <w:p w14:paraId="07608BB3" w14:textId="77777777" w:rsidR="003716CB" w:rsidRPr="0058432E" w:rsidRDefault="003716CB" w:rsidP="00E9681E">
            <w:pPr>
              <w:jc w:val="center"/>
              <w:rPr>
                <w:color w:val="000000" w:themeColor="text1"/>
              </w:rPr>
            </w:pPr>
            <w:r w:rsidRPr="0058432E">
              <w:rPr>
                <w:color w:val="000000" w:themeColor="text1"/>
              </w:rPr>
              <w:t>46,6 %</w:t>
            </w:r>
          </w:p>
        </w:tc>
        <w:tc>
          <w:tcPr>
            <w:tcW w:w="1110" w:type="dxa"/>
            <w:tcBorders>
              <w:top w:val="single" w:sz="4" w:space="0" w:color="auto"/>
              <w:left w:val="single" w:sz="4" w:space="0" w:color="auto"/>
              <w:bottom w:val="single" w:sz="4" w:space="0" w:color="auto"/>
              <w:right w:val="single" w:sz="4" w:space="0" w:color="auto"/>
            </w:tcBorders>
            <w:hideMark/>
          </w:tcPr>
          <w:p w14:paraId="1DDBFB2A"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1B3F4962" w14:textId="77777777" w:rsidR="003716CB" w:rsidRPr="0058432E" w:rsidRDefault="003716CB" w:rsidP="00E9681E">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65EF073F" w14:textId="77777777" w:rsidR="003716CB" w:rsidRPr="0058432E" w:rsidRDefault="003716CB" w:rsidP="00E9681E">
            <w:pPr>
              <w:jc w:val="center"/>
              <w:rPr>
                <w:color w:val="000000" w:themeColor="text1"/>
              </w:rPr>
            </w:pPr>
            <w:r w:rsidRPr="0058432E">
              <w:rPr>
                <w:color w:val="000000" w:themeColor="text1"/>
              </w:rPr>
              <w:t>0,864</w:t>
            </w:r>
          </w:p>
        </w:tc>
      </w:tr>
      <w:tr w:rsidR="006A2129" w:rsidRPr="0058432E" w14:paraId="25BC389A" w14:textId="77777777" w:rsidTr="006A2129">
        <w:tc>
          <w:tcPr>
            <w:tcW w:w="9648" w:type="dxa"/>
            <w:gridSpan w:val="7"/>
            <w:tcBorders>
              <w:top w:val="single" w:sz="4" w:space="0" w:color="auto"/>
              <w:left w:val="nil"/>
              <w:bottom w:val="nil"/>
              <w:right w:val="nil"/>
            </w:tcBorders>
          </w:tcPr>
          <w:p w14:paraId="7D179B17" w14:textId="77777777" w:rsidR="006A2129" w:rsidRPr="0058432E" w:rsidRDefault="006A2129" w:rsidP="006A2129">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 </w:t>
            </w:r>
          </w:p>
          <w:p w14:paraId="0DA5B858" w14:textId="77777777" w:rsidR="006A2129" w:rsidRPr="0058432E" w:rsidRDefault="006A2129" w:rsidP="006A2129">
            <w:pPr>
              <w:tabs>
                <w:tab w:val="left" w:pos="288"/>
              </w:tabs>
              <w:ind w:left="270" w:hanging="270"/>
              <w:rPr>
                <w:color w:val="000000" w:themeColor="text1"/>
                <w:sz w:val="20"/>
              </w:rPr>
            </w:pPr>
            <w:proofErr w:type="gramStart"/>
            <w:r w:rsidRPr="0058432E">
              <w:rPr>
                <w:color w:val="000000" w:themeColor="text1"/>
                <w:sz w:val="20"/>
                <w:vertAlign w:val="superscript"/>
              </w:rPr>
              <w:lastRenderedPageBreak/>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299DCC88" w14:textId="77777777" w:rsidR="006A2129" w:rsidRPr="0058432E" w:rsidRDefault="006A2129" w:rsidP="006A2129">
            <w:pPr>
              <w:tabs>
                <w:tab w:val="left" w:pos="288"/>
              </w:tabs>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w:t>
            </w:r>
            <w:r w:rsidR="00876BCE" w:rsidRPr="0058432E">
              <w:rPr>
                <w:color w:val="000000" w:themeColor="text1"/>
                <w:sz w:val="20"/>
              </w:rPr>
              <w:t>comparaison appariée des traitements</w:t>
            </w:r>
            <w:r w:rsidRPr="0058432E">
              <w:rPr>
                <w:color w:val="000000" w:themeColor="text1"/>
                <w:sz w:val="20"/>
              </w:rPr>
              <w:t xml:space="preserve"> par adalimumab </w:t>
            </w:r>
            <w:r w:rsidR="00876BCE" w:rsidRPr="0058432E">
              <w:rPr>
                <w:color w:val="000000" w:themeColor="text1"/>
                <w:sz w:val="20"/>
              </w:rPr>
              <w:t xml:space="preserve">seul </w:t>
            </w:r>
            <w:r w:rsidRPr="0058432E">
              <w:rPr>
                <w:color w:val="000000" w:themeColor="text1"/>
                <w:sz w:val="20"/>
              </w:rPr>
              <w:t xml:space="preserve">et par méthotrexate </w:t>
            </w:r>
            <w:r w:rsidR="00876BCE" w:rsidRPr="0058432E">
              <w:rPr>
                <w:color w:val="000000" w:themeColor="text1"/>
                <w:sz w:val="20"/>
              </w:rPr>
              <w:t xml:space="preserve">seul </w:t>
            </w:r>
            <w:r w:rsidRPr="0058432E">
              <w:rPr>
                <w:color w:val="000000" w:themeColor="text1"/>
                <w:sz w:val="20"/>
              </w:rPr>
              <w:t>par le test U de Mann-Whitney.</w:t>
            </w:r>
          </w:p>
        </w:tc>
      </w:tr>
    </w:tbl>
    <w:p w14:paraId="40D43274" w14:textId="77777777" w:rsidR="00D2772B" w:rsidRPr="0058432E" w:rsidRDefault="00D2772B" w:rsidP="00387D0C">
      <w:pPr>
        <w:rPr>
          <w:color w:val="000000" w:themeColor="text1"/>
        </w:rPr>
      </w:pPr>
    </w:p>
    <w:p w14:paraId="27A0630F" w14:textId="77777777" w:rsidR="00D2772B" w:rsidRPr="0058432E" w:rsidRDefault="00D2772B" w:rsidP="00387D0C">
      <w:pPr>
        <w:pStyle w:val="BodyText"/>
        <w:widowControl/>
        <w:kinsoku w:val="0"/>
        <w:overflowPunct w:val="0"/>
        <w:ind w:left="0"/>
        <w:rPr>
          <w:color w:val="000000" w:themeColor="text1"/>
        </w:rPr>
      </w:pPr>
      <w:r w:rsidRPr="0058432E">
        <w:rPr>
          <w:color w:val="000000" w:themeColor="text1"/>
        </w:rPr>
        <w:t>Dans la phase d</w:t>
      </w:r>
      <w:r w:rsidR="00A50120" w:rsidRPr="0058432E">
        <w:rPr>
          <w:color w:val="000000" w:themeColor="text1"/>
        </w:rPr>
        <w:t>’</w:t>
      </w:r>
      <w:r w:rsidRPr="0058432E">
        <w:rPr>
          <w:color w:val="000000" w:themeColor="text1"/>
        </w:rPr>
        <w:t>extension en ouvert de l’étude</w:t>
      </w:r>
      <w:r w:rsidR="009C4D86" w:rsidRPr="0058432E">
        <w:rPr>
          <w:color w:val="000000" w:themeColor="text1"/>
        </w:rPr>
        <w:t> </w:t>
      </w:r>
      <w:r w:rsidRPr="0058432E">
        <w:rPr>
          <w:color w:val="000000" w:themeColor="text1"/>
        </w:rPr>
        <w:t xml:space="preserve">V sur </w:t>
      </w:r>
      <w:proofErr w:type="gramStart"/>
      <w:r w:rsidRPr="0058432E">
        <w:rPr>
          <w:color w:val="000000" w:themeColor="text1"/>
        </w:rPr>
        <w:t>la PR</w:t>
      </w:r>
      <w:proofErr w:type="gramEnd"/>
      <w:r w:rsidRPr="0058432E">
        <w:rPr>
          <w:color w:val="000000" w:themeColor="text1"/>
        </w:rPr>
        <w:t>, les taux de réponse ACR ont été maintenus chez les patients suivis jusqu</w:t>
      </w:r>
      <w:r w:rsidR="00BB61C9" w:rsidRPr="0058432E">
        <w:rPr>
          <w:color w:val="000000" w:themeColor="text1"/>
        </w:rPr>
        <w:t>’</w:t>
      </w:r>
      <w:r w:rsidRPr="0058432E">
        <w:rPr>
          <w:color w:val="000000" w:themeColor="text1"/>
        </w:rPr>
        <w:t>à 10</w:t>
      </w:r>
      <w:r w:rsidR="009C4D86" w:rsidRPr="0058432E">
        <w:rPr>
          <w:color w:val="000000" w:themeColor="text1"/>
        </w:rPr>
        <w:t> </w:t>
      </w:r>
      <w:r w:rsidRPr="0058432E">
        <w:rPr>
          <w:color w:val="000000" w:themeColor="text1"/>
        </w:rPr>
        <w:t xml:space="preserve">ans. Sur 542 patients randomisés </w:t>
      </w:r>
      <w:r w:rsidR="00B71333" w:rsidRPr="0058432E">
        <w:rPr>
          <w:color w:val="000000" w:themeColor="text1"/>
        </w:rPr>
        <w:t>pour recevoir</w:t>
      </w:r>
      <w:r w:rsidRPr="0058432E">
        <w:rPr>
          <w:color w:val="000000" w:themeColor="text1"/>
        </w:rPr>
        <w:t xml:space="preserve"> </w:t>
      </w:r>
      <w:r w:rsidR="00B71333" w:rsidRPr="0058432E">
        <w:rPr>
          <w:color w:val="000000" w:themeColor="text1"/>
        </w:rPr>
        <w:t>l’</w:t>
      </w:r>
      <w:r w:rsidRPr="0058432E">
        <w:rPr>
          <w:color w:val="000000" w:themeColor="text1"/>
        </w:rPr>
        <w:t xml:space="preserve">adalimumab 40 mg toutes les </w:t>
      </w:r>
      <w:r w:rsidR="00600816" w:rsidRPr="0058432E">
        <w:rPr>
          <w:color w:val="000000" w:themeColor="text1"/>
        </w:rPr>
        <w:t>deux</w:t>
      </w:r>
      <w:r w:rsidRPr="0058432E">
        <w:rPr>
          <w:color w:val="000000" w:themeColor="text1"/>
        </w:rPr>
        <w:t> semaines, 170 patients ont poursuivi l’adalimumab à la dose de 40 mg toutes les deux semaines pendant 10 ans. Parmi ces patients, 154</w:t>
      </w:r>
      <w:r w:rsidR="002B7F50" w:rsidRPr="0058432E">
        <w:rPr>
          <w:color w:val="000000" w:themeColor="text1"/>
        </w:rPr>
        <w:t xml:space="preserve"> </w:t>
      </w:r>
      <w:r w:rsidRPr="0058432E">
        <w:rPr>
          <w:color w:val="000000" w:themeColor="text1"/>
        </w:rPr>
        <w:t>patients (90,6 %) ont eu une réponse ACR</w:t>
      </w:r>
      <w:r w:rsidR="00CB483D" w:rsidRPr="0058432E">
        <w:rPr>
          <w:color w:val="000000" w:themeColor="text1"/>
        </w:rPr>
        <w:t> </w:t>
      </w:r>
      <w:r w:rsidRPr="0058432E">
        <w:rPr>
          <w:color w:val="000000" w:themeColor="text1"/>
        </w:rPr>
        <w:t>20 ; 127</w:t>
      </w:r>
      <w:r w:rsidR="00CB483D" w:rsidRPr="0058432E">
        <w:rPr>
          <w:color w:val="000000" w:themeColor="text1"/>
        </w:rPr>
        <w:t> </w:t>
      </w:r>
      <w:r w:rsidRPr="0058432E">
        <w:rPr>
          <w:color w:val="000000" w:themeColor="text1"/>
        </w:rPr>
        <w:t>patients (74,7 %) ont eu une réponse ACR</w:t>
      </w:r>
      <w:r w:rsidR="00CB483D" w:rsidRPr="0058432E">
        <w:rPr>
          <w:color w:val="000000" w:themeColor="text1"/>
        </w:rPr>
        <w:t> </w:t>
      </w:r>
      <w:r w:rsidRPr="0058432E">
        <w:rPr>
          <w:color w:val="000000" w:themeColor="text1"/>
        </w:rPr>
        <w:t>50 et 102</w:t>
      </w:r>
      <w:r w:rsidR="00CB483D" w:rsidRPr="0058432E">
        <w:rPr>
          <w:color w:val="000000" w:themeColor="text1"/>
        </w:rPr>
        <w:t> </w:t>
      </w:r>
      <w:r w:rsidRPr="0058432E">
        <w:rPr>
          <w:color w:val="000000" w:themeColor="text1"/>
        </w:rPr>
        <w:t>patients (60,0 %) ont eu une réponse ACR</w:t>
      </w:r>
      <w:r w:rsidR="00CB483D" w:rsidRPr="0058432E">
        <w:rPr>
          <w:color w:val="000000" w:themeColor="text1"/>
        </w:rPr>
        <w:t> </w:t>
      </w:r>
      <w:r w:rsidRPr="0058432E">
        <w:rPr>
          <w:color w:val="000000" w:themeColor="text1"/>
        </w:rPr>
        <w:t>70.</w:t>
      </w:r>
    </w:p>
    <w:p w14:paraId="4F0504E6" w14:textId="77777777" w:rsidR="00D2772B" w:rsidRPr="0058432E" w:rsidRDefault="00D2772B" w:rsidP="00387D0C">
      <w:pPr>
        <w:pStyle w:val="BodyText"/>
        <w:widowControl/>
        <w:kinsoku w:val="0"/>
        <w:overflowPunct w:val="0"/>
        <w:ind w:left="0"/>
        <w:rPr>
          <w:color w:val="000000" w:themeColor="text1"/>
        </w:rPr>
      </w:pPr>
    </w:p>
    <w:p w14:paraId="0E99CC37" w14:textId="77777777" w:rsidR="00D2772B" w:rsidRPr="0058432E" w:rsidRDefault="006F405C" w:rsidP="00387D0C">
      <w:pPr>
        <w:pStyle w:val="BodyText"/>
        <w:widowControl/>
        <w:kinsoku w:val="0"/>
        <w:overflowPunct w:val="0"/>
        <w:ind w:left="0"/>
        <w:rPr>
          <w:color w:val="000000" w:themeColor="text1"/>
        </w:rPr>
      </w:pPr>
      <w:r w:rsidRPr="0058432E">
        <w:rPr>
          <w:color w:val="000000" w:themeColor="text1"/>
        </w:rPr>
        <w:t>À</w:t>
      </w:r>
      <w:r w:rsidR="00D2772B" w:rsidRPr="0058432E">
        <w:rPr>
          <w:color w:val="000000" w:themeColor="text1"/>
        </w:rPr>
        <w:t xml:space="preserve"> la semaine</w:t>
      </w:r>
      <w:r w:rsidR="005E7EB0" w:rsidRPr="0058432E">
        <w:rPr>
          <w:color w:val="000000" w:themeColor="text1"/>
        </w:rPr>
        <w:t> </w:t>
      </w:r>
      <w:r w:rsidR="00D2772B" w:rsidRPr="0058432E">
        <w:rPr>
          <w:color w:val="000000" w:themeColor="text1"/>
        </w:rPr>
        <w:t>52, 42,9 % des patients qui avaient reçu l’association adalimumab/méthotrexate étaient en rémission clinique (DAS 28 (CRP) &lt; 2,6) comparativement à 20,6 % des patients ayant reçu le méthotrexate seul et 23,4 % des patients ayant reçu l’adalimumab seul.</w:t>
      </w:r>
      <w:r w:rsidR="00C6488B" w:rsidRPr="0058432E">
        <w:rPr>
          <w:color w:val="000000" w:themeColor="text1"/>
        </w:rPr>
        <w:t xml:space="preserve"> </w:t>
      </w:r>
      <w:r w:rsidR="00D2772B" w:rsidRPr="0058432E">
        <w:rPr>
          <w:color w:val="000000" w:themeColor="text1"/>
        </w:rPr>
        <w:t>Le traitement par l’association adalimumab/méthotrexate était cliniquement et statistiquement supérieur au méthotrexate (p &lt; 0,001) et à l’adalimumab en monothérapie (p &lt; 0,001) dans l’obtention d’un état d’activité basse de la maladie pour les patients chez qui une polyarthrite rhumatoïde modérée à sévère avait été récemment diagnostiquée. La réponse pour les deux bras de monothérapie était similaire (p = 0,447). Sur 342 patients initialement randomisés pour recevoir l’adalimumab seul ou l’association adalimumab/méthotrexate qui ont été inclus dans l’étude d’extension en ouvert, 171 patients ont terminé 10 ans de traitement par adalimumab. Parmi ces patients, 109 patients (63,7 %) étaient en rémission à 10 ans.</w:t>
      </w:r>
    </w:p>
    <w:p w14:paraId="3D3C1998" w14:textId="77777777" w:rsidR="00D2772B" w:rsidRPr="0058432E" w:rsidRDefault="00D2772B" w:rsidP="00387D0C">
      <w:pPr>
        <w:pStyle w:val="BodyText"/>
        <w:widowControl/>
        <w:kinsoku w:val="0"/>
        <w:overflowPunct w:val="0"/>
        <w:ind w:left="0"/>
        <w:rPr>
          <w:color w:val="000000" w:themeColor="text1"/>
        </w:rPr>
      </w:pPr>
    </w:p>
    <w:p w14:paraId="45AEBE3A" w14:textId="77777777" w:rsidR="00D2772B" w:rsidRPr="0058432E" w:rsidRDefault="00D2772B" w:rsidP="00ED34EF">
      <w:pPr>
        <w:pStyle w:val="BodyText"/>
        <w:keepNext/>
        <w:widowControl/>
        <w:kinsoku w:val="0"/>
        <w:overflowPunct w:val="0"/>
        <w:ind w:left="0"/>
        <w:rPr>
          <w:color w:val="000000" w:themeColor="text1"/>
        </w:rPr>
      </w:pPr>
      <w:r w:rsidRPr="0058432E">
        <w:rPr>
          <w:i/>
          <w:iCs/>
          <w:color w:val="000000" w:themeColor="text1"/>
          <w:u w:val="single"/>
        </w:rPr>
        <w:t>Réponse radiographique</w:t>
      </w:r>
    </w:p>
    <w:p w14:paraId="5BC48106" w14:textId="77777777" w:rsidR="00D2772B" w:rsidRPr="0058432E" w:rsidRDefault="00D2772B" w:rsidP="00ED34EF">
      <w:pPr>
        <w:pStyle w:val="BodyText"/>
        <w:keepNext/>
        <w:widowControl/>
        <w:kinsoku w:val="0"/>
        <w:overflowPunct w:val="0"/>
        <w:ind w:left="0"/>
        <w:rPr>
          <w:i/>
          <w:iCs/>
          <w:color w:val="000000" w:themeColor="text1"/>
        </w:rPr>
      </w:pPr>
    </w:p>
    <w:p w14:paraId="1C96A7BC" w14:textId="77777777" w:rsidR="00D2772B" w:rsidRPr="0058432E" w:rsidRDefault="00D2772B" w:rsidP="00387D0C">
      <w:pPr>
        <w:pStyle w:val="BodyText"/>
        <w:widowControl/>
        <w:kinsoku w:val="0"/>
        <w:overflowPunct w:val="0"/>
        <w:ind w:left="0"/>
        <w:rPr>
          <w:color w:val="000000" w:themeColor="text1"/>
        </w:rPr>
      </w:pPr>
      <w:r w:rsidRPr="0058432E">
        <w:rPr>
          <w:color w:val="000000" w:themeColor="text1"/>
        </w:rPr>
        <w:t>Dans l’étude</w:t>
      </w:r>
      <w:r w:rsidR="00A2214D" w:rsidRPr="0058432E">
        <w:rPr>
          <w:color w:val="000000" w:themeColor="text1"/>
        </w:rPr>
        <w:t> </w:t>
      </w:r>
      <w:r w:rsidRPr="0058432E">
        <w:rPr>
          <w:color w:val="000000" w:themeColor="text1"/>
        </w:rPr>
        <w:t xml:space="preserve">III sur </w:t>
      </w:r>
      <w:proofErr w:type="gramStart"/>
      <w:r w:rsidRPr="0058432E">
        <w:rPr>
          <w:color w:val="000000" w:themeColor="text1"/>
        </w:rPr>
        <w:t>la PR</w:t>
      </w:r>
      <w:proofErr w:type="gramEnd"/>
      <w:r w:rsidRPr="0058432E">
        <w:rPr>
          <w:color w:val="000000" w:themeColor="text1"/>
        </w:rPr>
        <w:t>, dans laquelle les patients traités par adalimumab avaient une polyarthrite rhumatoïde d</w:t>
      </w:r>
      <w:r w:rsidR="00AE1DD9" w:rsidRPr="0058432E">
        <w:rPr>
          <w:color w:val="000000" w:themeColor="text1"/>
        </w:rPr>
        <w:t>’</w:t>
      </w:r>
      <w:r w:rsidRPr="0058432E">
        <w:rPr>
          <w:color w:val="000000" w:themeColor="text1"/>
        </w:rPr>
        <w:t>une durée moyenne de 11</w:t>
      </w:r>
      <w:r w:rsidR="008C3ABC" w:rsidRPr="0058432E">
        <w:rPr>
          <w:color w:val="000000" w:themeColor="text1"/>
        </w:rPr>
        <w:t> </w:t>
      </w:r>
      <w:r w:rsidRPr="0058432E">
        <w:rPr>
          <w:color w:val="000000" w:themeColor="text1"/>
        </w:rPr>
        <w:t>ans environ, les dommages structuraux articulaires ont été évalués par radiographie et exprimés en termes de modification du score total de Sharp (STS) et de ses composants, le score d’érosion et le score de pincement articulaire. Les patients traités par adalimumab associé au méthotrexate ont présenté une progression significativement moindre que les patients recevant seulement du méthotrexate à 6 et 12 mois (voir tableau </w:t>
      </w:r>
      <w:r w:rsidR="006B2FBE" w:rsidRPr="0058432E">
        <w:rPr>
          <w:color w:val="000000" w:themeColor="text1"/>
        </w:rPr>
        <w:t>9</w:t>
      </w:r>
      <w:r w:rsidRPr="0058432E">
        <w:rPr>
          <w:color w:val="000000" w:themeColor="text1"/>
        </w:rPr>
        <w:t>).</w:t>
      </w:r>
    </w:p>
    <w:p w14:paraId="5AADA7FE" w14:textId="77777777" w:rsidR="00D2772B" w:rsidRPr="0058432E" w:rsidRDefault="00D2772B" w:rsidP="00387D0C">
      <w:pPr>
        <w:pStyle w:val="BodyText"/>
        <w:widowControl/>
        <w:kinsoku w:val="0"/>
        <w:overflowPunct w:val="0"/>
        <w:ind w:left="0"/>
        <w:rPr>
          <w:color w:val="000000" w:themeColor="text1"/>
          <w:szCs w:val="21"/>
        </w:rPr>
      </w:pPr>
    </w:p>
    <w:p w14:paraId="5312AD2A" w14:textId="77777777" w:rsidR="00D2772B" w:rsidRPr="0058432E" w:rsidRDefault="00D2772B" w:rsidP="00387D0C">
      <w:pPr>
        <w:pStyle w:val="BodyText"/>
        <w:widowControl/>
        <w:kinsoku w:val="0"/>
        <w:overflowPunct w:val="0"/>
        <w:ind w:left="0"/>
        <w:rPr>
          <w:color w:val="000000" w:themeColor="text1"/>
        </w:rPr>
      </w:pPr>
      <w:r w:rsidRPr="0058432E">
        <w:rPr>
          <w:color w:val="000000" w:themeColor="text1"/>
        </w:rPr>
        <w:t>Dans l’extension en ouvert de l’étude</w:t>
      </w:r>
      <w:r w:rsidR="00392573" w:rsidRPr="0058432E">
        <w:rPr>
          <w:color w:val="000000" w:themeColor="text1"/>
        </w:rPr>
        <w:t> </w:t>
      </w:r>
      <w:r w:rsidRPr="0058432E">
        <w:rPr>
          <w:color w:val="000000" w:themeColor="text1"/>
        </w:rPr>
        <w:t xml:space="preserve">III dans </w:t>
      </w:r>
      <w:proofErr w:type="gramStart"/>
      <w:r w:rsidRPr="0058432E">
        <w:rPr>
          <w:color w:val="000000" w:themeColor="text1"/>
        </w:rPr>
        <w:t>la PR</w:t>
      </w:r>
      <w:proofErr w:type="gramEnd"/>
      <w:r w:rsidRPr="0058432E">
        <w:rPr>
          <w:color w:val="000000" w:themeColor="text1"/>
        </w:rPr>
        <w:t xml:space="preserve">, le ralentissement de la progression des dommages structuraux est maintenu à 8 et 10 ans pour une partie des patients. À 8 ans, 81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48</w:t>
      </w:r>
      <w:r w:rsidR="00060AA8" w:rsidRPr="0058432E">
        <w:rPr>
          <w:color w:val="000000" w:themeColor="text1"/>
        </w:rPr>
        <w:t> </w:t>
      </w:r>
      <w:r w:rsidRPr="0058432E">
        <w:rPr>
          <w:color w:val="000000" w:themeColor="text1"/>
        </w:rPr>
        <w:t xml:space="preserve">patients n’ont pas présenté de progression des dommages structuraux définie par une modification du score total de Sharp modifié de 0,5 ou moins par rapport à la valeur de base. À 10 ans, 79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40 patients n’ont pas présenté de progression des dommages structuraux définie par une modification du score total de Sharp modifié de 0,5 ou moins par rapport à la valeur de base.</w:t>
      </w:r>
    </w:p>
    <w:p w14:paraId="0E8A01B2" w14:textId="77777777" w:rsidR="00D2772B" w:rsidRPr="0058432E" w:rsidRDefault="00D2772B" w:rsidP="00387D0C">
      <w:pPr>
        <w:rPr>
          <w:color w:val="000000" w:themeColor="text1"/>
        </w:rPr>
      </w:pPr>
    </w:p>
    <w:p w14:paraId="5F6FD08B" w14:textId="77777777" w:rsidR="00713CC8" w:rsidRPr="0058432E" w:rsidRDefault="00713CC8" w:rsidP="00B93DAC">
      <w:pPr>
        <w:pStyle w:val="BodyText"/>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9</w:t>
      </w:r>
      <w:r w:rsidR="00905FFD" w:rsidRPr="0058432E">
        <w:rPr>
          <w:b/>
          <w:color w:val="000000" w:themeColor="text1"/>
        </w:rPr>
        <w:t>.</w:t>
      </w:r>
    </w:p>
    <w:p w14:paraId="5FA05E41" w14:textId="77777777" w:rsidR="00713CC8" w:rsidRPr="0058432E" w:rsidRDefault="00E6674D" w:rsidP="00A53E17">
      <w:pPr>
        <w:pStyle w:val="BodyText"/>
        <w:keepNext/>
        <w:widowControl/>
        <w:kinsoku w:val="0"/>
        <w:overflowPunct w:val="0"/>
        <w:ind w:left="0"/>
        <w:rPr>
          <w:color w:val="000000" w:themeColor="text1"/>
        </w:rPr>
      </w:pPr>
      <w:r w:rsidRPr="0058432E">
        <w:rPr>
          <w:b/>
          <w:bCs/>
          <w:color w:val="000000" w:themeColor="text1"/>
        </w:rPr>
        <w:t>M</w:t>
      </w:r>
      <w:r w:rsidR="00713CC8" w:rsidRPr="0058432E">
        <w:rPr>
          <w:b/>
          <w:bCs/>
          <w:color w:val="000000" w:themeColor="text1"/>
        </w:rPr>
        <w:t xml:space="preserve">odifications radiographiques </w:t>
      </w:r>
      <w:r w:rsidRPr="0058432E">
        <w:rPr>
          <w:b/>
          <w:bCs/>
          <w:color w:val="000000" w:themeColor="text1"/>
        </w:rPr>
        <w:t xml:space="preserve">moyennes </w:t>
      </w:r>
      <w:r w:rsidR="00713CC8" w:rsidRPr="0058432E">
        <w:rPr>
          <w:b/>
          <w:bCs/>
          <w:color w:val="000000" w:themeColor="text1"/>
        </w:rPr>
        <w:t xml:space="preserve">sur 12 mois dans l’étude III sur </w:t>
      </w:r>
      <w:proofErr w:type="gramStart"/>
      <w:r w:rsidR="00713CC8" w:rsidRPr="0058432E">
        <w:rPr>
          <w:b/>
          <w:bCs/>
          <w:color w:val="000000" w:themeColor="text1"/>
        </w:rPr>
        <w:t>la PR</w:t>
      </w:r>
      <w:proofErr w:type="gramEnd"/>
    </w:p>
    <w:p w14:paraId="264CC3D3" w14:textId="77777777" w:rsidR="00713CC8" w:rsidRPr="0058432E" w:rsidRDefault="00713CC8" w:rsidP="00387D0C">
      <w:pPr>
        <w:pStyle w:val="BodyText"/>
        <w:keepNext/>
        <w:widowControl/>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7"/>
        <w:gridCol w:w="1192"/>
        <w:gridCol w:w="2166"/>
        <w:gridCol w:w="2357"/>
        <w:gridCol w:w="1453"/>
      </w:tblGrid>
      <w:tr w:rsidR="00713CC8" w:rsidRPr="0058432E" w14:paraId="7E6795B3" w14:textId="77777777" w:rsidTr="00BF1C5A">
        <w:trPr>
          <w:cantSplit/>
        </w:trPr>
        <w:tc>
          <w:tcPr>
            <w:tcW w:w="1947" w:type="dxa"/>
            <w:shd w:val="clear" w:color="auto" w:fill="auto"/>
          </w:tcPr>
          <w:p w14:paraId="6A0131D1" w14:textId="77777777" w:rsidR="00713CC8" w:rsidRPr="0058432E" w:rsidRDefault="00713CC8" w:rsidP="00982118">
            <w:pPr>
              <w:rPr>
                <w:b/>
                <w:color w:val="000000" w:themeColor="text1"/>
              </w:rPr>
            </w:pPr>
          </w:p>
        </w:tc>
        <w:tc>
          <w:tcPr>
            <w:tcW w:w="1221" w:type="dxa"/>
            <w:shd w:val="clear" w:color="auto" w:fill="auto"/>
          </w:tcPr>
          <w:p w14:paraId="4AE119A8" w14:textId="77777777" w:rsidR="00713CC8" w:rsidRPr="0058432E" w:rsidRDefault="00713CC8" w:rsidP="005A68B9">
            <w:pPr>
              <w:pStyle w:val="TableParagraph"/>
              <w:widowControl/>
              <w:kinsoku w:val="0"/>
              <w:overflowPunct w:val="0"/>
              <w:spacing w:before="12" w:line="252" w:lineRule="exact"/>
              <w:ind w:left="102" w:right="9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a</w:t>
            </w:r>
          </w:p>
        </w:tc>
        <w:tc>
          <w:tcPr>
            <w:tcW w:w="2224" w:type="dxa"/>
            <w:shd w:val="clear" w:color="auto" w:fill="auto"/>
          </w:tcPr>
          <w:p w14:paraId="38A2301A" w14:textId="77777777" w:rsidR="00713CC8" w:rsidRPr="0058432E" w:rsidRDefault="00E56A72" w:rsidP="005A68B9">
            <w:pPr>
              <w:pStyle w:val="TableParagraph"/>
              <w:widowControl/>
              <w:kinsoku w:val="0"/>
              <w:overflowPunct w:val="0"/>
              <w:spacing w:before="8"/>
              <w:ind w:left="337" w:right="277" w:hanging="60"/>
              <w:jc w:val="center"/>
              <w:rPr>
                <w:rFonts w:ascii="Times New Roman" w:hAnsi="Times New Roman"/>
                <w:b/>
                <w:color w:val="000000" w:themeColor="text1"/>
              </w:rPr>
            </w:pPr>
            <w:r w:rsidRPr="0058432E">
              <w:rPr>
                <w:rFonts w:ascii="Times New Roman" w:hAnsi="Times New Roman"/>
                <w:b/>
                <w:color w:val="000000" w:themeColor="text1"/>
              </w:rPr>
              <w:t xml:space="preserve">Adalimumab/MTX 40 mg toutes les </w:t>
            </w:r>
            <w:r w:rsidR="00BA7A54" w:rsidRPr="0058432E">
              <w:rPr>
                <w:rFonts w:ascii="Times New Roman" w:hAnsi="Times New Roman"/>
                <w:b/>
                <w:color w:val="000000" w:themeColor="text1"/>
              </w:rPr>
              <w:t xml:space="preserve">deux </w:t>
            </w:r>
            <w:r w:rsidRPr="0058432E">
              <w:rPr>
                <w:rFonts w:ascii="Times New Roman" w:hAnsi="Times New Roman"/>
                <w:b/>
                <w:color w:val="000000" w:themeColor="text1"/>
              </w:rPr>
              <w:t>semaines</w:t>
            </w:r>
          </w:p>
        </w:tc>
        <w:tc>
          <w:tcPr>
            <w:tcW w:w="2421" w:type="dxa"/>
            <w:shd w:val="clear" w:color="auto" w:fill="auto"/>
          </w:tcPr>
          <w:p w14:paraId="411C28C4" w14:textId="77777777" w:rsidR="00713CC8" w:rsidRPr="0058432E" w:rsidRDefault="00713CC8" w:rsidP="005A68B9">
            <w:pPr>
              <w:pStyle w:val="TableParagraph"/>
              <w:widowControl/>
              <w:kinsoku w:val="0"/>
              <w:overflowPunct w:val="0"/>
              <w:spacing w:before="15" w:line="231" w:lineRule="auto"/>
              <w:ind w:left="117" w:right="115" w:hanging="1"/>
              <w:jc w:val="center"/>
              <w:rPr>
                <w:rFonts w:ascii="Times New Roman" w:hAnsi="Times New Roman"/>
                <w:b/>
                <w:color w:val="000000" w:themeColor="text1"/>
              </w:rPr>
            </w:pPr>
            <w:r w:rsidRPr="0058432E">
              <w:rPr>
                <w:rFonts w:ascii="Times New Roman" w:hAnsi="Times New Roman"/>
                <w:b/>
                <w:color w:val="000000" w:themeColor="text1"/>
              </w:rPr>
              <w:t>Placebo/MTX-Adalimumab/MTX (intervalle de confiance à 95 %</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w:t>
            </w:r>
          </w:p>
        </w:tc>
        <w:tc>
          <w:tcPr>
            <w:tcW w:w="1490" w:type="dxa"/>
            <w:shd w:val="clear" w:color="auto" w:fill="auto"/>
          </w:tcPr>
          <w:p w14:paraId="7054C071" w14:textId="77777777" w:rsidR="00713CC8" w:rsidRPr="0058432E" w:rsidRDefault="00713CC8" w:rsidP="005A68B9">
            <w:pPr>
              <w:pStyle w:val="TableParagraph"/>
              <w:widowControl/>
              <w:kinsoku w:val="0"/>
              <w:overflowPunct w:val="0"/>
              <w:spacing w:before="8"/>
              <w:ind w:left="438" w:hanging="43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p>
        </w:tc>
      </w:tr>
      <w:tr w:rsidR="00713CC8" w:rsidRPr="0058432E" w14:paraId="3FE65E1B" w14:textId="77777777" w:rsidTr="00BF1C5A">
        <w:trPr>
          <w:cantSplit/>
        </w:trPr>
        <w:tc>
          <w:tcPr>
            <w:tcW w:w="1947" w:type="dxa"/>
            <w:shd w:val="clear" w:color="auto" w:fill="auto"/>
          </w:tcPr>
          <w:p w14:paraId="66E6EE88" w14:textId="77777777" w:rsidR="00713CC8" w:rsidRPr="0058432E" w:rsidRDefault="00713CC8"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total de Sharp</w:t>
            </w:r>
          </w:p>
        </w:tc>
        <w:tc>
          <w:tcPr>
            <w:tcW w:w="1221" w:type="dxa"/>
            <w:shd w:val="clear" w:color="auto" w:fill="auto"/>
          </w:tcPr>
          <w:p w14:paraId="4459D702" w14:textId="77777777" w:rsidR="00713CC8" w:rsidRPr="0058432E" w:rsidRDefault="00713CC8"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2,7</w:t>
            </w:r>
          </w:p>
        </w:tc>
        <w:tc>
          <w:tcPr>
            <w:tcW w:w="2224" w:type="dxa"/>
            <w:shd w:val="clear" w:color="auto" w:fill="auto"/>
          </w:tcPr>
          <w:p w14:paraId="459A4E61" w14:textId="77777777" w:rsidR="00713CC8" w:rsidRPr="0058432E" w:rsidRDefault="00713CC8"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21" w:type="dxa"/>
            <w:shd w:val="clear" w:color="auto" w:fill="auto"/>
          </w:tcPr>
          <w:p w14:paraId="4BBDB33C" w14:textId="77777777" w:rsidR="00713CC8" w:rsidRPr="0058432E" w:rsidRDefault="00713CC8" w:rsidP="005A68B9">
            <w:pPr>
              <w:pStyle w:val="TableParagraph"/>
              <w:widowControl/>
              <w:kinsoku w:val="0"/>
              <w:overflowPunct w:val="0"/>
              <w:spacing w:before="7"/>
              <w:ind w:left="424"/>
              <w:rPr>
                <w:rFonts w:ascii="Times New Roman" w:hAnsi="Times New Roman"/>
                <w:color w:val="000000" w:themeColor="text1"/>
              </w:rPr>
            </w:pPr>
            <w:r w:rsidRPr="0058432E">
              <w:rPr>
                <w:rFonts w:ascii="Times New Roman" w:hAnsi="Times New Roman"/>
                <w:color w:val="000000" w:themeColor="text1"/>
              </w:rPr>
              <w:t>2,6 (1,4 ; 3,8)</w:t>
            </w:r>
          </w:p>
        </w:tc>
        <w:tc>
          <w:tcPr>
            <w:tcW w:w="1490" w:type="dxa"/>
            <w:shd w:val="clear" w:color="auto" w:fill="auto"/>
          </w:tcPr>
          <w:p w14:paraId="4791D006" w14:textId="77777777" w:rsidR="00713CC8" w:rsidRPr="0058432E" w:rsidRDefault="00713CC8" w:rsidP="005A68B9">
            <w:pPr>
              <w:pStyle w:val="TableParagraph"/>
              <w:widowControl/>
              <w:kinsoku w:val="0"/>
              <w:overflowPunct w:val="0"/>
              <w:spacing w:line="260" w:lineRule="exact"/>
              <w:ind w:left="399"/>
              <w:rPr>
                <w:rFonts w:ascii="Times New Roman" w:hAnsi="Times New Roman"/>
                <w:color w:val="000000" w:themeColor="text1"/>
              </w:rPr>
            </w:pPr>
            <w:r w:rsidRPr="0058432E">
              <w:rPr>
                <w:rFonts w:ascii="Times New Roman" w:hAnsi="Times New Roman"/>
                <w:color w:val="000000" w:themeColor="text1"/>
              </w:rPr>
              <w:t>&lt; 0,001</w:t>
            </w:r>
            <w:r w:rsidRPr="0058432E">
              <w:rPr>
                <w:rFonts w:ascii="Times New Roman" w:hAnsi="Times New Roman"/>
                <w:color w:val="000000" w:themeColor="text1"/>
                <w:vertAlign w:val="superscript"/>
              </w:rPr>
              <w:t>c</w:t>
            </w:r>
          </w:p>
        </w:tc>
      </w:tr>
      <w:tr w:rsidR="00713CC8" w:rsidRPr="0058432E" w14:paraId="7C2B05C5" w14:textId="77777777" w:rsidTr="00BF1C5A">
        <w:trPr>
          <w:cantSplit/>
        </w:trPr>
        <w:tc>
          <w:tcPr>
            <w:tcW w:w="1947" w:type="dxa"/>
            <w:shd w:val="clear" w:color="auto" w:fill="auto"/>
          </w:tcPr>
          <w:p w14:paraId="03B5092E" w14:textId="77777777" w:rsidR="00713CC8" w:rsidRPr="0058432E" w:rsidRDefault="00713CC8"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d</w:t>
            </w:r>
            <w:r w:rsidR="004B1166" w:rsidRPr="0058432E">
              <w:rPr>
                <w:rFonts w:ascii="Times New Roman" w:hAnsi="Times New Roman"/>
                <w:color w:val="000000" w:themeColor="text1"/>
              </w:rPr>
              <w:t>’</w:t>
            </w:r>
            <w:r w:rsidRPr="0058432E">
              <w:rPr>
                <w:rFonts w:ascii="Times New Roman" w:hAnsi="Times New Roman"/>
                <w:color w:val="000000" w:themeColor="text1"/>
              </w:rPr>
              <w:t>érosion</w:t>
            </w:r>
          </w:p>
        </w:tc>
        <w:tc>
          <w:tcPr>
            <w:tcW w:w="1221" w:type="dxa"/>
            <w:shd w:val="clear" w:color="auto" w:fill="auto"/>
          </w:tcPr>
          <w:p w14:paraId="532DD53E" w14:textId="77777777" w:rsidR="00713CC8" w:rsidRPr="0058432E" w:rsidRDefault="00713CC8"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1,6</w:t>
            </w:r>
          </w:p>
        </w:tc>
        <w:tc>
          <w:tcPr>
            <w:tcW w:w="2224" w:type="dxa"/>
            <w:shd w:val="clear" w:color="auto" w:fill="auto"/>
          </w:tcPr>
          <w:p w14:paraId="205A99D2" w14:textId="77777777" w:rsidR="00713CC8" w:rsidRPr="0058432E" w:rsidRDefault="00713CC8"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0,0</w:t>
            </w:r>
          </w:p>
        </w:tc>
        <w:tc>
          <w:tcPr>
            <w:tcW w:w="2421" w:type="dxa"/>
            <w:shd w:val="clear" w:color="auto" w:fill="auto"/>
          </w:tcPr>
          <w:p w14:paraId="4ECBCF27" w14:textId="77777777" w:rsidR="00713CC8" w:rsidRPr="0058432E" w:rsidRDefault="00713CC8"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1,6 (0,9 ; 2,2)</w:t>
            </w:r>
          </w:p>
        </w:tc>
        <w:tc>
          <w:tcPr>
            <w:tcW w:w="1490" w:type="dxa"/>
            <w:shd w:val="clear" w:color="auto" w:fill="auto"/>
          </w:tcPr>
          <w:p w14:paraId="7BD6D80B" w14:textId="77777777" w:rsidR="00713CC8" w:rsidRPr="0058432E" w:rsidRDefault="00713CC8" w:rsidP="005A68B9">
            <w:pPr>
              <w:pStyle w:val="TableParagraph"/>
              <w:widowControl/>
              <w:kinsoku w:val="0"/>
              <w:overflowPunct w:val="0"/>
              <w:spacing w:before="7"/>
              <w:ind w:left="430"/>
              <w:rPr>
                <w:rFonts w:ascii="Times New Roman" w:hAnsi="Times New Roman"/>
                <w:color w:val="000000" w:themeColor="text1"/>
              </w:rPr>
            </w:pPr>
            <w:r w:rsidRPr="0058432E">
              <w:rPr>
                <w:rFonts w:ascii="Times New Roman" w:hAnsi="Times New Roman"/>
                <w:color w:val="000000" w:themeColor="text1"/>
              </w:rPr>
              <w:t>&lt; 0,001</w:t>
            </w:r>
          </w:p>
        </w:tc>
      </w:tr>
      <w:tr w:rsidR="00713CC8" w:rsidRPr="0058432E" w14:paraId="3BAEB305" w14:textId="77777777" w:rsidTr="006A2129">
        <w:trPr>
          <w:cantSplit/>
        </w:trPr>
        <w:tc>
          <w:tcPr>
            <w:tcW w:w="1947" w:type="dxa"/>
            <w:tcBorders>
              <w:bottom w:val="single" w:sz="4" w:space="0" w:color="auto"/>
            </w:tcBorders>
            <w:shd w:val="clear" w:color="auto" w:fill="auto"/>
          </w:tcPr>
          <w:p w14:paraId="19894670" w14:textId="77777777" w:rsidR="00713CC8" w:rsidRPr="0058432E" w:rsidRDefault="00713CC8" w:rsidP="005A68B9">
            <w:pPr>
              <w:pStyle w:val="TableParagraph"/>
              <w:widowControl/>
              <w:kinsoku w:val="0"/>
              <w:overflowPunct w:val="0"/>
              <w:spacing w:line="260" w:lineRule="exact"/>
              <w:rPr>
                <w:rFonts w:ascii="Times New Roman" w:hAnsi="Times New Roman"/>
                <w:color w:val="000000" w:themeColor="text1"/>
              </w:rPr>
            </w:pPr>
            <w:r w:rsidRPr="0058432E">
              <w:rPr>
                <w:rFonts w:ascii="Times New Roman" w:hAnsi="Times New Roman"/>
                <w:color w:val="000000" w:themeColor="text1"/>
              </w:rPr>
              <w:lastRenderedPageBreak/>
              <w:t>Score de pincement articulaire (JSN)</w:t>
            </w:r>
            <w:r w:rsidRPr="0058432E">
              <w:rPr>
                <w:rFonts w:ascii="Times New Roman" w:hAnsi="Times New Roman"/>
                <w:color w:val="000000" w:themeColor="text1"/>
                <w:vertAlign w:val="superscript"/>
              </w:rPr>
              <w:t>d</w:t>
            </w:r>
          </w:p>
        </w:tc>
        <w:tc>
          <w:tcPr>
            <w:tcW w:w="1221" w:type="dxa"/>
            <w:tcBorders>
              <w:bottom w:val="single" w:sz="4" w:space="0" w:color="auto"/>
            </w:tcBorders>
            <w:shd w:val="clear" w:color="auto" w:fill="auto"/>
          </w:tcPr>
          <w:p w14:paraId="425FF182" w14:textId="77777777" w:rsidR="00713CC8" w:rsidRPr="0058432E" w:rsidRDefault="00713CC8"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1,0</w:t>
            </w:r>
          </w:p>
        </w:tc>
        <w:tc>
          <w:tcPr>
            <w:tcW w:w="2224" w:type="dxa"/>
            <w:tcBorders>
              <w:bottom w:val="single" w:sz="4" w:space="0" w:color="auto"/>
            </w:tcBorders>
            <w:shd w:val="clear" w:color="auto" w:fill="auto"/>
          </w:tcPr>
          <w:p w14:paraId="75C0D241" w14:textId="77777777" w:rsidR="00713CC8" w:rsidRPr="0058432E" w:rsidRDefault="00713CC8"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21" w:type="dxa"/>
            <w:tcBorders>
              <w:bottom w:val="single" w:sz="4" w:space="0" w:color="auto"/>
            </w:tcBorders>
            <w:shd w:val="clear" w:color="auto" w:fill="auto"/>
          </w:tcPr>
          <w:p w14:paraId="014EF324" w14:textId="77777777" w:rsidR="00713CC8" w:rsidRPr="0058432E" w:rsidRDefault="00713CC8"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0,9 (0,3 ; 1,4)</w:t>
            </w:r>
          </w:p>
        </w:tc>
        <w:tc>
          <w:tcPr>
            <w:tcW w:w="1490" w:type="dxa"/>
            <w:tcBorders>
              <w:bottom w:val="single" w:sz="4" w:space="0" w:color="auto"/>
            </w:tcBorders>
            <w:shd w:val="clear" w:color="auto" w:fill="auto"/>
          </w:tcPr>
          <w:p w14:paraId="4CD2525E" w14:textId="77777777" w:rsidR="00713CC8" w:rsidRPr="0058432E" w:rsidRDefault="00713CC8" w:rsidP="005A68B9">
            <w:pPr>
              <w:pStyle w:val="TableParagraph"/>
              <w:widowControl/>
              <w:kinsoku w:val="0"/>
              <w:overflowPunct w:val="0"/>
              <w:spacing w:before="7"/>
              <w:ind w:left="576"/>
              <w:rPr>
                <w:rFonts w:ascii="Times New Roman" w:hAnsi="Times New Roman"/>
                <w:color w:val="000000" w:themeColor="text1"/>
              </w:rPr>
            </w:pPr>
            <w:r w:rsidRPr="0058432E">
              <w:rPr>
                <w:rFonts w:ascii="Times New Roman" w:hAnsi="Times New Roman"/>
                <w:color w:val="000000" w:themeColor="text1"/>
              </w:rPr>
              <w:t>0,002</w:t>
            </w:r>
          </w:p>
        </w:tc>
      </w:tr>
      <w:tr w:rsidR="006A2129" w:rsidRPr="0093679D" w14:paraId="3EA45963" w14:textId="77777777" w:rsidTr="006A2129">
        <w:trPr>
          <w:cantSplit/>
        </w:trPr>
        <w:tc>
          <w:tcPr>
            <w:tcW w:w="9303" w:type="dxa"/>
            <w:gridSpan w:val="5"/>
            <w:tcBorders>
              <w:left w:val="nil"/>
              <w:bottom w:val="nil"/>
              <w:right w:val="nil"/>
            </w:tcBorders>
            <w:shd w:val="clear" w:color="auto" w:fill="auto"/>
          </w:tcPr>
          <w:p w14:paraId="3816A813" w14:textId="77777777" w:rsidR="006A2129" w:rsidRPr="0058432E" w:rsidRDefault="006A2129" w:rsidP="006A2129">
            <w:pPr>
              <w:pStyle w:val="BodyText"/>
              <w:widowControl/>
              <w:kinsoku w:val="0"/>
              <w:overflowPunct w:val="0"/>
              <w:ind w:left="270" w:hanging="270"/>
              <w:rPr>
                <w:color w:val="000000" w:themeColor="text1"/>
                <w:sz w:val="20"/>
              </w:rPr>
            </w:pPr>
            <w:proofErr w:type="gramStart"/>
            <w:r w:rsidRPr="0058432E">
              <w:rPr>
                <w:bCs/>
                <w:color w:val="000000" w:themeColor="text1"/>
                <w:sz w:val="20"/>
                <w:szCs w:val="14"/>
                <w:vertAlign w:val="superscript"/>
              </w:rPr>
              <w:t>a</w:t>
            </w:r>
            <w:proofErr w:type="gramEnd"/>
            <w:r w:rsidRPr="0058432E">
              <w:rPr>
                <w:bCs/>
                <w:color w:val="000000" w:themeColor="text1"/>
                <w:sz w:val="20"/>
                <w:szCs w:val="14"/>
              </w:rPr>
              <w:t xml:space="preserve"> </w:t>
            </w:r>
            <w:r w:rsidRPr="0058432E">
              <w:rPr>
                <w:bCs/>
                <w:color w:val="000000" w:themeColor="text1"/>
                <w:sz w:val="20"/>
                <w:szCs w:val="14"/>
              </w:rPr>
              <w:tab/>
            </w:r>
            <w:r w:rsidRPr="0058432E">
              <w:rPr>
                <w:color w:val="000000" w:themeColor="text1"/>
                <w:sz w:val="20"/>
              </w:rPr>
              <w:t>méthotrexate</w:t>
            </w:r>
          </w:p>
          <w:p w14:paraId="583AB1E6" w14:textId="77777777" w:rsidR="006A2129" w:rsidRPr="0058432E" w:rsidRDefault="006A2129" w:rsidP="006A2129">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b</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intervalle de confiance à 95 % des différences de variations des scores entre méthotrexate et adalimumab.</w:t>
            </w:r>
          </w:p>
          <w:p w14:paraId="5EC7ABF4" w14:textId="77777777" w:rsidR="006A2129" w:rsidRPr="0058432E" w:rsidRDefault="006A2129" w:rsidP="006A2129">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c</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d’après les analyses de rang</w:t>
            </w:r>
          </w:p>
          <w:p w14:paraId="2D1CA2F5" w14:textId="77777777" w:rsidR="006A2129" w:rsidRPr="004B1946" w:rsidRDefault="006A2129" w:rsidP="006A2129">
            <w:pPr>
              <w:pStyle w:val="BodyText"/>
              <w:widowControl/>
              <w:kinsoku w:val="0"/>
              <w:overflowPunct w:val="0"/>
              <w:ind w:left="270" w:hanging="270"/>
              <w:rPr>
                <w:color w:val="000000" w:themeColor="text1"/>
                <w:sz w:val="20"/>
                <w:lang w:val="en-US"/>
              </w:rPr>
            </w:pPr>
            <w:r w:rsidRPr="004B1946">
              <w:rPr>
                <w:color w:val="000000" w:themeColor="text1"/>
                <w:sz w:val="20"/>
                <w:szCs w:val="14"/>
                <w:vertAlign w:val="superscript"/>
                <w:lang w:val="en-US"/>
              </w:rPr>
              <w:t>d</w:t>
            </w:r>
            <w:r w:rsidRPr="004B1946">
              <w:rPr>
                <w:color w:val="000000" w:themeColor="text1"/>
                <w:sz w:val="20"/>
                <w:szCs w:val="14"/>
                <w:lang w:val="en-US"/>
              </w:rPr>
              <w:t xml:space="preserve"> </w:t>
            </w:r>
            <w:r w:rsidRPr="004B1946">
              <w:rPr>
                <w:color w:val="000000" w:themeColor="text1"/>
                <w:sz w:val="20"/>
                <w:szCs w:val="14"/>
                <w:lang w:val="en-US"/>
              </w:rPr>
              <w:tab/>
            </w:r>
            <w:r w:rsidRPr="004B1946">
              <w:rPr>
                <w:color w:val="000000" w:themeColor="text1"/>
                <w:sz w:val="20"/>
                <w:lang w:val="en-US"/>
              </w:rPr>
              <w:t>JSN</w:t>
            </w:r>
            <w:r w:rsidR="000B6E7C" w:rsidRPr="004B1946">
              <w:rPr>
                <w:color w:val="000000" w:themeColor="text1"/>
                <w:sz w:val="20"/>
                <w:lang w:val="en-US"/>
              </w:rPr>
              <w:t> </w:t>
            </w:r>
            <w:r w:rsidR="009975C7" w:rsidRPr="004B1946">
              <w:rPr>
                <w:color w:val="000000" w:themeColor="text1"/>
                <w:sz w:val="20"/>
                <w:lang w:val="en-US"/>
              </w:rPr>
              <w:t>= </w:t>
            </w:r>
            <w:r w:rsidRPr="004B1946">
              <w:rPr>
                <w:i/>
                <w:color w:val="000000" w:themeColor="text1"/>
                <w:sz w:val="20"/>
                <w:lang w:val="en-US"/>
              </w:rPr>
              <w:t>Joint Space Narrowing</w:t>
            </w:r>
          </w:p>
        </w:tc>
      </w:tr>
    </w:tbl>
    <w:p w14:paraId="4205F046" w14:textId="77777777" w:rsidR="00713CC8" w:rsidRPr="004B1946" w:rsidRDefault="00713CC8" w:rsidP="00387D0C">
      <w:pPr>
        <w:pStyle w:val="BodyText"/>
        <w:widowControl/>
        <w:kinsoku w:val="0"/>
        <w:overflowPunct w:val="0"/>
        <w:ind w:left="0"/>
        <w:rPr>
          <w:color w:val="000000" w:themeColor="text1"/>
          <w:lang w:val="en-US"/>
        </w:rPr>
      </w:pPr>
    </w:p>
    <w:p w14:paraId="78DF87F1"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Dans l’étude</w:t>
      </w:r>
      <w:r w:rsidR="00854EC0" w:rsidRPr="0058432E">
        <w:rPr>
          <w:color w:val="000000" w:themeColor="text1"/>
        </w:rPr>
        <w:t> </w:t>
      </w:r>
      <w:r w:rsidRPr="0058432E">
        <w:rPr>
          <w:color w:val="000000" w:themeColor="text1"/>
        </w:rPr>
        <w:t xml:space="preserve">V sur </w:t>
      </w:r>
      <w:proofErr w:type="gramStart"/>
      <w:r w:rsidRPr="0058432E">
        <w:rPr>
          <w:color w:val="000000" w:themeColor="text1"/>
        </w:rPr>
        <w:t>la PR</w:t>
      </w:r>
      <w:proofErr w:type="gramEnd"/>
      <w:r w:rsidRPr="0058432E">
        <w:rPr>
          <w:color w:val="000000" w:themeColor="text1"/>
        </w:rPr>
        <w:t xml:space="preserve">, les dommages structuraux articulaires ont été évalués par radiographie et exprimés en termes de </w:t>
      </w:r>
      <w:r w:rsidR="00C45C0F" w:rsidRPr="0058432E">
        <w:rPr>
          <w:color w:val="000000" w:themeColor="text1"/>
        </w:rPr>
        <w:t>modification</w:t>
      </w:r>
      <w:r w:rsidRPr="0058432E">
        <w:rPr>
          <w:color w:val="000000" w:themeColor="text1"/>
        </w:rPr>
        <w:t xml:space="preserve"> du score total de Sharp (voir tableau </w:t>
      </w:r>
      <w:r w:rsidR="006B2FBE" w:rsidRPr="0058432E">
        <w:rPr>
          <w:color w:val="000000" w:themeColor="text1"/>
        </w:rPr>
        <w:t>10</w:t>
      </w:r>
      <w:r w:rsidRPr="0058432E">
        <w:rPr>
          <w:color w:val="000000" w:themeColor="text1"/>
        </w:rPr>
        <w:t>).</w:t>
      </w:r>
    </w:p>
    <w:p w14:paraId="326F1293" w14:textId="77777777" w:rsidR="00D2772B" w:rsidRPr="0058432E" w:rsidRDefault="00D2772B" w:rsidP="00387D0C">
      <w:pPr>
        <w:rPr>
          <w:color w:val="000000" w:themeColor="text1"/>
        </w:rPr>
      </w:pPr>
    </w:p>
    <w:p w14:paraId="6A286C23" w14:textId="77777777" w:rsidR="00713CC8" w:rsidRPr="0058432E" w:rsidRDefault="00713CC8" w:rsidP="00B93DAC">
      <w:pPr>
        <w:pStyle w:val="BodyText"/>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10</w:t>
      </w:r>
      <w:r w:rsidR="00905FFD" w:rsidRPr="0058432E">
        <w:rPr>
          <w:b/>
          <w:color w:val="000000" w:themeColor="text1"/>
        </w:rPr>
        <w:t>.</w:t>
      </w:r>
    </w:p>
    <w:p w14:paraId="2BC979A5" w14:textId="77777777" w:rsidR="00713CC8" w:rsidRPr="0058432E" w:rsidRDefault="00E6674D" w:rsidP="00A53E17">
      <w:pPr>
        <w:pStyle w:val="BodyText"/>
        <w:keepNext/>
        <w:widowControl/>
        <w:kinsoku w:val="0"/>
        <w:overflowPunct w:val="0"/>
        <w:ind w:left="0"/>
        <w:rPr>
          <w:color w:val="000000" w:themeColor="text1"/>
        </w:rPr>
      </w:pPr>
      <w:r w:rsidRPr="0058432E">
        <w:rPr>
          <w:b/>
          <w:bCs/>
          <w:color w:val="000000" w:themeColor="text1"/>
        </w:rPr>
        <w:t>M</w:t>
      </w:r>
      <w:r w:rsidR="00713CC8" w:rsidRPr="0058432E">
        <w:rPr>
          <w:b/>
          <w:bCs/>
          <w:color w:val="000000" w:themeColor="text1"/>
        </w:rPr>
        <w:t xml:space="preserve">odifications radiographiques </w:t>
      </w:r>
      <w:r w:rsidRPr="0058432E">
        <w:rPr>
          <w:b/>
          <w:bCs/>
          <w:color w:val="000000" w:themeColor="text1"/>
        </w:rPr>
        <w:t xml:space="preserve">moyennes </w:t>
      </w:r>
      <w:r w:rsidR="00713CC8" w:rsidRPr="0058432E">
        <w:rPr>
          <w:b/>
          <w:bCs/>
          <w:color w:val="000000" w:themeColor="text1"/>
        </w:rPr>
        <w:t xml:space="preserve">à la semaine 52 dans l’étude V sur </w:t>
      </w:r>
      <w:proofErr w:type="gramStart"/>
      <w:r w:rsidR="00713CC8" w:rsidRPr="0058432E">
        <w:rPr>
          <w:b/>
          <w:bCs/>
          <w:color w:val="000000" w:themeColor="text1"/>
        </w:rPr>
        <w:t>la PR</w:t>
      </w:r>
      <w:proofErr w:type="gramEnd"/>
    </w:p>
    <w:p w14:paraId="6B4C7D3D" w14:textId="77777777" w:rsidR="00713CC8" w:rsidRPr="0058432E" w:rsidRDefault="00713CC8" w:rsidP="00387D0C">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80"/>
        <w:gridCol w:w="1465"/>
        <w:gridCol w:w="1664"/>
        <w:gridCol w:w="1059"/>
        <w:gridCol w:w="1015"/>
        <w:gridCol w:w="1015"/>
      </w:tblGrid>
      <w:tr w:rsidR="00713CC8" w:rsidRPr="0058432E" w14:paraId="28AD6DC3" w14:textId="77777777" w:rsidTr="003D2782">
        <w:trPr>
          <w:trHeight w:hRule="exact" w:val="1274"/>
          <w:tblHeader/>
        </w:trPr>
        <w:tc>
          <w:tcPr>
            <w:tcW w:w="1401" w:type="dxa"/>
            <w:shd w:val="clear" w:color="auto" w:fill="auto"/>
          </w:tcPr>
          <w:p w14:paraId="706D863E" w14:textId="77777777" w:rsidR="00713CC8" w:rsidRPr="0058432E" w:rsidRDefault="00713CC8" w:rsidP="005A68B9">
            <w:pPr>
              <w:keepNext/>
              <w:keepLines/>
              <w:rPr>
                <w:b/>
                <w:color w:val="000000" w:themeColor="text1"/>
              </w:rPr>
            </w:pPr>
          </w:p>
        </w:tc>
        <w:tc>
          <w:tcPr>
            <w:tcW w:w="1518" w:type="dxa"/>
            <w:shd w:val="clear" w:color="auto" w:fill="auto"/>
            <w:vAlign w:val="center"/>
          </w:tcPr>
          <w:p w14:paraId="34C3E6BE" w14:textId="77777777" w:rsidR="00D92C61" w:rsidRPr="0058432E"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MTX</w:t>
            </w:r>
          </w:p>
          <w:p w14:paraId="5A77E85B" w14:textId="77777777" w:rsidR="00D92C61" w:rsidRPr="0058432E"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257</w:t>
            </w:r>
          </w:p>
          <w:p w14:paraId="4519C306" w14:textId="77777777" w:rsidR="00713CC8" w:rsidRPr="0058432E" w:rsidRDefault="00713CC8"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502" w:type="dxa"/>
            <w:shd w:val="clear" w:color="auto" w:fill="auto"/>
            <w:vAlign w:val="center"/>
          </w:tcPr>
          <w:p w14:paraId="085BA077" w14:textId="77777777" w:rsidR="00D92C61" w:rsidRPr="0058432E" w:rsidRDefault="00E56A72"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Adalimumab</w:t>
            </w:r>
          </w:p>
          <w:p w14:paraId="3E279C32" w14:textId="77777777" w:rsidR="00D92C61" w:rsidRPr="0058432E" w:rsidRDefault="00713CC8" w:rsidP="005A68B9">
            <w:pPr>
              <w:pStyle w:val="TableParagraph"/>
              <w:keepNext/>
              <w:keepLines/>
              <w:widowControl/>
              <w:kinsoku w:val="0"/>
              <w:overflowPunct w:val="0"/>
              <w:spacing w:before="6"/>
              <w:ind w:left="-17"/>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274</w:t>
            </w:r>
          </w:p>
          <w:p w14:paraId="109FEF07" w14:textId="77777777" w:rsidR="00713CC8" w:rsidRPr="0058432E" w:rsidRDefault="00713CC8"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708" w:type="dxa"/>
            <w:shd w:val="clear" w:color="auto" w:fill="auto"/>
            <w:vAlign w:val="center"/>
          </w:tcPr>
          <w:p w14:paraId="62A1903F" w14:textId="77777777" w:rsidR="00D92C61" w:rsidRPr="0058432E" w:rsidRDefault="00E56A72"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Adalimumab/MTX</w:t>
            </w:r>
          </w:p>
          <w:p w14:paraId="6B279D45" w14:textId="77777777" w:rsidR="00D92C61" w:rsidRPr="0058432E" w:rsidRDefault="00713CC8" w:rsidP="005A68B9">
            <w:pPr>
              <w:pStyle w:val="TableParagraph"/>
              <w:keepNext/>
              <w:keepLines/>
              <w:widowControl/>
              <w:kinsoku w:val="0"/>
              <w:overflowPunct w:val="0"/>
              <w:spacing w:before="6"/>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268</w:t>
            </w:r>
          </w:p>
          <w:p w14:paraId="69C95ED8" w14:textId="77777777" w:rsidR="00713CC8" w:rsidRPr="0058432E" w:rsidRDefault="00713CC8"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084" w:type="dxa"/>
            <w:shd w:val="clear" w:color="auto" w:fill="auto"/>
            <w:vAlign w:val="center"/>
          </w:tcPr>
          <w:p w14:paraId="6D486B31" w14:textId="77777777" w:rsidR="00713CC8" w:rsidRPr="0058432E" w:rsidRDefault="00713CC8" w:rsidP="005A68B9">
            <w:pPr>
              <w:pStyle w:val="TableParagraph"/>
              <w:keepNext/>
              <w:keepLines/>
              <w:widowControl/>
              <w:kinsoku w:val="0"/>
              <w:overflowPunct w:val="0"/>
              <w:spacing w:before="18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a</w:t>
            </w:r>
          </w:p>
        </w:tc>
        <w:tc>
          <w:tcPr>
            <w:tcW w:w="1039" w:type="dxa"/>
            <w:shd w:val="clear" w:color="auto" w:fill="auto"/>
            <w:vAlign w:val="center"/>
          </w:tcPr>
          <w:p w14:paraId="0E453821" w14:textId="77777777" w:rsidR="00713CC8" w:rsidRPr="0058432E" w:rsidRDefault="00713CC8" w:rsidP="005A68B9">
            <w:pPr>
              <w:pStyle w:val="TableParagraph"/>
              <w:keepNext/>
              <w:keepLines/>
              <w:widowControl/>
              <w:kinsoku w:val="0"/>
              <w:overflowPunct w:val="0"/>
              <w:spacing w:before="188"/>
              <w:ind w:left="2"/>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b</w:t>
            </w:r>
          </w:p>
        </w:tc>
        <w:tc>
          <w:tcPr>
            <w:tcW w:w="1039" w:type="dxa"/>
            <w:shd w:val="clear" w:color="auto" w:fill="auto"/>
            <w:vAlign w:val="center"/>
          </w:tcPr>
          <w:p w14:paraId="10871140" w14:textId="77777777" w:rsidR="00713CC8" w:rsidRPr="0058432E" w:rsidRDefault="00713CC8" w:rsidP="005A68B9">
            <w:pPr>
              <w:pStyle w:val="TableParagraph"/>
              <w:keepNext/>
              <w:keepLines/>
              <w:widowControl/>
              <w:kinsoku w:val="0"/>
              <w:overflowPunct w:val="0"/>
              <w:spacing w:before="188"/>
              <w:ind w:left="31"/>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c</w:t>
            </w:r>
          </w:p>
        </w:tc>
      </w:tr>
      <w:tr w:rsidR="00713CC8" w:rsidRPr="0058432E" w14:paraId="5212CB8A" w14:textId="77777777" w:rsidTr="00C831C4">
        <w:trPr>
          <w:trHeight w:hRule="exact" w:val="516"/>
        </w:trPr>
        <w:tc>
          <w:tcPr>
            <w:tcW w:w="1401" w:type="dxa"/>
            <w:shd w:val="clear" w:color="auto" w:fill="auto"/>
          </w:tcPr>
          <w:p w14:paraId="20589D72" w14:textId="77777777" w:rsidR="00713CC8" w:rsidRPr="0058432E" w:rsidRDefault="00713CC8"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total de Sharp</w:t>
            </w:r>
          </w:p>
        </w:tc>
        <w:tc>
          <w:tcPr>
            <w:tcW w:w="1518" w:type="dxa"/>
            <w:shd w:val="clear" w:color="auto" w:fill="auto"/>
            <w:vAlign w:val="center"/>
          </w:tcPr>
          <w:p w14:paraId="029CDC75" w14:textId="77777777" w:rsidR="00713CC8" w:rsidRPr="0058432E"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5,7 (4,2</w:t>
            </w:r>
            <w:r w:rsidR="007B106F" w:rsidRPr="0058432E">
              <w:rPr>
                <w:rFonts w:ascii="Times New Roman" w:hAnsi="Times New Roman"/>
                <w:color w:val="000000" w:themeColor="text1"/>
              </w:rPr>
              <w:t> – </w:t>
            </w:r>
            <w:r w:rsidRPr="0058432E">
              <w:rPr>
                <w:rFonts w:ascii="Times New Roman" w:hAnsi="Times New Roman"/>
                <w:color w:val="000000" w:themeColor="text1"/>
              </w:rPr>
              <w:t>7,3)</w:t>
            </w:r>
          </w:p>
        </w:tc>
        <w:tc>
          <w:tcPr>
            <w:tcW w:w="1502" w:type="dxa"/>
            <w:shd w:val="clear" w:color="auto" w:fill="auto"/>
            <w:vAlign w:val="center"/>
          </w:tcPr>
          <w:p w14:paraId="56C23744" w14:textId="77777777" w:rsidR="00713CC8" w:rsidRPr="0058432E"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3,0 (1,7</w:t>
            </w:r>
            <w:r w:rsidR="007B106F" w:rsidRPr="0058432E">
              <w:rPr>
                <w:rFonts w:ascii="Times New Roman" w:hAnsi="Times New Roman"/>
                <w:color w:val="000000" w:themeColor="text1"/>
              </w:rPr>
              <w:t> – </w:t>
            </w:r>
            <w:r w:rsidRPr="0058432E">
              <w:rPr>
                <w:rFonts w:ascii="Times New Roman" w:hAnsi="Times New Roman"/>
                <w:color w:val="000000" w:themeColor="text1"/>
              </w:rPr>
              <w:t>4,3)</w:t>
            </w:r>
          </w:p>
        </w:tc>
        <w:tc>
          <w:tcPr>
            <w:tcW w:w="1708" w:type="dxa"/>
            <w:shd w:val="clear" w:color="auto" w:fill="auto"/>
            <w:vAlign w:val="center"/>
          </w:tcPr>
          <w:p w14:paraId="73CEFF79"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1,3 (0,5</w:t>
            </w:r>
            <w:r w:rsidR="007B106F" w:rsidRPr="0058432E">
              <w:rPr>
                <w:rFonts w:ascii="Times New Roman" w:hAnsi="Times New Roman"/>
                <w:color w:val="000000" w:themeColor="text1"/>
              </w:rPr>
              <w:t> – </w:t>
            </w:r>
            <w:r w:rsidRPr="0058432E">
              <w:rPr>
                <w:rFonts w:ascii="Times New Roman" w:hAnsi="Times New Roman"/>
                <w:color w:val="000000" w:themeColor="text1"/>
              </w:rPr>
              <w:t>2,1)</w:t>
            </w:r>
          </w:p>
        </w:tc>
        <w:tc>
          <w:tcPr>
            <w:tcW w:w="1084" w:type="dxa"/>
            <w:shd w:val="clear" w:color="auto" w:fill="auto"/>
            <w:vAlign w:val="center"/>
          </w:tcPr>
          <w:p w14:paraId="672BB8A5"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39" w:type="dxa"/>
            <w:shd w:val="clear" w:color="auto" w:fill="auto"/>
            <w:vAlign w:val="center"/>
          </w:tcPr>
          <w:p w14:paraId="13577D2B" w14:textId="77777777" w:rsidR="00713CC8" w:rsidRPr="0058432E"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0,0020</w:t>
            </w:r>
          </w:p>
        </w:tc>
        <w:tc>
          <w:tcPr>
            <w:tcW w:w="1039" w:type="dxa"/>
            <w:shd w:val="clear" w:color="auto" w:fill="auto"/>
            <w:vAlign w:val="center"/>
          </w:tcPr>
          <w:p w14:paraId="1E698B54" w14:textId="77777777" w:rsidR="00713CC8" w:rsidRPr="0058432E" w:rsidRDefault="00713CC8"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713CC8" w:rsidRPr="0058432E" w14:paraId="45CDCD81" w14:textId="77777777" w:rsidTr="00C831C4">
        <w:trPr>
          <w:trHeight w:hRule="exact" w:val="567"/>
        </w:trPr>
        <w:tc>
          <w:tcPr>
            <w:tcW w:w="1401" w:type="dxa"/>
            <w:shd w:val="clear" w:color="auto" w:fill="auto"/>
          </w:tcPr>
          <w:p w14:paraId="3617458D" w14:textId="77777777" w:rsidR="00713CC8" w:rsidRPr="0058432E" w:rsidRDefault="00713CC8"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w:t>
            </w:r>
            <w:r w:rsidR="00730402" w:rsidRPr="0058432E">
              <w:rPr>
                <w:rFonts w:ascii="Times New Roman" w:hAnsi="Times New Roman"/>
                <w:color w:val="000000" w:themeColor="text1"/>
              </w:rPr>
              <w:t>’</w:t>
            </w:r>
            <w:r w:rsidRPr="0058432E">
              <w:rPr>
                <w:rFonts w:ascii="Times New Roman" w:hAnsi="Times New Roman"/>
                <w:color w:val="000000" w:themeColor="text1"/>
              </w:rPr>
              <w:t>érosion</w:t>
            </w:r>
          </w:p>
        </w:tc>
        <w:tc>
          <w:tcPr>
            <w:tcW w:w="1518" w:type="dxa"/>
            <w:shd w:val="clear" w:color="auto" w:fill="auto"/>
            <w:vAlign w:val="center"/>
          </w:tcPr>
          <w:p w14:paraId="35D3F296" w14:textId="77777777" w:rsidR="00713CC8" w:rsidRPr="0058432E"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3,7 (2,7</w:t>
            </w:r>
            <w:r w:rsidR="007B106F" w:rsidRPr="0058432E">
              <w:rPr>
                <w:rFonts w:ascii="Times New Roman" w:hAnsi="Times New Roman"/>
                <w:color w:val="000000" w:themeColor="text1"/>
              </w:rPr>
              <w:t> – </w:t>
            </w:r>
            <w:r w:rsidRPr="0058432E">
              <w:rPr>
                <w:rFonts w:ascii="Times New Roman" w:hAnsi="Times New Roman"/>
                <w:color w:val="000000" w:themeColor="text1"/>
              </w:rPr>
              <w:t>4,7)</w:t>
            </w:r>
          </w:p>
        </w:tc>
        <w:tc>
          <w:tcPr>
            <w:tcW w:w="1502" w:type="dxa"/>
            <w:shd w:val="clear" w:color="auto" w:fill="auto"/>
            <w:vAlign w:val="center"/>
          </w:tcPr>
          <w:p w14:paraId="1F0E3F75" w14:textId="77777777" w:rsidR="00713CC8" w:rsidRPr="0058432E"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1,7 (1,0</w:t>
            </w:r>
            <w:r w:rsidR="007B106F" w:rsidRPr="0058432E">
              <w:rPr>
                <w:rFonts w:ascii="Times New Roman" w:hAnsi="Times New Roman"/>
                <w:color w:val="000000" w:themeColor="text1"/>
              </w:rPr>
              <w:t> – </w:t>
            </w:r>
            <w:r w:rsidRPr="0058432E">
              <w:rPr>
                <w:rFonts w:ascii="Times New Roman" w:hAnsi="Times New Roman"/>
                <w:color w:val="000000" w:themeColor="text1"/>
              </w:rPr>
              <w:t>2,4)</w:t>
            </w:r>
          </w:p>
        </w:tc>
        <w:tc>
          <w:tcPr>
            <w:tcW w:w="1708" w:type="dxa"/>
            <w:shd w:val="clear" w:color="auto" w:fill="auto"/>
            <w:vAlign w:val="center"/>
          </w:tcPr>
          <w:p w14:paraId="00A5329D"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0,8 (0,4</w:t>
            </w:r>
            <w:r w:rsidR="007B106F" w:rsidRPr="0058432E">
              <w:rPr>
                <w:rFonts w:ascii="Times New Roman" w:hAnsi="Times New Roman"/>
                <w:color w:val="000000" w:themeColor="text1"/>
              </w:rPr>
              <w:t> – </w:t>
            </w:r>
            <w:r w:rsidRPr="0058432E">
              <w:rPr>
                <w:rFonts w:ascii="Times New Roman" w:hAnsi="Times New Roman"/>
                <w:color w:val="000000" w:themeColor="text1"/>
              </w:rPr>
              <w:t>1,2)</w:t>
            </w:r>
          </w:p>
        </w:tc>
        <w:tc>
          <w:tcPr>
            <w:tcW w:w="1084" w:type="dxa"/>
            <w:shd w:val="clear" w:color="auto" w:fill="auto"/>
            <w:vAlign w:val="center"/>
          </w:tcPr>
          <w:p w14:paraId="5C9372F8"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39" w:type="dxa"/>
            <w:shd w:val="clear" w:color="auto" w:fill="auto"/>
            <w:vAlign w:val="center"/>
          </w:tcPr>
          <w:p w14:paraId="1FAE8E4E" w14:textId="77777777" w:rsidR="00713CC8" w:rsidRPr="0058432E"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0,0082</w:t>
            </w:r>
          </w:p>
        </w:tc>
        <w:tc>
          <w:tcPr>
            <w:tcW w:w="1039" w:type="dxa"/>
            <w:shd w:val="clear" w:color="auto" w:fill="auto"/>
            <w:vAlign w:val="center"/>
          </w:tcPr>
          <w:p w14:paraId="06960F18" w14:textId="77777777" w:rsidR="00713CC8" w:rsidRPr="0058432E" w:rsidRDefault="00713CC8"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713CC8" w:rsidRPr="0058432E" w14:paraId="1455EC8A" w14:textId="77777777" w:rsidTr="00C831C4">
        <w:trPr>
          <w:trHeight w:hRule="exact" w:val="1128"/>
        </w:trPr>
        <w:tc>
          <w:tcPr>
            <w:tcW w:w="1401" w:type="dxa"/>
            <w:tcBorders>
              <w:bottom w:val="single" w:sz="4" w:space="0" w:color="auto"/>
            </w:tcBorders>
            <w:shd w:val="clear" w:color="auto" w:fill="auto"/>
          </w:tcPr>
          <w:p w14:paraId="0351BA24" w14:textId="77777777" w:rsidR="00713CC8" w:rsidRPr="0058432E" w:rsidRDefault="00713CC8"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de pincement articulaire (JSN)</w:t>
            </w:r>
          </w:p>
        </w:tc>
        <w:tc>
          <w:tcPr>
            <w:tcW w:w="1518" w:type="dxa"/>
            <w:tcBorders>
              <w:bottom w:val="single" w:sz="4" w:space="0" w:color="auto"/>
            </w:tcBorders>
            <w:shd w:val="clear" w:color="auto" w:fill="auto"/>
            <w:vAlign w:val="center"/>
          </w:tcPr>
          <w:p w14:paraId="715E963F" w14:textId="77777777" w:rsidR="00713CC8" w:rsidRPr="0058432E" w:rsidRDefault="00713CC8"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2,0 (1,2</w:t>
            </w:r>
            <w:r w:rsidR="007B106F" w:rsidRPr="0058432E">
              <w:rPr>
                <w:rFonts w:ascii="Times New Roman" w:hAnsi="Times New Roman"/>
                <w:color w:val="000000" w:themeColor="text1"/>
              </w:rPr>
              <w:t> – </w:t>
            </w:r>
            <w:r w:rsidRPr="0058432E">
              <w:rPr>
                <w:rFonts w:ascii="Times New Roman" w:hAnsi="Times New Roman"/>
                <w:color w:val="000000" w:themeColor="text1"/>
              </w:rPr>
              <w:t>2,8)</w:t>
            </w:r>
          </w:p>
        </w:tc>
        <w:tc>
          <w:tcPr>
            <w:tcW w:w="1502" w:type="dxa"/>
            <w:tcBorders>
              <w:bottom w:val="single" w:sz="4" w:space="0" w:color="auto"/>
            </w:tcBorders>
            <w:shd w:val="clear" w:color="auto" w:fill="auto"/>
            <w:vAlign w:val="center"/>
          </w:tcPr>
          <w:p w14:paraId="54B6DE4E" w14:textId="77777777" w:rsidR="00713CC8" w:rsidRPr="0058432E" w:rsidRDefault="00713CC8"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1,3 (0,5</w:t>
            </w:r>
            <w:r w:rsidR="007B106F" w:rsidRPr="0058432E">
              <w:rPr>
                <w:rFonts w:ascii="Times New Roman" w:hAnsi="Times New Roman"/>
                <w:color w:val="000000" w:themeColor="text1"/>
              </w:rPr>
              <w:t> – </w:t>
            </w:r>
            <w:r w:rsidRPr="0058432E">
              <w:rPr>
                <w:rFonts w:ascii="Times New Roman" w:hAnsi="Times New Roman"/>
                <w:color w:val="000000" w:themeColor="text1"/>
              </w:rPr>
              <w:t>2,1)</w:t>
            </w:r>
          </w:p>
        </w:tc>
        <w:tc>
          <w:tcPr>
            <w:tcW w:w="1708" w:type="dxa"/>
            <w:tcBorders>
              <w:bottom w:val="single" w:sz="4" w:space="0" w:color="auto"/>
            </w:tcBorders>
            <w:shd w:val="clear" w:color="auto" w:fill="auto"/>
            <w:vAlign w:val="center"/>
          </w:tcPr>
          <w:p w14:paraId="067B4B01"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0,5 (0</w:t>
            </w:r>
            <w:r w:rsidR="007B106F" w:rsidRPr="0058432E">
              <w:rPr>
                <w:rFonts w:ascii="Times New Roman" w:hAnsi="Times New Roman"/>
                <w:color w:val="000000" w:themeColor="text1"/>
              </w:rPr>
              <w:t> – </w:t>
            </w:r>
            <w:r w:rsidRPr="0058432E">
              <w:rPr>
                <w:rFonts w:ascii="Times New Roman" w:hAnsi="Times New Roman"/>
                <w:color w:val="000000" w:themeColor="text1"/>
              </w:rPr>
              <w:t>1,0)</w:t>
            </w:r>
          </w:p>
        </w:tc>
        <w:tc>
          <w:tcPr>
            <w:tcW w:w="1084" w:type="dxa"/>
            <w:tcBorders>
              <w:bottom w:val="single" w:sz="4" w:space="0" w:color="auto"/>
            </w:tcBorders>
            <w:shd w:val="clear" w:color="auto" w:fill="auto"/>
            <w:vAlign w:val="center"/>
          </w:tcPr>
          <w:p w14:paraId="42F911B9" w14:textId="77777777" w:rsidR="00713CC8" w:rsidRPr="0058432E" w:rsidRDefault="00713CC8"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39" w:type="dxa"/>
            <w:tcBorders>
              <w:bottom w:val="single" w:sz="4" w:space="0" w:color="auto"/>
            </w:tcBorders>
            <w:shd w:val="clear" w:color="auto" w:fill="auto"/>
            <w:vAlign w:val="center"/>
          </w:tcPr>
          <w:p w14:paraId="6829AE10" w14:textId="77777777" w:rsidR="00713CC8" w:rsidRPr="0058432E" w:rsidRDefault="00713CC8"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0,0037</w:t>
            </w:r>
          </w:p>
        </w:tc>
        <w:tc>
          <w:tcPr>
            <w:tcW w:w="1039" w:type="dxa"/>
            <w:tcBorders>
              <w:bottom w:val="single" w:sz="4" w:space="0" w:color="auto"/>
            </w:tcBorders>
            <w:shd w:val="clear" w:color="auto" w:fill="auto"/>
            <w:vAlign w:val="center"/>
          </w:tcPr>
          <w:p w14:paraId="22077D12" w14:textId="77777777" w:rsidR="00713CC8" w:rsidRPr="0058432E" w:rsidRDefault="00713CC8"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0,151</w:t>
            </w:r>
          </w:p>
        </w:tc>
      </w:tr>
    </w:tbl>
    <w:p w14:paraId="3F602B2C" w14:textId="77777777" w:rsidR="00C831C4" w:rsidRPr="0058432E" w:rsidRDefault="00C831C4" w:rsidP="00C831C4">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w:t>
      </w:r>
    </w:p>
    <w:p w14:paraId="676503EF" w14:textId="77777777" w:rsidR="00C831C4" w:rsidRPr="0058432E" w:rsidRDefault="00C831C4" w:rsidP="00C831C4">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2954D692" w14:textId="77777777" w:rsidR="00C831C4" w:rsidRPr="0058432E" w:rsidRDefault="00C831C4" w:rsidP="00C831C4">
      <w:pPr>
        <w:rPr>
          <w:color w:val="000000" w:themeColor="text1"/>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méthotrexate seul par le test U de Mann-Whitney.</w:t>
      </w:r>
    </w:p>
    <w:p w14:paraId="36B86459" w14:textId="77777777" w:rsidR="00C831C4" w:rsidRPr="0058432E" w:rsidRDefault="00C831C4" w:rsidP="00387D0C">
      <w:pPr>
        <w:rPr>
          <w:color w:val="000000" w:themeColor="text1"/>
        </w:rPr>
      </w:pPr>
    </w:p>
    <w:p w14:paraId="5AEE84D8" w14:textId="77777777" w:rsidR="00713CC8" w:rsidRPr="0058432E" w:rsidRDefault="004A523F" w:rsidP="00387D0C">
      <w:pPr>
        <w:pStyle w:val="BodyText"/>
        <w:widowControl/>
        <w:kinsoku w:val="0"/>
        <w:overflowPunct w:val="0"/>
        <w:ind w:left="0"/>
        <w:rPr>
          <w:color w:val="000000" w:themeColor="text1"/>
        </w:rPr>
      </w:pPr>
      <w:r w:rsidRPr="0058432E">
        <w:rPr>
          <w:color w:val="000000" w:themeColor="text1"/>
        </w:rPr>
        <w:t>À</w:t>
      </w:r>
      <w:r w:rsidR="00713CC8" w:rsidRPr="0058432E">
        <w:rPr>
          <w:color w:val="000000" w:themeColor="text1"/>
        </w:rPr>
        <w:t xml:space="preserve"> la suite de 52 et 104</w:t>
      </w:r>
      <w:r w:rsidR="00BC3FCA" w:rsidRPr="0058432E">
        <w:rPr>
          <w:color w:val="000000" w:themeColor="text1"/>
        </w:rPr>
        <w:t> </w:t>
      </w:r>
      <w:r w:rsidR="00713CC8" w:rsidRPr="0058432E">
        <w:rPr>
          <w:color w:val="000000" w:themeColor="text1"/>
        </w:rPr>
        <w:t>semaines de traitement, le pourcentage de patients sans progression (</w:t>
      </w:r>
      <w:r w:rsidR="00724E80" w:rsidRPr="0058432E">
        <w:rPr>
          <w:color w:val="000000" w:themeColor="text1"/>
        </w:rPr>
        <w:t>modification</w:t>
      </w:r>
      <w:r w:rsidR="00713CC8" w:rsidRPr="0058432E">
        <w:rPr>
          <w:color w:val="000000" w:themeColor="text1"/>
        </w:rPr>
        <w:t xml:space="preserve"> du score total de Sharp modifié par rapport à la valeur de base ≤ 0,5) était significativement supérieur avec le traitement par l</w:t>
      </w:r>
      <w:r w:rsidR="004756FE" w:rsidRPr="0058432E">
        <w:rPr>
          <w:color w:val="000000" w:themeColor="text1"/>
        </w:rPr>
        <w:t>’</w:t>
      </w:r>
      <w:r w:rsidR="00713CC8" w:rsidRPr="0058432E">
        <w:rPr>
          <w:color w:val="000000" w:themeColor="text1"/>
        </w:rPr>
        <w:t xml:space="preserve">association adalimumab/méthotrexate (respectivement 63,8 % et 61,2 %) comparativement au méthotrexate en monothérapie (respectivement 37,4 % et 33,5 %, </w:t>
      </w:r>
      <w:r w:rsidR="00713CC8" w:rsidRPr="0058432E">
        <w:rPr>
          <w:i/>
          <w:iCs/>
          <w:color w:val="000000" w:themeColor="text1"/>
        </w:rPr>
        <w:t>p</w:t>
      </w:r>
      <w:r w:rsidR="003F3208" w:rsidRPr="0058432E">
        <w:rPr>
          <w:color w:val="000000" w:themeColor="text1"/>
        </w:rPr>
        <w:t> </w:t>
      </w:r>
      <w:r w:rsidR="00713CC8" w:rsidRPr="0058432E">
        <w:rPr>
          <w:color w:val="000000" w:themeColor="text1"/>
        </w:rPr>
        <w:t xml:space="preserve">&lt; 0,001) et à l’adalimumab en monothérapie (respectivement 50,7 %, p &lt; 0,002 et 44,5 %, </w:t>
      </w:r>
      <w:r w:rsidR="00713CC8" w:rsidRPr="0058432E">
        <w:rPr>
          <w:i/>
          <w:iCs/>
          <w:color w:val="000000" w:themeColor="text1"/>
        </w:rPr>
        <w:t>p</w:t>
      </w:r>
      <w:r w:rsidR="006F3B51" w:rsidRPr="0058432E">
        <w:rPr>
          <w:color w:val="000000" w:themeColor="text1"/>
        </w:rPr>
        <w:t> </w:t>
      </w:r>
      <w:r w:rsidR="00713CC8" w:rsidRPr="0058432E">
        <w:rPr>
          <w:color w:val="000000" w:themeColor="text1"/>
        </w:rPr>
        <w:t>&lt; 0,001).</w:t>
      </w:r>
    </w:p>
    <w:p w14:paraId="0B6B3C7F" w14:textId="77777777" w:rsidR="00713CC8" w:rsidRPr="0058432E" w:rsidRDefault="00713CC8" w:rsidP="00387D0C">
      <w:pPr>
        <w:pStyle w:val="BodyText"/>
        <w:widowControl/>
        <w:kinsoku w:val="0"/>
        <w:overflowPunct w:val="0"/>
        <w:ind w:left="0"/>
        <w:rPr>
          <w:color w:val="000000" w:themeColor="text1"/>
        </w:rPr>
      </w:pPr>
    </w:p>
    <w:p w14:paraId="2BFC8870"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Dans la phase d’extension en ouvert de l’étude</w:t>
      </w:r>
      <w:r w:rsidR="00246517" w:rsidRPr="0058432E">
        <w:rPr>
          <w:color w:val="000000" w:themeColor="text1"/>
        </w:rPr>
        <w:t> </w:t>
      </w:r>
      <w:r w:rsidRPr="0058432E">
        <w:rPr>
          <w:color w:val="000000" w:themeColor="text1"/>
        </w:rPr>
        <w:t xml:space="preserve">V sur </w:t>
      </w:r>
      <w:proofErr w:type="gramStart"/>
      <w:r w:rsidRPr="0058432E">
        <w:rPr>
          <w:color w:val="000000" w:themeColor="text1"/>
        </w:rPr>
        <w:t>la PR</w:t>
      </w:r>
      <w:proofErr w:type="gramEnd"/>
      <w:r w:rsidRPr="0058432E">
        <w:rPr>
          <w:color w:val="000000" w:themeColor="text1"/>
        </w:rPr>
        <w:t xml:space="preserve">, la </w:t>
      </w:r>
      <w:r w:rsidR="00680966" w:rsidRPr="0058432E">
        <w:rPr>
          <w:color w:val="000000" w:themeColor="text1"/>
        </w:rPr>
        <w:t>modification</w:t>
      </w:r>
      <w:r w:rsidRPr="0058432E">
        <w:rPr>
          <w:color w:val="000000" w:themeColor="text1"/>
        </w:rPr>
        <w:t xml:space="preserve"> moyenne du score total de Sharp modifié à 10</w:t>
      </w:r>
      <w:r w:rsidR="00246517" w:rsidRPr="0058432E">
        <w:rPr>
          <w:color w:val="000000" w:themeColor="text1"/>
        </w:rPr>
        <w:t> </w:t>
      </w:r>
      <w:r w:rsidRPr="0058432E">
        <w:rPr>
          <w:color w:val="000000" w:themeColor="text1"/>
        </w:rPr>
        <w:t>ans par rapport à la valeur de base a été de 10,8 chez les patients randomisés initialement pour recevoir le méthotrexate en monothérapie, 9,2 chez les patients randomisés initialement pour recevoir l’adalimumab en monothérapie et 3,9 chez les patients randomisés initialement pour recevoir l’association adalimumab/méthotrexate. Les proportions correspondantes de patients ne présentant pas de progression radiographique ont été respectivement de 31,3 %, 23,7 % et 36,7 %.</w:t>
      </w:r>
    </w:p>
    <w:p w14:paraId="120B024A" w14:textId="77777777" w:rsidR="00713CC8" w:rsidRPr="0058432E" w:rsidRDefault="00713CC8" w:rsidP="00387D0C">
      <w:pPr>
        <w:pStyle w:val="BodyText"/>
        <w:widowControl/>
        <w:kinsoku w:val="0"/>
        <w:overflowPunct w:val="0"/>
        <w:ind w:left="0"/>
        <w:rPr>
          <w:color w:val="000000" w:themeColor="text1"/>
        </w:rPr>
      </w:pPr>
    </w:p>
    <w:p w14:paraId="4B637CF1" w14:textId="77777777" w:rsidR="00713CC8" w:rsidRPr="0058432E" w:rsidRDefault="00713CC8" w:rsidP="00ED34EF">
      <w:pPr>
        <w:pStyle w:val="BodyText"/>
        <w:keepNext/>
        <w:widowControl/>
        <w:kinsoku w:val="0"/>
        <w:overflowPunct w:val="0"/>
        <w:ind w:left="0"/>
        <w:rPr>
          <w:color w:val="000000" w:themeColor="text1"/>
        </w:rPr>
      </w:pPr>
      <w:r w:rsidRPr="0058432E">
        <w:rPr>
          <w:i/>
          <w:iCs/>
          <w:color w:val="000000" w:themeColor="text1"/>
          <w:u w:val="single"/>
        </w:rPr>
        <w:t>Qualité de vie et capacités fonctionnelles</w:t>
      </w:r>
    </w:p>
    <w:p w14:paraId="42BCFBE6" w14:textId="77777777" w:rsidR="00713CC8" w:rsidRPr="0058432E" w:rsidRDefault="00713CC8" w:rsidP="00ED34EF">
      <w:pPr>
        <w:pStyle w:val="BodyText"/>
        <w:keepNext/>
        <w:widowControl/>
        <w:kinsoku w:val="0"/>
        <w:overflowPunct w:val="0"/>
        <w:ind w:left="0"/>
        <w:rPr>
          <w:i/>
          <w:iCs/>
          <w:color w:val="000000" w:themeColor="text1"/>
        </w:rPr>
      </w:pPr>
    </w:p>
    <w:p w14:paraId="671871EE"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La qualité de vie en rapport avec la santé et la fonction physique ont été évaluées au moyen de l’indice d’invalidité du Questionnaire d'Evaluation de l'état de Santé (</w:t>
      </w:r>
      <w:r w:rsidRPr="0058432E">
        <w:rPr>
          <w:i/>
          <w:iCs/>
          <w:color w:val="000000" w:themeColor="text1"/>
        </w:rPr>
        <w:t>Health Assessment Questionnaire</w:t>
      </w:r>
      <w:r w:rsidRPr="0058432E">
        <w:rPr>
          <w:color w:val="000000" w:themeColor="text1"/>
        </w:rPr>
        <w:t xml:space="preserve">, HAQ) dans les quatre essais originels adéquats et correctement contrôlés et constituait un critère principal </w:t>
      </w:r>
      <w:r w:rsidR="00047DBA" w:rsidRPr="0058432E">
        <w:rPr>
          <w:color w:val="000000" w:themeColor="text1"/>
        </w:rPr>
        <w:t>d’évaluation</w:t>
      </w:r>
      <w:r w:rsidRPr="0058432E">
        <w:rPr>
          <w:color w:val="000000" w:themeColor="text1"/>
        </w:rPr>
        <w:t xml:space="preserve"> pré-spécifié à la 52</w:t>
      </w:r>
      <w:r w:rsidRPr="0058432E">
        <w:rPr>
          <w:color w:val="000000" w:themeColor="text1"/>
          <w:vertAlign w:val="superscript"/>
        </w:rPr>
        <w:t>e</w:t>
      </w:r>
      <w:r w:rsidRPr="0058432E">
        <w:rPr>
          <w:color w:val="000000" w:themeColor="text1"/>
        </w:rPr>
        <w:t xml:space="preserve"> semaine dans l’étude III sur la PR. Comparativement au placebo, toutes les doses/schémas posologiques d’administration d</w:t>
      </w:r>
      <w:r w:rsidR="00144984" w:rsidRPr="0058432E">
        <w:rPr>
          <w:color w:val="000000" w:themeColor="text1"/>
        </w:rPr>
        <w:t>e l</w:t>
      </w:r>
      <w:r w:rsidRPr="0058432E">
        <w:rPr>
          <w:color w:val="000000" w:themeColor="text1"/>
        </w:rPr>
        <w:t xml:space="preserve">’adalimumab ont entraîné une amélioration statistiquement significative plus importante de l’indice d’invalidité du HAQ entre </w:t>
      </w:r>
      <w:r w:rsidRPr="0058432E">
        <w:rPr>
          <w:color w:val="000000" w:themeColor="text1"/>
        </w:rPr>
        <w:lastRenderedPageBreak/>
        <w:t>l’examen initial et le 6</w:t>
      </w:r>
      <w:r w:rsidRPr="0058432E">
        <w:rPr>
          <w:color w:val="000000" w:themeColor="text1"/>
          <w:vertAlign w:val="superscript"/>
        </w:rPr>
        <w:t>e</w:t>
      </w:r>
      <w:r w:rsidRPr="0058432E">
        <w:rPr>
          <w:color w:val="000000" w:themeColor="text1"/>
        </w:rPr>
        <w:t xml:space="preserve"> mois dans les quatre études et il en a été de même à la semaine 52 dans l’étude III sur la PR. Dans les quatre études, les résultats des scores de la </w:t>
      </w:r>
      <w:r w:rsidRPr="0058432E">
        <w:rPr>
          <w:i/>
          <w:iCs/>
          <w:color w:val="000000" w:themeColor="text1"/>
        </w:rPr>
        <w:t>Short Form Health Survey</w:t>
      </w:r>
      <w:r w:rsidRPr="0058432E">
        <w:rPr>
          <w:color w:val="000000" w:themeColor="text1"/>
        </w:rPr>
        <w:t xml:space="preserve"> (SF</w:t>
      </w:r>
      <w:r w:rsidR="00D86A3A" w:rsidRPr="0058432E">
        <w:rPr>
          <w:color w:val="000000" w:themeColor="text1"/>
        </w:rPr>
        <w:t>-</w:t>
      </w:r>
      <w:r w:rsidRPr="0058432E">
        <w:rPr>
          <w:color w:val="000000" w:themeColor="text1"/>
        </w:rPr>
        <w:t>36) confirment ces observations pour toutes les doses/schémas posologiques d’administration de l’adalimumab, avec des valeurs des composantes physiques (PCS) statistiquement significatives, ainsi que des scores de douleur et de vitalité statistiquement significatifs pour la dose de 40 mg toutes les deux semaines. Dans les trois études dans lesquelles elle a été prise en compte (études I, III et IV sur la PR), on a observé une diminution statistiquement significative de la fatigue mesurée à l’aide des scores d’évaluation fonctionnelle de traitement pour maladie chronique (FACIT).</w:t>
      </w:r>
    </w:p>
    <w:p w14:paraId="2FD7AD53" w14:textId="77777777" w:rsidR="00713CC8" w:rsidRPr="0058432E" w:rsidRDefault="00713CC8" w:rsidP="00387D0C">
      <w:pPr>
        <w:pStyle w:val="BodyText"/>
        <w:widowControl/>
        <w:kinsoku w:val="0"/>
        <w:overflowPunct w:val="0"/>
        <w:ind w:left="0"/>
        <w:rPr>
          <w:color w:val="000000" w:themeColor="text1"/>
        </w:rPr>
      </w:pPr>
    </w:p>
    <w:p w14:paraId="00211848"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Dans l’étude</w:t>
      </w:r>
      <w:r w:rsidR="003E0EB1" w:rsidRPr="0058432E">
        <w:rPr>
          <w:color w:val="000000" w:themeColor="text1"/>
        </w:rPr>
        <w:t> </w:t>
      </w:r>
      <w:r w:rsidRPr="0058432E">
        <w:rPr>
          <w:color w:val="000000" w:themeColor="text1"/>
        </w:rPr>
        <w:t xml:space="preserve">III sur </w:t>
      </w:r>
      <w:proofErr w:type="gramStart"/>
      <w:r w:rsidRPr="0058432E">
        <w:rPr>
          <w:color w:val="000000" w:themeColor="text1"/>
        </w:rPr>
        <w:t>la PR</w:t>
      </w:r>
      <w:proofErr w:type="gramEnd"/>
      <w:r w:rsidRPr="0058432E">
        <w:rPr>
          <w:color w:val="000000" w:themeColor="text1"/>
        </w:rPr>
        <w:t>, la plupart des patients ayant obtenu une amélioration des capacités fonctionnelles et ayant poursuivi le traitement ont maintenu cette amélioration jusqu'à la semaine</w:t>
      </w:r>
      <w:r w:rsidR="004B0268" w:rsidRPr="0058432E">
        <w:rPr>
          <w:color w:val="000000" w:themeColor="text1"/>
        </w:rPr>
        <w:t> </w:t>
      </w:r>
      <w:r w:rsidRPr="0058432E">
        <w:rPr>
          <w:color w:val="000000" w:themeColor="text1"/>
        </w:rPr>
        <w:t>520 (120 mois) du traitement en ouvert. L’amélioration de la qualité de vie a été mesurée jusqu’à la semaine 156 (36 mois) et l’amélioration a été maintenue au cours de cette période.</w:t>
      </w:r>
    </w:p>
    <w:p w14:paraId="10AD2E71" w14:textId="77777777" w:rsidR="00713CC8" w:rsidRPr="0058432E" w:rsidRDefault="00713CC8" w:rsidP="00387D0C">
      <w:pPr>
        <w:pStyle w:val="BodyText"/>
        <w:widowControl/>
        <w:kinsoku w:val="0"/>
        <w:overflowPunct w:val="0"/>
        <w:ind w:left="0"/>
        <w:rPr>
          <w:color w:val="000000" w:themeColor="text1"/>
        </w:rPr>
      </w:pPr>
    </w:p>
    <w:p w14:paraId="5EDB65F0"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Dans l’étude</w:t>
      </w:r>
      <w:r w:rsidR="003E0EB1" w:rsidRPr="0058432E">
        <w:rPr>
          <w:color w:val="000000" w:themeColor="text1"/>
        </w:rPr>
        <w:t> </w:t>
      </w:r>
      <w:r w:rsidRPr="0058432E">
        <w:rPr>
          <w:color w:val="000000" w:themeColor="text1"/>
        </w:rPr>
        <w:t>V sur la PR, l’amélioration de l</w:t>
      </w:r>
      <w:r w:rsidR="00B800D5" w:rsidRPr="0058432E">
        <w:rPr>
          <w:color w:val="000000" w:themeColor="text1"/>
        </w:rPr>
        <w:t>’</w:t>
      </w:r>
      <w:r w:rsidRPr="0058432E">
        <w:rPr>
          <w:color w:val="000000" w:themeColor="text1"/>
        </w:rPr>
        <w:t>indice d</w:t>
      </w:r>
      <w:r w:rsidR="006C1DEB" w:rsidRPr="0058432E">
        <w:rPr>
          <w:color w:val="000000" w:themeColor="text1"/>
        </w:rPr>
        <w:t>’</w:t>
      </w:r>
      <w:r w:rsidRPr="0058432E">
        <w:rPr>
          <w:color w:val="000000" w:themeColor="text1"/>
        </w:rPr>
        <w:t>invalidité HAQ et la composante physique du SF</w:t>
      </w:r>
      <w:r w:rsidR="00D86A3A" w:rsidRPr="0058432E">
        <w:rPr>
          <w:color w:val="000000" w:themeColor="text1"/>
        </w:rPr>
        <w:t>-</w:t>
      </w:r>
      <w:r w:rsidRPr="0058432E">
        <w:rPr>
          <w:color w:val="000000" w:themeColor="text1"/>
        </w:rPr>
        <w:t>36 s</w:t>
      </w:r>
      <w:r w:rsidR="00956FDF" w:rsidRPr="0058432E">
        <w:rPr>
          <w:color w:val="000000" w:themeColor="text1"/>
        </w:rPr>
        <w:t>’</w:t>
      </w:r>
      <w:r w:rsidRPr="0058432E">
        <w:rPr>
          <w:color w:val="000000" w:themeColor="text1"/>
        </w:rPr>
        <w:t>est montrée beaucoup plus importante (</w:t>
      </w:r>
      <w:r w:rsidRPr="0058432E">
        <w:rPr>
          <w:i/>
          <w:iCs/>
          <w:color w:val="000000" w:themeColor="text1"/>
        </w:rPr>
        <w:t>p</w:t>
      </w:r>
      <w:r w:rsidR="0044107C" w:rsidRPr="0058432E">
        <w:rPr>
          <w:color w:val="000000" w:themeColor="text1"/>
        </w:rPr>
        <w:t> </w:t>
      </w:r>
      <w:r w:rsidRPr="0058432E">
        <w:rPr>
          <w:color w:val="000000" w:themeColor="text1"/>
        </w:rPr>
        <w:t>&lt; 0,001) pour l’association adalimumab/méthotrexate par rapport à la monothérapie de méthotrexate et la monothérapie d’adalimumab à la semaine 52, et s</w:t>
      </w:r>
      <w:r w:rsidR="003078AF" w:rsidRPr="0058432E">
        <w:rPr>
          <w:color w:val="000000" w:themeColor="text1"/>
        </w:rPr>
        <w:t>’</w:t>
      </w:r>
      <w:r w:rsidRPr="0058432E">
        <w:rPr>
          <w:color w:val="000000" w:themeColor="text1"/>
        </w:rPr>
        <w:t>est maintenue jusqu’à la semaine 104. Parmi les 250</w:t>
      </w:r>
      <w:r w:rsidR="0075353E" w:rsidRPr="0058432E">
        <w:rPr>
          <w:color w:val="000000" w:themeColor="text1"/>
        </w:rPr>
        <w:t> </w:t>
      </w:r>
      <w:r w:rsidRPr="0058432E">
        <w:rPr>
          <w:color w:val="000000" w:themeColor="text1"/>
        </w:rPr>
        <w:t>patients ayant terminé l’étude d’extension en ouvert, l’amélioration des capacités fonctionnelles s’est maintenue au cours des 10</w:t>
      </w:r>
      <w:r w:rsidR="00DB0444" w:rsidRPr="0058432E">
        <w:rPr>
          <w:color w:val="000000" w:themeColor="text1"/>
        </w:rPr>
        <w:t> </w:t>
      </w:r>
      <w:r w:rsidRPr="0058432E">
        <w:rPr>
          <w:color w:val="000000" w:themeColor="text1"/>
        </w:rPr>
        <w:t>ans de traitement.</w:t>
      </w:r>
    </w:p>
    <w:p w14:paraId="21E29BEF" w14:textId="77777777" w:rsidR="00713CC8" w:rsidRPr="0058432E" w:rsidRDefault="00713CC8" w:rsidP="00387D0C">
      <w:pPr>
        <w:pStyle w:val="BodyText"/>
        <w:widowControl/>
        <w:kinsoku w:val="0"/>
        <w:overflowPunct w:val="0"/>
        <w:ind w:left="0"/>
        <w:rPr>
          <w:color w:val="000000" w:themeColor="text1"/>
        </w:rPr>
      </w:pPr>
    </w:p>
    <w:p w14:paraId="0D84F386" w14:textId="77777777" w:rsidR="00713CC8" w:rsidRPr="0058432E" w:rsidRDefault="00713CC8" w:rsidP="00971955">
      <w:pPr>
        <w:pStyle w:val="BodyText"/>
        <w:keepNext/>
        <w:widowControl/>
        <w:kinsoku w:val="0"/>
        <w:overflowPunct w:val="0"/>
        <w:ind w:left="0"/>
        <w:rPr>
          <w:color w:val="000000" w:themeColor="text1"/>
        </w:rPr>
      </w:pPr>
      <w:r w:rsidRPr="0058432E">
        <w:rPr>
          <w:i/>
          <w:iCs/>
          <w:color w:val="000000" w:themeColor="text1"/>
        </w:rPr>
        <w:t>Psoriasis en plaques</w:t>
      </w:r>
      <w:r w:rsidR="009A6B22" w:rsidRPr="0058432E">
        <w:rPr>
          <w:i/>
          <w:iCs/>
          <w:color w:val="000000" w:themeColor="text1"/>
        </w:rPr>
        <w:t xml:space="preserve"> chez</w:t>
      </w:r>
      <w:r w:rsidRPr="0058432E">
        <w:rPr>
          <w:i/>
          <w:iCs/>
          <w:color w:val="000000" w:themeColor="text1"/>
        </w:rPr>
        <w:t xml:space="preserve"> l’adulte</w:t>
      </w:r>
    </w:p>
    <w:p w14:paraId="407F0B09" w14:textId="77777777" w:rsidR="00713CC8" w:rsidRPr="0058432E" w:rsidRDefault="00713CC8" w:rsidP="00971955">
      <w:pPr>
        <w:pStyle w:val="BodyText"/>
        <w:keepNext/>
        <w:widowControl/>
        <w:kinsoku w:val="0"/>
        <w:overflowPunct w:val="0"/>
        <w:ind w:left="0"/>
        <w:rPr>
          <w:i/>
          <w:iCs/>
          <w:color w:val="000000" w:themeColor="text1"/>
        </w:rPr>
      </w:pPr>
    </w:p>
    <w:p w14:paraId="64D72A50"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 xml:space="preserve">L’efficacité et la </w:t>
      </w:r>
      <w:r w:rsidR="009A6B22" w:rsidRPr="0058432E">
        <w:rPr>
          <w:color w:val="000000" w:themeColor="text1"/>
        </w:rPr>
        <w:t>tolérance</w:t>
      </w:r>
      <w:r w:rsidR="00D139E1" w:rsidRPr="0058432E">
        <w:rPr>
          <w:color w:val="000000" w:themeColor="text1"/>
        </w:rPr>
        <w:t xml:space="preserve"> </w:t>
      </w:r>
      <w:r w:rsidRPr="0058432E">
        <w:rPr>
          <w:color w:val="000000" w:themeColor="text1"/>
        </w:rPr>
        <w:t xml:space="preserve">de l’adalimumab ont été étudiées lors d’études randomisées </w:t>
      </w:r>
      <w:r w:rsidR="00473819" w:rsidRPr="0058432E">
        <w:rPr>
          <w:color w:val="000000" w:themeColor="text1"/>
        </w:rPr>
        <w:t xml:space="preserve">en double aveugle </w:t>
      </w:r>
      <w:r w:rsidRPr="0058432E">
        <w:rPr>
          <w:color w:val="000000" w:themeColor="text1"/>
        </w:rPr>
        <w:t xml:space="preserve">menées chez des patients adultes atteints de </w:t>
      </w:r>
      <w:r w:rsidR="001F37F4" w:rsidRPr="0058432E">
        <w:rPr>
          <w:color w:val="000000" w:themeColor="text1"/>
        </w:rPr>
        <w:t xml:space="preserve">psoriasis en plaques chronique </w:t>
      </w:r>
      <w:r w:rsidRPr="0058432E">
        <w:rPr>
          <w:color w:val="000000" w:themeColor="text1"/>
        </w:rPr>
        <w:t>(</w:t>
      </w:r>
      <w:r w:rsidR="00473819" w:rsidRPr="0058432E">
        <w:rPr>
          <w:color w:val="000000" w:themeColor="text1"/>
        </w:rPr>
        <w:t xml:space="preserve">atteinte </w:t>
      </w:r>
      <w:r w:rsidRPr="0058432E">
        <w:rPr>
          <w:color w:val="000000" w:themeColor="text1"/>
        </w:rPr>
        <w:t>de la surface corporelle</w:t>
      </w:r>
      <w:r w:rsidR="00473819" w:rsidRPr="0058432E">
        <w:rPr>
          <w:color w:val="000000" w:themeColor="text1"/>
        </w:rPr>
        <w:t xml:space="preserve"> ≥ 10 %</w:t>
      </w:r>
      <w:r w:rsidRPr="0058432E">
        <w:rPr>
          <w:color w:val="000000" w:themeColor="text1"/>
        </w:rPr>
        <w:t xml:space="preserve">, avec un </w:t>
      </w:r>
      <w:r w:rsidR="00473819" w:rsidRPr="0058432E">
        <w:rPr>
          <w:color w:val="000000" w:themeColor="text1"/>
        </w:rPr>
        <w:t>score</w:t>
      </w:r>
      <w:r w:rsidRPr="0058432E">
        <w:rPr>
          <w:color w:val="000000" w:themeColor="text1"/>
        </w:rPr>
        <w:t xml:space="preserve"> PASI ≥ 12 ou ≥ 10) qui étaient candidats à un traitement systémique ou une photothérapie. Au total, 73 % des patients recrutés dans les études</w:t>
      </w:r>
      <w:r w:rsidR="007D0396" w:rsidRPr="0058432E">
        <w:rPr>
          <w:color w:val="000000" w:themeColor="text1"/>
        </w:rPr>
        <w:t> </w:t>
      </w:r>
      <w:r w:rsidRPr="0058432E">
        <w:rPr>
          <w:color w:val="000000" w:themeColor="text1"/>
        </w:rPr>
        <w:t xml:space="preserve">I et II sur le psoriasis avaient déjà reçu un traitement systémique ou une photothérapie. L’efficacité et la </w:t>
      </w:r>
      <w:r w:rsidR="009A6B22" w:rsidRPr="0058432E">
        <w:rPr>
          <w:color w:val="000000" w:themeColor="text1"/>
        </w:rPr>
        <w:t>tolérance</w:t>
      </w:r>
      <w:r w:rsidR="007D0396" w:rsidRPr="0058432E">
        <w:rPr>
          <w:color w:val="000000" w:themeColor="text1"/>
        </w:rPr>
        <w:t xml:space="preserve"> </w:t>
      </w:r>
      <w:r w:rsidRPr="0058432E">
        <w:rPr>
          <w:color w:val="000000" w:themeColor="text1"/>
        </w:rPr>
        <w:t xml:space="preserve">de l’adalimumab ont également été étudiées chez des patients adultes atteints de </w:t>
      </w:r>
      <w:r w:rsidR="001F37F4" w:rsidRPr="0058432E">
        <w:rPr>
          <w:color w:val="000000" w:themeColor="text1"/>
        </w:rPr>
        <w:t xml:space="preserve">psoriasis en plaques chronique </w:t>
      </w:r>
      <w:r w:rsidRPr="0058432E">
        <w:rPr>
          <w:color w:val="000000" w:themeColor="text1"/>
        </w:rPr>
        <w:t>modéré à sévère avec une atteinte concomitante des mains et/ou des pieds qui étaient candidats à un traitement systémique dans une étude randomisée en double aveugle (étude III sur le psoriasis).</w:t>
      </w:r>
    </w:p>
    <w:p w14:paraId="2D7F3B4C" w14:textId="77777777" w:rsidR="00713CC8" w:rsidRPr="0058432E" w:rsidRDefault="00713CC8" w:rsidP="00387D0C">
      <w:pPr>
        <w:pStyle w:val="BodyText"/>
        <w:widowControl/>
        <w:kinsoku w:val="0"/>
        <w:overflowPunct w:val="0"/>
        <w:ind w:left="0"/>
        <w:rPr>
          <w:color w:val="000000" w:themeColor="text1"/>
          <w:szCs w:val="20"/>
        </w:rPr>
      </w:pPr>
    </w:p>
    <w:p w14:paraId="05128C3C"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L’étude I sur le psoriasis (REVEAL) a porté sur 1</w:t>
      </w:r>
      <w:r w:rsidR="00DC796E" w:rsidRPr="0058432E">
        <w:rPr>
          <w:color w:val="000000" w:themeColor="text1"/>
        </w:rPr>
        <w:t> </w:t>
      </w:r>
      <w:r w:rsidRPr="0058432E">
        <w:rPr>
          <w:color w:val="000000" w:themeColor="text1"/>
        </w:rPr>
        <w:t>212</w:t>
      </w:r>
      <w:r w:rsidR="00955AB3" w:rsidRPr="0058432E">
        <w:rPr>
          <w:color w:val="000000" w:themeColor="text1"/>
        </w:rPr>
        <w:t> </w:t>
      </w:r>
      <w:r w:rsidRPr="0058432E">
        <w:rPr>
          <w:color w:val="000000" w:themeColor="text1"/>
        </w:rPr>
        <w:t xml:space="preserve">patients pendant trois périodes de traitement. Durant la période A, les patients recevaient un placebo ou l’adalimumab à la dose initiale de 80 mg, suivie de 40 mg </w:t>
      </w:r>
      <w:r w:rsidR="001B430D" w:rsidRPr="0058432E">
        <w:rPr>
          <w:color w:val="000000" w:themeColor="text1"/>
        </w:rPr>
        <w:t>toutes les deux semaines</w:t>
      </w:r>
      <w:r w:rsidRPr="0058432E">
        <w:rPr>
          <w:color w:val="000000" w:themeColor="text1"/>
        </w:rPr>
        <w:t xml:space="preserve"> à partir d’une semaine après la dose initiale. Au bout de 16</w:t>
      </w:r>
      <w:r w:rsidR="00C474D6" w:rsidRPr="0058432E">
        <w:rPr>
          <w:color w:val="000000" w:themeColor="text1"/>
        </w:rPr>
        <w:t> </w:t>
      </w:r>
      <w:r w:rsidRPr="0058432E">
        <w:rPr>
          <w:color w:val="000000" w:themeColor="text1"/>
        </w:rPr>
        <w:t xml:space="preserve">semaines de traitement, les patients ayant obtenu au minimum une réponse PASI 75 (amélioration d’au moins 75 % du score PASI par rapport aux valeurs initiales), entraient dans la période B et recevaient 40 mg d’adalimumab en ouvert </w:t>
      </w:r>
      <w:r w:rsidR="001B430D" w:rsidRPr="0058432E">
        <w:rPr>
          <w:color w:val="000000" w:themeColor="text1"/>
        </w:rPr>
        <w:t>toutes les deux semaines</w:t>
      </w:r>
      <w:r w:rsidRPr="0058432E">
        <w:rPr>
          <w:color w:val="000000" w:themeColor="text1"/>
        </w:rPr>
        <w:t>. Les patients dont la réponse restait ≥ PASI 75 à la semaine</w:t>
      </w:r>
      <w:r w:rsidR="000C402A" w:rsidRPr="0058432E">
        <w:rPr>
          <w:color w:val="000000" w:themeColor="text1"/>
        </w:rPr>
        <w:t> </w:t>
      </w:r>
      <w:r w:rsidRPr="0058432E">
        <w:rPr>
          <w:color w:val="000000" w:themeColor="text1"/>
        </w:rPr>
        <w:t xml:space="preserve">33 et qui avaient été initialement randomisés pour recevoir le traitement actif pendant la période A, ont à nouveau été randomisés pendant la période C pour recevoir 40 mg d’adalimumab </w:t>
      </w:r>
      <w:r w:rsidR="001B430D" w:rsidRPr="0058432E">
        <w:rPr>
          <w:color w:val="000000" w:themeColor="text1"/>
        </w:rPr>
        <w:t>toutes les deux semaines</w:t>
      </w:r>
      <w:r w:rsidRPr="0058432E">
        <w:rPr>
          <w:color w:val="000000" w:themeColor="text1"/>
        </w:rPr>
        <w:t xml:space="preserve"> ou </w:t>
      </w:r>
      <w:proofErr w:type="gramStart"/>
      <w:r w:rsidRPr="0058432E">
        <w:rPr>
          <w:color w:val="000000" w:themeColor="text1"/>
        </w:rPr>
        <w:t>un placebo pendant 19 semaines supplémentaires</w:t>
      </w:r>
      <w:proofErr w:type="gramEnd"/>
      <w:r w:rsidRPr="0058432E">
        <w:rPr>
          <w:color w:val="000000" w:themeColor="text1"/>
        </w:rPr>
        <w:t>. Dans tous les groupes de traitement, le score PASI initial moyen était de 18,9 et le score PGA</w:t>
      </w:r>
      <w:r w:rsidR="009A6B22" w:rsidRPr="0058432E">
        <w:rPr>
          <w:color w:val="000000" w:themeColor="text1"/>
        </w:rPr>
        <w:t xml:space="preserve"> initial</w:t>
      </w:r>
      <w:r w:rsidRPr="0058432E">
        <w:rPr>
          <w:color w:val="000000" w:themeColor="text1"/>
        </w:rPr>
        <w:t xml:space="preserve"> était compris entre « modéré » (53 % des sujets inclus) et « sévère » (41 %), voire « très sévère » (6 %).</w:t>
      </w:r>
    </w:p>
    <w:p w14:paraId="339A810F" w14:textId="77777777" w:rsidR="00713CC8" w:rsidRPr="0058432E" w:rsidRDefault="00713CC8" w:rsidP="00387D0C">
      <w:pPr>
        <w:pStyle w:val="BodyText"/>
        <w:widowControl/>
        <w:kinsoku w:val="0"/>
        <w:overflowPunct w:val="0"/>
        <w:ind w:left="0"/>
        <w:rPr>
          <w:color w:val="000000" w:themeColor="text1"/>
        </w:rPr>
      </w:pPr>
    </w:p>
    <w:p w14:paraId="4955FD2E"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t xml:space="preserve">L’étude II sur le psoriasis (CHAMPION) a comparé l’efficacité et la </w:t>
      </w:r>
      <w:r w:rsidR="009A6B22" w:rsidRPr="0058432E">
        <w:rPr>
          <w:color w:val="000000" w:themeColor="text1"/>
        </w:rPr>
        <w:t>tolérance</w:t>
      </w:r>
      <w:r w:rsidR="00901624" w:rsidRPr="0058432E">
        <w:rPr>
          <w:color w:val="000000" w:themeColor="text1"/>
        </w:rPr>
        <w:t xml:space="preserve"> </w:t>
      </w:r>
      <w:r w:rsidRPr="0058432E">
        <w:rPr>
          <w:color w:val="000000" w:themeColor="text1"/>
        </w:rPr>
        <w:t xml:space="preserve">de l’adalimumab à celles du méthotrexate et d’un placebo chez 271 patients. Les patients ont reçu un placebo, une dose initiale de MTX à 7,5 mg, augmentée ensuite jusqu’à la semaine 12, la dose maximale étant de 25 mg, ou bien une dose initiale de 80 mg d’adalimumab suivie de 40 mg </w:t>
      </w:r>
      <w:r w:rsidR="001B430D" w:rsidRPr="0058432E">
        <w:rPr>
          <w:color w:val="000000" w:themeColor="text1"/>
        </w:rPr>
        <w:t>toutes les deux semaines</w:t>
      </w:r>
      <w:r w:rsidR="00FF59FE" w:rsidRPr="0058432E">
        <w:rPr>
          <w:color w:val="000000" w:themeColor="text1"/>
        </w:rPr>
        <w:t xml:space="preserve"> </w:t>
      </w:r>
      <w:r w:rsidRPr="0058432E">
        <w:rPr>
          <w:color w:val="000000" w:themeColor="text1"/>
        </w:rPr>
        <w:t xml:space="preserve">(en commençant une semaine après la </w:t>
      </w:r>
      <w:r w:rsidR="007352E8" w:rsidRPr="0058432E">
        <w:rPr>
          <w:color w:val="000000" w:themeColor="text1"/>
        </w:rPr>
        <w:t xml:space="preserve">dose </w:t>
      </w:r>
      <w:r w:rsidRPr="0058432E">
        <w:rPr>
          <w:color w:val="000000" w:themeColor="text1"/>
        </w:rPr>
        <w:t>initiale) pendant 16 semaines. On ne dispose d’aucune donnée concernant la comparaison entre l’adalimumab et le MTX au-delà de 16 semaines de traitement. Chez les patients sous MTX ayant atteint une réponse ≥ PASI 50 à la semaine 8 et/ou 12, la posologie n’était pas augmentée davantage. Dans tous les groupes de traitement, le score PASI initial moyen était de 19,7 et le score PGA initial allait de « léger » (&lt; 1 %) à « modéré » (48 %), « sévère » (46 %) et « très sévère » (6 %).</w:t>
      </w:r>
    </w:p>
    <w:p w14:paraId="02DEBAA9" w14:textId="77777777" w:rsidR="00713CC8" w:rsidRPr="0058432E" w:rsidRDefault="00713CC8" w:rsidP="00387D0C">
      <w:pPr>
        <w:pStyle w:val="BodyText"/>
        <w:widowControl/>
        <w:kinsoku w:val="0"/>
        <w:overflowPunct w:val="0"/>
        <w:ind w:left="0"/>
        <w:rPr>
          <w:color w:val="000000" w:themeColor="text1"/>
          <w:szCs w:val="21"/>
        </w:rPr>
      </w:pPr>
    </w:p>
    <w:p w14:paraId="35AB9CEB" w14:textId="77777777" w:rsidR="00713CC8" w:rsidRPr="0058432E" w:rsidRDefault="00713CC8" w:rsidP="00387D0C">
      <w:pPr>
        <w:pStyle w:val="BodyText"/>
        <w:widowControl/>
        <w:kinsoku w:val="0"/>
        <w:overflowPunct w:val="0"/>
        <w:ind w:left="0"/>
        <w:rPr>
          <w:color w:val="000000" w:themeColor="text1"/>
        </w:rPr>
      </w:pPr>
      <w:r w:rsidRPr="0058432E">
        <w:rPr>
          <w:color w:val="000000" w:themeColor="text1"/>
        </w:rPr>
        <w:lastRenderedPageBreak/>
        <w:t xml:space="preserve">Les patients ayant participé </w:t>
      </w:r>
      <w:r w:rsidR="007352E8" w:rsidRPr="0058432E">
        <w:rPr>
          <w:color w:val="000000" w:themeColor="text1"/>
        </w:rPr>
        <w:t xml:space="preserve">à toutes les </w:t>
      </w:r>
      <w:r w:rsidRPr="0058432E">
        <w:rPr>
          <w:color w:val="000000" w:themeColor="text1"/>
        </w:rPr>
        <w:t>études de phase</w:t>
      </w:r>
      <w:r w:rsidR="009F6669" w:rsidRPr="0058432E">
        <w:rPr>
          <w:color w:val="000000" w:themeColor="text1"/>
        </w:rPr>
        <w:t> II</w:t>
      </w:r>
      <w:r w:rsidRPr="0058432E">
        <w:rPr>
          <w:color w:val="000000" w:themeColor="text1"/>
        </w:rPr>
        <w:t xml:space="preserve"> et de phase</w:t>
      </w:r>
      <w:r w:rsidR="009F6669" w:rsidRPr="0058432E">
        <w:rPr>
          <w:color w:val="000000" w:themeColor="text1"/>
        </w:rPr>
        <w:t> III</w:t>
      </w:r>
      <w:r w:rsidR="003C6EC1" w:rsidRPr="0058432E">
        <w:rPr>
          <w:color w:val="000000" w:themeColor="text1"/>
        </w:rPr>
        <w:t xml:space="preserve"> </w:t>
      </w:r>
      <w:r w:rsidRPr="0058432E">
        <w:rPr>
          <w:color w:val="000000" w:themeColor="text1"/>
        </w:rPr>
        <w:t xml:space="preserve">dans le psoriasis étaient éligibles pour entrer dans un </w:t>
      </w:r>
      <w:r w:rsidR="007352E8" w:rsidRPr="0058432E">
        <w:rPr>
          <w:color w:val="000000" w:themeColor="text1"/>
        </w:rPr>
        <w:t xml:space="preserve">essai </w:t>
      </w:r>
      <w:r w:rsidRPr="0058432E">
        <w:rPr>
          <w:color w:val="000000" w:themeColor="text1"/>
        </w:rPr>
        <w:t>d’extension en ouvert, dans l</w:t>
      </w:r>
      <w:r w:rsidR="003508ED" w:rsidRPr="0058432E">
        <w:rPr>
          <w:color w:val="000000" w:themeColor="text1"/>
        </w:rPr>
        <w:t>e</w:t>
      </w:r>
      <w:r w:rsidRPr="0058432E">
        <w:rPr>
          <w:color w:val="000000" w:themeColor="text1"/>
        </w:rPr>
        <w:t>quel l’adalimumab était administré pendant au moins 108 semaines supplémentaires.</w:t>
      </w:r>
    </w:p>
    <w:p w14:paraId="13AFADB5" w14:textId="77777777" w:rsidR="00713CC8" w:rsidRPr="0058432E" w:rsidRDefault="00713CC8" w:rsidP="00387D0C">
      <w:pPr>
        <w:pStyle w:val="BodyText"/>
        <w:widowControl/>
        <w:kinsoku w:val="0"/>
        <w:overflowPunct w:val="0"/>
        <w:ind w:left="0"/>
        <w:rPr>
          <w:color w:val="000000" w:themeColor="text1"/>
        </w:rPr>
      </w:pPr>
    </w:p>
    <w:p w14:paraId="55A7A410" w14:textId="77777777" w:rsidR="00713CC8" w:rsidRPr="0058432E" w:rsidRDefault="003C6EC1" w:rsidP="00387D0C">
      <w:pPr>
        <w:pStyle w:val="BodyText"/>
        <w:widowControl/>
        <w:kinsoku w:val="0"/>
        <w:overflowPunct w:val="0"/>
        <w:ind w:left="0"/>
        <w:rPr>
          <w:color w:val="000000" w:themeColor="text1"/>
        </w:rPr>
      </w:pPr>
      <w:r w:rsidRPr="0058432E">
        <w:rPr>
          <w:color w:val="000000" w:themeColor="text1"/>
        </w:rPr>
        <w:t>Un</w:t>
      </w:r>
      <w:r w:rsidR="00713CC8" w:rsidRPr="0058432E">
        <w:rPr>
          <w:color w:val="000000" w:themeColor="text1"/>
        </w:rPr>
        <w:t xml:space="preserve"> des principaux critères d’évaluation des études I et II sur le psoriasis était le pourcentage de patients ayant atteint une réponse PASI 75 entre l’inclusion et la semaine 16 (voir tableaux </w:t>
      </w:r>
      <w:r w:rsidR="006B2FBE" w:rsidRPr="0058432E">
        <w:rPr>
          <w:color w:val="000000" w:themeColor="text1"/>
        </w:rPr>
        <w:t>11</w:t>
      </w:r>
      <w:r w:rsidR="00713CC8" w:rsidRPr="0058432E">
        <w:rPr>
          <w:color w:val="000000" w:themeColor="text1"/>
        </w:rPr>
        <w:t xml:space="preserve"> et </w:t>
      </w:r>
      <w:r w:rsidR="006B2FBE" w:rsidRPr="0058432E">
        <w:rPr>
          <w:color w:val="000000" w:themeColor="text1"/>
        </w:rPr>
        <w:t>12</w:t>
      </w:r>
      <w:r w:rsidR="00713CC8" w:rsidRPr="0058432E">
        <w:rPr>
          <w:color w:val="000000" w:themeColor="text1"/>
        </w:rPr>
        <w:t>).</w:t>
      </w:r>
    </w:p>
    <w:p w14:paraId="1B4DD334" w14:textId="77777777" w:rsidR="00713CC8" w:rsidRPr="0058432E" w:rsidRDefault="00713CC8" w:rsidP="00387D0C">
      <w:pPr>
        <w:rPr>
          <w:color w:val="000000" w:themeColor="text1"/>
        </w:rPr>
      </w:pPr>
    </w:p>
    <w:p w14:paraId="13AC401E" w14:textId="77777777" w:rsidR="000230EA" w:rsidRPr="0058432E" w:rsidRDefault="000230EA" w:rsidP="00B93DAC">
      <w:pPr>
        <w:pStyle w:val="BodyText"/>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11</w:t>
      </w:r>
      <w:r w:rsidR="00905FFD" w:rsidRPr="0058432E">
        <w:rPr>
          <w:b/>
          <w:color w:val="000000" w:themeColor="text1"/>
        </w:rPr>
        <w:t>.</w:t>
      </w:r>
    </w:p>
    <w:p w14:paraId="52248AA6" w14:textId="77777777" w:rsidR="000230EA" w:rsidRPr="0058432E" w:rsidRDefault="000230EA" w:rsidP="00A53E17">
      <w:pPr>
        <w:pStyle w:val="BodyText"/>
        <w:keepNext/>
        <w:widowControl/>
        <w:kinsoku w:val="0"/>
        <w:overflowPunct w:val="0"/>
        <w:ind w:left="0"/>
        <w:rPr>
          <w:b/>
          <w:bCs/>
          <w:color w:val="000000" w:themeColor="text1"/>
        </w:rPr>
      </w:pPr>
      <w:r w:rsidRPr="0058432E">
        <w:rPr>
          <w:b/>
          <w:bCs/>
          <w:color w:val="000000" w:themeColor="text1"/>
        </w:rPr>
        <w:t>Étude I sur le psoriasis (REVEAL) — Résultats d’efficacité à 16 semaines</w:t>
      </w:r>
    </w:p>
    <w:p w14:paraId="5EE7F4A5" w14:textId="77777777" w:rsidR="00DD002D" w:rsidRPr="0058432E" w:rsidRDefault="00DD002D" w:rsidP="00DD002D">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0230EA" w:rsidRPr="0058432E" w14:paraId="50686CF0" w14:textId="77777777" w:rsidTr="003D2782">
        <w:tc>
          <w:tcPr>
            <w:tcW w:w="3193" w:type="dxa"/>
            <w:shd w:val="clear" w:color="auto" w:fill="auto"/>
          </w:tcPr>
          <w:p w14:paraId="03A13ED4" w14:textId="77777777" w:rsidR="000230EA" w:rsidRPr="0058432E" w:rsidRDefault="000230EA" w:rsidP="00AA5839">
            <w:pPr>
              <w:rPr>
                <w:rFonts w:eastAsia="Calibri"/>
                <w:color w:val="000000" w:themeColor="text1"/>
              </w:rPr>
            </w:pPr>
          </w:p>
        </w:tc>
        <w:tc>
          <w:tcPr>
            <w:tcW w:w="3055" w:type="dxa"/>
            <w:shd w:val="clear" w:color="auto" w:fill="auto"/>
          </w:tcPr>
          <w:p w14:paraId="5BF3F92C" w14:textId="77777777" w:rsidR="00DD002D" w:rsidRPr="0058432E" w:rsidRDefault="000230EA" w:rsidP="00AA5839">
            <w:pPr>
              <w:pStyle w:val="TableParagraph"/>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Placebo</w:t>
            </w:r>
          </w:p>
          <w:p w14:paraId="39AAE2A1" w14:textId="77777777" w:rsidR="00DD002D" w:rsidRPr="0058432E" w:rsidRDefault="000230EA" w:rsidP="00AA5839">
            <w:pPr>
              <w:pStyle w:val="TableParagraph"/>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N = 398</w:t>
            </w:r>
          </w:p>
          <w:p w14:paraId="6BC50590" w14:textId="77777777" w:rsidR="000230EA" w:rsidRPr="0058432E" w:rsidRDefault="000230EA" w:rsidP="00AA5839">
            <w:pPr>
              <w:pStyle w:val="TableParagraph"/>
              <w:widowControl/>
              <w:kinsoku w:val="0"/>
              <w:overflowPunct w:val="0"/>
              <w:ind w:hanging="6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3055" w:type="dxa"/>
            <w:shd w:val="clear" w:color="auto" w:fill="auto"/>
          </w:tcPr>
          <w:p w14:paraId="007365AB" w14:textId="77777777" w:rsidR="00D92C61" w:rsidRPr="0058432E" w:rsidRDefault="00E56A72" w:rsidP="00AA5839">
            <w:pPr>
              <w:pStyle w:val="TableParagraph"/>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 xml:space="preserve">deux </w:t>
            </w:r>
            <w:r w:rsidRPr="0058432E">
              <w:rPr>
                <w:rFonts w:ascii="Times New Roman" w:hAnsi="Times New Roman"/>
                <w:b/>
                <w:bCs/>
                <w:color w:val="000000" w:themeColor="text1"/>
              </w:rPr>
              <w:t>semaines</w:t>
            </w:r>
          </w:p>
          <w:p w14:paraId="66100A70"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814</w:t>
            </w:r>
          </w:p>
          <w:p w14:paraId="106D692C"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0230EA" w:rsidRPr="0058432E" w14:paraId="6D100EB0" w14:textId="77777777" w:rsidTr="003D2782">
        <w:tc>
          <w:tcPr>
            <w:tcW w:w="3193" w:type="dxa"/>
            <w:shd w:val="clear" w:color="auto" w:fill="auto"/>
          </w:tcPr>
          <w:p w14:paraId="5128169E" w14:textId="77777777" w:rsidR="000230EA" w:rsidRPr="0058432E" w:rsidRDefault="000230EA"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 PASI 75</w:t>
            </w:r>
            <w:r w:rsidRPr="0058432E">
              <w:rPr>
                <w:rFonts w:ascii="Times New Roman" w:hAnsi="Times New Roman"/>
                <w:bCs/>
                <w:color w:val="000000" w:themeColor="text1"/>
                <w:vertAlign w:val="superscript"/>
              </w:rPr>
              <w:t>a</w:t>
            </w:r>
          </w:p>
        </w:tc>
        <w:tc>
          <w:tcPr>
            <w:tcW w:w="3055" w:type="dxa"/>
            <w:shd w:val="clear" w:color="auto" w:fill="auto"/>
          </w:tcPr>
          <w:p w14:paraId="09F886AA"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26 (6,5)</w:t>
            </w:r>
          </w:p>
        </w:tc>
        <w:tc>
          <w:tcPr>
            <w:tcW w:w="3055" w:type="dxa"/>
            <w:shd w:val="clear" w:color="auto" w:fill="auto"/>
          </w:tcPr>
          <w:p w14:paraId="1E52E461"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578 (70,</w:t>
            </w:r>
            <w:proofErr w:type="gramStart"/>
            <w:r w:rsidRPr="0058432E">
              <w:rPr>
                <w:rFonts w:ascii="Times New Roman" w:hAnsi="Times New Roman"/>
                <w:color w:val="000000" w:themeColor="text1"/>
              </w:rPr>
              <w:t>9)</w:t>
            </w:r>
            <w:r w:rsidRPr="0058432E">
              <w:rPr>
                <w:rFonts w:ascii="Times New Roman" w:hAnsi="Times New Roman"/>
                <w:color w:val="000000" w:themeColor="text1"/>
                <w:vertAlign w:val="superscript"/>
              </w:rPr>
              <w:t>b</w:t>
            </w:r>
            <w:proofErr w:type="gramEnd"/>
          </w:p>
        </w:tc>
      </w:tr>
      <w:tr w:rsidR="000230EA" w:rsidRPr="0058432E" w14:paraId="76DB4806" w14:textId="77777777" w:rsidTr="003D2782">
        <w:tc>
          <w:tcPr>
            <w:tcW w:w="3193" w:type="dxa"/>
            <w:shd w:val="clear" w:color="auto" w:fill="auto"/>
          </w:tcPr>
          <w:p w14:paraId="1C1071A6" w14:textId="77777777" w:rsidR="000230EA" w:rsidRPr="0058432E" w:rsidRDefault="000230EA"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PASI 100</w:t>
            </w:r>
          </w:p>
        </w:tc>
        <w:tc>
          <w:tcPr>
            <w:tcW w:w="3055" w:type="dxa"/>
            <w:shd w:val="clear" w:color="auto" w:fill="auto"/>
          </w:tcPr>
          <w:p w14:paraId="3DE49C96"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3 (0,8)</w:t>
            </w:r>
          </w:p>
        </w:tc>
        <w:tc>
          <w:tcPr>
            <w:tcW w:w="3055" w:type="dxa"/>
            <w:shd w:val="clear" w:color="auto" w:fill="auto"/>
          </w:tcPr>
          <w:p w14:paraId="0657F193"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163 (20,</w:t>
            </w:r>
            <w:proofErr w:type="gramStart"/>
            <w:r w:rsidRPr="0058432E">
              <w:rPr>
                <w:rFonts w:ascii="Times New Roman" w:hAnsi="Times New Roman"/>
                <w:color w:val="000000" w:themeColor="text1"/>
              </w:rPr>
              <w:t>0)</w:t>
            </w:r>
            <w:r w:rsidRPr="0058432E">
              <w:rPr>
                <w:rFonts w:ascii="Times New Roman" w:hAnsi="Times New Roman"/>
                <w:color w:val="000000" w:themeColor="text1"/>
                <w:vertAlign w:val="superscript"/>
              </w:rPr>
              <w:t>b</w:t>
            </w:r>
            <w:proofErr w:type="gramEnd"/>
          </w:p>
        </w:tc>
      </w:tr>
      <w:tr w:rsidR="000230EA" w:rsidRPr="0058432E" w14:paraId="75273346" w14:textId="77777777" w:rsidTr="003D2782">
        <w:tc>
          <w:tcPr>
            <w:tcW w:w="3193" w:type="dxa"/>
            <w:tcBorders>
              <w:bottom w:val="single" w:sz="4" w:space="0" w:color="auto"/>
            </w:tcBorders>
            <w:shd w:val="clear" w:color="auto" w:fill="auto"/>
          </w:tcPr>
          <w:p w14:paraId="55671427" w14:textId="77777777" w:rsidR="000230EA" w:rsidRPr="0058432E" w:rsidRDefault="000230EA"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PGA : clair/minimal</w:t>
            </w:r>
          </w:p>
        </w:tc>
        <w:tc>
          <w:tcPr>
            <w:tcW w:w="3055" w:type="dxa"/>
            <w:tcBorders>
              <w:bottom w:val="single" w:sz="4" w:space="0" w:color="auto"/>
            </w:tcBorders>
            <w:shd w:val="clear" w:color="auto" w:fill="auto"/>
          </w:tcPr>
          <w:p w14:paraId="6E7CED50"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17 (4,3)</w:t>
            </w:r>
          </w:p>
        </w:tc>
        <w:tc>
          <w:tcPr>
            <w:tcW w:w="3055" w:type="dxa"/>
            <w:tcBorders>
              <w:bottom w:val="single" w:sz="4" w:space="0" w:color="auto"/>
            </w:tcBorders>
            <w:shd w:val="clear" w:color="auto" w:fill="auto"/>
          </w:tcPr>
          <w:p w14:paraId="49A90B66" w14:textId="77777777" w:rsidR="000230EA" w:rsidRPr="0058432E" w:rsidRDefault="000230EA"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506 (62,</w:t>
            </w:r>
            <w:proofErr w:type="gramStart"/>
            <w:r w:rsidRPr="0058432E">
              <w:rPr>
                <w:rFonts w:ascii="Times New Roman" w:hAnsi="Times New Roman"/>
                <w:color w:val="000000" w:themeColor="text1"/>
              </w:rPr>
              <w:t>2)</w:t>
            </w:r>
            <w:r w:rsidRPr="0058432E">
              <w:rPr>
                <w:rFonts w:ascii="Times New Roman" w:hAnsi="Times New Roman"/>
                <w:color w:val="000000" w:themeColor="text1"/>
                <w:vertAlign w:val="superscript"/>
              </w:rPr>
              <w:t>b</w:t>
            </w:r>
            <w:proofErr w:type="gramEnd"/>
          </w:p>
        </w:tc>
      </w:tr>
      <w:tr w:rsidR="006A2129" w:rsidRPr="0058432E" w14:paraId="5B593BEE" w14:textId="77777777" w:rsidTr="003D2782">
        <w:tc>
          <w:tcPr>
            <w:tcW w:w="9303" w:type="dxa"/>
            <w:gridSpan w:val="3"/>
            <w:tcBorders>
              <w:left w:val="nil"/>
              <w:bottom w:val="nil"/>
              <w:right w:val="nil"/>
            </w:tcBorders>
            <w:shd w:val="clear" w:color="auto" w:fill="auto"/>
          </w:tcPr>
          <w:p w14:paraId="7BE701DB" w14:textId="77777777" w:rsidR="006A2129" w:rsidRPr="0058432E" w:rsidRDefault="006A2129" w:rsidP="006A2129">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a</w:t>
            </w:r>
            <w:proofErr w:type="gramEnd"/>
            <w:r w:rsidRPr="0058432E">
              <w:rPr>
                <w:rFonts w:ascii="Times New Roman" w:hAnsi="Times New Roman"/>
                <w:color w:val="000000" w:themeColor="text1"/>
                <w:sz w:val="20"/>
              </w:rPr>
              <w:t xml:space="preserve"> </w:t>
            </w:r>
            <w:r w:rsidRPr="0058432E">
              <w:rPr>
                <w:rFonts w:ascii="Times New Roman" w:hAnsi="Times New Roman"/>
                <w:color w:val="000000" w:themeColor="text1"/>
                <w:sz w:val="20"/>
              </w:rPr>
              <w:tab/>
              <w:t>Le pourcentage de patients atteignant une réponse PASI 75 a été calculé comme un taux ajusté en fonction du centre d’étude</w:t>
            </w:r>
            <w:r w:rsidR="0090762A" w:rsidRPr="0058432E">
              <w:rPr>
                <w:rFonts w:ascii="Times New Roman" w:hAnsi="Times New Roman"/>
                <w:color w:val="000000" w:themeColor="text1"/>
                <w:sz w:val="20"/>
              </w:rPr>
              <w:t>s</w:t>
            </w:r>
          </w:p>
          <w:p w14:paraId="683F3175" w14:textId="77777777" w:rsidR="006A2129" w:rsidRPr="0058432E" w:rsidRDefault="006A2129" w:rsidP="006A2129">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b</w:t>
            </w:r>
            <w:proofErr w:type="gramEnd"/>
            <w:r w:rsidRPr="0058432E">
              <w:rPr>
                <w:rFonts w:ascii="Times New Roman" w:hAnsi="Times New Roman"/>
                <w:color w:val="000000" w:themeColor="text1"/>
                <w:sz w:val="20"/>
                <w:vertAlign w:val="superscript"/>
              </w:rPr>
              <w:t xml:space="preserve"> </w:t>
            </w:r>
            <w:r w:rsidRPr="0058432E">
              <w:rPr>
                <w:rFonts w:ascii="Times New Roman" w:hAnsi="Times New Roman"/>
                <w:color w:val="000000" w:themeColor="text1"/>
                <w:sz w:val="20"/>
                <w:vertAlign w:val="superscript"/>
              </w:rPr>
              <w:tab/>
            </w:r>
            <w:r w:rsidRPr="0058432E">
              <w:rPr>
                <w:rFonts w:ascii="Times New Roman" w:hAnsi="Times New Roman"/>
                <w:i/>
                <w:iCs/>
                <w:color w:val="000000" w:themeColor="text1"/>
                <w:sz w:val="20"/>
              </w:rPr>
              <w:t>p</w:t>
            </w:r>
            <w:r w:rsidRPr="0058432E">
              <w:rPr>
                <w:rFonts w:ascii="Times New Roman" w:hAnsi="Times New Roman"/>
                <w:color w:val="000000" w:themeColor="text1"/>
                <w:sz w:val="20"/>
              </w:rPr>
              <w:t xml:space="preserve"> &lt; 0,001, adalimumab </w:t>
            </w:r>
            <w:r w:rsidRPr="0058432E">
              <w:rPr>
                <w:rFonts w:ascii="Times New Roman" w:hAnsi="Times New Roman"/>
                <w:i/>
                <w:color w:val="000000" w:themeColor="text1"/>
                <w:sz w:val="20"/>
              </w:rPr>
              <w:t>versus</w:t>
            </w:r>
            <w:r w:rsidRPr="0058432E">
              <w:rPr>
                <w:rFonts w:ascii="Times New Roman" w:hAnsi="Times New Roman"/>
                <w:color w:val="000000" w:themeColor="text1"/>
                <w:sz w:val="20"/>
              </w:rPr>
              <w:t xml:space="preserve"> placebo</w:t>
            </w:r>
          </w:p>
        </w:tc>
      </w:tr>
    </w:tbl>
    <w:p w14:paraId="095CFEEB" w14:textId="77777777" w:rsidR="000230EA" w:rsidRPr="0058432E" w:rsidRDefault="000230EA" w:rsidP="00905FFD">
      <w:pPr>
        <w:pStyle w:val="BodyText"/>
        <w:widowControl/>
        <w:kinsoku w:val="0"/>
        <w:overflowPunct w:val="0"/>
        <w:ind w:left="0"/>
        <w:rPr>
          <w:b/>
          <w:bCs/>
          <w:color w:val="000000" w:themeColor="text1"/>
        </w:rPr>
      </w:pPr>
    </w:p>
    <w:p w14:paraId="4FAC2E99" w14:textId="77777777" w:rsidR="000230EA" w:rsidRPr="0058432E" w:rsidRDefault="000230EA" w:rsidP="00A53E17">
      <w:pPr>
        <w:pStyle w:val="BodyText"/>
        <w:keepNext/>
        <w:widowControl/>
        <w:kinsoku w:val="0"/>
        <w:overflowPunct w:val="0"/>
        <w:ind w:left="0"/>
        <w:rPr>
          <w:color w:val="000000" w:themeColor="text1"/>
        </w:rPr>
      </w:pPr>
      <w:r w:rsidRPr="0058432E">
        <w:rPr>
          <w:b/>
          <w:bCs/>
          <w:color w:val="000000" w:themeColor="text1"/>
        </w:rPr>
        <w:t>Tableau </w:t>
      </w:r>
      <w:r w:rsidR="006B2FBE" w:rsidRPr="0058432E">
        <w:rPr>
          <w:b/>
          <w:bCs/>
          <w:color w:val="000000" w:themeColor="text1"/>
        </w:rPr>
        <w:t>12</w:t>
      </w:r>
      <w:r w:rsidR="00905FFD" w:rsidRPr="0058432E">
        <w:rPr>
          <w:b/>
          <w:bCs/>
          <w:color w:val="000000" w:themeColor="text1"/>
        </w:rPr>
        <w:t>.</w:t>
      </w:r>
    </w:p>
    <w:p w14:paraId="1B848A63" w14:textId="77777777" w:rsidR="000230EA" w:rsidRPr="0058432E" w:rsidRDefault="000230EA" w:rsidP="00A53E17">
      <w:pPr>
        <w:pStyle w:val="BodyText"/>
        <w:keepNext/>
        <w:widowControl/>
        <w:kinsoku w:val="0"/>
        <w:overflowPunct w:val="0"/>
        <w:ind w:left="0"/>
        <w:rPr>
          <w:color w:val="000000" w:themeColor="text1"/>
        </w:rPr>
      </w:pPr>
      <w:r w:rsidRPr="0058432E">
        <w:rPr>
          <w:b/>
          <w:bCs/>
          <w:color w:val="000000" w:themeColor="text1"/>
        </w:rPr>
        <w:t>Étude II sur le psoriasis (CHAMPION) — Résultats d’efficacité à 16 semaines</w:t>
      </w:r>
    </w:p>
    <w:p w14:paraId="46BDB388" w14:textId="77777777" w:rsidR="000230EA" w:rsidRPr="0058432E" w:rsidRDefault="000230EA" w:rsidP="00387D0C">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0230EA" w:rsidRPr="0058432E" w14:paraId="724F21BE" w14:textId="77777777" w:rsidTr="006A2129">
        <w:trPr>
          <w:tblHeader/>
        </w:trPr>
        <w:tc>
          <w:tcPr>
            <w:tcW w:w="2128" w:type="dxa"/>
            <w:shd w:val="clear" w:color="auto" w:fill="auto"/>
          </w:tcPr>
          <w:p w14:paraId="769D51C1" w14:textId="77777777" w:rsidR="000230EA" w:rsidRPr="0058432E" w:rsidRDefault="000230EA" w:rsidP="00AA5839">
            <w:pPr>
              <w:keepNext/>
              <w:keepLines/>
              <w:rPr>
                <w:rFonts w:eastAsia="Calibri"/>
                <w:color w:val="000000" w:themeColor="text1"/>
              </w:rPr>
            </w:pPr>
          </w:p>
        </w:tc>
        <w:tc>
          <w:tcPr>
            <w:tcW w:w="2391" w:type="dxa"/>
            <w:shd w:val="clear" w:color="auto" w:fill="auto"/>
          </w:tcPr>
          <w:p w14:paraId="0C5641CB" w14:textId="77777777" w:rsidR="00DD002D" w:rsidRPr="0058432E" w:rsidRDefault="000230EA"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Placebo </w:t>
            </w:r>
          </w:p>
          <w:p w14:paraId="6426B2C7" w14:textId="77777777" w:rsidR="00DD002D" w:rsidRPr="0058432E" w:rsidRDefault="000230EA"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N = 53 </w:t>
            </w:r>
          </w:p>
          <w:p w14:paraId="3BA578AD" w14:textId="77777777" w:rsidR="000230EA" w:rsidRPr="0058432E" w:rsidRDefault="000230EA" w:rsidP="00AA5839">
            <w:pPr>
              <w:pStyle w:val="TableParagraph"/>
              <w:keepNext/>
              <w:keepLines/>
              <w:widowControl/>
              <w:kinsoku w:val="0"/>
              <w:overflowPunct w:val="0"/>
              <w:ind w:hanging="95"/>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56134C67" w14:textId="77777777" w:rsidR="00DD002D" w:rsidRPr="0058432E" w:rsidRDefault="000230EA"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MTX </w:t>
            </w:r>
          </w:p>
          <w:p w14:paraId="3D66F72A" w14:textId="77777777" w:rsidR="00DD002D" w:rsidRPr="0058432E" w:rsidRDefault="000230EA"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N = 110 </w:t>
            </w:r>
          </w:p>
          <w:p w14:paraId="3224E7BE" w14:textId="77777777" w:rsidR="000230EA" w:rsidRPr="0058432E" w:rsidRDefault="000230EA" w:rsidP="00AA5839">
            <w:pPr>
              <w:pStyle w:val="TableParagraph"/>
              <w:keepNext/>
              <w:keepLines/>
              <w:widowControl/>
              <w:kinsoku w:val="0"/>
              <w:overflowPunct w:val="0"/>
              <w:ind w:firstLine="5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4CDB2390" w14:textId="77777777" w:rsidR="00D92C61" w:rsidRPr="0058432E" w:rsidRDefault="00E56A72" w:rsidP="00AA5839">
            <w:pPr>
              <w:pStyle w:val="TableParagraph"/>
              <w:keepNext/>
              <w:keepLines/>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 xml:space="preserve">deux </w:t>
            </w:r>
            <w:r w:rsidRPr="0058432E">
              <w:rPr>
                <w:rFonts w:ascii="Times New Roman" w:hAnsi="Times New Roman"/>
                <w:b/>
                <w:bCs/>
                <w:color w:val="000000" w:themeColor="text1"/>
              </w:rPr>
              <w:t>semaines</w:t>
            </w:r>
          </w:p>
          <w:p w14:paraId="0DF0265B" w14:textId="77777777" w:rsidR="000230EA" w:rsidRPr="0058432E" w:rsidRDefault="000230EA" w:rsidP="00AA5839">
            <w:pPr>
              <w:pStyle w:val="TableParagraph"/>
              <w:keepNext/>
              <w:keepLines/>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108</w:t>
            </w:r>
          </w:p>
          <w:p w14:paraId="50FC18C5" w14:textId="77777777" w:rsidR="000230EA" w:rsidRPr="0058432E" w:rsidRDefault="000230EA" w:rsidP="00AA5839">
            <w:pPr>
              <w:pStyle w:val="TableParagraph"/>
              <w:keepNext/>
              <w:keepLines/>
              <w:widowControl/>
              <w:kinsoku w:val="0"/>
              <w:overflowPunct w:val="0"/>
              <w:spacing w:line="252" w:lineRule="exact"/>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0230EA" w:rsidRPr="0058432E" w14:paraId="1D951161" w14:textId="77777777" w:rsidTr="006A2129">
        <w:tc>
          <w:tcPr>
            <w:tcW w:w="2128" w:type="dxa"/>
            <w:shd w:val="clear" w:color="auto" w:fill="auto"/>
          </w:tcPr>
          <w:p w14:paraId="60CE709B" w14:textId="77777777" w:rsidR="000230EA" w:rsidRPr="0058432E" w:rsidRDefault="00F075B4" w:rsidP="00AA5839">
            <w:pPr>
              <w:pStyle w:val="TableParagraph"/>
              <w:keepNext/>
              <w:keepLines/>
              <w:widowControl/>
              <w:kinsoku w:val="0"/>
              <w:overflowPunct w:val="0"/>
              <w:spacing w:line="268" w:lineRule="exact"/>
              <w:rPr>
                <w:rFonts w:ascii="Times New Roman" w:hAnsi="Times New Roman"/>
                <w:color w:val="000000" w:themeColor="text1"/>
              </w:rPr>
            </w:pPr>
            <w:r w:rsidRPr="0058432E">
              <w:rPr>
                <w:rFonts w:ascii="Times New Roman" w:hAnsi="Times New Roman"/>
                <w:bCs/>
                <w:color w:val="000000" w:themeColor="text1"/>
              </w:rPr>
              <w:t>≥ PASI 75</w:t>
            </w:r>
          </w:p>
        </w:tc>
        <w:tc>
          <w:tcPr>
            <w:tcW w:w="2391" w:type="dxa"/>
            <w:shd w:val="clear" w:color="auto" w:fill="auto"/>
          </w:tcPr>
          <w:p w14:paraId="6AC2CA70" w14:textId="77777777" w:rsidR="000230EA" w:rsidRPr="0058432E"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10 (18,9)</w:t>
            </w:r>
          </w:p>
        </w:tc>
        <w:tc>
          <w:tcPr>
            <w:tcW w:w="2392" w:type="dxa"/>
            <w:shd w:val="clear" w:color="auto" w:fill="auto"/>
          </w:tcPr>
          <w:p w14:paraId="4DDD2C9D" w14:textId="77777777" w:rsidR="000230EA" w:rsidRPr="0058432E"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 (35,5)</w:t>
            </w:r>
          </w:p>
        </w:tc>
        <w:tc>
          <w:tcPr>
            <w:tcW w:w="2392" w:type="dxa"/>
            <w:shd w:val="clear" w:color="auto" w:fill="auto"/>
          </w:tcPr>
          <w:p w14:paraId="39055B87" w14:textId="77777777" w:rsidR="000230EA" w:rsidRPr="0058432E"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86 (79,</w:t>
            </w:r>
            <w:proofErr w:type="gramStart"/>
            <w:r w:rsidRPr="0058432E">
              <w:rPr>
                <w:rFonts w:ascii="Times New Roman" w:hAnsi="Times New Roman"/>
                <w:color w:val="000000" w:themeColor="text1"/>
              </w:rPr>
              <w:t>6)</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0230EA" w:rsidRPr="0058432E" w14:paraId="0E494B12" w14:textId="77777777" w:rsidTr="006A2129">
        <w:tc>
          <w:tcPr>
            <w:tcW w:w="2128" w:type="dxa"/>
            <w:shd w:val="clear" w:color="auto" w:fill="auto"/>
          </w:tcPr>
          <w:p w14:paraId="7AC866B7" w14:textId="77777777" w:rsidR="000230EA" w:rsidRPr="0058432E" w:rsidRDefault="000230EA" w:rsidP="00AA5839">
            <w:pPr>
              <w:pStyle w:val="TableParagraph"/>
              <w:keepNext/>
              <w:keepLines/>
              <w:widowControl/>
              <w:kinsoku w:val="0"/>
              <w:overflowPunct w:val="0"/>
              <w:spacing w:line="252" w:lineRule="exact"/>
              <w:rPr>
                <w:rFonts w:ascii="Times New Roman" w:hAnsi="Times New Roman"/>
                <w:color w:val="000000" w:themeColor="text1"/>
              </w:rPr>
            </w:pPr>
            <w:r w:rsidRPr="0058432E">
              <w:rPr>
                <w:rFonts w:ascii="Times New Roman" w:hAnsi="Times New Roman"/>
                <w:bCs/>
                <w:color w:val="000000" w:themeColor="text1"/>
              </w:rPr>
              <w:t>PASI 100</w:t>
            </w:r>
          </w:p>
        </w:tc>
        <w:tc>
          <w:tcPr>
            <w:tcW w:w="2391" w:type="dxa"/>
            <w:shd w:val="clear" w:color="auto" w:fill="auto"/>
          </w:tcPr>
          <w:p w14:paraId="75196853" w14:textId="77777777" w:rsidR="000230EA" w:rsidRPr="0058432E"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 (1,9)</w:t>
            </w:r>
          </w:p>
        </w:tc>
        <w:tc>
          <w:tcPr>
            <w:tcW w:w="2392" w:type="dxa"/>
            <w:shd w:val="clear" w:color="auto" w:fill="auto"/>
          </w:tcPr>
          <w:p w14:paraId="6AC41D14" w14:textId="77777777" w:rsidR="000230EA" w:rsidRPr="0058432E" w:rsidRDefault="000230EA"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 (7,3)</w:t>
            </w:r>
          </w:p>
        </w:tc>
        <w:tc>
          <w:tcPr>
            <w:tcW w:w="2392" w:type="dxa"/>
            <w:shd w:val="clear" w:color="auto" w:fill="auto"/>
          </w:tcPr>
          <w:p w14:paraId="009C7BE2" w14:textId="77777777" w:rsidR="000230EA" w:rsidRPr="0058432E"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18 (16,</w:t>
            </w:r>
            <w:proofErr w:type="gramStart"/>
            <w:r w:rsidRPr="0058432E">
              <w:rPr>
                <w:rFonts w:ascii="Times New Roman" w:hAnsi="Times New Roman"/>
                <w:color w:val="000000" w:themeColor="text1"/>
              </w:rPr>
              <w:t>7)</w:t>
            </w:r>
            <w:r w:rsidRPr="0058432E">
              <w:rPr>
                <w:rFonts w:ascii="Times New Roman" w:hAnsi="Times New Roman"/>
                <w:color w:val="000000" w:themeColor="text1"/>
                <w:vertAlign w:val="superscript"/>
              </w:rPr>
              <w:t>c</w:t>
            </w:r>
            <w:proofErr w:type="gramEnd"/>
            <w:r w:rsidRPr="0058432E">
              <w:rPr>
                <w:rFonts w:ascii="Times New Roman" w:hAnsi="Times New Roman"/>
                <w:color w:val="000000" w:themeColor="text1"/>
                <w:vertAlign w:val="superscript"/>
              </w:rPr>
              <w:t>,d</w:t>
            </w:r>
          </w:p>
        </w:tc>
      </w:tr>
      <w:tr w:rsidR="000230EA" w:rsidRPr="0058432E" w14:paraId="5E91D7D3" w14:textId="77777777" w:rsidTr="006A2129">
        <w:tc>
          <w:tcPr>
            <w:tcW w:w="2128" w:type="dxa"/>
            <w:tcBorders>
              <w:bottom w:val="single" w:sz="4" w:space="0" w:color="auto"/>
            </w:tcBorders>
            <w:shd w:val="clear" w:color="auto" w:fill="auto"/>
          </w:tcPr>
          <w:p w14:paraId="2CD1AD56" w14:textId="77777777" w:rsidR="000230EA" w:rsidRPr="0058432E" w:rsidRDefault="000230EA" w:rsidP="00AA5839">
            <w:pPr>
              <w:pStyle w:val="TableParagraph"/>
              <w:keepNext/>
              <w:keepLines/>
              <w:widowControl/>
              <w:kinsoku w:val="0"/>
              <w:overflowPunct w:val="0"/>
              <w:spacing w:line="251" w:lineRule="exact"/>
              <w:rPr>
                <w:rFonts w:ascii="Times New Roman" w:hAnsi="Times New Roman"/>
                <w:color w:val="000000" w:themeColor="text1"/>
              </w:rPr>
            </w:pPr>
            <w:r w:rsidRPr="0058432E">
              <w:rPr>
                <w:rFonts w:ascii="Times New Roman" w:hAnsi="Times New Roman"/>
                <w:bCs/>
                <w:color w:val="000000" w:themeColor="text1"/>
              </w:rPr>
              <w:t>PGA :</w:t>
            </w:r>
          </w:p>
          <w:p w14:paraId="02F37946" w14:textId="77777777" w:rsidR="000230EA" w:rsidRPr="0058432E" w:rsidRDefault="000230EA" w:rsidP="00AA5839">
            <w:pPr>
              <w:pStyle w:val="TableParagraph"/>
              <w:keepNext/>
              <w:keepLines/>
              <w:widowControl/>
              <w:kinsoku w:val="0"/>
              <w:overflowPunct w:val="0"/>
              <w:rPr>
                <w:rFonts w:ascii="Times New Roman" w:hAnsi="Times New Roman"/>
                <w:color w:val="000000" w:themeColor="text1"/>
              </w:rPr>
            </w:pPr>
            <w:proofErr w:type="gramStart"/>
            <w:r w:rsidRPr="0058432E">
              <w:rPr>
                <w:rFonts w:ascii="Times New Roman" w:hAnsi="Times New Roman"/>
                <w:bCs/>
                <w:color w:val="000000" w:themeColor="text1"/>
              </w:rPr>
              <w:t>clair</w:t>
            </w:r>
            <w:proofErr w:type="gramEnd"/>
            <w:r w:rsidRPr="0058432E">
              <w:rPr>
                <w:rFonts w:ascii="Times New Roman" w:hAnsi="Times New Roman"/>
                <w:bCs/>
                <w:color w:val="000000" w:themeColor="text1"/>
              </w:rPr>
              <w:t>/minimal</w:t>
            </w:r>
          </w:p>
        </w:tc>
        <w:tc>
          <w:tcPr>
            <w:tcW w:w="2391" w:type="dxa"/>
            <w:tcBorders>
              <w:bottom w:val="single" w:sz="4" w:space="0" w:color="auto"/>
            </w:tcBorders>
            <w:shd w:val="clear" w:color="auto" w:fill="auto"/>
          </w:tcPr>
          <w:p w14:paraId="51803707" w14:textId="77777777" w:rsidR="000230EA" w:rsidRPr="0058432E"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6 (11,3)</w:t>
            </w:r>
          </w:p>
        </w:tc>
        <w:tc>
          <w:tcPr>
            <w:tcW w:w="2392" w:type="dxa"/>
            <w:tcBorders>
              <w:bottom w:val="single" w:sz="4" w:space="0" w:color="auto"/>
            </w:tcBorders>
            <w:shd w:val="clear" w:color="auto" w:fill="auto"/>
          </w:tcPr>
          <w:p w14:paraId="3ECBD968" w14:textId="77777777" w:rsidR="000230EA" w:rsidRPr="0058432E"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33 (30,0)</w:t>
            </w:r>
          </w:p>
        </w:tc>
        <w:tc>
          <w:tcPr>
            <w:tcW w:w="2392" w:type="dxa"/>
            <w:tcBorders>
              <w:bottom w:val="single" w:sz="4" w:space="0" w:color="auto"/>
            </w:tcBorders>
            <w:shd w:val="clear" w:color="auto" w:fill="auto"/>
          </w:tcPr>
          <w:p w14:paraId="2D603303" w14:textId="77777777" w:rsidR="000230EA" w:rsidRPr="0058432E" w:rsidRDefault="000230EA"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79 (73,</w:t>
            </w:r>
            <w:proofErr w:type="gramStart"/>
            <w:r w:rsidRPr="0058432E">
              <w:rPr>
                <w:rFonts w:ascii="Times New Roman" w:hAnsi="Times New Roman"/>
                <w:color w:val="000000" w:themeColor="text1"/>
              </w:rPr>
              <w:t>1)</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6A2129" w:rsidRPr="0058432E" w14:paraId="3089877A" w14:textId="77777777" w:rsidTr="006A2129">
        <w:tc>
          <w:tcPr>
            <w:tcW w:w="9303" w:type="dxa"/>
            <w:gridSpan w:val="4"/>
            <w:tcBorders>
              <w:left w:val="nil"/>
              <w:bottom w:val="nil"/>
              <w:right w:val="nil"/>
            </w:tcBorders>
            <w:shd w:val="clear" w:color="auto" w:fill="auto"/>
          </w:tcPr>
          <w:p w14:paraId="1C119C69" w14:textId="77777777" w:rsidR="006A2129" w:rsidRPr="0058432E" w:rsidRDefault="006A2129" w:rsidP="006A212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6AAA2B0E" w14:textId="77777777" w:rsidR="006A2129" w:rsidRPr="0058432E" w:rsidRDefault="006A2129" w:rsidP="006A212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p w14:paraId="1D4299CB" w14:textId="77777777" w:rsidR="006A2129" w:rsidRPr="0058432E" w:rsidRDefault="006A2129" w:rsidP="006A212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1F12D531" w14:textId="77777777" w:rsidR="006A2129" w:rsidRPr="0058432E" w:rsidRDefault="006A2129" w:rsidP="006A2129">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d</w:t>
            </w:r>
            <w:proofErr w:type="gramEnd"/>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0,05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tc>
      </w:tr>
    </w:tbl>
    <w:p w14:paraId="271F2285" w14:textId="77777777" w:rsidR="00D2772B" w:rsidRPr="0058432E" w:rsidRDefault="00D2772B" w:rsidP="00387D0C">
      <w:pPr>
        <w:rPr>
          <w:color w:val="000000" w:themeColor="text1"/>
        </w:rPr>
      </w:pPr>
    </w:p>
    <w:p w14:paraId="707C21EE"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Dans l’étude I sur le psoriasis, 28 % des patients ayant présenté une réponse PASI 75 et randomisés à nouveau pour recevoir le placebo à la semaine</w:t>
      </w:r>
      <w:r w:rsidR="00421A6D" w:rsidRPr="0058432E">
        <w:rPr>
          <w:color w:val="000000" w:themeColor="text1"/>
        </w:rPr>
        <w:t> </w:t>
      </w:r>
      <w:r w:rsidRPr="0058432E">
        <w:rPr>
          <w:color w:val="000000" w:themeColor="text1"/>
        </w:rPr>
        <w:t>33 et 5 % de ceux poursuivant le traitement par adalimumab (</w:t>
      </w:r>
      <w:r w:rsidRPr="0058432E">
        <w:rPr>
          <w:i/>
          <w:iCs/>
          <w:color w:val="000000" w:themeColor="text1"/>
        </w:rPr>
        <w:t>p</w:t>
      </w:r>
      <w:r w:rsidR="005D4C7D" w:rsidRPr="0058432E">
        <w:rPr>
          <w:color w:val="000000" w:themeColor="text1"/>
        </w:rPr>
        <w:t> </w:t>
      </w:r>
      <w:r w:rsidRPr="0058432E">
        <w:rPr>
          <w:color w:val="000000" w:themeColor="text1"/>
        </w:rPr>
        <w:t>&lt; 0,001), ont présenté « une diminution de la réponse appropriée » (score PASI entre la semaine</w:t>
      </w:r>
      <w:r w:rsidR="00BE06BF" w:rsidRPr="0058432E">
        <w:rPr>
          <w:color w:val="000000" w:themeColor="text1"/>
        </w:rPr>
        <w:t> </w:t>
      </w:r>
      <w:r w:rsidRPr="0058432E">
        <w:rPr>
          <w:color w:val="000000" w:themeColor="text1"/>
        </w:rPr>
        <w:t xml:space="preserve">33 et </w:t>
      </w:r>
      <w:r w:rsidR="0090762A" w:rsidRPr="0058432E">
        <w:rPr>
          <w:color w:val="000000" w:themeColor="text1"/>
        </w:rPr>
        <w:t xml:space="preserve">avant </w:t>
      </w:r>
      <w:r w:rsidRPr="0058432E">
        <w:rPr>
          <w:color w:val="000000" w:themeColor="text1"/>
        </w:rPr>
        <w:t>la semaine</w:t>
      </w:r>
      <w:r w:rsidR="00BE06BF" w:rsidRPr="0058432E">
        <w:rPr>
          <w:color w:val="000000" w:themeColor="text1"/>
        </w:rPr>
        <w:t> </w:t>
      </w:r>
      <w:r w:rsidRPr="0058432E">
        <w:rPr>
          <w:color w:val="000000" w:themeColor="text1"/>
        </w:rPr>
        <w:t>52 se traduisant par une réponse &lt; PASI 50 par rapport à l’inclusion, avec un minimum d’augmentation de 6</w:t>
      </w:r>
      <w:r w:rsidR="00ED539A" w:rsidRPr="0058432E">
        <w:rPr>
          <w:color w:val="000000" w:themeColor="text1"/>
        </w:rPr>
        <w:t> </w:t>
      </w:r>
      <w:r w:rsidRPr="0058432E">
        <w:rPr>
          <w:color w:val="000000" w:themeColor="text1"/>
        </w:rPr>
        <w:t>points du score PASI par rapport à la semaine</w:t>
      </w:r>
      <w:r w:rsidR="00ED539A" w:rsidRPr="0058432E">
        <w:rPr>
          <w:color w:val="000000" w:themeColor="text1"/>
        </w:rPr>
        <w:t> </w:t>
      </w:r>
      <w:r w:rsidRPr="0058432E">
        <w:rPr>
          <w:color w:val="000000" w:themeColor="text1"/>
        </w:rPr>
        <w:t xml:space="preserve">33). Parmi les patients présentant une diminution de la réponse appropriée après la re-randomisation dans le groupe placebo et ensuite recrutés dans </w:t>
      </w:r>
      <w:r w:rsidR="00C1245C" w:rsidRPr="0058432E">
        <w:rPr>
          <w:color w:val="000000" w:themeColor="text1"/>
        </w:rPr>
        <w:t xml:space="preserve">l’essai </w:t>
      </w:r>
      <w:r w:rsidRPr="0058432E">
        <w:rPr>
          <w:color w:val="000000" w:themeColor="text1"/>
        </w:rPr>
        <w:t>d’extension en ouvert, 38 % (25/66) et 55 % (36/66) ont retrouvé une réponse PASI 75 au bout de respectivement 12 et 24 semaines</w:t>
      </w:r>
      <w:r w:rsidR="00C1245C" w:rsidRPr="0058432E">
        <w:rPr>
          <w:color w:val="000000" w:themeColor="text1"/>
        </w:rPr>
        <w:t xml:space="preserve"> de retraitement</w:t>
      </w:r>
      <w:r w:rsidRPr="0058432E">
        <w:rPr>
          <w:color w:val="000000" w:themeColor="text1"/>
        </w:rPr>
        <w:t>.</w:t>
      </w:r>
    </w:p>
    <w:p w14:paraId="652E8A97" w14:textId="77777777" w:rsidR="00F075B4" w:rsidRPr="0058432E" w:rsidRDefault="00F075B4" w:rsidP="00387D0C">
      <w:pPr>
        <w:pStyle w:val="BodyText"/>
        <w:widowControl/>
        <w:kinsoku w:val="0"/>
        <w:overflowPunct w:val="0"/>
        <w:ind w:left="0"/>
        <w:rPr>
          <w:color w:val="000000" w:themeColor="text1"/>
        </w:rPr>
      </w:pPr>
    </w:p>
    <w:p w14:paraId="4587A8AF"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 xml:space="preserve">Un total de 233 patients répondeurs PASI 75 à la semaine 16 et à la semaine 33 ont reçu un traitement en continu par adalimumab pendant 52 semaines dans l’étude I </w:t>
      </w:r>
      <w:r w:rsidR="00C1245C" w:rsidRPr="0058432E">
        <w:rPr>
          <w:color w:val="000000" w:themeColor="text1"/>
        </w:rPr>
        <w:t xml:space="preserve">sur le psoriasis </w:t>
      </w:r>
      <w:r w:rsidRPr="0058432E">
        <w:rPr>
          <w:color w:val="000000" w:themeColor="text1"/>
        </w:rPr>
        <w:t xml:space="preserve">et ont poursuivi le traitement par adalimumab dans </w:t>
      </w:r>
      <w:r w:rsidR="00C1245C" w:rsidRPr="0058432E">
        <w:rPr>
          <w:color w:val="000000" w:themeColor="text1"/>
        </w:rPr>
        <w:t xml:space="preserve">l’essai </w:t>
      </w:r>
      <w:r w:rsidRPr="0058432E">
        <w:rPr>
          <w:color w:val="000000" w:themeColor="text1"/>
        </w:rPr>
        <w:t xml:space="preserve">d’extension en ouvert. Le taux de réponse PASI 75 et PGA clair ou minimal chez ces patients étaient respectivement de 74,7 % et 59,0 %, après 108 semaines supplémentaires de traitement en ouvert (total de 160 semaines). Dans une analyse où tous les patients sortis </w:t>
      </w:r>
      <w:r w:rsidR="00C1245C" w:rsidRPr="0058432E">
        <w:rPr>
          <w:color w:val="000000" w:themeColor="text1"/>
        </w:rPr>
        <w:t xml:space="preserve">d’étude </w:t>
      </w:r>
      <w:r w:rsidRPr="0058432E">
        <w:rPr>
          <w:color w:val="000000" w:themeColor="text1"/>
        </w:rPr>
        <w:t>pour effets indésirables ou pour manque d’efficacité ou pour lesquels la dose a été augmentée, ont été considérés comme non-répondeurs, le taux de réponse PASI 75 et PGA clair ou minimal chez ces patients étaient respectivement de 69,6 % et 55,7 %, après 108 semaines supplémentaires de traitement en ouvert (total de 160 semaines).</w:t>
      </w:r>
    </w:p>
    <w:p w14:paraId="005F15A6" w14:textId="77777777" w:rsidR="00F075B4" w:rsidRPr="0058432E" w:rsidRDefault="00F075B4" w:rsidP="00387D0C">
      <w:pPr>
        <w:pStyle w:val="BodyText"/>
        <w:widowControl/>
        <w:kinsoku w:val="0"/>
        <w:overflowPunct w:val="0"/>
        <w:ind w:left="0"/>
        <w:rPr>
          <w:color w:val="000000" w:themeColor="text1"/>
          <w:szCs w:val="21"/>
        </w:rPr>
      </w:pPr>
    </w:p>
    <w:p w14:paraId="5ACE2D23"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lastRenderedPageBreak/>
        <w:t xml:space="preserve">Un total de 347 patients répondeurs stables </w:t>
      </w:r>
      <w:proofErr w:type="gramStart"/>
      <w:r w:rsidRPr="0058432E">
        <w:rPr>
          <w:color w:val="000000" w:themeColor="text1"/>
        </w:rPr>
        <w:t>ont</w:t>
      </w:r>
      <w:proofErr w:type="gramEnd"/>
      <w:r w:rsidRPr="0058432E">
        <w:rPr>
          <w:color w:val="000000" w:themeColor="text1"/>
        </w:rPr>
        <w:t xml:space="preserve"> participé à une évaluation d’interruption de traitement et de retraitement dans une étude d’extension en ouvert. Durant la période d’interruption de traitement, les symptômes du psoriasis sont réapparus au cours du temps avec un délai médian de rechute (régression vers un PGA « modéré » ou plus sévère) d’environ 5 mois. Aucun patient n’a présenté de rebond durant la phase d’interruption de traitement. 76,5 % (218/285) des patients qui sont entrés dans la période de retraitement ont eu une réponse PGA « clair » ou « minimal » après 16 semaines de retraitement, indépendamment du fait qu’ils aient rechuté ou non durant l’interruption de traitement (69,1 % [123/178] pour les patients qui ont rechuté durant la période d’interruption et 88,8 % [95/107] pour les patients qui n’ont pas rechuté durant la période d’interruption). Un profil de </w:t>
      </w:r>
      <w:r w:rsidR="003C6EC1" w:rsidRPr="0058432E">
        <w:rPr>
          <w:color w:val="000000" w:themeColor="text1"/>
        </w:rPr>
        <w:t>tolérance</w:t>
      </w:r>
      <w:r w:rsidR="00554FE3" w:rsidRPr="0058432E">
        <w:rPr>
          <w:color w:val="000000" w:themeColor="text1"/>
        </w:rPr>
        <w:t xml:space="preserve"> </w:t>
      </w:r>
      <w:r w:rsidRPr="0058432E">
        <w:rPr>
          <w:color w:val="000000" w:themeColor="text1"/>
        </w:rPr>
        <w:t>similaire a été observé durant le retraitement et avant l’interruption de traitement.</w:t>
      </w:r>
    </w:p>
    <w:p w14:paraId="32A67B86" w14:textId="77777777" w:rsidR="00F075B4" w:rsidRPr="0058432E" w:rsidRDefault="00F075B4" w:rsidP="00387D0C">
      <w:pPr>
        <w:pStyle w:val="BodyText"/>
        <w:widowControl/>
        <w:kinsoku w:val="0"/>
        <w:overflowPunct w:val="0"/>
        <w:ind w:left="0"/>
        <w:rPr>
          <w:color w:val="000000" w:themeColor="text1"/>
        </w:rPr>
      </w:pPr>
    </w:p>
    <w:p w14:paraId="37DD8372"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L’index dermatologique de qualité de vie DLQI (</w:t>
      </w:r>
      <w:r w:rsidRPr="0058432E">
        <w:rPr>
          <w:i/>
          <w:iCs/>
          <w:color w:val="000000" w:themeColor="text1"/>
        </w:rPr>
        <w:t>Dermatology Life Quality Index</w:t>
      </w:r>
      <w:r w:rsidRPr="0058432E">
        <w:rPr>
          <w:color w:val="000000" w:themeColor="text1"/>
        </w:rPr>
        <w:t>) a mis en évidence des améliorations significatives à la semaine</w:t>
      </w:r>
      <w:r w:rsidR="00706723" w:rsidRPr="0058432E">
        <w:rPr>
          <w:color w:val="000000" w:themeColor="text1"/>
        </w:rPr>
        <w:t> </w:t>
      </w:r>
      <w:r w:rsidRPr="0058432E">
        <w:rPr>
          <w:color w:val="000000" w:themeColor="text1"/>
        </w:rPr>
        <w:t>16 par rapport à l’inclusion, comparativement au placebo (études I et II) et au MTX (étude II). Dans l’étude I, les améliorations des scores résumés des composantes physiques et psychologiques du SF-36 étaient également significatives par rapport au placebo.</w:t>
      </w:r>
    </w:p>
    <w:p w14:paraId="480875FE" w14:textId="77777777" w:rsidR="00F075B4" w:rsidRPr="0058432E" w:rsidRDefault="00F075B4" w:rsidP="00387D0C">
      <w:pPr>
        <w:pStyle w:val="BodyText"/>
        <w:widowControl/>
        <w:kinsoku w:val="0"/>
        <w:overflowPunct w:val="0"/>
        <w:ind w:left="0"/>
        <w:rPr>
          <w:color w:val="000000" w:themeColor="text1"/>
        </w:rPr>
      </w:pPr>
    </w:p>
    <w:p w14:paraId="07A3795A"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 xml:space="preserve">Dans une étude d’extension en ouvert chez </w:t>
      </w:r>
      <w:r w:rsidR="003C6EC1" w:rsidRPr="0058432E">
        <w:rPr>
          <w:color w:val="000000" w:themeColor="text1"/>
        </w:rPr>
        <w:t>des</w:t>
      </w:r>
      <w:r w:rsidRPr="0058432E">
        <w:rPr>
          <w:color w:val="000000" w:themeColor="text1"/>
        </w:rPr>
        <w:t xml:space="preserve"> patients ayant dû augmenter les doses (de 40 mg </w:t>
      </w:r>
      <w:r w:rsidR="001B430D" w:rsidRPr="0058432E">
        <w:rPr>
          <w:color w:val="000000" w:themeColor="text1"/>
        </w:rPr>
        <w:t>toutes les deux semaines</w:t>
      </w:r>
      <w:r w:rsidRPr="0058432E">
        <w:rPr>
          <w:color w:val="000000" w:themeColor="text1"/>
        </w:rPr>
        <w:t xml:space="preserve"> à 40 mg toutes les semaines) en raison d’une réponse PASI inférieure à 50 %, 26,4 % (92/349) et 37,8 % (132/349) des patients ont atteint une réponse PASI 75 à la semaine 12 et à la semaine 24, respectivement.</w:t>
      </w:r>
    </w:p>
    <w:p w14:paraId="257330A3" w14:textId="77777777" w:rsidR="00F075B4" w:rsidRPr="0058432E" w:rsidRDefault="00F075B4" w:rsidP="00387D0C">
      <w:pPr>
        <w:pStyle w:val="BodyText"/>
        <w:widowControl/>
        <w:kinsoku w:val="0"/>
        <w:overflowPunct w:val="0"/>
        <w:ind w:left="0"/>
        <w:rPr>
          <w:color w:val="000000" w:themeColor="text1"/>
        </w:rPr>
      </w:pPr>
    </w:p>
    <w:p w14:paraId="4F1DA6DE"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 xml:space="preserve">L’étude III dans le psoriasis (REACH) a comparé l’efficacité et la </w:t>
      </w:r>
      <w:r w:rsidR="003C6EC1" w:rsidRPr="0058432E">
        <w:rPr>
          <w:color w:val="000000" w:themeColor="text1"/>
        </w:rPr>
        <w:t>tolérance</w:t>
      </w:r>
      <w:r w:rsidR="00526974" w:rsidRPr="0058432E">
        <w:rPr>
          <w:color w:val="000000" w:themeColor="text1"/>
        </w:rPr>
        <w:t xml:space="preserve"> </w:t>
      </w:r>
      <w:r w:rsidRPr="0058432E">
        <w:rPr>
          <w:color w:val="000000" w:themeColor="text1"/>
        </w:rPr>
        <w:t xml:space="preserve">de l’adalimumab </w:t>
      </w:r>
      <w:r w:rsidRPr="0058432E">
        <w:rPr>
          <w:i/>
          <w:iCs/>
          <w:color w:val="000000" w:themeColor="text1"/>
        </w:rPr>
        <w:t>versus</w:t>
      </w:r>
      <w:r w:rsidRPr="0058432E">
        <w:rPr>
          <w:color w:val="000000" w:themeColor="text1"/>
        </w:rPr>
        <w:t xml:space="preserve"> placebo chez 72 patients présentant un </w:t>
      </w:r>
      <w:r w:rsidR="001F37F4" w:rsidRPr="0058432E">
        <w:rPr>
          <w:color w:val="000000" w:themeColor="text1"/>
        </w:rPr>
        <w:t xml:space="preserve">psoriasis en plaques chronique </w:t>
      </w:r>
      <w:r w:rsidRPr="0058432E">
        <w:rPr>
          <w:color w:val="000000" w:themeColor="text1"/>
        </w:rPr>
        <w:t xml:space="preserve">modéré à sévère avec une atteinte concomitante des mains et/ou des pieds. Les patients ont reçu une dose initiale de 80 mg d’adalimumab suivi par 40 mg toutes les </w:t>
      </w:r>
      <w:r w:rsidR="00BA7A54" w:rsidRPr="0058432E">
        <w:rPr>
          <w:color w:val="000000" w:themeColor="text1"/>
        </w:rPr>
        <w:t xml:space="preserve">deux </w:t>
      </w:r>
      <w:r w:rsidRPr="0058432E">
        <w:rPr>
          <w:color w:val="000000" w:themeColor="text1"/>
        </w:rPr>
        <w:t xml:space="preserve">semaines (en commençant une semaine après la dose initiale) ou le placebo pendant 16 semaines. </w:t>
      </w:r>
      <w:r w:rsidR="00526974" w:rsidRPr="0058432E">
        <w:rPr>
          <w:color w:val="000000" w:themeColor="text1"/>
        </w:rPr>
        <w:t>À</w:t>
      </w:r>
      <w:r w:rsidRPr="0058432E">
        <w:rPr>
          <w:color w:val="000000" w:themeColor="text1"/>
        </w:rPr>
        <w:t xml:space="preserve"> la semaine 16, une proportion statistiquement significative plus importante de patients ayant reçu l’adalimumab ont atteint un PGA « clair » ou « pratiquement clair » pour les mains et/ou les pieds par rapport à ceux qui ont reçu le placebo (30,6 % </w:t>
      </w:r>
      <w:r w:rsidRPr="0058432E">
        <w:rPr>
          <w:i/>
          <w:color w:val="000000" w:themeColor="text1"/>
        </w:rPr>
        <w:t>versus</w:t>
      </w:r>
      <w:r w:rsidRPr="0058432E">
        <w:rPr>
          <w:color w:val="000000" w:themeColor="text1"/>
        </w:rPr>
        <w:t xml:space="preserve"> 4,3 %, respectivement [p = 0,014]).</w:t>
      </w:r>
    </w:p>
    <w:p w14:paraId="3F9781B1" w14:textId="77777777" w:rsidR="00F075B4" w:rsidRPr="0058432E" w:rsidRDefault="00F075B4" w:rsidP="00387D0C">
      <w:pPr>
        <w:pStyle w:val="BodyText"/>
        <w:widowControl/>
        <w:kinsoku w:val="0"/>
        <w:overflowPunct w:val="0"/>
        <w:ind w:left="0"/>
        <w:rPr>
          <w:color w:val="000000" w:themeColor="text1"/>
        </w:rPr>
      </w:pPr>
    </w:p>
    <w:p w14:paraId="3257447C" w14:textId="77777777" w:rsidR="00F075B4" w:rsidRPr="0058432E" w:rsidRDefault="00F075B4" w:rsidP="00387D0C">
      <w:pPr>
        <w:pStyle w:val="BodyText"/>
        <w:widowControl/>
        <w:kinsoku w:val="0"/>
        <w:overflowPunct w:val="0"/>
        <w:ind w:left="0"/>
        <w:rPr>
          <w:color w:val="000000" w:themeColor="text1"/>
        </w:rPr>
      </w:pPr>
      <w:r w:rsidRPr="0058432E">
        <w:rPr>
          <w:color w:val="000000" w:themeColor="text1"/>
        </w:rPr>
        <w:t xml:space="preserve">L’étude IV dans le psoriasis a comparé l’efficacité et la </w:t>
      </w:r>
      <w:r w:rsidR="003C6EC1" w:rsidRPr="0058432E">
        <w:rPr>
          <w:color w:val="000000" w:themeColor="text1"/>
        </w:rPr>
        <w:t>tolérance</w:t>
      </w:r>
      <w:r w:rsidR="00477470" w:rsidRPr="0058432E">
        <w:rPr>
          <w:color w:val="000000" w:themeColor="text1"/>
        </w:rPr>
        <w:t xml:space="preserve"> </w:t>
      </w:r>
      <w:r w:rsidRPr="0058432E">
        <w:rPr>
          <w:color w:val="000000" w:themeColor="text1"/>
        </w:rPr>
        <w:t xml:space="preserve">de l’adalimumab </w:t>
      </w:r>
      <w:r w:rsidRPr="0058432E">
        <w:rPr>
          <w:i/>
          <w:color w:val="000000" w:themeColor="text1"/>
        </w:rPr>
        <w:t>versus</w:t>
      </w:r>
      <w:r w:rsidRPr="0058432E">
        <w:rPr>
          <w:color w:val="000000" w:themeColor="text1"/>
        </w:rPr>
        <w:t xml:space="preserve"> placebo chez 217</w:t>
      </w:r>
      <w:r w:rsidR="009E3C0A" w:rsidRPr="0058432E">
        <w:rPr>
          <w:color w:val="000000" w:themeColor="text1"/>
        </w:rPr>
        <w:t> </w:t>
      </w:r>
      <w:r w:rsidRPr="0058432E">
        <w:rPr>
          <w:color w:val="000000" w:themeColor="text1"/>
        </w:rPr>
        <w:t xml:space="preserve">patients adultes atteints de psoriasis unguéal modéré à sévère. Les patients ont reçu une dose initiale de 80 mg d’adalimumab, suivie par 40 mg toutes les deux semaines (en commençant une semaine après la dose initiale) ou un placebo pendant 26 semaines suivi d’un traitement par adalimumab en ouvert pendant 26 semaines supplémentaires. L’évaluation du psoriasis unguéal a été faite sur la base de l’indice modifié de sévérité du psoriasis unguéal (mNAPSI, </w:t>
      </w:r>
      <w:r w:rsidRPr="0058432E">
        <w:rPr>
          <w:i/>
          <w:iCs/>
          <w:color w:val="000000" w:themeColor="text1"/>
        </w:rPr>
        <w:t>Modified Nail Psoriasis Severity Index</w:t>
      </w:r>
      <w:r w:rsidRPr="0058432E">
        <w:rPr>
          <w:color w:val="000000" w:themeColor="text1"/>
        </w:rPr>
        <w:t xml:space="preserve">), de l’évaluation globale par le médecin de la sévérité du psoriasis des ongles des mains (PGA-F, </w:t>
      </w:r>
      <w:r w:rsidRPr="0058432E">
        <w:rPr>
          <w:i/>
          <w:iCs/>
          <w:color w:val="000000" w:themeColor="text1"/>
        </w:rPr>
        <w:t>Physician’s Global Assessment of Fingernail Psoriasis</w:t>
      </w:r>
      <w:r w:rsidRPr="0058432E">
        <w:rPr>
          <w:color w:val="000000" w:themeColor="text1"/>
        </w:rPr>
        <w:t xml:space="preserve">) et de l’indice de sévérité du psoriasis unguéal (NAPSI, </w:t>
      </w:r>
      <w:r w:rsidRPr="0058432E">
        <w:rPr>
          <w:i/>
          <w:iCs/>
          <w:color w:val="000000" w:themeColor="text1"/>
        </w:rPr>
        <w:t>Nail Psoriasis Severity Index</w:t>
      </w:r>
      <w:r w:rsidRPr="0058432E">
        <w:rPr>
          <w:color w:val="000000" w:themeColor="text1"/>
        </w:rPr>
        <w:t>) (voir tableau </w:t>
      </w:r>
      <w:r w:rsidR="006B2FBE" w:rsidRPr="0058432E">
        <w:rPr>
          <w:color w:val="000000" w:themeColor="text1"/>
        </w:rPr>
        <w:t>13</w:t>
      </w:r>
      <w:r w:rsidRPr="0058432E">
        <w:rPr>
          <w:color w:val="000000" w:themeColor="text1"/>
        </w:rPr>
        <w:t>). L’adalimumab a démontré un bénéfice dans le traitement des patients atteints de psoriasis unguéal présentant différents degrés d’atteinte cutanée (</w:t>
      </w:r>
      <w:r w:rsidR="00C76447" w:rsidRPr="0058432E">
        <w:rPr>
          <w:color w:val="000000" w:themeColor="text1"/>
        </w:rPr>
        <w:t xml:space="preserve">atteinte de la surface corporelle </w:t>
      </w:r>
      <w:r w:rsidRPr="0058432E">
        <w:rPr>
          <w:color w:val="000000" w:themeColor="text1"/>
        </w:rPr>
        <w:t xml:space="preserve">≥ 10 % </w:t>
      </w:r>
      <w:r w:rsidR="00477470" w:rsidRPr="0058432E">
        <w:rPr>
          <w:color w:val="000000" w:themeColor="text1"/>
        </w:rPr>
        <w:t>[</w:t>
      </w:r>
      <w:r w:rsidRPr="0058432E">
        <w:rPr>
          <w:color w:val="000000" w:themeColor="text1"/>
        </w:rPr>
        <w:t>60 % des patients</w:t>
      </w:r>
      <w:r w:rsidR="00477470" w:rsidRPr="0058432E">
        <w:rPr>
          <w:color w:val="000000" w:themeColor="text1"/>
        </w:rPr>
        <w:t>]</w:t>
      </w:r>
      <w:r w:rsidRPr="0058432E">
        <w:rPr>
          <w:color w:val="000000" w:themeColor="text1"/>
        </w:rPr>
        <w:t xml:space="preserve"> et &lt; 10 % et ≥ 5 % </w:t>
      </w:r>
      <w:r w:rsidR="00477470" w:rsidRPr="0058432E">
        <w:rPr>
          <w:color w:val="000000" w:themeColor="text1"/>
        </w:rPr>
        <w:t>[</w:t>
      </w:r>
      <w:r w:rsidRPr="0058432E">
        <w:rPr>
          <w:color w:val="000000" w:themeColor="text1"/>
        </w:rPr>
        <w:t>40 % des patients</w:t>
      </w:r>
      <w:r w:rsidR="00477470" w:rsidRPr="0058432E">
        <w:rPr>
          <w:color w:val="000000" w:themeColor="text1"/>
        </w:rPr>
        <w:t>]</w:t>
      </w:r>
      <w:r w:rsidRPr="0058432E">
        <w:rPr>
          <w:color w:val="000000" w:themeColor="text1"/>
        </w:rPr>
        <w:t>).</w:t>
      </w:r>
    </w:p>
    <w:p w14:paraId="58EB1313" w14:textId="77777777" w:rsidR="00F075B4" w:rsidRPr="0058432E" w:rsidRDefault="00F075B4" w:rsidP="00387D0C">
      <w:pPr>
        <w:rPr>
          <w:color w:val="000000" w:themeColor="text1"/>
        </w:rPr>
      </w:pPr>
    </w:p>
    <w:p w14:paraId="4D47AB6D" w14:textId="77777777" w:rsidR="002F39BA" w:rsidRPr="0058432E" w:rsidRDefault="002F39BA" w:rsidP="00C831C4">
      <w:pPr>
        <w:pStyle w:val="BodyText"/>
        <w:keepNext/>
        <w:keepLines/>
        <w:widowControl/>
        <w:kinsoku w:val="0"/>
        <w:overflowPunct w:val="0"/>
        <w:ind w:left="0"/>
        <w:rPr>
          <w:b/>
          <w:color w:val="000000" w:themeColor="text1"/>
        </w:rPr>
      </w:pPr>
      <w:r w:rsidRPr="0058432E">
        <w:rPr>
          <w:b/>
          <w:color w:val="000000" w:themeColor="text1"/>
        </w:rPr>
        <w:lastRenderedPageBreak/>
        <w:t>Tableau </w:t>
      </w:r>
      <w:r w:rsidR="006B2FBE" w:rsidRPr="0058432E">
        <w:rPr>
          <w:b/>
          <w:color w:val="000000" w:themeColor="text1"/>
        </w:rPr>
        <w:t>13</w:t>
      </w:r>
      <w:r w:rsidR="00E11B82" w:rsidRPr="0058432E">
        <w:rPr>
          <w:b/>
          <w:color w:val="000000" w:themeColor="text1"/>
        </w:rPr>
        <w:t>.</w:t>
      </w:r>
    </w:p>
    <w:p w14:paraId="5188412C" w14:textId="77777777" w:rsidR="00005E6C" w:rsidRPr="0058432E" w:rsidRDefault="00005E6C" w:rsidP="00A53E17">
      <w:pPr>
        <w:keepNext/>
        <w:rPr>
          <w:b/>
          <w:color w:val="000000" w:themeColor="text1"/>
        </w:rPr>
      </w:pPr>
      <w:r w:rsidRPr="0058432E">
        <w:rPr>
          <w:b/>
          <w:color w:val="000000" w:themeColor="text1"/>
        </w:rPr>
        <w:t>Étude IV sur le psoriasis — Résultats d’efficacité à 16, 26 et 52 semaines</w:t>
      </w:r>
    </w:p>
    <w:p w14:paraId="7339273F" w14:textId="77777777" w:rsidR="00005E6C" w:rsidRPr="0058432E" w:rsidRDefault="00005E6C" w:rsidP="00005E6C">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253"/>
        <w:gridCol w:w="1467"/>
        <w:gridCol w:w="1265"/>
        <w:gridCol w:w="1455"/>
        <w:gridCol w:w="1768"/>
      </w:tblGrid>
      <w:tr w:rsidR="00005E6C" w:rsidRPr="0058432E" w14:paraId="1315A488" w14:textId="77777777" w:rsidTr="00B51A46">
        <w:trPr>
          <w:cantSplit/>
          <w:tblHeader/>
        </w:trPr>
        <w:tc>
          <w:tcPr>
            <w:tcW w:w="1859" w:type="dxa"/>
            <w:vMerge w:val="restart"/>
            <w:tcBorders>
              <w:top w:val="single" w:sz="4" w:space="0" w:color="auto"/>
              <w:left w:val="single" w:sz="4" w:space="0" w:color="auto"/>
              <w:bottom w:val="single" w:sz="4" w:space="0" w:color="auto"/>
              <w:right w:val="single" w:sz="4" w:space="0" w:color="auto"/>
            </w:tcBorders>
            <w:hideMark/>
          </w:tcPr>
          <w:p w14:paraId="72A39C29" w14:textId="77777777" w:rsidR="00005E6C" w:rsidRPr="0058432E" w:rsidRDefault="00005E6C" w:rsidP="00966161">
            <w:pPr>
              <w:keepNext/>
              <w:rPr>
                <w:b/>
                <w:color w:val="000000" w:themeColor="text1"/>
              </w:rPr>
            </w:pPr>
            <w:r w:rsidRPr="0058432E">
              <w:rPr>
                <w:b/>
                <w:color w:val="000000" w:themeColor="text1"/>
              </w:rPr>
              <w:t>Critères</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09AACFE7" w14:textId="77777777" w:rsidR="00005E6C" w:rsidRPr="0058432E" w:rsidRDefault="00005E6C" w:rsidP="00966161">
            <w:pPr>
              <w:keepNext/>
              <w:jc w:val="center"/>
              <w:rPr>
                <w:b/>
                <w:color w:val="000000" w:themeColor="text1"/>
              </w:rPr>
            </w:pPr>
            <w:r w:rsidRPr="0058432E">
              <w:rPr>
                <w:b/>
                <w:color w:val="000000" w:themeColor="text1"/>
              </w:rPr>
              <w:t>Semaine 16</w:t>
            </w:r>
          </w:p>
          <w:p w14:paraId="78F67FE5" w14:textId="77777777" w:rsidR="00005E6C" w:rsidRPr="0058432E" w:rsidRDefault="00005E6C" w:rsidP="00966161">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23957020" w14:textId="77777777" w:rsidR="00005E6C" w:rsidRPr="0058432E" w:rsidRDefault="00005E6C" w:rsidP="00966161">
            <w:pPr>
              <w:keepNext/>
              <w:jc w:val="center"/>
              <w:rPr>
                <w:b/>
                <w:color w:val="000000" w:themeColor="text1"/>
              </w:rPr>
            </w:pPr>
            <w:r w:rsidRPr="0058432E">
              <w:rPr>
                <w:b/>
                <w:color w:val="000000" w:themeColor="text1"/>
              </w:rPr>
              <w:t>Semaine 26</w:t>
            </w:r>
          </w:p>
          <w:p w14:paraId="36FB3FE3" w14:textId="77777777" w:rsidR="00005E6C" w:rsidRPr="0058432E" w:rsidRDefault="00005E6C" w:rsidP="00966161">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1770" w:type="dxa"/>
            <w:tcBorders>
              <w:top w:val="single" w:sz="4" w:space="0" w:color="auto"/>
              <w:left w:val="single" w:sz="4" w:space="0" w:color="auto"/>
              <w:bottom w:val="single" w:sz="4" w:space="0" w:color="auto"/>
              <w:right w:val="single" w:sz="4" w:space="0" w:color="auto"/>
            </w:tcBorders>
            <w:vAlign w:val="center"/>
            <w:hideMark/>
          </w:tcPr>
          <w:p w14:paraId="5FCEAD26" w14:textId="77777777" w:rsidR="00005E6C" w:rsidRPr="0058432E" w:rsidRDefault="00005E6C" w:rsidP="00966161">
            <w:pPr>
              <w:keepNext/>
              <w:jc w:val="center"/>
              <w:rPr>
                <w:b/>
                <w:color w:val="000000" w:themeColor="text1"/>
              </w:rPr>
            </w:pPr>
            <w:r w:rsidRPr="0058432E">
              <w:rPr>
                <w:b/>
                <w:color w:val="000000" w:themeColor="text1"/>
              </w:rPr>
              <w:t>Semaine 52</w:t>
            </w:r>
          </w:p>
          <w:p w14:paraId="16D561CD" w14:textId="77777777" w:rsidR="00005E6C" w:rsidRPr="0058432E" w:rsidRDefault="00005E6C" w:rsidP="00966161">
            <w:pPr>
              <w:keepNext/>
              <w:jc w:val="center"/>
              <w:rPr>
                <w:b/>
                <w:color w:val="000000" w:themeColor="text1"/>
              </w:rPr>
            </w:pPr>
            <w:r w:rsidRPr="0058432E">
              <w:rPr>
                <w:b/>
                <w:color w:val="000000" w:themeColor="text1"/>
              </w:rPr>
              <w:t>Phase en ouvert</w:t>
            </w:r>
          </w:p>
        </w:tc>
      </w:tr>
      <w:tr w:rsidR="00005E6C" w:rsidRPr="0058432E" w14:paraId="748F9460" w14:textId="77777777" w:rsidTr="00B51A46">
        <w:trPr>
          <w:cantSplit/>
          <w:tblHeader/>
        </w:trPr>
        <w:tc>
          <w:tcPr>
            <w:tcW w:w="1859" w:type="dxa"/>
            <w:vMerge/>
            <w:tcBorders>
              <w:top w:val="single" w:sz="4" w:space="0" w:color="auto"/>
              <w:left w:val="single" w:sz="4" w:space="0" w:color="auto"/>
              <w:bottom w:val="single" w:sz="4" w:space="0" w:color="auto"/>
              <w:right w:val="single" w:sz="4" w:space="0" w:color="auto"/>
            </w:tcBorders>
          </w:tcPr>
          <w:p w14:paraId="4055AB94" w14:textId="77777777" w:rsidR="00005E6C" w:rsidRPr="0058432E" w:rsidRDefault="00005E6C" w:rsidP="00966161">
            <w:pPr>
              <w:keepNext/>
              <w:jc w:val="center"/>
              <w:rPr>
                <w:b/>
                <w:color w:val="000000" w:themeColor="text1"/>
              </w:rPr>
            </w:pPr>
          </w:p>
        </w:tc>
        <w:tc>
          <w:tcPr>
            <w:tcW w:w="1255" w:type="dxa"/>
            <w:tcBorders>
              <w:top w:val="single" w:sz="4" w:space="0" w:color="auto"/>
              <w:left w:val="single" w:sz="4" w:space="0" w:color="auto"/>
              <w:bottom w:val="single" w:sz="4" w:space="0" w:color="auto"/>
              <w:right w:val="single" w:sz="4" w:space="0" w:color="auto"/>
            </w:tcBorders>
            <w:hideMark/>
          </w:tcPr>
          <w:p w14:paraId="31A4331E" w14:textId="77777777" w:rsidR="00005E6C" w:rsidRPr="0058432E" w:rsidRDefault="00005E6C" w:rsidP="00966161">
            <w:pPr>
              <w:keepNext/>
              <w:jc w:val="center"/>
              <w:rPr>
                <w:b/>
                <w:color w:val="000000" w:themeColor="text1"/>
              </w:rPr>
            </w:pPr>
            <w:r w:rsidRPr="0058432E">
              <w:rPr>
                <w:b/>
                <w:color w:val="000000" w:themeColor="text1"/>
              </w:rPr>
              <w:t>Placebo</w:t>
            </w:r>
          </w:p>
          <w:p w14:paraId="0349E463" w14:textId="77777777" w:rsidR="00005E6C" w:rsidRPr="0058432E" w:rsidRDefault="00005E6C" w:rsidP="00966161">
            <w:pPr>
              <w:keepNext/>
              <w:jc w:val="center"/>
              <w:rPr>
                <w:b/>
                <w:color w:val="000000" w:themeColor="text1"/>
              </w:rPr>
            </w:pPr>
            <w:r w:rsidRPr="0058432E">
              <w:rPr>
                <w:b/>
                <w:color w:val="000000" w:themeColor="text1"/>
              </w:rPr>
              <w:t>N = 108</w:t>
            </w:r>
          </w:p>
        </w:tc>
        <w:tc>
          <w:tcPr>
            <w:tcW w:w="1469" w:type="dxa"/>
            <w:tcBorders>
              <w:top w:val="single" w:sz="4" w:space="0" w:color="auto"/>
              <w:left w:val="single" w:sz="4" w:space="0" w:color="auto"/>
              <w:bottom w:val="single" w:sz="4" w:space="0" w:color="auto"/>
              <w:right w:val="single" w:sz="4" w:space="0" w:color="auto"/>
            </w:tcBorders>
            <w:hideMark/>
          </w:tcPr>
          <w:p w14:paraId="44CB5F50" w14:textId="77777777" w:rsidR="00005E6C" w:rsidRPr="0058432E" w:rsidRDefault="00005E6C" w:rsidP="00966161">
            <w:pPr>
              <w:keepNext/>
              <w:jc w:val="center"/>
              <w:rPr>
                <w:b/>
                <w:color w:val="000000" w:themeColor="text1"/>
              </w:rPr>
            </w:pPr>
            <w:r w:rsidRPr="0058432E">
              <w:rPr>
                <w:b/>
                <w:color w:val="000000" w:themeColor="text1"/>
              </w:rPr>
              <w:t>Adalimumab</w:t>
            </w:r>
          </w:p>
          <w:p w14:paraId="4914667E" w14:textId="77777777" w:rsidR="00005E6C" w:rsidRPr="0058432E" w:rsidRDefault="00005E6C" w:rsidP="00966161">
            <w:pPr>
              <w:keepNext/>
              <w:jc w:val="center"/>
              <w:rPr>
                <w:b/>
                <w:color w:val="000000" w:themeColor="text1"/>
              </w:rPr>
            </w:pPr>
            <w:r w:rsidRPr="0058432E">
              <w:rPr>
                <w:b/>
                <w:color w:val="000000" w:themeColor="text1"/>
              </w:rPr>
              <w:t xml:space="preserve">40 mg </w:t>
            </w:r>
            <w:r w:rsidR="00BA7A54" w:rsidRPr="0058432E">
              <w:rPr>
                <w:b/>
                <w:bCs/>
                <w:color w:val="000000" w:themeColor="text1"/>
              </w:rPr>
              <w:t>toutes les deux semaines</w:t>
            </w:r>
          </w:p>
          <w:p w14:paraId="2EACC5DE" w14:textId="77777777" w:rsidR="00005E6C" w:rsidRPr="0058432E" w:rsidRDefault="00005E6C" w:rsidP="00966161">
            <w:pPr>
              <w:keepNext/>
              <w:jc w:val="center"/>
              <w:rPr>
                <w:b/>
                <w:color w:val="000000" w:themeColor="text1"/>
              </w:rPr>
            </w:pPr>
            <w:r w:rsidRPr="0058432E">
              <w:rPr>
                <w:b/>
                <w:color w:val="000000" w:themeColor="text1"/>
              </w:rPr>
              <w:t>N = 109</w:t>
            </w:r>
          </w:p>
        </w:tc>
        <w:tc>
          <w:tcPr>
            <w:tcW w:w="1267" w:type="dxa"/>
            <w:tcBorders>
              <w:top w:val="single" w:sz="4" w:space="0" w:color="auto"/>
              <w:left w:val="single" w:sz="4" w:space="0" w:color="auto"/>
              <w:bottom w:val="single" w:sz="4" w:space="0" w:color="auto"/>
              <w:right w:val="single" w:sz="4" w:space="0" w:color="auto"/>
            </w:tcBorders>
            <w:hideMark/>
          </w:tcPr>
          <w:p w14:paraId="352FA42D" w14:textId="77777777" w:rsidR="00005E6C" w:rsidRPr="0058432E" w:rsidRDefault="00005E6C" w:rsidP="00966161">
            <w:pPr>
              <w:keepNext/>
              <w:jc w:val="center"/>
              <w:rPr>
                <w:b/>
                <w:color w:val="000000" w:themeColor="text1"/>
              </w:rPr>
            </w:pPr>
            <w:r w:rsidRPr="0058432E">
              <w:rPr>
                <w:b/>
                <w:color w:val="000000" w:themeColor="text1"/>
              </w:rPr>
              <w:t>Placebo</w:t>
            </w:r>
          </w:p>
          <w:p w14:paraId="7FBA139B" w14:textId="77777777" w:rsidR="00005E6C" w:rsidRPr="0058432E" w:rsidRDefault="00005E6C" w:rsidP="00966161">
            <w:pPr>
              <w:keepNext/>
              <w:jc w:val="center"/>
              <w:rPr>
                <w:b/>
                <w:color w:val="000000" w:themeColor="text1"/>
              </w:rPr>
            </w:pPr>
            <w:r w:rsidRPr="0058432E">
              <w:rPr>
                <w:b/>
                <w:color w:val="000000" w:themeColor="text1"/>
              </w:rPr>
              <w:t>N = 108</w:t>
            </w:r>
          </w:p>
        </w:tc>
        <w:tc>
          <w:tcPr>
            <w:tcW w:w="1457" w:type="dxa"/>
            <w:tcBorders>
              <w:top w:val="single" w:sz="4" w:space="0" w:color="auto"/>
              <w:left w:val="single" w:sz="4" w:space="0" w:color="auto"/>
              <w:bottom w:val="single" w:sz="4" w:space="0" w:color="auto"/>
              <w:right w:val="single" w:sz="4" w:space="0" w:color="auto"/>
            </w:tcBorders>
            <w:hideMark/>
          </w:tcPr>
          <w:p w14:paraId="208F2988" w14:textId="77777777" w:rsidR="00005E6C" w:rsidRPr="0058432E" w:rsidRDefault="00005E6C" w:rsidP="00966161">
            <w:pPr>
              <w:keepNext/>
              <w:jc w:val="center"/>
              <w:rPr>
                <w:b/>
                <w:color w:val="000000" w:themeColor="text1"/>
              </w:rPr>
            </w:pPr>
            <w:r w:rsidRPr="0058432E">
              <w:rPr>
                <w:b/>
                <w:color w:val="000000" w:themeColor="text1"/>
              </w:rPr>
              <w:t>Adalimumab</w:t>
            </w:r>
          </w:p>
          <w:p w14:paraId="2F390293" w14:textId="77777777" w:rsidR="00005E6C" w:rsidRPr="0058432E" w:rsidRDefault="00005E6C" w:rsidP="00966161">
            <w:pPr>
              <w:keepNext/>
              <w:jc w:val="center"/>
              <w:rPr>
                <w:b/>
                <w:color w:val="000000" w:themeColor="text1"/>
              </w:rPr>
            </w:pPr>
            <w:r w:rsidRPr="0058432E">
              <w:rPr>
                <w:b/>
                <w:color w:val="000000" w:themeColor="text1"/>
              </w:rPr>
              <w:t xml:space="preserve">40 mg </w:t>
            </w:r>
            <w:r w:rsidR="00BA7A54" w:rsidRPr="0058432E">
              <w:rPr>
                <w:b/>
                <w:bCs/>
                <w:color w:val="000000" w:themeColor="text1"/>
              </w:rPr>
              <w:t>toutes les deux semaines</w:t>
            </w:r>
          </w:p>
          <w:p w14:paraId="392495C6" w14:textId="77777777" w:rsidR="00005E6C" w:rsidRPr="0058432E" w:rsidRDefault="00005E6C" w:rsidP="00966161">
            <w:pPr>
              <w:keepNext/>
              <w:jc w:val="center"/>
              <w:rPr>
                <w:b/>
                <w:color w:val="000000" w:themeColor="text1"/>
              </w:rPr>
            </w:pPr>
            <w:r w:rsidRPr="0058432E">
              <w:rPr>
                <w:b/>
                <w:color w:val="000000" w:themeColor="text1"/>
              </w:rPr>
              <w:t>N = 109</w:t>
            </w:r>
          </w:p>
        </w:tc>
        <w:tc>
          <w:tcPr>
            <w:tcW w:w="1770" w:type="dxa"/>
            <w:tcBorders>
              <w:top w:val="single" w:sz="4" w:space="0" w:color="auto"/>
              <w:left w:val="single" w:sz="4" w:space="0" w:color="auto"/>
              <w:bottom w:val="single" w:sz="4" w:space="0" w:color="auto"/>
              <w:right w:val="single" w:sz="4" w:space="0" w:color="auto"/>
            </w:tcBorders>
            <w:hideMark/>
          </w:tcPr>
          <w:p w14:paraId="4B9294A3" w14:textId="77777777" w:rsidR="00005E6C" w:rsidRPr="0058432E" w:rsidRDefault="00005E6C" w:rsidP="00966161">
            <w:pPr>
              <w:keepNext/>
              <w:jc w:val="center"/>
              <w:rPr>
                <w:b/>
                <w:color w:val="000000" w:themeColor="text1"/>
              </w:rPr>
            </w:pPr>
            <w:r w:rsidRPr="0058432E">
              <w:rPr>
                <w:b/>
                <w:color w:val="000000" w:themeColor="text1"/>
              </w:rPr>
              <w:t>Adalimumab</w:t>
            </w:r>
          </w:p>
          <w:p w14:paraId="515D0489" w14:textId="77777777" w:rsidR="00005E6C" w:rsidRPr="0058432E" w:rsidRDefault="00005E6C" w:rsidP="00966161">
            <w:pPr>
              <w:keepNext/>
              <w:jc w:val="center"/>
              <w:rPr>
                <w:b/>
                <w:color w:val="000000" w:themeColor="text1"/>
              </w:rPr>
            </w:pPr>
            <w:r w:rsidRPr="0058432E">
              <w:rPr>
                <w:b/>
                <w:color w:val="000000" w:themeColor="text1"/>
              </w:rPr>
              <w:t xml:space="preserve">40 mg </w:t>
            </w:r>
            <w:r w:rsidR="00BA7A54" w:rsidRPr="0058432E">
              <w:rPr>
                <w:b/>
                <w:bCs/>
                <w:color w:val="000000" w:themeColor="text1"/>
              </w:rPr>
              <w:t>toutes les deux semaines</w:t>
            </w:r>
          </w:p>
          <w:p w14:paraId="7883D502" w14:textId="77777777" w:rsidR="00005E6C" w:rsidRPr="0058432E" w:rsidRDefault="00005E6C" w:rsidP="00966161">
            <w:pPr>
              <w:keepNext/>
              <w:jc w:val="center"/>
              <w:rPr>
                <w:b/>
                <w:color w:val="000000" w:themeColor="text1"/>
              </w:rPr>
            </w:pPr>
            <w:r w:rsidRPr="0058432E">
              <w:rPr>
                <w:b/>
                <w:color w:val="000000" w:themeColor="text1"/>
              </w:rPr>
              <w:t>N = 80</w:t>
            </w:r>
          </w:p>
        </w:tc>
      </w:tr>
      <w:tr w:rsidR="00005E6C" w:rsidRPr="0058432E" w14:paraId="1EACF0C6"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433C2162" w14:textId="77777777" w:rsidR="00005E6C" w:rsidRPr="0058432E" w:rsidRDefault="00005E6C" w:rsidP="00966161">
            <w:pPr>
              <w:keepNext/>
              <w:rPr>
                <w:color w:val="000000" w:themeColor="text1"/>
              </w:rPr>
            </w:pPr>
            <w:r w:rsidRPr="0058432E">
              <w:rPr>
                <w:color w:val="000000" w:themeColor="text1"/>
              </w:rPr>
              <w:sym w:font="Symbol" w:char="F0B3"/>
            </w:r>
            <w:r w:rsidRPr="0058432E">
              <w:rPr>
                <w:color w:val="000000" w:themeColor="text1"/>
              </w:rPr>
              <w:t> </w:t>
            </w:r>
            <w:proofErr w:type="gramStart"/>
            <w:r w:rsidRPr="0058432E">
              <w:rPr>
                <w:color w:val="000000" w:themeColor="text1"/>
              </w:rPr>
              <w:t>mNAPSI</w:t>
            </w:r>
            <w:proofErr w:type="gramEnd"/>
            <w:r w:rsidRPr="0058432E">
              <w:rPr>
                <w:color w:val="000000" w:themeColor="text1"/>
              </w:rPr>
              <w:t> 75 (%)</w:t>
            </w:r>
          </w:p>
        </w:tc>
        <w:tc>
          <w:tcPr>
            <w:tcW w:w="1255" w:type="dxa"/>
            <w:tcBorders>
              <w:top w:val="single" w:sz="4" w:space="0" w:color="auto"/>
              <w:left w:val="single" w:sz="4" w:space="0" w:color="auto"/>
              <w:bottom w:val="single" w:sz="4" w:space="0" w:color="auto"/>
              <w:right w:val="single" w:sz="4" w:space="0" w:color="auto"/>
            </w:tcBorders>
            <w:hideMark/>
          </w:tcPr>
          <w:p w14:paraId="74D985D7" w14:textId="77777777" w:rsidR="00005E6C" w:rsidRPr="0058432E" w:rsidRDefault="00005E6C" w:rsidP="00966161">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57F06FC2" w14:textId="77777777" w:rsidR="00005E6C" w:rsidRPr="0058432E" w:rsidRDefault="00005E6C" w:rsidP="00966161">
            <w:pPr>
              <w:keepNext/>
              <w:jc w:val="center"/>
              <w:rPr>
                <w:color w:val="000000" w:themeColor="text1"/>
              </w:rPr>
            </w:pPr>
            <w:r w:rsidRPr="0058432E">
              <w:rPr>
                <w:color w:val="000000" w:themeColor="text1"/>
              </w:rPr>
              <w:t>26,0</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3DFC399F" w14:textId="77777777" w:rsidR="00005E6C" w:rsidRPr="0058432E" w:rsidRDefault="00005E6C" w:rsidP="00966161">
            <w:pPr>
              <w:keepNext/>
              <w:jc w:val="center"/>
              <w:rPr>
                <w:color w:val="000000" w:themeColor="text1"/>
              </w:rPr>
            </w:pPr>
            <w:r w:rsidRPr="0058432E">
              <w:rPr>
                <w:color w:val="000000" w:themeColor="text1"/>
              </w:rPr>
              <w:t>3,4</w:t>
            </w:r>
          </w:p>
        </w:tc>
        <w:tc>
          <w:tcPr>
            <w:tcW w:w="1457" w:type="dxa"/>
            <w:tcBorders>
              <w:top w:val="single" w:sz="4" w:space="0" w:color="auto"/>
              <w:left w:val="single" w:sz="4" w:space="0" w:color="auto"/>
              <w:bottom w:val="single" w:sz="4" w:space="0" w:color="auto"/>
              <w:right w:val="single" w:sz="4" w:space="0" w:color="auto"/>
            </w:tcBorders>
            <w:hideMark/>
          </w:tcPr>
          <w:p w14:paraId="103B61EE" w14:textId="77777777" w:rsidR="00005E6C" w:rsidRPr="0058432E" w:rsidRDefault="00005E6C" w:rsidP="00966161">
            <w:pPr>
              <w:keepNext/>
              <w:jc w:val="center"/>
              <w:rPr>
                <w:color w:val="000000" w:themeColor="text1"/>
              </w:rPr>
            </w:pPr>
            <w:r w:rsidRPr="0058432E">
              <w:rPr>
                <w:color w:val="000000" w:themeColor="text1"/>
              </w:rPr>
              <w:t>46,6</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5128A0C8" w14:textId="77777777" w:rsidR="00005E6C" w:rsidRPr="0058432E" w:rsidRDefault="00005E6C" w:rsidP="00966161">
            <w:pPr>
              <w:keepNext/>
              <w:jc w:val="center"/>
              <w:rPr>
                <w:color w:val="000000" w:themeColor="text1"/>
              </w:rPr>
            </w:pPr>
            <w:r w:rsidRPr="0058432E">
              <w:rPr>
                <w:color w:val="000000" w:themeColor="text1"/>
              </w:rPr>
              <w:t>65,0</w:t>
            </w:r>
          </w:p>
        </w:tc>
      </w:tr>
      <w:tr w:rsidR="00005E6C" w:rsidRPr="0058432E" w14:paraId="224E6855"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6B9DA6C8" w14:textId="77777777" w:rsidR="00005E6C" w:rsidRPr="0058432E" w:rsidRDefault="00005E6C" w:rsidP="00966161">
            <w:pPr>
              <w:keepNext/>
              <w:rPr>
                <w:color w:val="000000" w:themeColor="text1"/>
              </w:rPr>
            </w:pPr>
            <w:r w:rsidRPr="0058432E">
              <w:rPr>
                <w:color w:val="000000" w:themeColor="text1"/>
              </w:rPr>
              <w:t>PGA</w:t>
            </w:r>
            <w:r w:rsidRPr="0058432E">
              <w:rPr>
                <w:color w:val="000000" w:themeColor="text1"/>
              </w:rPr>
              <w:noBreakHyphen/>
              <w:t xml:space="preserve">F clair/minimal et </w:t>
            </w:r>
            <w:r w:rsidRPr="0058432E">
              <w:rPr>
                <w:color w:val="000000" w:themeColor="text1"/>
              </w:rPr>
              <w:sym w:font="Symbol" w:char="F0B3"/>
            </w:r>
            <w:r w:rsidRPr="0058432E">
              <w:rPr>
                <w:color w:val="000000" w:themeColor="text1"/>
              </w:rPr>
              <w:t> 2</w:t>
            </w:r>
            <w:r w:rsidRPr="0058432E">
              <w:rPr>
                <w:color w:val="000000" w:themeColor="text1"/>
              </w:rPr>
              <w:noBreakHyphen/>
              <w:t>grade d’amélioration (%)</w:t>
            </w:r>
          </w:p>
        </w:tc>
        <w:tc>
          <w:tcPr>
            <w:tcW w:w="1255" w:type="dxa"/>
            <w:tcBorders>
              <w:top w:val="single" w:sz="4" w:space="0" w:color="auto"/>
              <w:left w:val="single" w:sz="4" w:space="0" w:color="auto"/>
              <w:bottom w:val="single" w:sz="4" w:space="0" w:color="auto"/>
              <w:right w:val="single" w:sz="4" w:space="0" w:color="auto"/>
            </w:tcBorders>
            <w:hideMark/>
          </w:tcPr>
          <w:p w14:paraId="1A14321B" w14:textId="77777777" w:rsidR="00005E6C" w:rsidRPr="0058432E" w:rsidRDefault="00005E6C" w:rsidP="00966161">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13D2FB92" w14:textId="77777777" w:rsidR="00005E6C" w:rsidRPr="0058432E" w:rsidRDefault="00005E6C" w:rsidP="00966161">
            <w:pPr>
              <w:keepNext/>
              <w:jc w:val="center"/>
              <w:rPr>
                <w:color w:val="000000" w:themeColor="text1"/>
              </w:rPr>
            </w:pPr>
            <w:r w:rsidRPr="0058432E">
              <w:rPr>
                <w:color w:val="000000" w:themeColor="text1"/>
              </w:rPr>
              <w:t>29,7</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2009C7A3" w14:textId="77777777" w:rsidR="00005E6C" w:rsidRPr="0058432E" w:rsidRDefault="00005E6C" w:rsidP="00966161">
            <w:pPr>
              <w:keepNext/>
              <w:jc w:val="center"/>
              <w:rPr>
                <w:color w:val="000000" w:themeColor="text1"/>
              </w:rPr>
            </w:pPr>
            <w:r w:rsidRPr="0058432E">
              <w:rPr>
                <w:color w:val="000000" w:themeColor="text1"/>
              </w:rPr>
              <w:t>6,9</w:t>
            </w:r>
          </w:p>
        </w:tc>
        <w:tc>
          <w:tcPr>
            <w:tcW w:w="1457" w:type="dxa"/>
            <w:tcBorders>
              <w:top w:val="single" w:sz="4" w:space="0" w:color="auto"/>
              <w:left w:val="single" w:sz="4" w:space="0" w:color="auto"/>
              <w:bottom w:val="single" w:sz="4" w:space="0" w:color="auto"/>
              <w:right w:val="single" w:sz="4" w:space="0" w:color="auto"/>
            </w:tcBorders>
            <w:hideMark/>
          </w:tcPr>
          <w:p w14:paraId="323C8983" w14:textId="77777777" w:rsidR="00005E6C" w:rsidRPr="0058432E" w:rsidRDefault="00005E6C" w:rsidP="00966161">
            <w:pPr>
              <w:keepNext/>
              <w:jc w:val="center"/>
              <w:rPr>
                <w:color w:val="000000" w:themeColor="text1"/>
              </w:rPr>
            </w:pPr>
            <w:r w:rsidRPr="0058432E">
              <w:rPr>
                <w:color w:val="000000" w:themeColor="text1"/>
              </w:rPr>
              <w:t>48,9</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57744380" w14:textId="77777777" w:rsidR="00005E6C" w:rsidRPr="0058432E" w:rsidRDefault="00005E6C" w:rsidP="00966161">
            <w:pPr>
              <w:keepNext/>
              <w:jc w:val="center"/>
              <w:rPr>
                <w:color w:val="000000" w:themeColor="text1"/>
              </w:rPr>
            </w:pPr>
            <w:r w:rsidRPr="0058432E">
              <w:rPr>
                <w:color w:val="000000" w:themeColor="text1"/>
              </w:rPr>
              <w:t>61,3</w:t>
            </w:r>
          </w:p>
        </w:tc>
      </w:tr>
      <w:tr w:rsidR="00005E6C" w:rsidRPr="0058432E" w14:paraId="11E95136"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35054EC2" w14:textId="77777777" w:rsidR="00005E6C" w:rsidRPr="0058432E" w:rsidRDefault="00005E6C" w:rsidP="00966161">
            <w:pPr>
              <w:keepNext/>
              <w:rPr>
                <w:color w:val="000000" w:themeColor="text1"/>
              </w:rPr>
            </w:pPr>
            <w:r w:rsidRPr="0058432E">
              <w:rPr>
                <w:color w:val="000000" w:themeColor="text1"/>
              </w:rPr>
              <w:t>Pourcentage de variation du NAPSI des ongles des mains total (%)</w:t>
            </w:r>
          </w:p>
        </w:tc>
        <w:tc>
          <w:tcPr>
            <w:tcW w:w="1255" w:type="dxa"/>
            <w:tcBorders>
              <w:top w:val="single" w:sz="4" w:space="0" w:color="auto"/>
              <w:left w:val="single" w:sz="4" w:space="0" w:color="auto"/>
              <w:bottom w:val="single" w:sz="4" w:space="0" w:color="auto"/>
              <w:right w:val="single" w:sz="4" w:space="0" w:color="auto"/>
            </w:tcBorders>
            <w:hideMark/>
          </w:tcPr>
          <w:p w14:paraId="27AB4610" w14:textId="77777777" w:rsidR="00005E6C" w:rsidRPr="0058432E" w:rsidRDefault="00005E6C" w:rsidP="00966161">
            <w:pPr>
              <w:keepNext/>
              <w:jc w:val="center"/>
              <w:rPr>
                <w:color w:val="000000" w:themeColor="text1"/>
              </w:rPr>
            </w:pPr>
            <w:r w:rsidRPr="0058432E">
              <w:rPr>
                <w:color w:val="000000" w:themeColor="text1"/>
              </w:rPr>
              <w:t>-7,8</w:t>
            </w:r>
          </w:p>
        </w:tc>
        <w:tc>
          <w:tcPr>
            <w:tcW w:w="1469" w:type="dxa"/>
            <w:tcBorders>
              <w:top w:val="single" w:sz="4" w:space="0" w:color="auto"/>
              <w:left w:val="single" w:sz="4" w:space="0" w:color="auto"/>
              <w:bottom w:val="single" w:sz="4" w:space="0" w:color="auto"/>
              <w:right w:val="single" w:sz="4" w:space="0" w:color="auto"/>
            </w:tcBorders>
            <w:hideMark/>
          </w:tcPr>
          <w:p w14:paraId="70ABA8A1" w14:textId="77777777" w:rsidR="00005E6C" w:rsidRPr="0058432E" w:rsidRDefault="00005E6C" w:rsidP="00966161">
            <w:pPr>
              <w:keepNext/>
              <w:jc w:val="center"/>
              <w:rPr>
                <w:color w:val="000000" w:themeColor="text1"/>
              </w:rPr>
            </w:pPr>
            <w:r w:rsidRPr="0058432E">
              <w:rPr>
                <w:color w:val="000000" w:themeColor="text1"/>
              </w:rPr>
              <w:t>-44,2</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04711A02" w14:textId="77777777" w:rsidR="00005E6C" w:rsidRPr="0058432E" w:rsidRDefault="00005E6C" w:rsidP="00966161">
            <w:pPr>
              <w:keepNext/>
              <w:jc w:val="center"/>
              <w:rPr>
                <w:color w:val="000000" w:themeColor="text1"/>
              </w:rPr>
            </w:pPr>
            <w:r w:rsidRPr="0058432E">
              <w:rPr>
                <w:color w:val="000000" w:themeColor="text1"/>
              </w:rPr>
              <w:t>-11,5</w:t>
            </w:r>
          </w:p>
        </w:tc>
        <w:tc>
          <w:tcPr>
            <w:tcW w:w="1457" w:type="dxa"/>
            <w:tcBorders>
              <w:top w:val="single" w:sz="4" w:space="0" w:color="auto"/>
              <w:left w:val="single" w:sz="4" w:space="0" w:color="auto"/>
              <w:bottom w:val="single" w:sz="4" w:space="0" w:color="auto"/>
              <w:right w:val="single" w:sz="4" w:space="0" w:color="auto"/>
            </w:tcBorders>
            <w:hideMark/>
          </w:tcPr>
          <w:p w14:paraId="01FF7966" w14:textId="77777777" w:rsidR="00005E6C" w:rsidRPr="0058432E" w:rsidRDefault="00005E6C" w:rsidP="00966161">
            <w:pPr>
              <w:keepNext/>
              <w:jc w:val="center"/>
              <w:rPr>
                <w:color w:val="000000" w:themeColor="text1"/>
              </w:rPr>
            </w:pPr>
            <w:r w:rsidRPr="0058432E">
              <w:rPr>
                <w:color w:val="000000" w:themeColor="text1"/>
              </w:rPr>
              <w:t>-56,2</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40E0FA26" w14:textId="77777777" w:rsidR="00005E6C" w:rsidRPr="0058432E" w:rsidRDefault="00005E6C" w:rsidP="00966161">
            <w:pPr>
              <w:keepNext/>
              <w:jc w:val="center"/>
              <w:rPr>
                <w:color w:val="000000" w:themeColor="text1"/>
              </w:rPr>
            </w:pPr>
            <w:r w:rsidRPr="0058432E">
              <w:rPr>
                <w:color w:val="000000" w:themeColor="text1"/>
              </w:rPr>
              <w:t>-72,2</w:t>
            </w:r>
          </w:p>
        </w:tc>
      </w:tr>
      <w:tr w:rsidR="006A2129" w:rsidRPr="0058432E" w14:paraId="4916B2DF" w14:textId="77777777" w:rsidTr="00B51A46">
        <w:trPr>
          <w:cantSplit/>
        </w:trPr>
        <w:tc>
          <w:tcPr>
            <w:tcW w:w="9077" w:type="dxa"/>
            <w:gridSpan w:val="6"/>
            <w:tcBorders>
              <w:top w:val="single" w:sz="4" w:space="0" w:color="auto"/>
              <w:left w:val="nil"/>
              <w:bottom w:val="nil"/>
              <w:right w:val="nil"/>
            </w:tcBorders>
          </w:tcPr>
          <w:p w14:paraId="3EDD4116" w14:textId="77777777" w:rsidR="006A2129" w:rsidRPr="0058432E" w:rsidRDefault="006A2129" w:rsidP="006A2129">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tc>
      </w:tr>
    </w:tbl>
    <w:p w14:paraId="06D8F29A" w14:textId="77777777" w:rsidR="002F39BA" w:rsidRPr="0058432E" w:rsidRDefault="002F39BA" w:rsidP="00387D0C">
      <w:pPr>
        <w:pStyle w:val="BodyText"/>
        <w:widowControl/>
        <w:kinsoku w:val="0"/>
        <w:overflowPunct w:val="0"/>
        <w:ind w:left="0"/>
        <w:rPr>
          <w:bCs/>
          <w:color w:val="000000" w:themeColor="text1"/>
        </w:rPr>
      </w:pPr>
    </w:p>
    <w:p w14:paraId="4BDFAC67" w14:textId="77777777" w:rsidR="002F39BA" w:rsidRPr="0058432E" w:rsidRDefault="00E56A72" w:rsidP="00387D0C">
      <w:pPr>
        <w:pStyle w:val="BodyText"/>
        <w:widowControl/>
        <w:kinsoku w:val="0"/>
        <w:overflowPunct w:val="0"/>
        <w:ind w:left="0"/>
        <w:rPr>
          <w:color w:val="000000" w:themeColor="text1"/>
        </w:rPr>
      </w:pPr>
      <w:r w:rsidRPr="0058432E">
        <w:rPr>
          <w:color w:val="000000" w:themeColor="text1"/>
        </w:rPr>
        <w:t>Les patients traités par adalimumab ont montré des améliorations statistiquement significatives du DLQI à la semaine 26 par rapport au placebo.</w:t>
      </w:r>
    </w:p>
    <w:p w14:paraId="5EE5B692" w14:textId="77777777" w:rsidR="00D2772B" w:rsidRPr="0058432E" w:rsidRDefault="00D2772B" w:rsidP="00387D0C">
      <w:pPr>
        <w:rPr>
          <w:color w:val="000000" w:themeColor="text1"/>
        </w:rPr>
      </w:pPr>
    </w:p>
    <w:p w14:paraId="2D99DFFF" w14:textId="77777777" w:rsidR="00D23702" w:rsidRPr="0058432E" w:rsidRDefault="00D23702" w:rsidP="00387D0C">
      <w:pPr>
        <w:pStyle w:val="BodyText"/>
        <w:keepNext/>
        <w:widowControl/>
        <w:kinsoku w:val="0"/>
        <w:overflowPunct w:val="0"/>
        <w:ind w:left="0"/>
        <w:rPr>
          <w:color w:val="000000" w:themeColor="text1"/>
        </w:rPr>
      </w:pPr>
      <w:r w:rsidRPr="0058432E">
        <w:rPr>
          <w:i/>
          <w:iCs/>
          <w:color w:val="000000" w:themeColor="text1"/>
        </w:rPr>
        <w:t xml:space="preserve">Maladie de Crohn </w:t>
      </w:r>
      <w:r w:rsidR="00936054" w:rsidRPr="0058432E">
        <w:rPr>
          <w:i/>
          <w:iCs/>
          <w:color w:val="000000" w:themeColor="text1"/>
        </w:rPr>
        <w:t>chez</w:t>
      </w:r>
      <w:r w:rsidRPr="0058432E">
        <w:rPr>
          <w:i/>
          <w:iCs/>
          <w:color w:val="000000" w:themeColor="text1"/>
        </w:rPr>
        <w:t xml:space="preserve"> l</w:t>
      </w:r>
      <w:r w:rsidR="00C37620" w:rsidRPr="0058432E">
        <w:rPr>
          <w:i/>
          <w:iCs/>
          <w:color w:val="000000" w:themeColor="text1"/>
        </w:rPr>
        <w:t>’</w:t>
      </w:r>
      <w:r w:rsidRPr="0058432E">
        <w:rPr>
          <w:i/>
          <w:iCs/>
          <w:color w:val="000000" w:themeColor="text1"/>
        </w:rPr>
        <w:t>adulte</w:t>
      </w:r>
    </w:p>
    <w:p w14:paraId="03331521" w14:textId="77777777" w:rsidR="00D23702" w:rsidRPr="0058432E" w:rsidRDefault="00D23702" w:rsidP="00387D0C">
      <w:pPr>
        <w:pStyle w:val="BodyText"/>
        <w:keepNext/>
        <w:widowControl/>
        <w:kinsoku w:val="0"/>
        <w:overflowPunct w:val="0"/>
        <w:ind w:left="0"/>
        <w:rPr>
          <w:i/>
          <w:iCs/>
          <w:color w:val="000000" w:themeColor="text1"/>
          <w:szCs w:val="21"/>
        </w:rPr>
      </w:pPr>
    </w:p>
    <w:p w14:paraId="59BE3E25" w14:textId="77777777" w:rsidR="00D23702" w:rsidRPr="0058432E" w:rsidRDefault="00D23702" w:rsidP="00387D0C">
      <w:pPr>
        <w:pStyle w:val="BodyText"/>
        <w:keepNext/>
        <w:widowControl/>
        <w:kinsoku w:val="0"/>
        <w:overflowPunct w:val="0"/>
        <w:ind w:left="0"/>
        <w:rPr>
          <w:color w:val="000000" w:themeColor="text1"/>
        </w:rPr>
      </w:pPr>
      <w:r w:rsidRPr="0058432E">
        <w:rPr>
          <w:color w:val="000000" w:themeColor="text1"/>
        </w:rPr>
        <w:t xml:space="preserve">La </w:t>
      </w:r>
      <w:r w:rsidR="00936054" w:rsidRPr="0058432E">
        <w:rPr>
          <w:color w:val="000000" w:themeColor="text1"/>
        </w:rPr>
        <w:t>tolérance</w:t>
      </w:r>
      <w:r w:rsidR="004C135F" w:rsidRPr="0058432E">
        <w:rPr>
          <w:color w:val="000000" w:themeColor="text1"/>
        </w:rPr>
        <w:t xml:space="preserve"> </w:t>
      </w:r>
      <w:r w:rsidRPr="0058432E">
        <w:rPr>
          <w:color w:val="000000" w:themeColor="text1"/>
        </w:rPr>
        <w:t>et l</w:t>
      </w:r>
      <w:r w:rsidR="004C135F" w:rsidRPr="0058432E">
        <w:rPr>
          <w:color w:val="000000" w:themeColor="text1"/>
        </w:rPr>
        <w:t>’</w:t>
      </w:r>
      <w:r w:rsidRPr="0058432E">
        <w:rPr>
          <w:color w:val="000000" w:themeColor="text1"/>
        </w:rPr>
        <w:t>efficacité de l’adalimumab ont été évaluées chez plus de 1</w:t>
      </w:r>
      <w:r w:rsidR="00482D88" w:rsidRPr="0058432E">
        <w:rPr>
          <w:color w:val="000000" w:themeColor="text1"/>
        </w:rPr>
        <w:t> </w:t>
      </w:r>
      <w:r w:rsidRPr="0058432E">
        <w:rPr>
          <w:color w:val="000000" w:themeColor="text1"/>
        </w:rPr>
        <w:t>500</w:t>
      </w:r>
      <w:r w:rsidR="00482D88" w:rsidRPr="0058432E">
        <w:rPr>
          <w:color w:val="000000" w:themeColor="text1"/>
        </w:rPr>
        <w:t> </w:t>
      </w:r>
      <w:r w:rsidRPr="0058432E">
        <w:rPr>
          <w:color w:val="000000" w:themeColor="text1"/>
        </w:rPr>
        <w:t>patients ayant une maladie de Crohn active modérée à sévère (indice d'activité de la maladie de Crohn [</w:t>
      </w:r>
      <w:r w:rsidRPr="0058432E">
        <w:rPr>
          <w:i/>
          <w:color w:val="000000" w:themeColor="text1"/>
        </w:rPr>
        <w:t>Crohn's Disease Activity Index</w:t>
      </w:r>
      <w:r w:rsidRPr="0058432E">
        <w:rPr>
          <w:color w:val="000000" w:themeColor="text1"/>
        </w:rPr>
        <w:t xml:space="preserve"> (CDAI)] ≥ 220 et ≤ 450) dans des études randomisées, en double-aveugle, contrôlées </w:t>
      </w:r>
      <w:r w:rsidR="00533435" w:rsidRPr="0058432E">
        <w:rPr>
          <w:color w:val="000000" w:themeColor="text1"/>
        </w:rPr>
        <w:t xml:space="preserve">contre </w:t>
      </w:r>
      <w:r w:rsidRPr="0058432E">
        <w:rPr>
          <w:color w:val="000000" w:themeColor="text1"/>
        </w:rPr>
        <w:t>placebo. Des doses stables concomitantes d’aminosalicylés, de corticoïdes et/ou d’immunomodulateurs étaient autorisées et 80 % des patients ont continué à recevoir au moins un de ces médicaments.</w:t>
      </w:r>
    </w:p>
    <w:p w14:paraId="72630342" w14:textId="77777777" w:rsidR="00D23702" w:rsidRPr="0058432E" w:rsidRDefault="00D23702" w:rsidP="00387D0C">
      <w:pPr>
        <w:pStyle w:val="BodyText"/>
        <w:widowControl/>
        <w:kinsoku w:val="0"/>
        <w:overflowPunct w:val="0"/>
        <w:ind w:left="0"/>
        <w:rPr>
          <w:color w:val="000000" w:themeColor="text1"/>
        </w:rPr>
      </w:pPr>
    </w:p>
    <w:p w14:paraId="5B80E872" w14:textId="77777777" w:rsidR="00D23702" w:rsidRPr="0058432E" w:rsidRDefault="00D23702" w:rsidP="00387D0C">
      <w:pPr>
        <w:pStyle w:val="BodyText"/>
        <w:widowControl/>
        <w:kinsoku w:val="0"/>
        <w:overflowPunct w:val="0"/>
        <w:ind w:left="0"/>
        <w:rPr>
          <w:color w:val="000000" w:themeColor="text1"/>
        </w:rPr>
      </w:pPr>
      <w:r w:rsidRPr="0058432E">
        <w:rPr>
          <w:color w:val="000000" w:themeColor="text1"/>
        </w:rPr>
        <w:t>L’induction d’une rémission clinique (définie par un indice CDAI &lt; 150) a été évaluée dans deux études, l’étude I sur la MC (CLASSIC I) et l’étude II sur la MC (GAIN). Dans l’étude I sur la MC, 299</w:t>
      </w:r>
      <w:r w:rsidR="00CD0EE5" w:rsidRPr="0058432E">
        <w:rPr>
          <w:color w:val="000000" w:themeColor="text1"/>
        </w:rPr>
        <w:t> </w:t>
      </w:r>
      <w:r w:rsidRPr="0058432E">
        <w:rPr>
          <w:color w:val="000000" w:themeColor="text1"/>
        </w:rPr>
        <w:t xml:space="preserve">patients non précédemment traités par un </w:t>
      </w:r>
      <w:r w:rsidR="00533435" w:rsidRPr="0058432E">
        <w:rPr>
          <w:color w:val="000000" w:themeColor="text1"/>
        </w:rPr>
        <w:t>antagoniste du TNF</w:t>
      </w:r>
      <w:r w:rsidR="003F55F5" w:rsidRPr="0058432E">
        <w:rPr>
          <w:color w:val="000000" w:themeColor="text1"/>
        </w:rPr>
        <w:t xml:space="preserve"> </w:t>
      </w:r>
      <w:r w:rsidRPr="0058432E">
        <w:rPr>
          <w:color w:val="000000" w:themeColor="text1"/>
        </w:rPr>
        <w:t xml:space="preserve">ont été randomisés vers l’un des quatre groupes de </w:t>
      </w:r>
      <w:proofErr w:type="gramStart"/>
      <w:r w:rsidRPr="0058432E">
        <w:rPr>
          <w:color w:val="000000" w:themeColor="text1"/>
        </w:rPr>
        <w:t>traitement;</w:t>
      </w:r>
      <w:proofErr w:type="gramEnd"/>
      <w:r w:rsidRPr="0058432E">
        <w:rPr>
          <w:color w:val="000000" w:themeColor="text1"/>
        </w:rPr>
        <w:t xml:space="preserve"> placebo aux semaines 0 et 2, 160 mg d’adalimumab à la semaine 0 et 80 mg à la semaine 2, 80 mg à la semaine 0 et 40 mg à la semaine 2, et 40 mg à la semaine 0 et 20 mg à la semaine 2. Dans l’étude II sur la MC, 325 patients ne répondant plus ou étant intolérants à l’infliximab ont été randomisés pour recevoir soit 160 mg d’adalimumab à la semaine 0 et 80 mg à la semaine 2 soit un placebo aux semaines 0 et 2. Les non-répondeurs primaires ont été exclus des études et ces patients n’ont par conséquent pas fait l’objet d’autres évaluations.</w:t>
      </w:r>
    </w:p>
    <w:p w14:paraId="7B6245C9" w14:textId="77777777" w:rsidR="00D23702" w:rsidRPr="0058432E" w:rsidRDefault="00D23702" w:rsidP="00387D0C">
      <w:pPr>
        <w:pStyle w:val="BodyText"/>
        <w:widowControl/>
        <w:kinsoku w:val="0"/>
        <w:overflowPunct w:val="0"/>
        <w:ind w:left="0"/>
        <w:rPr>
          <w:color w:val="000000" w:themeColor="text1"/>
          <w:szCs w:val="21"/>
        </w:rPr>
      </w:pPr>
    </w:p>
    <w:p w14:paraId="041C3133" w14:textId="77777777" w:rsidR="00D23702" w:rsidRPr="0058432E" w:rsidRDefault="00D23702" w:rsidP="00387D0C">
      <w:pPr>
        <w:pStyle w:val="BodyText"/>
        <w:widowControl/>
        <w:kinsoku w:val="0"/>
        <w:overflowPunct w:val="0"/>
        <w:ind w:left="0"/>
        <w:rPr>
          <w:color w:val="000000" w:themeColor="text1"/>
        </w:rPr>
      </w:pPr>
      <w:r w:rsidRPr="0058432E">
        <w:rPr>
          <w:color w:val="000000" w:themeColor="text1"/>
        </w:rPr>
        <w:t xml:space="preserve">Le maintien de la rémission clinique a été évalué dans l’étude III sur la MC (CHARM). Dans l’étude III sur la MC, 854 patients ont reçu en ouvert 80 mg à la semaine 0 et 40 mg à la semaine 2. </w:t>
      </w:r>
      <w:r w:rsidR="00554F8D" w:rsidRPr="0058432E">
        <w:rPr>
          <w:color w:val="000000" w:themeColor="text1"/>
        </w:rPr>
        <w:t>À</w:t>
      </w:r>
      <w:r w:rsidRPr="0058432E">
        <w:rPr>
          <w:color w:val="000000" w:themeColor="text1"/>
        </w:rPr>
        <w:t xml:space="preserve"> la semaine</w:t>
      </w:r>
      <w:r w:rsidR="00554F8D" w:rsidRPr="0058432E">
        <w:rPr>
          <w:color w:val="000000" w:themeColor="text1"/>
        </w:rPr>
        <w:t> </w:t>
      </w:r>
      <w:r w:rsidRPr="0058432E">
        <w:rPr>
          <w:color w:val="000000" w:themeColor="text1"/>
        </w:rPr>
        <w:t>4, les patients ont été randomisés pour recevoir 40 mg toutes les deux semaines</w:t>
      </w:r>
      <w:r w:rsidR="004E05D0" w:rsidRPr="0058432E">
        <w:rPr>
          <w:color w:val="000000" w:themeColor="text1"/>
        </w:rPr>
        <w:t>,</w:t>
      </w:r>
      <w:r w:rsidRPr="0058432E">
        <w:rPr>
          <w:color w:val="000000" w:themeColor="text1"/>
        </w:rPr>
        <w:t xml:space="preserve"> 40 mg </w:t>
      </w:r>
      <w:r w:rsidR="004E05D0" w:rsidRPr="0058432E">
        <w:rPr>
          <w:color w:val="000000" w:themeColor="text1"/>
        </w:rPr>
        <w:t>chaque</w:t>
      </w:r>
      <w:r w:rsidRPr="0058432E">
        <w:rPr>
          <w:color w:val="000000" w:themeColor="text1"/>
        </w:rPr>
        <w:t xml:space="preserve"> semaine</w:t>
      </w:r>
      <w:r w:rsidR="000A042E" w:rsidRPr="0058432E">
        <w:rPr>
          <w:color w:val="000000" w:themeColor="text1"/>
        </w:rPr>
        <w:t xml:space="preserve"> </w:t>
      </w:r>
      <w:r w:rsidR="004E05D0" w:rsidRPr="0058432E">
        <w:rPr>
          <w:color w:val="000000" w:themeColor="text1"/>
        </w:rPr>
        <w:t>ou</w:t>
      </w:r>
      <w:r w:rsidRPr="0058432E">
        <w:rPr>
          <w:color w:val="000000" w:themeColor="text1"/>
        </w:rPr>
        <w:t xml:space="preserve"> un placebo pour une durée totale de 56 semaines. Les patients présentant une réponse clinique (diminution de l’indice CDAI ≥ 70) à la semaine 4 ont été stratifiés et analysés séparément de ceux n’ayant pas présenté de réponse clinique à la semaine 4. La diminution progressive des corticoïdes était autorisée après la semaine 8.</w:t>
      </w:r>
    </w:p>
    <w:p w14:paraId="48982AB3" w14:textId="77777777" w:rsidR="00D23702" w:rsidRPr="0058432E" w:rsidRDefault="00D23702" w:rsidP="00387D0C">
      <w:pPr>
        <w:pStyle w:val="BodyText"/>
        <w:widowControl/>
        <w:kinsoku w:val="0"/>
        <w:overflowPunct w:val="0"/>
        <w:ind w:left="0"/>
        <w:rPr>
          <w:color w:val="000000" w:themeColor="text1"/>
        </w:rPr>
      </w:pPr>
    </w:p>
    <w:p w14:paraId="10AADF36" w14:textId="77777777" w:rsidR="00D23702" w:rsidRPr="0058432E" w:rsidRDefault="00D23702" w:rsidP="00673336">
      <w:pPr>
        <w:pStyle w:val="BodyText"/>
        <w:keepNext/>
        <w:widowControl/>
        <w:kinsoku w:val="0"/>
        <w:overflowPunct w:val="0"/>
        <w:ind w:left="0"/>
        <w:rPr>
          <w:color w:val="000000" w:themeColor="text1"/>
        </w:rPr>
      </w:pPr>
      <w:r w:rsidRPr="0058432E">
        <w:rPr>
          <w:color w:val="000000" w:themeColor="text1"/>
        </w:rPr>
        <w:lastRenderedPageBreak/>
        <w:t>Les taux d’induction d’une rémission et de réponse enregistrés dans les études I et II sur la MC sont présentés dans le tableau </w:t>
      </w:r>
      <w:r w:rsidR="006B2FBE" w:rsidRPr="0058432E">
        <w:rPr>
          <w:color w:val="000000" w:themeColor="text1"/>
        </w:rPr>
        <w:t>14</w:t>
      </w:r>
      <w:r w:rsidRPr="0058432E">
        <w:rPr>
          <w:color w:val="000000" w:themeColor="text1"/>
        </w:rPr>
        <w:t>.</w:t>
      </w:r>
    </w:p>
    <w:p w14:paraId="0641C75A" w14:textId="77777777" w:rsidR="002F39BA" w:rsidRPr="0058432E" w:rsidRDefault="002F39BA" w:rsidP="00673336">
      <w:pPr>
        <w:keepNext/>
        <w:rPr>
          <w:color w:val="000000" w:themeColor="text1"/>
        </w:rPr>
      </w:pPr>
    </w:p>
    <w:p w14:paraId="24898C08" w14:textId="77777777" w:rsidR="00D23702" w:rsidRPr="0058432E" w:rsidRDefault="00D23702" w:rsidP="006D1A33">
      <w:pPr>
        <w:pStyle w:val="BodyText"/>
        <w:keepNext/>
        <w:keepLines/>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14</w:t>
      </w:r>
      <w:r w:rsidR="00E11B82" w:rsidRPr="0058432E">
        <w:rPr>
          <w:b/>
          <w:color w:val="000000" w:themeColor="text1"/>
        </w:rPr>
        <w:t>.</w:t>
      </w:r>
    </w:p>
    <w:p w14:paraId="4BCDDB8F" w14:textId="77777777" w:rsidR="009473C0" w:rsidRPr="0058432E" w:rsidRDefault="009473C0" w:rsidP="00A53E17">
      <w:pPr>
        <w:keepNext/>
        <w:rPr>
          <w:b/>
          <w:color w:val="000000" w:themeColor="text1"/>
        </w:rPr>
      </w:pPr>
      <w:r w:rsidRPr="0058432E">
        <w:rPr>
          <w:b/>
          <w:color w:val="000000" w:themeColor="text1"/>
        </w:rPr>
        <w:t>Induction d’une rémission clinique et d’une réponse clinique (pourcentage de patients)</w:t>
      </w:r>
    </w:p>
    <w:p w14:paraId="336CCFD2" w14:textId="77777777" w:rsidR="009473C0" w:rsidRPr="0058432E" w:rsidRDefault="009473C0" w:rsidP="009473C0">
      <w:pPr>
        <w:keepNext/>
        <w:rPr>
          <w:color w:val="000000" w:themeColor="text1"/>
        </w:rPr>
      </w:pP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962"/>
        <w:gridCol w:w="1792"/>
        <w:gridCol w:w="1795"/>
        <w:gridCol w:w="1055"/>
        <w:gridCol w:w="1795"/>
      </w:tblGrid>
      <w:tr w:rsidR="009473C0" w:rsidRPr="0058432E" w14:paraId="2C6CB24C" w14:textId="77777777" w:rsidTr="00B51A46">
        <w:trPr>
          <w:cantSplit/>
          <w:tblHeader/>
        </w:trPr>
        <w:tc>
          <w:tcPr>
            <w:tcW w:w="1726" w:type="dxa"/>
            <w:tcBorders>
              <w:top w:val="single" w:sz="4" w:space="0" w:color="auto"/>
              <w:left w:val="single" w:sz="4" w:space="0" w:color="auto"/>
              <w:bottom w:val="single" w:sz="4" w:space="0" w:color="auto"/>
              <w:right w:val="single" w:sz="4" w:space="0" w:color="auto"/>
            </w:tcBorders>
          </w:tcPr>
          <w:p w14:paraId="706D8114" w14:textId="77777777" w:rsidR="009473C0" w:rsidRPr="0058432E" w:rsidRDefault="009473C0" w:rsidP="005A68B9">
            <w:pPr>
              <w:rPr>
                <w:color w:val="000000" w:themeColor="text1"/>
              </w:rPr>
            </w:pPr>
          </w:p>
        </w:tc>
        <w:tc>
          <w:tcPr>
            <w:tcW w:w="4556" w:type="dxa"/>
            <w:gridSpan w:val="3"/>
            <w:tcBorders>
              <w:top w:val="single" w:sz="4" w:space="0" w:color="auto"/>
              <w:left w:val="single" w:sz="4" w:space="0" w:color="auto"/>
              <w:bottom w:val="single" w:sz="4" w:space="0" w:color="auto"/>
              <w:right w:val="single" w:sz="4" w:space="0" w:color="auto"/>
            </w:tcBorders>
            <w:hideMark/>
          </w:tcPr>
          <w:p w14:paraId="33FDDBA5" w14:textId="77777777" w:rsidR="009473C0" w:rsidRPr="0058432E" w:rsidRDefault="009473C0" w:rsidP="005A68B9">
            <w:pPr>
              <w:rPr>
                <w:color w:val="000000" w:themeColor="text1"/>
              </w:rPr>
            </w:pPr>
            <w:r w:rsidRPr="0058432E">
              <w:rPr>
                <w:b/>
                <w:color w:val="000000" w:themeColor="text1"/>
              </w:rPr>
              <w:t>Étude I sur la MC : patients naïfs d’infliximab</w:t>
            </w:r>
          </w:p>
        </w:tc>
        <w:tc>
          <w:tcPr>
            <w:tcW w:w="2854" w:type="dxa"/>
            <w:gridSpan w:val="2"/>
            <w:tcBorders>
              <w:top w:val="single" w:sz="4" w:space="0" w:color="auto"/>
              <w:left w:val="single" w:sz="4" w:space="0" w:color="auto"/>
              <w:bottom w:val="single" w:sz="4" w:space="0" w:color="auto"/>
              <w:right w:val="single" w:sz="4" w:space="0" w:color="auto"/>
            </w:tcBorders>
            <w:hideMark/>
          </w:tcPr>
          <w:p w14:paraId="2CE01AB1" w14:textId="77777777" w:rsidR="009473C0" w:rsidRPr="0058432E" w:rsidRDefault="009473C0" w:rsidP="005A68B9">
            <w:pPr>
              <w:rPr>
                <w:color w:val="000000" w:themeColor="text1"/>
              </w:rPr>
            </w:pPr>
            <w:r w:rsidRPr="0058432E">
              <w:rPr>
                <w:b/>
                <w:color w:val="000000" w:themeColor="text1"/>
              </w:rPr>
              <w:t>Étude II sur la MC : patients précédemment traités par l’infliximab</w:t>
            </w:r>
          </w:p>
        </w:tc>
      </w:tr>
      <w:tr w:rsidR="009473C0" w:rsidRPr="0058432E" w14:paraId="7405E7E1" w14:textId="77777777" w:rsidTr="00B51A46">
        <w:trPr>
          <w:cantSplit/>
          <w:tblHeader/>
        </w:trPr>
        <w:tc>
          <w:tcPr>
            <w:tcW w:w="1726" w:type="dxa"/>
            <w:tcBorders>
              <w:top w:val="single" w:sz="4" w:space="0" w:color="auto"/>
              <w:left w:val="single" w:sz="4" w:space="0" w:color="auto"/>
              <w:bottom w:val="single" w:sz="4" w:space="0" w:color="auto"/>
              <w:right w:val="single" w:sz="4" w:space="0" w:color="auto"/>
            </w:tcBorders>
          </w:tcPr>
          <w:p w14:paraId="6100D7B6" w14:textId="77777777" w:rsidR="009473C0" w:rsidRPr="0058432E" w:rsidRDefault="009473C0" w:rsidP="005A68B9">
            <w:pPr>
              <w:rPr>
                <w:color w:val="000000" w:themeColor="text1"/>
              </w:rPr>
            </w:pPr>
          </w:p>
        </w:tc>
        <w:tc>
          <w:tcPr>
            <w:tcW w:w="963" w:type="dxa"/>
            <w:tcBorders>
              <w:top w:val="single" w:sz="4" w:space="0" w:color="auto"/>
              <w:left w:val="single" w:sz="4" w:space="0" w:color="auto"/>
              <w:bottom w:val="single" w:sz="4" w:space="0" w:color="auto"/>
              <w:right w:val="single" w:sz="4" w:space="0" w:color="auto"/>
            </w:tcBorders>
            <w:hideMark/>
          </w:tcPr>
          <w:p w14:paraId="7860539B" w14:textId="77777777" w:rsidR="009473C0" w:rsidRPr="0058432E" w:rsidRDefault="009473C0" w:rsidP="005A68B9">
            <w:pPr>
              <w:jc w:val="center"/>
              <w:rPr>
                <w:b/>
                <w:color w:val="000000" w:themeColor="text1"/>
              </w:rPr>
            </w:pPr>
            <w:r w:rsidRPr="0058432E">
              <w:rPr>
                <w:b/>
                <w:color w:val="000000" w:themeColor="text1"/>
              </w:rPr>
              <w:t>Placebo</w:t>
            </w:r>
          </w:p>
          <w:p w14:paraId="22745021" w14:textId="77777777" w:rsidR="009473C0" w:rsidRPr="0058432E" w:rsidRDefault="009473C0" w:rsidP="005A68B9">
            <w:pPr>
              <w:jc w:val="center"/>
              <w:rPr>
                <w:b/>
                <w:color w:val="000000" w:themeColor="text1"/>
              </w:rPr>
            </w:pPr>
            <w:r w:rsidRPr="0058432E">
              <w:rPr>
                <w:b/>
                <w:color w:val="000000" w:themeColor="text1"/>
              </w:rPr>
              <w:t>N = 74</w:t>
            </w:r>
          </w:p>
        </w:tc>
        <w:tc>
          <w:tcPr>
            <w:tcW w:w="1795" w:type="dxa"/>
            <w:tcBorders>
              <w:top w:val="single" w:sz="4" w:space="0" w:color="auto"/>
              <w:left w:val="single" w:sz="4" w:space="0" w:color="auto"/>
              <w:bottom w:val="single" w:sz="4" w:space="0" w:color="auto"/>
              <w:right w:val="single" w:sz="4" w:space="0" w:color="auto"/>
            </w:tcBorders>
            <w:hideMark/>
          </w:tcPr>
          <w:p w14:paraId="6332CE57" w14:textId="77777777" w:rsidR="009473C0" w:rsidRPr="0058432E" w:rsidRDefault="009473C0" w:rsidP="005A68B9">
            <w:pPr>
              <w:jc w:val="center"/>
              <w:rPr>
                <w:b/>
                <w:color w:val="000000" w:themeColor="text1"/>
              </w:rPr>
            </w:pPr>
            <w:r w:rsidRPr="0058432E">
              <w:rPr>
                <w:b/>
                <w:color w:val="000000" w:themeColor="text1"/>
              </w:rPr>
              <w:t>Adalimumab</w:t>
            </w:r>
          </w:p>
          <w:p w14:paraId="2F22BCF8" w14:textId="77777777" w:rsidR="009473C0" w:rsidRPr="0058432E" w:rsidRDefault="009473C0" w:rsidP="005A68B9">
            <w:pPr>
              <w:jc w:val="center"/>
              <w:rPr>
                <w:b/>
                <w:color w:val="000000" w:themeColor="text1"/>
              </w:rPr>
            </w:pPr>
            <w:r w:rsidRPr="0058432E">
              <w:rPr>
                <w:b/>
                <w:color w:val="000000" w:themeColor="text1"/>
              </w:rPr>
              <w:t>80/40 mg</w:t>
            </w:r>
          </w:p>
          <w:p w14:paraId="62B83601" w14:textId="77777777" w:rsidR="009473C0" w:rsidRPr="0058432E" w:rsidRDefault="009473C0" w:rsidP="005A68B9">
            <w:pPr>
              <w:jc w:val="center"/>
              <w:rPr>
                <w:b/>
                <w:color w:val="000000" w:themeColor="text1"/>
              </w:rPr>
            </w:pPr>
            <w:r w:rsidRPr="0058432E">
              <w:rPr>
                <w:b/>
                <w:color w:val="000000" w:themeColor="text1"/>
              </w:rPr>
              <w:t>N = 75</w:t>
            </w:r>
          </w:p>
        </w:tc>
        <w:tc>
          <w:tcPr>
            <w:tcW w:w="1795" w:type="dxa"/>
            <w:tcBorders>
              <w:top w:val="single" w:sz="4" w:space="0" w:color="auto"/>
              <w:left w:val="single" w:sz="4" w:space="0" w:color="auto"/>
              <w:bottom w:val="single" w:sz="4" w:space="0" w:color="auto"/>
              <w:right w:val="single" w:sz="4" w:space="0" w:color="auto"/>
            </w:tcBorders>
            <w:hideMark/>
          </w:tcPr>
          <w:p w14:paraId="4FFCC23E" w14:textId="77777777" w:rsidR="009473C0" w:rsidRPr="0058432E" w:rsidRDefault="009473C0" w:rsidP="005A68B9">
            <w:pPr>
              <w:jc w:val="center"/>
              <w:rPr>
                <w:b/>
                <w:color w:val="000000" w:themeColor="text1"/>
              </w:rPr>
            </w:pPr>
            <w:r w:rsidRPr="0058432E">
              <w:rPr>
                <w:b/>
                <w:color w:val="000000" w:themeColor="text1"/>
              </w:rPr>
              <w:t>Adalimumab</w:t>
            </w:r>
          </w:p>
          <w:p w14:paraId="2EB4A45C" w14:textId="77777777" w:rsidR="009473C0" w:rsidRPr="0058432E" w:rsidRDefault="009473C0" w:rsidP="005A68B9">
            <w:pPr>
              <w:jc w:val="center"/>
              <w:rPr>
                <w:b/>
                <w:color w:val="000000" w:themeColor="text1"/>
              </w:rPr>
            </w:pPr>
            <w:r w:rsidRPr="0058432E">
              <w:rPr>
                <w:b/>
                <w:color w:val="000000" w:themeColor="text1"/>
              </w:rPr>
              <w:t>160/80 mg</w:t>
            </w:r>
          </w:p>
          <w:p w14:paraId="63121D1C" w14:textId="77777777" w:rsidR="009473C0" w:rsidRPr="0058432E" w:rsidRDefault="009473C0" w:rsidP="005A68B9">
            <w:pPr>
              <w:jc w:val="center"/>
              <w:rPr>
                <w:b/>
                <w:color w:val="000000" w:themeColor="text1"/>
              </w:rPr>
            </w:pPr>
            <w:r w:rsidRPr="0058432E">
              <w:rPr>
                <w:b/>
                <w:color w:val="000000" w:themeColor="text1"/>
              </w:rPr>
              <w:t>N = 76</w:t>
            </w:r>
          </w:p>
        </w:tc>
        <w:tc>
          <w:tcPr>
            <w:tcW w:w="1056" w:type="dxa"/>
            <w:tcBorders>
              <w:top w:val="single" w:sz="4" w:space="0" w:color="auto"/>
              <w:left w:val="single" w:sz="4" w:space="0" w:color="auto"/>
              <w:bottom w:val="single" w:sz="4" w:space="0" w:color="auto"/>
              <w:right w:val="single" w:sz="4" w:space="0" w:color="auto"/>
            </w:tcBorders>
            <w:hideMark/>
          </w:tcPr>
          <w:p w14:paraId="48F3A425" w14:textId="77777777" w:rsidR="009473C0" w:rsidRPr="0058432E" w:rsidRDefault="009473C0" w:rsidP="005A68B9">
            <w:pPr>
              <w:jc w:val="center"/>
              <w:rPr>
                <w:b/>
                <w:color w:val="000000" w:themeColor="text1"/>
              </w:rPr>
            </w:pPr>
            <w:r w:rsidRPr="0058432E">
              <w:rPr>
                <w:b/>
                <w:color w:val="000000" w:themeColor="text1"/>
              </w:rPr>
              <w:t>Placebo</w:t>
            </w:r>
          </w:p>
          <w:p w14:paraId="45ED0BA3" w14:textId="77777777" w:rsidR="009473C0" w:rsidRPr="0058432E" w:rsidRDefault="009473C0" w:rsidP="005A68B9">
            <w:pPr>
              <w:jc w:val="center"/>
              <w:rPr>
                <w:b/>
                <w:color w:val="000000" w:themeColor="text1"/>
              </w:rPr>
            </w:pPr>
            <w:r w:rsidRPr="0058432E">
              <w:rPr>
                <w:b/>
                <w:color w:val="000000" w:themeColor="text1"/>
              </w:rPr>
              <w:t>N = 166</w:t>
            </w:r>
          </w:p>
        </w:tc>
        <w:tc>
          <w:tcPr>
            <w:tcW w:w="1798" w:type="dxa"/>
            <w:tcBorders>
              <w:top w:val="single" w:sz="4" w:space="0" w:color="auto"/>
              <w:left w:val="single" w:sz="4" w:space="0" w:color="auto"/>
              <w:bottom w:val="single" w:sz="4" w:space="0" w:color="auto"/>
              <w:right w:val="single" w:sz="4" w:space="0" w:color="auto"/>
            </w:tcBorders>
            <w:hideMark/>
          </w:tcPr>
          <w:p w14:paraId="31E45125" w14:textId="77777777" w:rsidR="009473C0" w:rsidRPr="0058432E" w:rsidRDefault="009473C0" w:rsidP="005A68B9">
            <w:pPr>
              <w:jc w:val="center"/>
              <w:rPr>
                <w:b/>
                <w:color w:val="000000" w:themeColor="text1"/>
              </w:rPr>
            </w:pPr>
            <w:r w:rsidRPr="0058432E">
              <w:rPr>
                <w:b/>
                <w:color w:val="000000" w:themeColor="text1"/>
              </w:rPr>
              <w:t>Adalimumab</w:t>
            </w:r>
          </w:p>
          <w:p w14:paraId="1F09C59F" w14:textId="77777777" w:rsidR="009473C0" w:rsidRPr="0058432E" w:rsidRDefault="009473C0" w:rsidP="005A68B9">
            <w:pPr>
              <w:jc w:val="center"/>
              <w:rPr>
                <w:b/>
                <w:color w:val="000000" w:themeColor="text1"/>
              </w:rPr>
            </w:pPr>
            <w:r w:rsidRPr="0058432E">
              <w:rPr>
                <w:b/>
                <w:color w:val="000000" w:themeColor="text1"/>
              </w:rPr>
              <w:t>160/80 mg</w:t>
            </w:r>
          </w:p>
          <w:p w14:paraId="54EF1BAF" w14:textId="77777777" w:rsidR="009473C0" w:rsidRPr="0058432E" w:rsidRDefault="009473C0" w:rsidP="005A68B9">
            <w:pPr>
              <w:jc w:val="center"/>
              <w:rPr>
                <w:b/>
                <w:color w:val="000000" w:themeColor="text1"/>
              </w:rPr>
            </w:pPr>
            <w:r w:rsidRPr="0058432E">
              <w:rPr>
                <w:b/>
                <w:color w:val="000000" w:themeColor="text1"/>
              </w:rPr>
              <w:t>N = 159</w:t>
            </w:r>
          </w:p>
        </w:tc>
      </w:tr>
      <w:tr w:rsidR="009473C0" w:rsidRPr="0058432E" w14:paraId="0E290866" w14:textId="77777777" w:rsidTr="00B51A46">
        <w:trPr>
          <w:cantSplit/>
        </w:trPr>
        <w:tc>
          <w:tcPr>
            <w:tcW w:w="1726" w:type="dxa"/>
            <w:tcBorders>
              <w:top w:val="single" w:sz="4" w:space="0" w:color="auto"/>
              <w:left w:val="single" w:sz="4" w:space="0" w:color="auto"/>
              <w:bottom w:val="single" w:sz="4" w:space="0" w:color="auto"/>
              <w:right w:val="single" w:sz="4" w:space="0" w:color="auto"/>
            </w:tcBorders>
            <w:hideMark/>
          </w:tcPr>
          <w:p w14:paraId="219DA4BE" w14:textId="77777777" w:rsidR="009473C0" w:rsidRPr="0058432E" w:rsidRDefault="009473C0" w:rsidP="005A68B9">
            <w:pPr>
              <w:rPr>
                <w:color w:val="000000" w:themeColor="text1"/>
              </w:rPr>
            </w:pPr>
            <w:r w:rsidRPr="0058432E">
              <w:rPr>
                <w:color w:val="000000" w:themeColor="text1"/>
              </w:rPr>
              <w:t>Semaine 4</w:t>
            </w:r>
          </w:p>
        </w:tc>
        <w:tc>
          <w:tcPr>
            <w:tcW w:w="963" w:type="dxa"/>
            <w:tcBorders>
              <w:top w:val="single" w:sz="4" w:space="0" w:color="auto"/>
              <w:left w:val="single" w:sz="4" w:space="0" w:color="auto"/>
              <w:bottom w:val="single" w:sz="4" w:space="0" w:color="auto"/>
              <w:right w:val="single" w:sz="4" w:space="0" w:color="auto"/>
            </w:tcBorders>
          </w:tcPr>
          <w:p w14:paraId="37C5C632" w14:textId="77777777" w:rsidR="009473C0" w:rsidRPr="0058432E" w:rsidRDefault="009473C0" w:rsidP="005A68B9">
            <w:pPr>
              <w:rPr>
                <w:color w:val="000000" w:themeColor="text1"/>
              </w:rPr>
            </w:pPr>
          </w:p>
        </w:tc>
        <w:tc>
          <w:tcPr>
            <w:tcW w:w="1795" w:type="dxa"/>
            <w:tcBorders>
              <w:top w:val="single" w:sz="4" w:space="0" w:color="auto"/>
              <w:left w:val="single" w:sz="4" w:space="0" w:color="auto"/>
              <w:bottom w:val="single" w:sz="4" w:space="0" w:color="auto"/>
              <w:right w:val="single" w:sz="4" w:space="0" w:color="auto"/>
            </w:tcBorders>
          </w:tcPr>
          <w:p w14:paraId="39513658" w14:textId="77777777" w:rsidR="009473C0" w:rsidRPr="0058432E" w:rsidRDefault="009473C0" w:rsidP="005A68B9">
            <w:pPr>
              <w:rPr>
                <w:color w:val="000000" w:themeColor="text1"/>
              </w:rPr>
            </w:pPr>
          </w:p>
        </w:tc>
        <w:tc>
          <w:tcPr>
            <w:tcW w:w="1795" w:type="dxa"/>
            <w:tcBorders>
              <w:top w:val="single" w:sz="4" w:space="0" w:color="auto"/>
              <w:left w:val="single" w:sz="4" w:space="0" w:color="auto"/>
              <w:bottom w:val="single" w:sz="4" w:space="0" w:color="auto"/>
              <w:right w:val="single" w:sz="4" w:space="0" w:color="auto"/>
            </w:tcBorders>
          </w:tcPr>
          <w:p w14:paraId="7B9EA110" w14:textId="77777777" w:rsidR="009473C0" w:rsidRPr="0058432E" w:rsidRDefault="009473C0" w:rsidP="005A68B9">
            <w:pPr>
              <w:rPr>
                <w:color w:val="000000" w:themeColor="text1"/>
              </w:rPr>
            </w:pPr>
          </w:p>
        </w:tc>
        <w:tc>
          <w:tcPr>
            <w:tcW w:w="1056" w:type="dxa"/>
            <w:tcBorders>
              <w:top w:val="single" w:sz="4" w:space="0" w:color="auto"/>
              <w:left w:val="single" w:sz="4" w:space="0" w:color="auto"/>
              <w:bottom w:val="single" w:sz="4" w:space="0" w:color="auto"/>
              <w:right w:val="single" w:sz="4" w:space="0" w:color="auto"/>
            </w:tcBorders>
          </w:tcPr>
          <w:p w14:paraId="0F95CD83" w14:textId="77777777" w:rsidR="009473C0" w:rsidRPr="0058432E" w:rsidRDefault="009473C0" w:rsidP="005A68B9">
            <w:pPr>
              <w:rPr>
                <w:color w:val="000000" w:themeColor="text1"/>
              </w:rPr>
            </w:pPr>
          </w:p>
        </w:tc>
        <w:tc>
          <w:tcPr>
            <w:tcW w:w="1798" w:type="dxa"/>
            <w:tcBorders>
              <w:top w:val="single" w:sz="4" w:space="0" w:color="auto"/>
              <w:left w:val="single" w:sz="4" w:space="0" w:color="auto"/>
              <w:bottom w:val="single" w:sz="4" w:space="0" w:color="auto"/>
              <w:right w:val="single" w:sz="4" w:space="0" w:color="auto"/>
            </w:tcBorders>
          </w:tcPr>
          <w:p w14:paraId="00F9E73F" w14:textId="77777777" w:rsidR="009473C0" w:rsidRPr="0058432E" w:rsidRDefault="009473C0" w:rsidP="005A68B9">
            <w:pPr>
              <w:rPr>
                <w:color w:val="000000" w:themeColor="text1"/>
              </w:rPr>
            </w:pPr>
          </w:p>
        </w:tc>
      </w:tr>
      <w:tr w:rsidR="009473C0" w:rsidRPr="0058432E" w14:paraId="6A73A40B" w14:textId="77777777" w:rsidTr="00B51A46">
        <w:trPr>
          <w:cantSplit/>
        </w:trPr>
        <w:tc>
          <w:tcPr>
            <w:tcW w:w="1726" w:type="dxa"/>
            <w:tcBorders>
              <w:top w:val="single" w:sz="4" w:space="0" w:color="auto"/>
              <w:left w:val="single" w:sz="4" w:space="0" w:color="auto"/>
              <w:bottom w:val="single" w:sz="4" w:space="0" w:color="auto"/>
              <w:right w:val="single" w:sz="4" w:space="0" w:color="auto"/>
            </w:tcBorders>
            <w:hideMark/>
          </w:tcPr>
          <w:p w14:paraId="5733E07C" w14:textId="77777777" w:rsidR="009473C0" w:rsidRPr="0058432E" w:rsidRDefault="009473C0" w:rsidP="005A68B9">
            <w:pPr>
              <w:rPr>
                <w:color w:val="000000" w:themeColor="text1"/>
              </w:rPr>
            </w:pPr>
            <w:r w:rsidRPr="0058432E">
              <w:rPr>
                <w:color w:val="000000" w:themeColor="text1"/>
              </w:rPr>
              <w:t>Rémission clinique</w:t>
            </w:r>
          </w:p>
        </w:tc>
        <w:tc>
          <w:tcPr>
            <w:tcW w:w="963" w:type="dxa"/>
            <w:tcBorders>
              <w:top w:val="single" w:sz="4" w:space="0" w:color="auto"/>
              <w:left w:val="single" w:sz="4" w:space="0" w:color="auto"/>
              <w:bottom w:val="single" w:sz="4" w:space="0" w:color="auto"/>
              <w:right w:val="single" w:sz="4" w:space="0" w:color="auto"/>
            </w:tcBorders>
            <w:vAlign w:val="center"/>
            <w:hideMark/>
          </w:tcPr>
          <w:p w14:paraId="7C37D98F" w14:textId="77777777" w:rsidR="009473C0" w:rsidRPr="0058432E" w:rsidRDefault="009473C0" w:rsidP="005A68B9">
            <w:pPr>
              <w:jc w:val="center"/>
              <w:rPr>
                <w:color w:val="000000" w:themeColor="text1"/>
              </w:rPr>
            </w:pPr>
            <w:r w:rsidRPr="0058432E">
              <w:rPr>
                <w:color w:val="000000" w:themeColor="text1"/>
              </w:rPr>
              <w:t>12 %</w:t>
            </w:r>
          </w:p>
        </w:tc>
        <w:tc>
          <w:tcPr>
            <w:tcW w:w="1795" w:type="dxa"/>
            <w:tcBorders>
              <w:top w:val="single" w:sz="4" w:space="0" w:color="auto"/>
              <w:left w:val="single" w:sz="4" w:space="0" w:color="auto"/>
              <w:bottom w:val="single" w:sz="4" w:space="0" w:color="auto"/>
              <w:right w:val="single" w:sz="4" w:space="0" w:color="auto"/>
            </w:tcBorders>
            <w:vAlign w:val="center"/>
            <w:hideMark/>
          </w:tcPr>
          <w:p w14:paraId="05A249AD" w14:textId="77777777" w:rsidR="009473C0" w:rsidRPr="0058432E" w:rsidRDefault="009473C0" w:rsidP="005A68B9">
            <w:pPr>
              <w:jc w:val="center"/>
              <w:rPr>
                <w:color w:val="000000" w:themeColor="text1"/>
              </w:rPr>
            </w:pPr>
            <w:r w:rsidRPr="0058432E">
              <w:rPr>
                <w:color w:val="000000" w:themeColor="text1"/>
              </w:rPr>
              <w:t>24 %</w:t>
            </w:r>
          </w:p>
        </w:tc>
        <w:tc>
          <w:tcPr>
            <w:tcW w:w="1795" w:type="dxa"/>
            <w:tcBorders>
              <w:top w:val="single" w:sz="4" w:space="0" w:color="auto"/>
              <w:left w:val="single" w:sz="4" w:space="0" w:color="auto"/>
              <w:bottom w:val="single" w:sz="4" w:space="0" w:color="auto"/>
              <w:right w:val="single" w:sz="4" w:space="0" w:color="auto"/>
            </w:tcBorders>
            <w:vAlign w:val="center"/>
            <w:hideMark/>
          </w:tcPr>
          <w:p w14:paraId="3DF115BD" w14:textId="77777777" w:rsidR="009473C0" w:rsidRPr="0058432E" w:rsidRDefault="009473C0" w:rsidP="005A68B9">
            <w:pPr>
              <w:jc w:val="center"/>
              <w:rPr>
                <w:color w:val="000000" w:themeColor="text1"/>
              </w:rPr>
            </w:pPr>
            <w:r w:rsidRPr="0058432E">
              <w:rPr>
                <w:color w:val="000000" w:themeColor="text1"/>
              </w:rPr>
              <w:t>36 %*</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4DBCDB9" w14:textId="77777777" w:rsidR="009473C0" w:rsidRPr="0058432E" w:rsidRDefault="009473C0" w:rsidP="005A68B9">
            <w:pPr>
              <w:jc w:val="center"/>
              <w:rPr>
                <w:color w:val="000000" w:themeColor="text1"/>
              </w:rPr>
            </w:pPr>
            <w:r w:rsidRPr="0058432E">
              <w:rPr>
                <w:color w:val="000000" w:themeColor="text1"/>
              </w:rPr>
              <w:t>7 %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F7018C8" w14:textId="77777777" w:rsidR="009473C0" w:rsidRPr="0058432E" w:rsidRDefault="009473C0" w:rsidP="005A68B9">
            <w:pPr>
              <w:jc w:val="center"/>
              <w:rPr>
                <w:color w:val="000000" w:themeColor="text1"/>
              </w:rPr>
            </w:pPr>
            <w:r w:rsidRPr="0058432E">
              <w:rPr>
                <w:color w:val="000000" w:themeColor="text1"/>
              </w:rPr>
              <w:t>21 %*</w:t>
            </w:r>
          </w:p>
        </w:tc>
      </w:tr>
      <w:tr w:rsidR="009473C0" w:rsidRPr="0058432E" w14:paraId="6017109E" w14:textId="77777777" w:rsidTr="00B51A46">
        <w:trPr>
          <w:cantSplit/>
        </w:trPr>
        <w:tc>
          <w:tcPr>
            <w:tcW w:w="1726" w:type="dxa"/>
            <w:tcBorders>
              <w:top w:val="single" w:sz="4" w:space="0" w:color="auto"/>
              <w:left w:val="single" w:sz="4" w:space="0" w:color="auto"/>
              <w:bottom w:val="single" w:sz="4" w:space="0" w:color="auto"/>
              <w:right w:val="single" w:sz="4" w:space="0" w:color="auto"/>
            </w:tcBorders>
            <w:hideMark/>
          </w:tcPr>
          <w:p w14:paraId="71692FB5" w14:textId="77777777" w:rsidR="009473C0" w:rsidRPr="0058432E" w:rsidRDefault="009473C0" w:rsidP="005A68B9">
            <w:pPr>
              <w:rPr>
                <w:color w:val="000000" w:themeColor="text1"/>
              </w:rPr>
            </w:pPr>
            <w:r w:rsidRPr="0058432E">
              <w:rPr>
                <w:color w:val="000000" w:themeColor="text1"/>
              </w:rPr>
              <w:t>Réponse clinique (CR</w:t>
            </w:r>
            <w:r w:rsidRPr="0058432E">
              <w:rPr>
                <w:color w:val="000000" w:themeColor="text1"/>
              </w:rPr>
              <w:noBreakHyphen/>
              <w:t>100)</w:t>
            </w:r>
          </w:p>
        </w:tc>
        <w:tc>
          <w:tcPr>
            <w:tcW w:w="963" w:type="dxa"/>
            <w:tcBorders>
              <w:top w:val="single" w:sz="4" w:space="0" w:color="auto"/>
              <w:left w:val="single" w:sz="4" w:space="0" w:color="auto"/>
              <w:bottom w:val="single" w:sz="4" w:space="0" w:color="auto"/>
              <w:right w:val="single" w:sz="4" w:space="0" w:color="auto"/>
            </w:tcBorders>
            <w:vAlign w:val="center"/>
            <w:hideMark/>
          </w:tcPr>
          <w:p w14:paraId="6B581A4D" w14:textId="77777777" w:rsidR="009473C0" w:rsidRPr="0058432E" w:rsidRDefault="009473C0" w:rsidP="005A68B9">
            <w:pPr>
              <w:jc w:val="center"/>
              <w:rPr>
                <w:color w:val="000000" w:themeColor="text1"/>
              </w:rPr>
            </w:pPr>
            <w:r w:rsidRPr="0058432E">
              <w:rPr>
                <w:color w:val="000000" w:themeColor="text1"/>
              </w:rPr>
              <w:t>24 %</w:t>
            </w:r>
          </w:p>
        </w:tc>
        <w:tc>
          <w:tcPr>
            <w:tcW w:w="1795" w:type="dxa"/>
            <w:tcBorders>
              <w:top w:val="single" w:sz="4" w:space="0" w:color="auto"/>
              <w:left w:val="single" w:sz="4" w:space="0" w:color="auto"/>
              <w:bottom w:val="single" w:sz="4" w:space="0" w:color="auto"/>
              <w:right w:val="single" w:sz="4" w:space="0" w:color="auto"/>
            </w:tcBorders>
            <w:vAlign w:val="center"/>
            <w:hideMark/>
          </w:tcPr>
          <w:p w14:paraId="2DF5FD60" w14:textId="77777777" w:rsidR="009473C0" w:rsidRPr="0058432E" w:rsidRDefault="009473C0" w:rsidP="005A68B9">
            <w:pPr>
              <w:jc w:val="center"/>
              <w:rPr>
                <w:color w:val="000000" w:themeColor="text1"/>
              </w:rPr>
            </w:pPr>
            <w:r w:rsidRPr="0058432E">
              <w:rPr>
                <w:color w:val="000000" w:themeColor="text1"/>
              </w:rPr>
              <w:t>37 %</w:t>
            </w:r>
          </w:p>
        </w:tc>
        <w:tc>
          <w:tcPr>
            <w:tcW w:w="1795" w:type="dxa"/>
            <w:tcBorders>
              <w:top w:val="single" w:sz="4" w:space="0" w:color="auto"/>
              <w:left w:val="single" w:sz="4" w:space="0" w:color="auto"/>
              <w:bottom w:val="single" w:sz="4" w:space="0" w:color="auto"/>
              <w:right w:val="single" w:sz="4" w:space="0" w:color="auto"/>
            </w:tcBorders>
            <w:vAlign w:val="center"/>
            <w:hideMark/>
          </w:tcPr>
          <w:p w14:paraId="51061A06" w14:textId="77777777" w:rsidR="009473C0" w:rsidRPr="0058432E" w:rsidRDefault="009473C0" w:rsidP="005A68B9">
            <w:pPr>
              <w:jc w:val="center"/>
              <w:rPr>
                <w:color w:val="000000" w:themeColor="text1"/>
              </w:rPr>
            </w:pPr>
            <w:r w:rsidRPr="0058432E">
              <w:rPr>
                <w:color w:val="000000" w:themeColor="text1"/>
              </w:rPr>
              <w:t>49 %**</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2214353" w14:textId="77777777" w:rsidR="009473C0" w:rsidRPr="0058432E" w:rsidRDefault="009473C0" w:rsidP="005A68B9">
            <w:pPr>
              <w:jc w:val="center"/>
              <w:rPr>
                <w:color w:val="000000" w:themeColor="text1"/>
              </w:rPr>
            </w:pPr>
            <w:r w:rsidRPr="0058432E">
              <w:rPr>
                <w:color w:val="000000" w:themeColor="text1"/>
              </w:rPr>
              <w:t>25 %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0120BD9E" w14:textId="77777777" w:rsidR="009473C0" w:rsidRPr="0058432E" w:rsidRDefault="009473C0" w:rsidP="005A68B9">
            <w:pPr>
              <w:jc w:val="center"/>
              <w:rPr>
                <w:color w:val="000000" w:themeColor="text1"/>
              </w:rPr>
            </w:pPr>
            <w:r w:rsidRPr="0058432E">
              <w:rPr>
                <w:color w:val="000000" w:themeColor="text1"/>
              </w:rPr>
              <w:t>38 %**</w:t>
            </w:r>
          </w:p>
        </w:tc>
      </w:tr>
      <w:tr w:rsidR="00CC0C3D" w:rsidRPr="0058432E" w14:paraId="40BD7F0E" w14:textId="77777777" w:rsidTr="00B51A46">
        <w:trPr>
          <w:cantSplit/>
        </w:trPr>
        <w:tc>
          <w:tcPr>
            <w:tcW w:w="9136" w:type="dxa"/>
            <w:gridSpan w:val="6"/>
            <w:tcBorders>
              <w:top w:val="single" w:sz="4" w:space="0" w:color="auto"/>
              <w:left w:val="nil"/>
              <w:bottom w:val="nil"/>
              <w:right w:val="nil"/>
            </w:tcBorders>
          </w:tcPr>
          <w:p w14:paraId="6FE55C68" w14:textId="77777777" w:rsidR="00CC0C3D" w:rsidRPr="0058432E" w:rsidRDefault="00CC0C3D" w:rsidP="00CC0C3D">
            <w:pPr>
              <w:ind w:left="270" w:hanging="270"/>
              <w:rPr>
                <w:color w:val="000000" w:themeColor="text1"/>
                <w:sz w:val="20"/>
              </w:rPr>
            </w:pPr>
            <w:r w:rsidRPr="0058432E">
              <w:rPr>
                <w:color w:val="000000" w:themeColor="text1"/>
                <w:sz w:val="20"/>
              </w:rPr>
              <w:t xml:space="preserve">Toutes les valeurs de </w:t>
            </w:r>
            <w:r w:rsidRPr="0058432E">
              <w:rPr>
                <w:i/>
                <w:iCs/>
                <w:color w:val="000000" w:themeColor="text1"/>
                <w:sz w:val="20"/>
              </w:rPr>
              <w:t>p</w:t>
            </w:r>
            <w:r w:rsidRPr="0058432E">
              <w:rPr>
                <w:color w:val="000000" w:themeColor="text1"/>
                <w:sz w:val="20"/>
              </w:rPr>
              <w:t xml:space="preserve"> correspondent à des comparaisons appariées des pourcentages pour l’adalimumab </w:t>
            </w:r>
            <w:r w:rsidRPr="0058432E">
              <w:rPr>
                <w:i/>
                <w:color w:val="000000" w:themeColor="text1"/>
                <w:sz w:val="20"/>
              </w:rPr>
              <w:t>versus</w:t>
            </w:r>
            <w:r w:rsidRPr="0058432E">
              <w:rPr>
                <w:color w:val="000000" w:themeColor="text1"/>
                <w:sz w:val="20"/>
              </w:rPr>
              <w:t xml:space="preserve"> placebo </w:t>
            </w:r>
          </w:p>
          <w:p w14:paraId="4D16F35F" w14:textId="77777777" w:rsidR="00CC0C3D" w:rsidRPr="0058432E" w:rsidRDefault="00CC0C3D" w:rsidP="00CC0C3D">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w:t>
            </w:r>
          </w:p>
          <w:p w14:paraId="04836B71" w14:textId="77777777" w:rsidR="00CC0C3D" w:rsidRPr="0058432E" w:rsidRDefault="00CC0C3D" w:rsidP="00CC0C3D">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0,01 </w:t>
            </w:r>
          </w:p>
        </w:tc>
      </w:tr>
    </w:tbl>
    <w:p w14:paraId="40C00DFC" w14:textId="77777777" w:rsidR="002F39BA" w:rsidRPr="0058432E" w:rsidRDefault="002F39BA" w:rsidP="00387D0C">
      <w:pPr>
        <w:rPr>
          <w:color w:val="000000" w:themeColor="text1"/>
        </w:rPr>
      </w:pPr>
    </w:p>
    <w:p w14:paraId="22E5447B" w14:textId="77777777" w:rsidR="00D23702" w:rsidRPr="0058432E" w:rsidRDefault="00D23702" w:rsidP="00387D0C">
      <w:pPr>
        <w:pStyle w:val="BodyText"/>
        <w:widowControl/>
        <w:kinsoku w:val="0"/>
        <w:overflowPunct w:val="0"/>
        <w:ind w:left="0"/>
        <w:rPr>
          <w:color w:val="000000" w:themeColor="text1"/>
        </w:rPr>
      </w:pPr>
      <w:r w:rsidRPr="0058432E">
        <w:rPr>
          <w:color w:val="000000" w:themeColor="text1"/>
        </w:rPr>
        <w:t>Des taux de rémission similaires ont été observés pour les schémas d’induction 160/80 mg et 80/40 mg à la semaine</w:t>
      </w:r>
      <w:r w:rsidR="005F2B6F" w:rsidRPr="0058432E">
        <w:rPr>
          <w:color w:val="000000" w:themeColor="text1"/>
        </w:rPr>
        <w:t> </w:t>
      </w:r>
      <w:r w:rsidRPr="0058432E">
        <w:rPr>
          <w:color w:val="000000" w:themeColor="text1"/>
        </w:rPr>
        <w:t>8 et les événements indésirables ont été plus fréquents dans le groupe 160/80 mg.</w:t>
      </w:r>
    </w:p>
    <w:p w14:paraId="5080E48B" w14:textId="77777777" w:rsidR="00D23702" w:rsidRPr="0058432E" w:rsidRDefault="00D23702" w:rsidP="00387D0C">
      <w:pPr>
        <w:pStyle w:val="BodyText"/>
        <w:widowControl/>
        <w:kinsoku w:val="0"/>
        <w:overflowPunct w:val="0"/>
        <w:ind w:left="0"/>
        <w:rPr>
          <w:color w:val="000000" w:themeColor="text1"/>
        </w:rPr>
      </w:pPr>
    </w:p>
    <w:p w14:paraId="7BCC9BBC" w14:textId="77777777" w:rsidR="00D23702" w:rsidRPr="0058432E" w:rsidRDefault="00D23702" w:rsidP="00387D0C">
      <w:pPr>
        <w:pStyle w:val="BodyText"/>
        <w:widowControl/>
        <w:kinsoku w:val="0"/>
        <w:overflowPunct w:val="0"/>
        <w:ind w:left="0"/>
        <w:rPr>
          <w:color w:val="000000" w:themeColor="text1"/>
        </w:rPr>
      </w:pPr>
      <w:r w:rsidRPr="0058432E">
        <w:rPr>
          <w:color w:val="000000" w:themeColor="text1"/>
        </w:rPr>
        <w:t>Dans l’étude III sur la MC, 58 % (499/854) des patients présentaient une réponse clinique à la semaine</w:t>
      </w:r>
      <w:r w:rsidR="00C41F7C" w:rsidRPr="0058432E">
        <w:rPr>
          <w:color w:val="000000" w:themeColor="text1"/>
        </w:rPr>
        <w:t> </w:t>
      </w:r>
      <w:r w:rsidRPr="0058432E">
        <w:rPr>
          <w:color w:val="000000" w:themeColor="text1"/>
        </w:rPr>
        <w:t>4 et ont été évalués dans l’analyse principale. Parmi les patients présentant une réponse clinique à la semaine</w:t>
      </w:r>
      <w:r w:rsidR="00C15D2A" w:rsidRPr="0058432E">
        <w:rPr>
          <w:color w:val="000000" w:themeColor="text1"/>
        </w:rPr>
        <w:t> </w:t>
      </w:r>
      <w:r w:rsidRPr="0058432E">
        <w:rPr>
          <w:color w:val="000000" w:themeColor="text1"/>
        </w:rPr>
        <w:t xml:space="preserve">4, 48 % avaient été préalablement exposés à un autre traitement </w:t>
      </w:r>
      <w:r w:rsidR="004E05D0" w:rsidRPr="0058432E">
        <w:rPr>
          <w:color w:val="000000" w:themeColor="text1"/>
        </w:rPr>
        <w:t xml:space="preserve">par antagoniste </w:t>
      </w:r>
      <w:r w:rsidRPr="0058432E">
        <w:rPr>
          <w:color w:val="000000" w:themeColor="text1"/>
        </w:rPr>
        <w:t>TNF. Les taux de maintien de la rémission et de réponse sont présentés dans le tableau </w:t>
      </w:r>
      <w:r w:rsidR="006B2FBE" w:rsidRPr="0058432E">
        <w:rPr>
          <w:color w:val="000000" w:themeColor="text1"/>
        </w:rPr>
        <w:t>15</w:t>
      </w:r>
      <w:r w:rsidRPr="0058432E">
        <w:rPr>
          <w:color w:val="000000" w:themeColor="text1"/>
        </w:rPr>
        <w:t xml:space="preserve">. Les résultats de rémission clinique sont restés relativement constants, indépendamment de l’exposition antérieure à un </w:t>
      </w:r>
      <w:r w:rsidR="004E05D0" w:rsidRPr="0058432E">
        <w:rPr>
          <w:color w:val="000000" w:themeColor="text1"/>
        </w:rPr>
        <w:t xml:space="preserve">antagoniste </w:t>
      </w:r>
      <w:r w:rsidRPr="0058432E">
        <w:rPr>
          <w:color w:val="000000" w:themeColor="text1"/>
        </w:rPr>
        <w:t>TNF.</w:t>
      </w:r>
    </w:p>
    <w:p w14:paraId="737F6312" w14:textId="77777777" w:rsidR="00D23702" w:rsidRPr="0058432E" w:rsidRDefault="00D23702" w:rsidP="00387D0C">
      <w:pPr>
        <w:pStyle w:val="BodyText"/>
        <w:widowControl/>
        <w:kinsoku w:val="0"/>
        <w:overflowPunct w:val="0"/>
        <w:ind w:left="0"/>
        <w:rPr>
          <w:color w:val="000000" w:themeColor="text1"/>
        </w:rPr>
      </w:pPr>
    </w:p>
    <w:p w14:paraId="79089967" w14:textId="77777777" w:rsidR="00D23702" w:rsidRPr="0058432E" w:rsidRDefault="00D23702" w:rsidP="00387D0C">
      <w:pPr>
        <w:pStyle w:val="BodyText"/>
        <w:widowControl/>
        <w:kinsoku w:val="0"/>
        <w:overflowPunct w:val="0"/>
        <w:ind w:left="0"/>
        <w:rPr>
          <w:color w:val="000000" w:themeColor="text1"/>
        </w:rPr>
      </w:pPr>
      <w:r w:rsidRPr="0058432E">
        <w:rPr>
          <w:color w:val="000000" w:themeColor="text1"/>
        </w:rPr>
        <w:t>Les hospitalisations et interventions chirurgicales liées à la maladie ont été réduites de manière statistiquement significative avec l’adalimumab comparé au placebo à la semaine</w:t>
      </w:r>
      <w:r w:rsidR="00A10233" w:rsidRPr="0058432E">
        <w:rPr>
          <w:color w:val="000000" w:themeColor="text1"/>
        </w:rPr>
        <w:t> </w:t>
      </w:r>
      <w:r w:rsidRPr="0058432E">
        <w:rPr>
          <w:color w:val="000000" w:themeColor="text1"/>
        </w:rPr>
        <w:t>56.</w:t>
      </w:r>
    </w:p>
    <w:p w14:paraId="59F20BF6" w14:textId="77777777" w:rsidR="00D23702" w:rsidRPr="0058432E" w:rsidRDefault="00D23702" w:rsidP="00387D0C">
      <w:pPr>
        <w:rPr>
          <w:color w:val="000000" w:themeColor="text1"/>
        </w:rPr>
      </w:pPr>
    </w:p>
    <w:p w14:paraId="35C1CCD6" w14:textId="77777777" w:rsidR="00A93095" w:rsidRPr="0058432E" w:rsidRDefault="00A93095" w:rsidP="003D2782">
      <w:pPr>
        <w:pStyle w:val="BodyText"/>
        <w:keepNext/>
        <w:keepLines/>
        <w:widowControl/>
        <w:kinsoku w:val="0"/>
        <w:overflowPunct w:val="0"/>
        <w:ind w:left="0"/>
        <w:rPr>
          <w:b/>
          <w:color w:val="000000" w:themeColor="text1"/>
        </w:rPr>
      </w:pPr>
      <w:r w:rsidRPr="0058432E">
        <w:rPr>
          <w:b/>
          <w:color w:val="000000" w:themeColor="text1"/>
        </w:rPr>
        <w:t>Tableau </w:t>
      </w:r>
      <w:r w:rsidR="006B2FBE" w:rsidRPr="0058432E">
        <w:rPr>
          <w:b/>
          <w:color w:val="000000" w:themeColor="text1"/>
        </w:rPr>
        <w:t>15</w:t>
      </w:r>
      <w:r w:rsidR="00002C0C" w:rsidRPr="0058432E">
        <w:rPr>
          <w:b/>
          <w:color w:val="000000" w:themeColor="text1"/>
        </w:rPr>
        <w:t>.</w:t>
      </w:r>
    </w:p>
    <w:p w14:paraId="66DBF9DE" w14:textId="77777777" w:rsidR="009473C0" w:rsidRPr="0058432E" w:rsidRDefault="009473C0" w:rsidP="00A53E17">
      <w:pPr>
        <w:keepNext/>
        <w:rPr>
          <w:b/>
          <w:color w:val="000000" w:themeColor="text1"/>
        </w:rPr>
      </w:pPr>
      <w:r w:rsidRPr="0058432E">
        <w:rPr>
          <w:b/>
          <w:color w:val="000000" w:themeColor="text1"/>
        </w:rPr>
        <w:t>Maintien de la rémission clinique et de la réponse clinique (pourcentage de patients)</w:t>
      </w:r>
    </w:p>
    <w:p w14:paraId="200DA878" w14:textId="77777777" w:rsidR="009473C0" w:rsidRPr="0058432E" w:rsidRDefault="009473C0" w:rsidP="009473C0">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087"/>
        <w:gridCol w:w="2128"/>
        <w:gridCol w:w="2128"/>
      </w:tblGrid>
      <w:tr w:rsidR="009473C0" w:rsidRPr="0058432E" w14:paraId="0835FC22" w14:textId="77777777" w:rsidTr="009473C0">
        <w:trPr>
          <w:tblHeader/>
        </w:trPr>
        <w:tc>
          <w:tcPr>
            <w:tcW w:w="2808" w:type="dxa"/>
            <w:tcBorders>
              <w:top w:val="single" w:sz="4" w:space="0" w:color="auto"/>
              <w:left w:val="single" w:sz="4" w:space="0" w:color="auto"/>
              <w:bottom w:val="single" w:sz="4" w:space="0" w:color="auto"/>
              <w:right w:val="single" w:sz="4" w:space="0" w:color="auto"/>
            </w:tcBorders>
          </w:tcPr>
          <w:p w14:paraId="4704CFDF" w14:textId="77777777" w:rsidR="009473C0" w:rsidRPr="0058432E" w:rsidRDefault="009473C0" w:rsidP="005A68B9">
            <w:pPr>
              <w:keepNext/>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1EA77468" w14:textId="77777777" w:rsidR="009473C0" w:rsidRPr="0058432E" w:rsidRDefault="009473C0" w:rsidP="005A68B9">
            <w:pPr>
              <w:keepNext/>
              <w:jc w:val="center"/>
              <w:rPr>
                <w:b/>
                <w:color w:val="000000" w:themeColor="text1"/>
              </w:rPr>
            </w:pPr>
            <w:r w:rsidRPr="0058432E">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19297DD2" w14:textId="77777777" w:rsidR="009473C0" w:rsidRPr="0058432E" w:rsidRDefault="009473C0" w:rsidP="005A68B9">
            <w:pPr>
              <w:keepNext/>
              <w:jc w:val="center"/>
              <w:rPr>
                <w:b/>
                <w:color w:val="000000" w:themeColor="text1"/>
              </w:rPr>
            </w:pPr>
            <w:r w:rsidRPr="0058432E">
              <w:rPr>
                <w:b/>
                <w:color w:val="000000" w:themeColor="text1"/>
              </w:rPr>
              <w:t>40 mg d’adalimumab</w:t>
            </w:r>
          </w:p>
          <w:p w14:paraId="67CC9211" w14:textId="77777777" w:rsidR="009473C0" w:rsidRPr="0058432E" w:rsidRDefault="009473C0" w:rsidP="005A68B9">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w:t>
            </w:r>
            <w:r w:rsidR="00BA7A54" w:rsidRPr="0058432E">
              <w:rPr>
                <w:b/>
                <w:color w:val="000000" w:themeColor="text1"/>
              </w:rPr>
              <w:t xml:space="preserve">deux </w:t>
            </w:r>
            <w:r w:rsidRPr="0058432E">
              <w:rPr>
                <w:b/>
                <w:color w:val="000000" w:themeColor="text1"/>
              </w:rPr>
              <w:t>semaines</w:t>
            </w:r>
          </w:p>
        </w:tc>
        <w:tc>
          <w:tcPr>
            <w:tcW w:w="2165" w:type="dxa"/>
            <w:tcBorders>
              <w:top w:val="single" w:sz="4" w:space="0" w:color="auto"/>
              <w:left w:val="single" w:sz="4" w:space="0" w:color="auto"/>
              <w:bottom w:val="single" w:sz="4" w:space="0" w:color="auto"/>
              <w:right w:val="single" w:sz="4" w:space="0" w:color="auto"/>
            </w:tcBorders>
            <w:vAlign w:val="center"/>
            <w:hideMark/>
          </w:tcPr>
          <w:p w14:paraId="2E0C7988" w14:textId="77777777" w:rsidR="009473C0" w:rsidRPr="0058432E" w:rsidRDefault="009473C0" w:rsidP="005A68B9">
            <w:pPr>
              <w:keepNext/>
              <w:jc w:val="center"/>
              <w:rPr>
                <w:b/>
                <w:color w:val="000000" w:themeColor="text1"/>
              </w:rPr>
            </w:pPr>
            <w:r w:rsidRPr="0058432E">
              <w:rPr>
                <w:b/>
                <w:color w:val="000000" w:themeColor="text1"/>
              </w:rPr>
              <w:t>40 mg d’adalimumab</w:t>
            </w:r>
          </w:p>
          <w:p w14:paraId="2F9F2AB4" w14:textId="77777777" w:rsidR="009473C0" w:rsidRPr="0058432E" w:rsidRDefault="009473C0" w:rsidP="005A68B9">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semaines</w:t>
            </w:r>
          </w:p>
        </w:tc>
      </w:tr>
      <w:tr w:rsidR="009473C0" w:rsidRPr="0058432E" w14:paraId="5A4D62F8"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A16556F" w14:textId="77777777" w:rsidR="009473C0" w:rsidRPr="0058432E" w:rsidRDefault="009473C0" w:rsidP="005A68B9">
            <w:pPr>
              <w:keepNext/>
              <w:rPr>
                <w:b/>
                <w:color w:val="000000" w:themeColor="text1"/>
              </w:rPr>
            </w:pPr>
            <w:r w:rsidRPr="0058432E">
              <w:rPr>
                <w:b/>
                <w:color w:val="000000" w:themeColor="text1"/>
              </w:rPr>
              <w:t>Semaine 26</w:t>
            </w:r>
          </w:p>
        </w:tc>
        <w:tc>
          <w:tcPr>
            <w:tcW w:w="2165" w:type="dxa"/>
            <w:tcBorders>
              <w:top w:val="single" w:sz="4" w:space="0" w:color="auto"/>
              <w:left w:val="single" w:sz="4" w:space="0" w:color="auto"/>
              <w:bottom w:val="single" w:sz="4" w:space="0" w:color="auto"/>
              <w:right w:val="single" w:sz="4" w:space="0" w:color="auto"/>
            </w:tcBorders>
            <w:hideMark/>
          </w:tcPr>
          <w:p w14:paraId="65D835D3" w14:textId="77777777" w:rsidR="009473C0" w:rsidRPr="0058432E" w:rsidRDefault="009473C0" w:rsidP="005A68B9">
            <w:pPr>
              <w:keepNext/>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3295C9D4" w14:textId="77777777" w:rsidR="009473C0" w:rsidRPr="0058432E" w:rsidRDefault="009473C0" w:rsidP="005A68B9">
            <w:pPr>
              <w:keepNext/>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376C8C41" w14:textId="77777777" w:rsidR="009473C0" w:rsidRPr="0058432E" w:rsidRDefault="009473C0" w:rsidP="005A68B9">
            <w:pPr>
              <w:keepNext/>
              <w:jc w:val="center"/>
              <w:rPr>
                <w:b/>
                <w:color w:val="000000" w:themeColor="text1"/>
              </w:rPr>
            </w:pPr>
            <w:r w:rsidRPr="0058432E">
              <w:rPr>
                <w:b/>
                <w:color w:val="000000" w:themeColor="text1"/>
              </w:rPr>
              <w:t>N = 157</w:t>
            </w:r>
          </w:p>
        </w:tc>
      </w:tr>
      <w:tr w:rsidR="009473C0" w:rsidRPr="0058432E" w14:paraId="0CCF87FB"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65DA9743" w14:textId="77777777" w:rsidR="009473C0" w:rsidRPr="0058432E" w:rsidRDefault="009473C0" w:rsidP="005A68B9">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0DE9D702" w14:textId="77777777" w:rsidR="009473C0" w:rsidRPr="0058432E" w:rsidRDefault="009473C0" w:rsidP="005A68B9">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5EEA3041" w14:textId="77777777" w:rsidR="009473C0" w:rsidRPr="0058432E" w:rsidRDefault="009473C0" w:rsidP="005A68B9">
            <w:pPr>
              <w:jc w:val="center"/>
              <w:rPr>
                <w:color w:val="000000" w:themeColor="text1"/>
              </w:rPr>
            </w:pPr>
            <w:r w:rsidRPr="0058432E">
              <w:rPr>
                <w:color w:val="000000" w:themeColor="text1"/>
              </w:rPr>
              <w:t>40 %*</w:t>
            </w:r>
          </w:p>
        </w:tc>
        <w:tc>
          <w:tcPr>
            <w:tcW w:w="2165" w:type="dxa"/>
            <w:tcBorders>
              <w:top w:val="single" w:sz="4" w:space="0" w:color="auto"/>
              <w:left w:val="single" w:sz="4" w:space="0" w:color="auto"/>
              <w:bottom w:val="single" w:sz="4" w:space="0" w:color="auto"/>
              <w:right w:val="single" w:sz="4" w:space="0" w:color="auto"/>
            </w:tcBorders>
            <w:hideMark/>
          </w:tcPr>
          <w:p w14:paraId="594A2738" w14:textId="77777777" w:rsidR="009473C0" w:rsidRPr="0058432E" w:rsidRDefault="009473C0" w:rsidP="005A68B9">
            <w:pPr>
              <w:jc w:val="center"/>
              <w:rPr>
                <w:color w:val="000000" w:themeColor="text1"/>
              </w:rPr>
            </w:pPr>
            <w:r w:rsidRPr="0058432E">
              <w:rPr>
                <w:color w:val="000000" w:themeColor="text1"/>
              </w:rPr>
              <w:t>47 %</w:t>
            </w:r>
            <w:r w:rsidR="00CB04CA" w:rsidRPr="0058432E">
              <w:rPr>
                <w:color w:val="000000" w:themeColor="text1"/>
              </w:rPr>
              <w:t>*</w:t>
            </w:r>
          </w:p>
        </w:tc>
      </w:tr>
      <w:tr w:rsidR="009473C0" w:rsidRPr="0058432E" w14:paraId="33C123EF"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0A06C99" w14:textId="77777777" w:rsidR="009473C0" w:rsidRPr="0058432E" w:rsidRDefault="009473C0" w:rsidP="005A68B9">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7572D6D6" w14:textId="77777777" w:rsidR="009473C0" w:rsidRPr="0058432E" w:rsidRDefault="009473C0" w:rsidP="005A68B9">
            <w:pPr>
              <w:jc w:val="center"/>
              <w:rPr>
                <w:color w:val="000000" w:themeColor="text1"/>
              </w:rPr>
            </w:pPr>
            <w:r w:rsidRPr="0058432E">
              <w:rPr>
                <w:color w:val="000000" w:themeColor="text1"/>
              </w:rPr>
              <w:t>27 %</w:t>
            </w:r>
          </w:p>
        </w:tc>
        <w:tc>
          <w:tcPr>
            <w:tcW w:w="2165" w:type="dxa"/>
            <w:tcBorders>
              <w:top w:val="single" w:sz="4" w:space="0" w:color="auto"/>
              <w:left w:val="single" w:sz="4" w:space="0" w:color="auto"/>
              <w:bottom w:val="single" w:sz="4" w:space="0" w:color="auto"/>
              <w:right w:val="single" w:sz="4" w:space="0" w:color="auto"/>
            </w:tcBorders>
            <w:hideMark/>
          </w:tcPr>
          <w:p w14:paraId="51A8C4DB" w14:textId="77777777" w:rsidR="009473C0" w:rsidRPr="0058432E" w:rsidRDefault="009473C0" w:rsidP="005A68B9">
            <w:pPr>
              <w:jc w:val="center"/>
              <w:rPr>
                <w:color w:val="000000" w:themeColor="text1"/>
              </w:rPr>
            </w:pPr>
            <w:r w:rsidRPr="0058432E">
              <w:rPr>
                <w:color w:val="000000" w:themeColor="text1"/>
              </w:rPr>
              <w:t>52 %*</w:t>
            </w:r>
          </w:p>
        </w:tc>
        <w:tc>
          <w:tcPr>
            <w:tcW w:w="2165" w:type="dxa"/>
            <w:tcBorders>
              <w:top w:val="single" w:sz="4" w:space="0" w:color="auto"/>
              <w:left w:val="single" w:sz="4" w:space="0" w:color="auto"/>
              <w:bottom w:val="single" w:sz="4" w:space="0" w:color="auto"/>
              <w:right w:val="single" w:sz="4" w:space="0" w:color="auto"/>
            </w:tcBorders>
            <w:hideMark/>
          </w:tcPr>
          <w:p w14:paraId="5294DBCD" w14:textId="77777777" w:rsidR="009473C0" w:rsidRPr="0058432E" w:rsidRDefault="009473C0" w:rsidP="005A68B9">
            <w:pPr>
              <w:jc w:val="center"/>
              <w:rPr>
                <w:color w:val="000000" w:themeColor="text1"/>
              </w:rPr>
            </w:pPr>
            <w:r w:rsidRPr="0058432E">
              <w:rPr>
                <w:color w:val="000000" w:themeColor="text1"/>
              </w:rPr>
              <w:t>52 %*</w:t>
            </w:r>
          </w:p>
        </w:tc>
      </w:tr>
      <w:tr w:rsidR="009473C0" w:rsidRPr="0058432E" w14:paraId="75F9B1CA"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38C6736" w14:textId="77777777" w:rsidR="009473C0" w:rsidRPr="0058432E" w:rsidRDefault="009473C0" w:rsidP="005A68B9">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0C603EDD" w14:textId="77777777" w:rsidR="009473C0" w:rsidRPr="0058432E" w:rsidRDefault="009473C0" w:rsidP="005A68B9">
            <w:pPr>
              <w:jc w:val="center"/>
              <w:rPr>
                <w:color w:val="000000" w:themeColor="text1"/>
              </w:rPr>
            </w:pPr>
            <w:r w:rsidRPr="0058432E">
              <w:rPr>
                <w:color w:val="000000" w:themeColor="text1"/>
              </w:rPr>
              <w:t>3 % (2/66)</w:t>
            </w:r>
          </w:p>
        </w:tc>
        <w:tc>
          <w:tcPr>
            <w:tcW w:w="2165" w:type="dxa"/>
            <w:tcBorders>
              <w:top w:val="single" w:sz="4" w:space="0" w:color="auto"/>
              <w:left w:val="single" w:sz="4" w:space="0" w:color="auto"/>
              <w:bottom w:val="single" w:sz="4" w:space="0" w:color="auto"/>
              <w:right w:val="single" w:sz="4" w:space="0" w:color="auto"/>
            </w:tcBorders>
            <w:hideMark/>
          </w:tcPr>
          <w:p w14:paraId="63585942" w14:textId="77777777" w:rsidR="009473C0" w:rsidRPr="0058432E" w:rsidRDefault="009473C0" w:rsidP="005A68B9">
            <w:pPr>
              <w:jc w:val="center"/>
              <w:rPr>
                <w:color w:val="000000" w:themeColor="text1"/>
              </w:rPr>
            </w:pPr>
            <w:r w:rsidRPr="0058432E">
              <w:rPr>
                <w:color w:val="000000" w:themeColor="text1"/>
              </w:rPr>
              <w:t>19 % (11/</w:t>
            </w:r>
            <w:proofErr w:type="gramStart"/>
            <w:r w:rsidRPr="0058432E">
              <w:rPr>
                <w:color w:val="000000" w:themeColor="text1"/>
              </w:rPr>
              <w:t>58)*</w:t>
            </w:r>
            <w:proofErr w:type="gramEnd"/>
            <w:r w:rsidRPr="0058432E">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4F6522ED" w14:textId="77777777" w:rsidR="009473C0" w:rsidRPr="0058432E" w:rsidRDefault="009473C0" w:rsidP="005A68B9">
            <w:pPr>
              <w:jc w:val="center"/>
              <w:rPr>
                <w:color w:val="000000" w:themeColor="text1"/>
              </w:rPr>
            </w:pPr>
            <w:r w:rsidRPr="0058432E">
              <w:rPr>
                <w:color w:val="000000" w:themeColor="text1"/>
              </w:rPr>
              <w:t>15 % (11/</w:t>
            </w:r>
            <w:proofErr w:type="gramStart"/>
            <w:r w:rsidRPr="0058432E">
              <w:rPr>
                <w:color w:val="000000" w:themeColor="text1"/>
              </w:rPr>
              <w:t>74)*</w:t>
            </w:r>
            <w:proofErr w:type="gramEnd"/>
            <w:r w:rsidRPr="0058432E">
              <w:rPr>
                <w:color w:val="000000" w:themeColor="text1"/>
              </w:rPr>
              <w:t>*</w:t>
            </w:r>
          </w:p>
        </w:tc>
      </w:tr>
      <w:tr w:rsidR="009473C0" w:rsidRPr="0058432E" w14:paraId="3D03CF9B"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07268E78" w14:textId="77777777" w:rsidR="009473C0" w:rsidRPr="0058432E" w:rsidRDefault="009473C0" w:rsidP="005A68B9">
            <w:pPr>
              <w:rPr>
                <w:b/>
                <w:color w:val="000000" w:themeColor="text1"/>
              </w:rPr>
            </w:pPr>
            <w:r w:rsidRPr="0058432E">
              <w:rPr>
                <w:b/>
                <w:color w:val="000000" w:themeColor="text1"/>
              </w:rPr>
              <w:t>Semaine 56</w:t>
            </w:r>
          </w:p>
        </w:tc>
        <w:tc>
          <w:tcPr>
            <w:tcW w:w="2165" w:type="dxa"/>
            <w:tcBorders>
              <w:top w:val="single" w:sz="4" w:space="0" w:color="auto"/>
              <w:left w:val="single" w:sz="4" w:space="0" w:color="auto"/>
              <w:bottom w:val="single" w:sz="4" w:space="0" w:color="auto"/>
              <w:right w:val="single" w:sz="4" w:space="0" w:color="auto"/>
            </w:tcBorders>
            <w:hideMark/>
          </w:tcPr>
          <w:p w14:paraId="6D343D46" w14:textId="77777777" w:rsidR="009473C0" w:rsidRPr="0058432E" w:rsidRDefault="009473C0" w:rsidP="005A68B9">
            <w:pPr>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081FA2AA" w14:textId="77777777" w:rsidR="009473C0" w:rsidRPr="0058432E" w:rsidRDefault="009473C0" w:rsidP="005A68B9">
            <w:pPr>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40B00D87" w14:textId="77777777" w:rsidR="009473C0" w:rsidRPr="0058432E" w:rsidRDefault="009473C0" w:rsidP="005A68B9">
            <w:pPr>
              <w:jc w:val="center"/>
              <w:rPr>
                <w:b/>
                <w:color w:val="000000" w:themeColor="text1"/>
              </w:rPr>
            </w:pPr>
            <w:r w:rsidRPr="0058432E">
              <w:rPr>
                <w:b/>
                <w:color w:val="000000" w:themeColor="text1"/>
              </w:rPr>
              <w:t>N = 157</w:t>
            </w:r>
          </w:p>
        </w:tc>
      </w:tr>
      <w:tr w:rsidR="009473C0" w:rsidRPr="0058432E" w14:paraId="77E269F2"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64045CC" w14:textId="77777777" w:rsidR="009473C0" w:rsidRPr="0058432E" w:rsidRDefault="009473C0" w:rsidP="005A68B9">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7AC290CD" w14:textId="77777777" w:rsidR="009473C0" w:rsidRPr="0058432E" w:rsidRDefault="009473C0" w:rsidP="005A68B9">
            <w:pPr>
              <w:jc w:val="center"/>
              <w:rPr>
                <w:color w:val="000000" w:themeColor="text1"/>
              </w:rPr>
            </w:pPr>
            <w:r w:rsidRPr="0058432E">
              <w:rPr>
                <w:color w:val="000000" w:themeColor="text1"/>
              </w:rPr>
              <w:t>12 %</w:t>
            </w:r>
          </w:p>
        </w:tc>
        <w:tc>
          <w:tcPr>
            <w:tcW w:w="2165" w:type="dxa"/>
            <w:tcBorders>
              <w:top w:val="single" w:sz="4" w:space="0" w:color="auto"/>
              <w:left w:val="single" w:sz="4" w:space="0" w:color="auto"/>
              <w:bottom w:val="single" w:sz="4" w:space="0" w:color="auto"/>
              <w:right w:val="single" w:sz="4" w:space="0" w:color="auto"/>
            </w:tcBorders>
            <w:hideMark/>
          </w:tcPr>
          <w:p w14:paraId="153A05AE" w14:textId="77777777" w:rsidR="009473C0" w:rsidRPr="0058432E" w:rsidRDefault="009473C0" w:rsidP="005A68B9">
            <w:pPr>
              <w:jc w:val="center"/>
              <w:rPr>
                <w:color w:val="000000" w:themeColor="text1"/>
              </w:rPr>
            </w:pPr>
            <w:r w:rsidRPr="0058432E">
              <w:rPr>
                <w:color w:val="000000" w:themeColor="text1"/>
              </w:rPr>
              <w:t>36 %*</w:t>
            </w:r>
          </w:p>
        </w:tc>
        <w:tc>
          <w:tcPr>
            <w:tcW w:w="2165" w:type="dxa"/>
            <w:tcBorders>
              <w:top w:val="single" w:sz="4" w:space="0" w:color="auto"/>
              <w:left w:val="single" w:sz="4" w:space="0" w:color="auto"/>
              <w:bottom w:val="single" w:sz="4" w:space="0" w:color="auto"/>
              <w:right w:val="single" w:sz="4" w:space="0" w:color="auto"/>
            </w:tcBorders>
            <w:hideMark/>
          </w:tcPr>
          <w:p w14:paraId="6DF8ABC4" w14:textId="77777777" w:rsidR="009473C0" w:rsidRPr="0058432E" w:rsidRDefault="009473C0" w:rsidP="005A68B9">
            <w:pPr>
              <w:jc w:val="center"/>
              <w:rPr>
                <w:color w:val="000000" w:themeColor="text1"/>
              </w:rPr>
            </w:pPr>
            <w:r w:rsidRPr="0058432E">
              <w:rPr>
                <w:color w:val="000000" w:themeColor="text1"/>
              </w:rPr>
              <w:t>41 %*</w:t>
            </w:r>
          </w:p>
        </w:tc>
      </w:tr>
      <w:tr w:rsidR="009473C0" w:rsidRPr="0058432E" w14:paraId="5D15C082"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440770E9" w14:textId="77777777" w:rsidR="009473C0" w:rsidRPr="0058432E" w:rsidRDefault="009473C0" w:rsidP="005A68B9">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6C836831" w14:textId="77777777" w:rsidR="009473C0" w:rsidRPr="0058432E" w:rsidRDefault="009473C0" w:rsidP="005A68B9">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08411FEF" w14:textId="77777777" w:rsidR="009473C0" w:rsidRPr="0058432E" w:rsidRDefault="009473C0" w:rsidP="005A68B9">
            <w:pPr>
              <w:jc w:val="center"/>
              <w:rPr>
                <w:color w:val="000000" w:themeColor="text1"/>
              </w:rPr>
            </w:pPr>
            <w:r w:rsidRPr="0058432E">
              <w:rPr>
                <w:color w:val="000000" w:themeColor="text1"/>
              </w:rPr>
              <w:t>41 %*</w:t>
            </w:r>
          </w:p>
        </w:tc>
        <w:tc>
          <w:tcPr>
            <w:tcW w:w="2165" w:type="dxa"/>
            <w:tcBorders>
              <w:top w:val="single" w:sz="4" w:space="0" w:color="auto"/>
              <w:left w:val="single" w:sz="4" w:space="0" w:color="auto"/>
              <w:bottom w:val="single" w:sz="4" w:space="0" w:color="auto"/>
              <w:right w:val="single" w:sz="4" w:space="0" w:color="auto"/>
            </w:tcBorders>
            <w:hideMark/>
          </w:tcPr>
          <w:p w14:paraId="4572B850" w14:textId="77777777" w:rsidR="009473C0" w:rsidRPr="0058432E" w:rsidRDefault="009473C0" w:rsidP="005A68B9">
            <w:pPr>
              <w:jc w:val="center"/>
              <w:rPr>
                <w:color w:val="000000" w:themeColor="text1"/>
              </w:rPr>
            </w:pPr>
            <w:r w:rsidRPr="0058432E">
              <w:rPr>
                <w:color w:val="000000" w:themeColor="text1"/>
              </w:rPr>
              <w:t>48 %*</w:t>
            </w:r>
          </w:p>
        </w:tc>
      </w:tr>
      <w:tr w:rsidR="009473C0" w:rsidRPr="0058432E" w14:paraId="74C1EFDF" w14:textId="77777777" w:rsidTr="002D0A94">
        <w:tc>
          <w:tcPr>
            <w:tcW w:w="2808" w:type="dxa"/>
            <w:tcBorders>
              <w:top w:val="single" w:sz="4" w:space="0" w:color="auto"/>
              <w:left w:val="single" w:sz="4" w:space="0" w:color="auto"/>
              <w:bottom w:val="single" w:sz="4" w:space="0" w:color="auto"/>
              <w:right w:val="single" w:sz="4" w:space="0" w:color="auto"/>
            </w:tcBorders>
            <w:hideMark/>
          </w:tcPr>
          <w:p w14:paraId="26872733" w14:textId="77777777" w:rsidR="009473C0" w:rsidRPr="0058432E" w:rsidRDefault="009473C0" w:rsidP="005A68B9">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29F79F8D" w14:textId="77777777" w:rsidR="009473C0" w:rsidRPr="0058432E" w:rsidRDefault="009473C0" w:rsidP="005A68B9">
            <w:pPr>
              <w:jc w:val="center"/>
              <w:rPr>
                <w:color w:val="000000" w:themeColor="text1"/>
              </w:rPr>
            </w:pPr>
            <w:r w:rsidRPr="0058432E">
              <w:rPr>
                <w:color w:val="000000" w:themeColor="text1"/>
              </w:rPr>
              <w:t>5 % (3/66)</w:t>
            </w:r>
          </w:p>
        </w:tc>
        <w:tc>
          <w:tcPr>
            <w:tcW w:w="2165" w:type="dxa"/>
            <w:tcBorders>
              <w:top w:val="single" w:sz="4" w:space="0" w:color="auto"/>
              <w:left w:val="single" w:sz="4" w:space="0" w:color="auto"/>
              <w:bottom w:val="single" w:sz="4" w:space="0" w:color="auto"/>
              <w:right w:val="single" w:sz="4" w:space="0" w:color="auto"/>
            </w:tcBorders>
            <w:hideMark/>
          </w:tcPr>
          <w:p w14:paraId="1BB0BDC4" w14:textId="77777777" w:rsidR="009473C0" w:rsidRPr="0058432E" w:rsidRDefault="009473C0" w:rsidP="005A68B9">
            <w:pPr>
              <w:jc w:val="center"/>
              <w:rPr>
                <w:color w:val="000000" w:themeColor="text1"/>
              </w:rPr>
            </w:pPr>
            <w:r w:rsidRPr="0058432E">
              <w:rPr>
                <w:color w:val="000000" w:themeColor="text1"/>
              </w:rPr>
              <w:t>29 % (17/</w:t>
            </w:r>
            <w:proofErr w:type="gramStart"/>
            <w:r w:rsidRPr="0058432E">
              <w:rPr>
                <w:color w:val="000000" w:themeColor="text1"/>
              </w:rPr>
              <w:t>58)*</w:t>
            </w:r>
            <w:proofErr w:type="gramEnd"/>
          </w:p>
        </w:tc>
        <w:tc>
          <w:tcPr>
            <w:tcW w:w="2165" w:type="dxa"/>
            <w:tcBorders>
              <w:top w:val="single" w:sz="4" w:space="0" w:color="auto"/>
              <w:left w:val="single" w:sz="4" w:space="0" w:color="auto"/>
              <w:bottom w:val="single" w:sz="4" w:space="0" w:color="auto"/>
              <w:right w:val="single" w:sz="4" w:space="0" w:color="auto"/>
            </w:tcBorders>
            <w:hideMark/>
          </w:tcPr>
          <w:p w14:paraId="666CBE00" w14:textId="77777777" w:rsidR="009473C0" w:rsidRPr="0058432E" w:rsidRDefault="009473C0" w:rsidP="005A68B9">
            <w:pPr>
              <w:jc w:val="center"/>
              <w:rPr>
                <w:color w:val="000000" w:themeColor="text1"/>
              </w:rPr>
            </w:pPr>
            <w:r w:rsidRPr="0058432E">
              <w:rPr>
                <w:color w:val="000000" w:themeColor="text1"/>
              </w:rPr>
              <w:t>20 % (15/</w:t>
            </w:r>
            <w:proofErr w:type="gramStart"/>
            <w:r w:rsidRPr="0058432E">
              <w:rPr>
                <w:color w:val="000000" w:themeColor="text1"/>
              </w:rPr>
              <w:t>74)*</w:t>
            </w:r>
            <w:proofErr w:type="gramEnd"/>
            <w:r w:rsidRPr="0058432E">
              <w:rPr>
                <w:color w:val="000000" w:themeColor="text1"/>
              </w:rPr>
              <w:t>*</w:t>
            </w:r>
          </w:p>
        </w:tc>
      </w:tr>
      <w:tr w:rsidR="002D0A94" w:rsidRPr="0058432E" w14:paraId="0C7F9732" w14:textId="77777777" w:rsidTr="002D0A94">
        <w:tc>
          <w:tcPr>
            <w:tcW w:w="9303" w:type="dxa"/>
            <w:gridSpan w:val="4"/>
            <w:tcBorders>
              <w:top w:val="single" w:sz="4" w:space="0" w:color="auto"/>
              <w:left w:val="nil"/>
              <w:bottom w:val="nil"/>
              <w:right w:val="nil"/>
            </w:tcBorders>
          </w:tcPr>
          <w:p w14:paraId="4F1C311A" w14:textId="77777777" w:rsidR="002D0A94" w:rsidRPr="0058432E" w:rsidRDefault="002D0A94" w:rsidP="002D0A94">
            <w:pPr>
              <w:ind w:left="270" w:hanging="270"/>
              <w:rPr>
                <w:color w:val="000000" w:themeColor="text1"/>
                <w:sz w:val="20"/>
              </w:rPr>
            </w:pPr>
            <w:r w:rsidRPr="0058432E">
              <w:rPr>
                <w:color w:val="000000" w:themeColor="text1"/>
                <w:sz w:val="20"/>
              </w:rPr>
              <w:t xml:space="preserve">* </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pour l’adalimumab </w:t>
            </w:r>
            <w:r w:rsidRPr="0058432E">
              <w:rPr>
                <w:i/>
                <w:color w:val="000000" w:themeColor="text1"/>
                <w:sz w:val="20"/>
              </w:rPr>
              <w:t>versus</w:t>
            </w:r>
            <w:r w:rsidRPr="0058432E">
              <w:rPr>
                <w:color w:val="000000" w:themeColor="text1"/>
                <w:sz w:val="20"/>
              </w:rPr>
              <w:t xml:space="preserve"> placebo, comparaisons </w:t>
            </w:r>
            <w:r w:rsidR="00893EC9" w:rsidRPr="0058432E">
              <w:rPr>
                <w:color w:val="000000" w:themeColor="text1"/>
                <w:sz w:val="20"/>
              </w:rPr>
              <w:t xml:space="preserve">appariées </w:t>
            </w:r>
            <w:r w:rsidRPr="0058432E">
              <w:rPr>
                <w:color w:val="000000" w:themeColor="text1"/>
                <w:sz w:val="20"/>
              </w:rPr>
              <w:t xml:space="preserve">des pourcentages </w:t>
            </w:r>
          </w:p>
          <w:p w14:paraId="07948C4A" w14:textId="77777777" w:rsidR="002D0A94" w:rsidRPr="0058432E" w:rsidRDefault="002D0A94" w:rsidP="002D0A94">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0,02 pour l’adalimumab </w:t>
            </w:r>
            <w:r w:rsidRPr="0058432E">
              <w:rPr>
                <w:i/>
                <w:color w:val="000000" w:themeColor="text1"/>
                <w:sz w:val="20"/>
              </w:rPr>
              <w:t>versus</w:t>
            </w:r>
            <w:r w:rsidRPr="0058432E">
              <w:rPr>
                <w:color w:val="000000" w:themeColor="text1"/>
                <w:sz w:val="20"/>
              </w:rPr>
              <w:t xml:space="preserve"> placebo, comparaisons </w:t>
            </w:r>
            <w:r w:rsidR="00893EC9" w:rsidRPr="0058432E">
              <w:rPr>
                <w:color w:val="000000" w:themeColor="text1"/>
                <w:sz w:val="20"/>
              </w:rPr>
              <w:t xml:space="preserve">appariées </w:t>
            </w:r>
            <w:r w:rsidRPr="0058432E">
              <w:rPr>
                <w:color w:val="000000" w:themeColor="text1"/>
                <w:sz w:val="20"/>
              </w:rPr>
              <w:t xml:space="preserve">des pourcentages </w:t>
            </w:r>
          </w:p>
          <w:p w14:paraId="68D69E30" w14:textId="77777777" w:rsidR="002D0A94" w:rsidRPr="0058432E" w:rsidRDefault="002D0A94" w:rsidP="002D0A94">
            <w:pPr>
              <w:ind w:left="270" w:hanging="270"/>
              <w:rPr>
                <w:color w:val="000000" w:themeColor="text1"/>
                <w:sz w:val="20"/>
              </w:rPr>
            </w:pPr>
            <w:proofErr w:type="gramStart"/>
            <w:r w:rsidRPr="0058432E">
              <w:rPr>
                <w:color w:val="000000" w:themeColor="text1"/>
                <w:sz w:val="20"/>
                <w:vertAlign w:val="superscript"/>
              </w:rPr>
              <w:lastRenderedPageBreak/>
              <w:t>a</w:t>
            </w:r>
            <w:proofErr w:type="gramEnd"/>
            <w:r w:rsidRPr="0058432E">
              <w:rPr>
                <w:color w:val="000000" w:themeColor="text1"/>
                <w:sz w:val="20"/>
              </w:rPr>
              <w:t xml:space="preserve"> </w:t>
            </w:r>
            <w:r w:rsidRPr="0058432E">
              <w:rPr>
                <w:color w:val="000000" w:themeColor="text1"/>
                <w:sz w:val="20"/>
              </w:rPr>
              <w:tab/>
              <w:t xml:space="preserve">Parmi ceux initialement traités par corticoïdes </w:t>
            </w:r>
          </w:p>
        </w:tc>
      </w:tr>
    </w:tbl>
    <w:p w14:paraId="15D80107" w14:textId="77777777" w:rsidR="00A93095" w:rsidRPr="0058432E" w:rsidRDefault="00A93095" w:rsidP="00387D0C">
      <w:pPr>
        <w:rPr>
          <w:color w:val="000000" w:themeColor="text1"/>
        </w:rPr>
      </w:pPr>
    </w:p>
    <w:p w14:paraId="1AAC354C" w14:textId="77777777" w:rsidR="00535983" w:rsidRPr="0058432E" w:rsidRDefault="00535983" w:rsidP="00387D0C">
      <w:pPr>
        <w:pStyle w:val="BodyText"/>
        <w:widowControl/>
        <w:kinsoku w:val="0"/>
        <w:overflowPunct w:val="0"/>
        <w:ind w:left="0"/>
        <w:rPr>
          <w:color w:val="000000" w:themeColor="text1"/>
        </w:rPr>
      </w:pPr>
      <w:r w:rsidRPr="0058432E">
        <w:rPr>
          <w:color w:val="000000" w:themeColor="text1"/>
        </w:rPr>
        <w:t>Parmi les patients non répondeurs à la semaine</w:t>
      </w:r>
      <w:r w:rsidR="00D877DF" w:rsidRPr="0058432E">
        <w:rPr>
          <w:color w:val="000000" w:themeColor="text1"/>
        </w:rPr>
        <w:t> </w:t>
      </w:r>
      <w:r w:rsidRPr="0058432E">
        <w:rPr>
          <w:color w:val="000000" w:themeColor="text1"/>
        </w:rPr>
        <w:t>4, 43 % des patients recevant un traitement d’entretien par adalimumab ont répondu à la semaine</w:t>
      </w:r>
      <w:r w:rsidR="00D877DF" w:rsidRPr="0058432E">
        <w:rPr>
          <w:color w:val="000000" w:themeColor="text1"/>
        </w:rPr>
        <w:t> </w:t>
      </w:r>
      <w:r w:rsidRPr="0058432E">
        <w:rPr>
          <w:color w:val="000000" w:themeColor="text1"/>
        </w:rPr>
        <w:t>12 contre 30 % des patients recevant le placebo en traitement d’entretien. Ces résultats suggèrent que certains patients n’ayant pas répondu à la semaine</w:t>
      </w:r>
      <w:r w:rsidR="00277877" w:rsidRPr="0058432E">
        <w:rPr>
          <w:color w:val="000000" w:themeColor="text1"/>
        </w:rPr>
        <w:t> </w:t>
      </w:r>
      <w:r w:rsidRPr="0058432E">
        <w:rPr>
          <w:color w:val="000000" w:themeColor="text1"/>
        </w:rPr>
        <w:t>4 bénéficient de la poursuite du traitement d’entretien jusqu’à la semaine</w:t>
      </w:r>
      <w:r w:rsidR="00277877" w:rsidRPr="0058432E">
        <w:rPr>
          <w:color w:val="000000" w:themeColor="text1"/>
        </w:rPr>
        <w:t> </w:t>
      </w:r>
      <w:r w:rsidRPr="0058432E">
        <w:rPr>
          <w:color w:val="000000" w:themeColor="text1"/>
        </w:rPr>
        <w:t>12. La poursuite du traitement au-delà de 12</w:t>
      </w:r>
      <w:r w:rsidR="00277877" w:rsidRPr="0058432E">
        <w:rPr>
          <w:color w:val="000000" w:themeColor="text1"/>
        </w:rPr>
        <w:t> </w:t>
      </w:r>
      <w:r w:rsidRPr="0058432E">
        <w:rPr>
          <w:color w:val="000000" w:themeColor="text1"/>
        </w:rPr>
        <w:t>semaines n’est pas significativement associée à plus de réponses (voir rubrique 4.2).</w:t>
      </w:r>
    </w:p>
    <w:p w14:paraId="5B857096" w14:textId="77777777" w:rsidR="00535983" w:rsidRPr="0058432E" w:rsidRDefault="00535983" w:rsidP="00387D0C">
      <w:pPr>
        <w:pStyle w:val="BodyText"/>
        <w:widowControl/>
        <w:kinsoku w:val="0"/>
        <w:overflowPunct w:val="0"/>
        <w:ind w:left="0"/>
        <w:rPr>
          <w:color w:val="000000" w:themeColor="text1"/>
        </w:rPr>
      </w:pPr>
    </w:p>
    <w:p w14:paraId="293D0B60" w14:textId="77777777" w:rsidR="00535983" w:rsidRPr="0058432E" w:rsidRDefault="00535983" w:rsidP="00387D0C">
      <w:pPr>
        <w:pStyle w:val="BodyText"/>
        <w:widowControl/>
        <w:kinsoku w:val="0"/>
        <w:overflowPunct w:val="0"/>
        <w:ind w:left="0"/>
        <w:rPr>
          <w:color w:val="000000" w:themeColor="text1"/>
        </w:rPr>
      </w:pPr>
      <w:r w:rsidRPr="0058432E">
        <w:rPr>
          <w:color w:val="000000" w:themeColor="text1"/>
        </w:rPr>
        <w:t xml:space="preserve">117/276 patients de l’étude I sur la MC et 272/777 patients des études II et III sur la MC ont été suivis pendant au moins 3 ans de traitement en ouvert </w:t>
      </w:r>
      <w:r w:rsidR="008E7545" w:rsidRPr="0058432E">
        <w:rPr>
          <w:color w:val="000000" w:themeColor="text1"/>
        </w:rPr>
        <w:t>par adalimumab</w:t>
      </w:r>
      <w:r w:rsidRPr="0058432E">
        <w:rPr>
          <w:color w:val="000000" w:themeColor="text1"/>
        </w:rPr>
        <w:t>. 88 et 189 patients, respectivement, sont restés en rémission clinique. La réponse clinique (CR-100) a été maintenue chez 102 et 233 patients, respectivement.</w:t>
      </w:r>
    </w:p>
    <w:p w14:paraId="25EA3665" w14:textId="77777777" w:rsidR="00535983" w:rsidRPr="0058432E" w:rsidRDefault="00535983" w:rsidP="00387D0C">
      <w:pPr>
        <w:pStyle w:val="BodyText"/>
        <w:widowControl/>
        <w:kinsoku w:val="0"/>
        <w:overflowPunct w:val="0"/>
        <w:ind w:left="0"/>
        <w:rPr>
          <w:color w:val="000000" w:themeColor="text1"/>
        </w:rPr>
      </w:pPr>
    </w:p>
    <w:p w14:paraId="25359656" w14:textId="77777777" w:rsidR="00535983" w:rsidRPr="0058432E" w:rsidRDefault="00535983" w:rsidP="00ED34EF">
      <w:pPr>
        <w:pStyle w:val="BodyText"/>
        <w:keepNext/>
        <w:widowControl/>
        <w:kinsoku w:val="0"/>
        <w:overflowPunct w:val="0"/>
        <w:ind w:left="0"/>
        <w:rPr>
          <w:color w:val="000000" w:themeColor="text1"/>
        </w:rPr>
      </w:pPr>
      <w:r w:rsidRPr="0058432E">
        <w:rPr>
          <w:i/>
          <w:iCs/>
          <w:color w:val="000000" w:themeColor="text1"/>
          <w:u w:val="single"/>
        </w:rPr>
        <w:t>Qualité de vie</w:t>
      </w:r>
    </w:p>
    <w:p w14:paraId="13D52C53" w14:textId="77777777" w:rsidR="00535983" w:rsidRPr="0058432E" w:rsidRDefault="00535983" w:rsidP="00ED34EF">
      <w:pPr>
        <w:pStyle w:val="BodyText"/>
        <w:keepNext/>
        <w:widowControl/>
        <w:kinsoku w:val="0"/>
        <w:overflowPunct w:val="0"/>
        <w:ind w:left="0"/>
        <w:rPr>
          <w:i/>
          <w:iCs/>
          <w:color w:val="000000" w:themeColor="text1"/>
          <w:szCs w:val="15"/>
        </w:rPr>
      </w:pPr>
    </w:p>
    <w:p w14:paraId="74121FC6" w14:textId="77777777" w:rsidR="00535983" w:rsidRPr="0058432E" w:rsidRDefault="00535983" w:rsidP="00387D0C">
      <w:pPr>
        <w:pStyle w:val="BodyText"/>
        <w:widowControl/>
        <w:kinsoku w:val="0"/>
        <w:overflowPunct w:val="0"/>
        <w:ind w:left="0"/>
        <w:rPr>
          <w:color w:val="000000" w:themeColor="text1"/>
        </w:rPr>
      </w:pPr>
      <w:r w:rsidRPr="0058432E">
        <w:rPr>
          <w:color w:val="000000" w:themeColor="text1"/>
        </w:rPr>
        <w:t>Dans les études I et II sur la MC, une amélioration statistiquement significative du score total du questionnaire sur les maladies inflammatoires de l’intestin (IBDQ) spécifique de la maladie a été obtenue à la semaine</w:t>
      </w:r>
      <w:r w:rsidR="00272BD2" w:rsidRPr="0058432E">
        <w:rPr>
          <w:color w:val="000000" w:themeColor="text1"/>
        </w:rPr>
        <w:t> </w:t>
      </w:r>
      <w:r w:rsidRPr="0058432E">
        <w:rPr>
          <w:color w:val="000000" w:themeColor="text1"/>
        </w:rPr>
        <w:t xml:space="preserve">4 chez les patients traités </w:t>
      </w:r>
      <w:r w:rsidR="008E7545" w:rsidRPr="0058432E">
        <w:rPr>
          <w:color w:val="000000" w:themeColor="text1"/>
        </w:rPr>
        <w:t>par adalimumab</w:t>
      </w:r>
      <w:r w:rsidRPr="0058432E">
        <w:rPr>
          <w:color w:val="000000" w:themeColor="text1"/>
        </w:rPr>
        <w:t xml:space="preserve"> 80/40 mg et 160/80 mg </w:t>
      </w:r>
      <w:r w:rsidRPr="0058432E">
        <w:rPr>
          <w:i/>
          <w:iCs/>
          <w:color w:val="000000" w:themeColor="text1"/>
        </w:rPr>
        <w:t>versus</w:t>
      </w:r>
      <w:r w:rsidRPr="0058432E">
        <w:rPr>
          <w:color w:val="000000" w:themeColor="text1"/>
        </w:rPr>
        <w:t xml:space="preserve"> placebo et également aux semaines</w:t>
      </w:r>
      <w:r w:rsidR="00C44C80" w:rsidRPr="0058432E">
        <w:rPr>
          <w:color w:val="000000" w:themeColor="text1"/>
        </w:rPr>
        <w:t> </w:t>
      </w:r>
      <w:r w:rsidRPr="0058432E">
        <w:rPr>
          <w:color w:val="000000" w:themeColor="text1"/>
        </w:rPr>
        <w:t xml:space="preserve">26 et 56 dans l’étude III sur la MC dans tous les groupes traités </w:t>
      </w:r>
      <w:r w:rsidR="008E7545" w:rsidRPr="0058432E">
        <w:rPr>
          <w:color w:val="000000" w:themeColor="text1"/>
        </w:rPr>
        <w:t>par adalimumab</w:t>
      </w:r>
      <w:r w:rsidRPr="0058432E">
        <w:rPr>
          <w:color w:val="000000" w:themeColor="text1"/>
        </w:rPr>
        <w:t xml:space="preserve"> </w:t>
      </w:r>
      <w:r w:rsidRPr="0058432E">
        <w:rPr>
          <w:i/>
          <w:iCs/>
          <w:color w:val="000000" w:themeColor="text1"/>
        </w:rPr>
        <w:t>versus</w:t>
      </w:r>
      <w:r w:rsidRPr="0058432E">
        <w:rPr>
          <w:color w:val="000000" w:themeColor="text1"/>
        </w:rPr>
        <w:t xml:space="preserve"> placebo.</w:t>
      </w:r>
    </w:p>
    <w:p w14:paraId="7659F4E6" w14:textId="77777777" w:rsidR="00535983" w:rsidRPr="0058432E" w:rsidRDefault="00535983" w:rsidP="00387D0C">
      <w:pPr>
        <w:pStyle w:val="BodyText"/>
        <w:widowControl/>
        <w:kinsoku w:val="0"/>
        <w:overflowPunct w:val="0"/>
        <w:ind w:left="0"/>
        <w:rPr>
          <w:color w:val="000000" w:themeColor="text1"/>
        </w:rPr>
      </w:pPr>
    </w:p>
    <w:p w14:paraId="74151310" w14:textId="77777777" w:rsidR="00535983" w:rsidRPr="0058432E" w:rsidRDefault="00535983" w:rsidP="00ED34EF">
      <w:pPr>
        <w:pStyle w:val="BodyText"/>
        <w:keepNext/>
        <w:widowControl/>
        <w:kinsoku w:val="0"/>
        <w:overflowPunct w:val="0"/>
        <w:ind w:left="0"/>
        <w:rPr>
          <w:color w:val="000000" w:themeColor="text1"/>
        </w:rPr>
      </w:pPr>
      <w:r w:rsidRPr="0058432E">
        <w:rPr>
          <w:i/>
          <w:iCs/>
          <w:color w:val="000000" w:themeColor="text1"/>
        </w:rPr>
        <w:t>Uvéite chez l’adulte</w:t>
      </w:r>
    </w:p>
    <w:p w14:paraId="67894239" w14:textId="77777777" w:rsidR="00535983" w:rsidRPr="0058432E" w:rsidRDefault="00535983" w:rsidP="00ED34EF">
      <w:pPr>
        <w:pStyle w:val="BodyText"/>
        <w:keepNext/>
        <w:widowControl/>
        <w:kinsoku w:val="0"/>
        <w:overflowPunct w:val="0"/>
        <w:ind w:left="0"/>
        <w:rPr>
          <w:i/>
          <w:iCs/>
          <w:color w:val="000000" w:themeColor="text1"/>
          <w:szCs w:val="21"/>
        </w:rPr>
      </w:pPr>
    </w:p>
    <w:p w14:paraId="17BE76D3" w14:textId="77777777" w:rsidR="00535983" w:rsidRPr="0058432E" w:rsidRDefault="00535983" w:rsidP="00387D0C">
      <w:pPr>
        <w:pStyle w:val="BodyText"/>
        <w:widowControl/>
        <w:kinsoku w:val="0"/>
        <w:overflowPunct w:val="0"/>
        <w:ind w:left="0"/>
        <w:rPr>
          <w:color w:val="000000" w:themeColor="text1"/>
        </w:rPr>
      </w:pPr>
      <w:r w:rsidRPr="0058432E">
        <w:rPr>
          <w:color w:val="000000" w:themeColor="text1"/>
        </w:rPr>
        <w:t xml:space="preserve">La </w:t>
      </w:r>
      <w:r w:rsidR="00936054" w:rsidRPr="0058432E">
        <w:rPr>
          <w:color w:val="000000" w:themeColor="text1"/>
        </w:rPr>
        <w:t>tolérance</w:t>
      </w:r>
      <w:r w:rsidR="00735BC7" w:rsidRPr="0058432E">
        <w:rPr>
          <w:color w:val="000000" w:themeColor="text1"/>
        </w:rPr>
        <w:t xml:space="preserve"> </w:t>
      </w:r>
      <w:r w:rsidRPr="0058432E">
        <w:rPr>
          <w:color w:val="000000" w:themeColor="text1"/>
        </w:rPr>
        <w:t>et l’efficacité de l’adalimumab ont été évaluées chez des patients adultes atteints d’uvéite non infectieuse, intermédiaire, postérieure et de panuvéite, à l’exclusion des patients présentant une uvéite antérieure isolée, dans deux études randomisées, en double aveugle, contrôlées contre placebo (UV I et II). Les patients recevaient un placebo ou l’adalimumab à la dose initiale de 80 mg puis de 40 mg toutes les deux semaines en commençant une semaine après l’administration de la première dose. L’administration concomitante d’un immunosuppresseur non biologique à dose stable était autorisée.</w:t>
      </w:r>
    </w:p>
    <w:p w14:paraId="00E148A2" w14:textId="77777777" w:rsidR="00535983" w:rsidRPr="0058432E" w:rsidRDefault="00535983" w:rsidP="00387D0C">
      <w:pPr>
        <w:pStyle w:val="BodyText"/>
        <w:widowControl/>
        <w:kinsoku w:val="0"/>
        <w:overflowPunct w:val="0"/>
        <w:ind w:left="0"/>
        <w:rPr>
          <w:color w:val="000000" w:themeColor="text1"/>
        </w:rPr>
      </w:pPr>
    </w:p>
    <w:p w14:paraId="5DAC295E" w14:textId="77777777" w:rsidR="00535983" w:rsidRPr="0058432E" w:rsidRDefault="00535983" w:rsidP="00387D0C">
      <w:pPr>
        <w:pStyle w:val="BodyText"/>
        <w:widowControl/>
        <w:kinsoku w:val="0"/>
        <w:overflowPunct w:val="0"/>
        <w:ind w:left="0"/>
        <w:rPr>
          <w:color w:val="000000" w:themeColor="text1"/>
        </w:rPr>
      </w:pPr>
      <w:r w:rsidRPr="0058432E">
        <w:rPr>
          <w:color w:val="000000" w:themeColor="text1"/>
        </w:rPr>
        <w:t>L’étude UV I a évalué 217</w:t>
      </w:r>
      <w:r w:rsidR="009B0B7B" w:rsidRPr="0058432E">
        <w:rPr>
          <w:color w:val="000000" w:themeColor="text1"/>
        </w:rPr>
        <w:t> </w:t>
      </w:r>
      <w:r w:rsidRPr="0058432E">
        <w:rPr>
          <w:color w:val="000000" w:themeColor="text1"/>
        </w:rPr>
        <w:t xml:space="preserve">patients présentant une uvéite active malgré un traitement par corticoïdes (prednisone par voie orale à la dose de 10 à 60 mg/jour). Au moment de l’inclusion dans l’étude, tous les patients ont reçu une dose </w:t>
      </w:r>
      <w:r w:rsidR="00A77777" w:rsidRPr="0058432E">
        <w:rPr>
          <w:color w:val="000000" w:themeColor="text1"/>
        </w:rPr>
        <w:t xml:space="preserve">standardisée </w:t>
      </w:r>
      <w:r w:rsidRPr="0058432E">
        <w:rPr>
          <w:color w:val="000000" w:themeColor="text1"/>
        </w:rPr>
        <w:t xml:space="preserve">de 60 mg/jour de prednisone pendant deux semaines, progressivement réduite selon un schéma </w:t>
      </w:r>
      <w:r w:rsidR="00936054" w:rsidRPr="0058432E">
        <w:rPr>
          <w:color w:val="000000" w:themeColor="text1"/>
        </w:rPr>
        <w:t>imposé</w:t>
      </w:r>
      <w:r w:rsidRPr="0058432E">
        <w:rPr>
          <w:color w:val="000000" w:themeColor="text1"/>
        </w:rPr>
        <w:t xml:space="preserve"> jusqu’à l’arrêt complet de la corticothérapie à la semaine</w:t>
      </w:r>
      <w:r w:rsidR="0009534C" w:rsidRPr="0058432E">
        <w:rPr>
          <w:color w:val="000000" w:themeColor="text1"/>
        </w:rPr>
        <w:t> </w:t>
      </w:r>
      <w:r w:rsidRPr="0058432E">
        <w:rPr>
          <w:color w:val="000000" w:themeColor="text1"/>
        </w:rPr>
        <w:t>15.</w:t>
      </w:r>
    </w:p>
    <w:p w14:paraId="30BBF609" w14:textId="77777777" w:rsidR="00535983" w:rsidRPr="0058432E" w:rsidRDefault="00535983" w:rsidP="00387D0C">
      <w:pPr>
        <w:pStyle w:val="BodyText"/>
        <w:widowControl/>
        <w:kinsoku w:val="0"/>
        <w:overflowPunct w:val="0"/>
        <w:ind w:left="0"/>
        <w:rPr>
          <w:color w:val="000000" w:themeColor="text1"/>
          <w:szCs w:val="21"/>
        </w:rPr>
      </w:pPr>
    </w:p>
    <w:p w14:paraId="35DA7204" w14:textId="77777777" w:rsidR="00535983" w:rsidRPr="0058432E" w:rsidRDefault="00535983" w:rsidP="00387D0C">
      <w:pPr>
        <w:pStyle w:val="BodyText"/>
        <w:widowControl/>
        <w:tabs>
          <w:tab w:val="left" w:pos="90"/>
        </w:tabs>
        <w:kinsoku w:val="0"/>
        <w:overflowPunct w:val="0"/>
        <w:ind w:left="0"/>
        <w:rPr>
          <w:color w:val="000000" w:themeColor="text1"/>
        </w:rPr>
      </w:pPr>
      <w:r w:rsidRPr="0058432E">
        <w:rPr>
          <w:color w:val="000000" w:themeColor="text1"/>
        </w:rPr>
        <w:t>L’étude UV II a évalué 226</w:t>
      </w:r>
      <w:r w:rsidR="00533416" w:rsidRPr="0058432E">
        <w:rPr>
          <w:color w:val="000000" w:themeColor="text1"/>
        </w:rPr>
        <w:t> </w:t>
      </w:r>
      <w:r w:rsidRPr="0058432E">
        <w:rPr>
          <w:color w:val="000000" w:themeColor="text1"/>
        </w:rPr>
        <w:t xml:space="preserve">patients présentant une uvéite inactive nécessitant une corticothérapie chronique (prednisone par voie orale à la dose de 10 à 35 mg/jour) au moment de l’inclusion pour contrôler leur maladie. La dose de corticoïdes était progressivement réduite selon un schéma </w:t>
      </w:r>
      <w:r w:rsidR="00A8491F" w:rsidRPr="0058432E">
        <w:rPr>
          <w:color w:val="000000" w:themeColor="text1"/>
        </w:rPr>
        <w:t xml:space="preserve">imposé </w:t>
      </w:r>
      <w:r w:rsidRPr="0058432E">
        <w:rPr>
          <w:color w:val="000000" w:themeColor="text1"/>
        </w:rPr>
        <w:t>jusqu’à l’arrêt complet de la corticothérapie à la semaine 19.</w:t>
      </w:r>
    </w:p>
    <w:p w14:paraId="1854C684" w14:textId="77777777" w:rsidR="00535983" w:rsidRPr="0058432E" w:rsidRDefault="00535983" w:rsidP="00387D0C">
      <w:pPr>
        <w:pStyle w:val="BodyText"/>
        <w:widowControl/>
        <w:tabs>
          <w:tab w:val="left" w:pos="90"/>
        </w:tabs>
        <w:kinsoku w:val="0"/>
        <w:overflowPunct w:val="0"/>
        <w:ind w:left="0"/>
        <w:rPr>
          <w:color w:val="000000" w:themeColor="text1"/>
        </w:rPr>
      </w:pPr>
    </w:p>
    <w:p w14:paraId="07507F3D" w14:textId="77777777" w:rsidR="00535983" w:rsidRPr="0058432E" w:rsidRDefault="00535983" w:rsidP="00387D0C">
      <w:pPr>
        <w:pStyle w:val="BodyText"/>
        <w:widowControl/>
        <w:tabs>
          <w:tab w:val="left" w:pos="90"/>
        </w:tabs>
        <w:kinsoku w:val="0"/>
        <w:overflowPunct w:val="0"/>
        <w:ind w:left="0"/>
        <w:rPr>
          <w:color w:val="000000" w:themeColor="text1"/>
        </w:rPr>
      </w:pPr>
      <w:r w:rsidRPr="0058432E">
        <w:rPr>
          <w:color w:val="000000" w:themeColor="text1"/>
        </w:rPr>
        <w:t xml:space="preserve">Le critère </w:t>
      </w:r>
      <w:r w:rsidR="00A8491F" w:rsidRPr="0058432E">
        <w:rPr>
          <w:color w:val="000000" w:themeColor="text1"/>
        </w:rPr>
        <w:t xml:space="preserve">d’évaluation </w:t>
      </w:r>
      <w:r w:rsidRPr="0058432E">
        <w:rPr>
          <w:color w:val="000000" w:themeColor="text1"/>
        </w:rPr>
        <w:t xml:space="preserve">principal de l’efficacité dans les deux études était le « délai de survenue de </w:t>
      </w:r>
      <w:r w:rsidR="00936054" w:rsidRPr="0058432E">
        <w:rPr>
          <w:color w:val="000000" w:themeColor="text1"/>
        </w:rPr>
        <w:t xml:space="preserve">la </w:t>
      </w:r>
      <w:r w:rsidRPr="0058432E">
        <w:rPr>
          <w:color w:val="000000" w:themeColor="text1"/>
        </w:rPr>
        <w:t xml:space="preserve">rechute ». La rechute était définie par un </w:t>
      </w:r>
      <w:r w:rsidR="00A8491F" w:rsidRPr="0058432E">
        <w:rPr>
          <w:color w:val="000000" w:themeColor="text1"/>
        </w:rPr>
        <w:t xml:space="preserve">résultat </w:t>
      </w:r>
      <w:r w:rsidRPr="0058432E">
        <w:rPr>
          <w:color w:val="000000" w:themeColor="text1"/>
        </w:rPr>
        <w:t>composite basé sur la présence de lésions vasculaires rétiniennes et/ou choriorétiniennes inflammatoires, le Tyndall cellulaire de la chambre antérieure, l’inflammation vitréenne et la meilleure acuité visuelle corrigée.</w:t>
      </w:r>
    </w:p>
    <w:p w14:paraId="362DED00" w14:textId="77777777" w:rsidR="00A975CF" w:rsidRPr="0058432E" w:rsidRDefault="00A975CF" w:rsidP="00387D0C">
      <w:pPr>
        <w:pStyle w:val="BodyText"/>
        <w:widowControl/>
        <w:tabs>
          <w:tab w:val="left" w:pos="90"/>
        </w:tabs>
        <w:kinsoku w:val="0"/>
        <w:overflowPunct w:val="0"/>
        <w:ind w:left="0"/>
        <w:rPr>
          <w:color w:val="000000" w:themeColor="text1"/>
        </w:rPr>
      </w:pPr>
    </w:p>
    <w:p w14:paraId="1AE9E86D" w14:textId="77777777" w:rsidR="00535983" w:rsidRPr="0058432E" w:rsidRDefault="00A975CF" w:rsidP="00387D0C">
      <w:pPr>
        <w:pStyle w:val="BodyText"/>
        <w:widowControl/>
        <w:tabs>
          <w:tab w:val="left" w:pos="90"/>
        </w:tabs>
        <w:kinsoku w:val="0"/>
        <w:overflowPunct w:val="0"/>
        <w:ind w:left="0"/>
        <w:rPr>
          <w:color w:val="000000" w:themeColor="text1"/>
        </w:rPr>
      </w:pPr>
      <w:r w:rsidRPr="0058432E">
        <w:rPr>
          <w:color w:val="000000" w:themeColor="text1"/>
        </w:rPr>
        <w:t xml:space="preserve">Les patients ayant terminé les études UV I et UV II </w:t>
      </w:r>
      <w:r w:rsidR="00002C0C" w:rsidRPr="0058432E">
        <w:rPr>
          <w:color w:val="000000" w:themeColor="text1"/>
        </w:rPr>
        <w:t>étaient éligible</w:t>
      </w:r>
      <w:r w:rsidR="0069375B" w:rsidRPr="0058432E">
        <w:rPr>
          <w:color w:val="000000" w:themeColor="text1"/>
        </w:rPr>
        <w:t>s</w:t>
      </w:r>
      <w:r w:rsidR="00002C0C" w:rsidRPr="0058432E">
        <w:rPr>
          <w:color w:val="000000" w:themeColor="text1"/>
        </w:rPr>
        <w:t xml:space="preserve"> pour</w:t>
      </w:r>
      <w:r w:rsidRPr="0058432E">
        <w:rPr>
          <w:color w:val="000000" w:themeColor="text1"/>
        </w:rPr>
        <w:t xml:space="preserve"> participer à une étude d</w:t>
      </w:r>
      <w:r w:rsidR="00002C0C" w:rsidRPr="0058432E">
        <w:rPr>
          <w:color w:val="000000" w:themeColor="text1"/>
        </w:rPr>
        <w:t>’extension</w:t>
      </w:r>
      <w:r w:rsidRPr="0058432E">
        <w:rPr>
          <w:color w:val="000000" w:themeColor="text1"/>
        </w:rPr>
        <w:t xml:space="preserve"> à long terme non contrôlée d'une durée initialement prévue de 78 semaines. Les patients ont été autorisés à </w:t>
      </w:r>
      <w:r w:rsidR="00002C0C" w:rsidRPr="0058432E">
        <w:rPr>
          <w:color w:val="000000" w:themeColor="text1"/>
        </w:rPr>
        <w:t>continuer à prendre le médicament de l’étude au-delà de</w:t>
      </w:r>
      <w:r w:rsidRPr="0058432E">
        <w:rPr>
          <w:color w:val="000000" w:themeColor="text1"/>
        </w:rPr>
        <w:t xml:space="preserve"> la semaine 78 jusqu'à ce qu'ils aient accès à l'adalimumab.</w:t>
      </w:r>
    </w:p>
    <w:p w14:paraId="1A8665C2" w14:textId="77777777" w:rsidR="00A975CF" w:rsidRPr="0058432E" w:rsidRDefault="00A975CF" w:rsidP="00387D0C">
      <w:pPr>
        <w:pStyle w:val="BodyText"/>
        <w:widowControl/>
        <w:tabs>
          <w:tab w:val="left" w:pos="90"/>
        </w:tabs>
        <w:kinsoku w:val="0"/>
        <w:overflowPunct w:val="0"/>
        <w:ind w:left="0"/>
        <w:rPr>
          <w:color w:val="000000" w:themeColor="text1"/>
        </w:rPr>
      </w:pPr>
    </w:p>
    <w:p w14:paraId="30FA73E2" w14:textId="77777777" w:rsidR="00535983" w:rsidRPr="0058432E" w:rsidRDefault="00535983" w:rsidP="00B81806">
      <w:pPr>
        <w:pStyle w:val="BodyText"/>
        <w:keepNext/>
        <w:widowControl/>
        <w:tabs>
          <w:tab w:val="left" w:pos="90"/>
        </w:tabs>
        <w:kinsoku w:val="0"/>
        <w:overflowPunct w:val="0"/>
        <w:ind w:left="0"/>
        <w:rPr>
          <w:color w:val="000000" w:themeColor="text1"/>
        </w:rPr>
      </w:pPr>
      <w:r w:rsidRPr="0058432E">
        <w:rPr>
          <w:i/>
          <w:iCs/>
          <w:color w:val="000000" w:themeColor="text1"/>
          <w:u w:val="single"/>
        </w:rPr>
        <w:lastRenderedPageBreak/>
        <w:t>Réponse clinique</w:t>
      </w:r>
    </w:p>
    <w:p w14:paraId="133C659E" w14:textId="77777777" w:rsidR="00535983" w:rsidRPr="0058432E" w:rsidRDefault="00535983" w:rsidP="00E00B6B">
      <w:pPr>
        <w:pStyle w:val="BodyText"/>
        <w:keepNext/>
        <w:widowControl/>
        <w:tabs>
          <w:tab w:val="left" w:pos="90"/>
        </w:tabs>
        <w:kinsoku w:val="0"/>
        <w:overflowPunct w:val="0"/>
        <w:ind w:left="0"/>
        <w:rPr>
          <w:i/>
          <w:iCs/>
          <w:color w:val="000000" w:themeColor="text1"/>
        </w:rPr>
      </w:pPr>
    </w:p>
    <w:p w14:paraId="0F1320F0" w14:textId="77777777" w:rsidR="00535983" w:rsidRPr="0058432E" w:rsidRDefault="00535983" w:rsidP="00A13AE4">
      <w:pPr>
        <w:pStyle w:val="BodyText"/>
        <w:widowControl/>
        <w:tabs>
          <w:tab w:val="left" w:pos="90"/>
        </w:tabs>
        <w:kinsoku w:val="0"/>
        <w:overflowPunct w:val="0"/>
        <w:ind w:left="0"/>
        <w:rPr>
          <w:color w:val="000000" w:themeColor="text1"/>
        </w:rPr>
      </w:pPr>
      <w:r w:rsidRPr="0058432E">
        <w:rPr>
          <w:color w:val="000000" w:themeColor="text1"/>
        </w:rPr>
        <w:t xml:space="preserve">Les résultats des deux études ont mis en évidence une réduction statistiquement significative du risque de rechute chez les patients traités </w:t>
      </w:r>
      <w:r w:rsidR="008E7545" w:rsidRPr="0058432E">
        <w:rPr>
          <w:color w:val="000000" w:themeColor="text1"/>
        </w:rPr>
        <w:t>par adalimumab</w:t>
      </w:r>
      <w:r w:rsidRPr="0058432E">
        <w:rPr>
          <w:color w:val="000000" w:themeColor="text1"/>
        </w:rPr>
        <w:t xml:space="preserve"> comparativement aux patients recevant le placebo (voir tableau </w:t>
      </w:r>
      <w:r w:rsidR="006B2FBE" w:rsidRPr="0058432E">
        <w:rPr>
          <w:color w:val="000000" w:themeColor="text1"/>
        </w:rPr>
        <w:t>16</w:t>
      </w:r>
      <w:r w:rsidRPr="0058432E">
        <w:rPr>
          <w:color w:val="000000" w:themeColor="text1"/>
        </w:rPr>
        <w:t>). Les deux études ont montré un effet précoce et durable sur le taux de rechute sous adalimumab comparativement au placebo (voir figure </w:t>
      </w:r>
      <w:r w:rsidR="006B2FBE" w:rsidRPr="0058432E">
        <w:rPr>
          <w:color w:val="000000" w:themeColor="text1"/>
        </w:rPr>
        <w:t>1</w:t>
      </w:r>
      <w:r w:rsidRPr="0058432E">
        <w:rPr>
          <w:color w:val="000000" w:themeColor="text1"/>
        </w:rPr>
        <w:t>).</w:t>
      </w:r>
    </w:p>
    <w:p w14:paraId="6BE3560D" w14:textId="77777777" w:rsidR="00535983" w:rsidRPr="0058432E" w:rsidRDefault="00535983" w:rsidP="00387D0C">
      <w:pPr>
        <w:rPr>
          <w:color w:val="000000" w:themeColor="text1"/>
        </w:rPr>
      </w:pPr>
    </w:p>
    <w:p w14:paraId="0B6919C7" w14:textId="77777777" w:rsidR="00535983" w:rsidRPr="0058432E" w:rsidRDefault="00535983" w:rsidP="00A53E17">
      <w:pPr>
        <w:rPr>
          <w:b/>
          <w:color w:val="000000" w:themeColor="text1"/>
        </w:rPr>
      </w:pPr>
      <w:r w:rsidRPr="0058432E">
        <w:rPr>
          <w:b/>
          <w:color w:val="000000" w:themeColor="text1"/>
        </w:rPr>
        <w:t>Tableau </w:t>
      </w:r>
      <w:r w:rsidR="006B2FBE" w:rsidRPr="0058432E">
        <w:rPr>
          <w:b/>
          <w:color w:val="000000" w:themeColor="text1"/>
        </w:rPr>
        <w:t>16</w:t>
      </w:r>
      <w:r w:rsidR="008D2E8E" w:rsidRPr="0058432E">
        <w:rPr>
          <w:b/>
          <w:color w:val="000000" w:themeColor="text1"/>
        </w:rPr>
        <w:t>.</w:t>
      </w:r>
    </w:p>
    <w:p w14:paraId="5A0E8DE1" w14:textId="77777777" w:rsidR="00535983" w:rsidRPr="0058432E" w:rsidRDefault="00535983" w:rsidP="00A53E17">
      <w:pPr>
        <w:rPr>
          <w:b/>
          <w:color w:val="000000" w:themeColor="text1"/>
        </w:rPr>
      </w:pPr>
      <w:r w:rsidRPr="0058432E">
        <w:rPr>
          <w:b/>
          <w:color w:val="000000" w:themeColor="text1"/>
        </w:rPr>
        <w:t>Délai de survenue de la rechute dans les études UV I et UV II</w:t>
      </w:r>
    </w:p>
    <w:p w14:paraId="7B65DF7B" w14:textId="77777777" w:rsidR="00535983" w:rsidRPr="0058432E" w:rsidRDefault="00535983" w:rsidP="00387D0C">
      <w:pPr>
        <w:rPr>
          <w:color w:val="000000" w:themeColor="text1"/>
        </w:rPr>
      </w:pP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3"/>
        <w:gridCol w:w="710"/>
        <w:gridCol w:w="1256"/>
        <w:gridCol w:w="1264"/>
        <w:gridCol w:w="1225"/>
        <w:gridCol w:w="1234"/>
        <w:gridCol w:w="1253"/>
      </w:tblGrid>
      <w:tr w:rsidR="00535983" w:rsidRPr="0058432E" w14:paraId="0B2552AA" w14:textId="77777777" w:rsidTr="002510E7">
        <w:tc>
          <w:tcPr>
            <w:tcW w:w="2178" w:type="dxa"/>
            <w:tcBorders>
              <w:top w:val="single" w:sz="4" w:space="0" w:color="auto"/>
              <w:left w:val="nil"/>
              <w:bottom w:val="single" w:sz="4" w:space="0" w:color="auto"/>
              <w:right w:val="nil"/>
            </w:tcBorders>
            <w:hideMark/>
          </w:tcPr>
          <w:p w14:paraId="0E3B5D5C" w14:textId="77777777" w:rsidR="00535983" w:rsidRPr="0058432E" w:rsidRDefault="00535983" w:rsidP="00982118">
            <w:pPr>
              <w:rPr>
                <w:b/>
                <w:color w:val="000000" w:themeColor="text1"/>
              </w:rPr>
            </w:pPr>
            <w:r w:rsidRPr="0058432E">
              <w:rPr>
                <w:b/>
                <w:color w:val="000000" w:themeColor="text1"/>
              </w:rPr>
              <w:t>Analyse</w:t>
            </w:r>
          </w:p>
          <w:p w14:paraId="167946A6" w14:textId="77777777" w:rsidR="00535983" w:rsidRPr="0058432E" w:rsidRDefault="00535983" w:rsidP="00982118">
            <w:pPr>
              <w:rPr>
                <w:b/>
                <w:color w:val="000000" w:themeColor="text1"/>
              </w:rPr>
            </w:pPr>
            <w:r w:rsidRPr="0058432E">
              <w:rPr>
                <w:b/>
                <w:color w:val="000000" w:themeColor="text1"/>
              </w:rPr>
              <w:t>     Traitement</w:t>
            </w:r>
          </w:p>
        </w:tc>
        <w:tc>
          <w:tcPr>
            <w:tcW w:w="720" w:type="dxa"/>
            <w:tcBorders>
              <w:top w:val="single" w:sz="4" w:space="0" w:color="auto"/>
              <w:left w:val="nil"/>
              <w:bottom w:val="single" w:sz="4" w:space="0" w:color="auto"/>
              <w:right w:val="nil"/>
            </w:tcBorders>
            <w:hideMark/>
          </w:tcPr>
          <w:p w14:paraId="459818EF" w14:textId="77777777" w:rsidR="00535983" w:rsidRPr="0058432E" w:rsidRDefault="00535983" w:rsidP="00982118">
            <w:pPr>
              <w:rPr>
                <w:b/>
                <w:color w:val="000000" w:themeColor="text1"/>
              </w:rPr>
            </w:pPr>
            <w:r w:rsidRPr="0058432E">
              <w:rPr>
                <w:b/>
                <w:color w:val="000000" w:themeColor="text1"/>
              </w:rPr>
              <w:t>N</w:t>
            </w:r>
          </w:p>
        </w:tc>
        <w:tc>
          <w:tcPr>
            <w:tcW w:w="1281" w:type="dxa"/>
            <w:tcBorders>
              <w:top w:val="single" w:sz="4" w:space="0" w:color="auto"/>
              <w:left w:val="nil"/>
              <w:bottom w:val="single" w:sz="4" w:space="0" w:color="auto"/>
              <w:right w:val="nil"/>
            </w:tcBorders>
            <w:hideMark/>
          </w:tcPr>
          <w:p w14:paraId="77015F5D" w14:textId="77777777" w:rsidR="00535983" w:rsidRPr="0058432E" w:rsidRDefault="00535983" w:rsidP="00982118">
            <w:pPr>
              <w:rPr>
                <w:b/>
                <w:color w:val="000000" w:themeColor="text1"/>
              </w:rPr>
            </w:pPr>
            <w:r w:rsidRPr="0058432E">
              <w:rPr>
                <w:b/>
                <w:color w:val="000000" w:themeColor="text1"/>
              </w:rPr>
              <w:t>Rechute</w:t>
            </w:r>
          </w:p>
          <w:p w14:paraId="0AB46B20" w14:textId="77777777" w:rsidR="00535983" w:rsidRPr="0058432E" w:rsidRDefault="00535983" w:rsidP="00982118">
            <w:pPr>
              <w:rPr>
                <w:b/>
                <w:color w:val="000000" w:themeColor="text1"/>
              </w:rPr>
            </w:pPr>
            <w:r w:rsidRPr="0058432E">
              <w:rPr>
                <w:b/>
                <w:color w:val="000000" w:themeColor="text1"/>
              </w:rPr>
              <w:t>N (%)</w:t>
            </w:r>
          </w:p>
        </w:tc>
        <w:tc>
          <w:tcPr>
            <w:tcW w:w="1281" w:type="dxa"/>
            <w:tcBorders>
              <w:top w:val="single" w:sz="4" w:space="0" w:color="auto"/>
              <w:left w:val="nil"/>
              <w:bottom w:val="single" w:sz="4" w:space="0" w:color="auto"/>
              <w:right w:val="nil"/>
            </w:tcBorders>
            <w:hideMark/>
          </w:tcPr>
          <w:p w14:paraId="467E5350" w14:textId="77777777" w:rsidR="00535983" w:rsidRPr="0058432E" w:rsidRDefault="00535983" w:rsidP="00982118">
            <w:pPr>
              <w:rPr>
                <w:b/>
                <w:color w:val="000000" w:themeColor="text1"/>
              </w:rPr>
            </w:pPr>
            <w:r w:rsidRPr="0058432E">
              <w:rPr>
                <w:b/>
                <w:color w:val="000000" w:themeColor="text1"/>
              </w:rPr>
              <w:t>Délai médian de survenue de la rechute (mois)</w:t>
            </w:r>
          </w:p>
        </w:tc>
        <w:tc>
          <w:tcPr>
            <w:tcW w:w="1281" w:type="dxa"/>
            <w:tcBorders>
              <w:top w:val="single" w:sz="4" w:space="0" w:color="auto"/>
              <w:left w:val="nil"/>
              <w:bottom w:val="single" w:sz="4" w:space="0" w:color="auto"/>
              <w:right w:val="nil"/>
            </w:tcBorders>
            <w:hideMark/>
          </w:tcPr>
          <w:p w14:paraId="774EEFBD" w14:textId="77777777" w:rsidR="00535983" w:rsidRPr="0058432E" w:rsidRDefault="00535983" w:rsidP="00982118">
            <w:pPr>
              <w:rPr>
                <w:b/>
                <w:color w:val="000000" w:themeColor="text1"/>
              </w:rPr>
            </w:pPr>
            <w:r w:rsidRPr="0058432E">
              <w:rPr>
                <w:b/>
                <w:color w:val="000000" w:themeColor="text1"/>
              </w:rPr>
              <w:t>HR</w:t>
            </w:r>
            <w:r w:rsidRPr="0058432E">
              <w:rPr>
                <w:b/>
                <w:color w:val="000000" w:themeColor="text1"/>
                <w:vertAlign w:val="superscript"/>
              </w:rPr>
              <w:t>a</w:t>
            </w:r>
          </w:p>
        </w:tc>
        <w:tc>
          <w:tcPr>
            <w:tcW w:w="1281" w:type="dxa"/>
            <w:tcBorders>
              <w:top w:val="single" w:sz="4" w:space="0" w:color="auto"/>
              <w:left w:val="nil"/>
              <w:bottom w:val="single" w:sz="4" w:space="0" w:color="auto"/>
              <w:right w:val="nil"/>
            </w:tcBorders>
            <w:hideMark/>
          </w:tcPr>
          <w:p w14:paraId="2A501109" w14:textId="77777777" w:rsidR="00535983" w:rsidRPr="0058432E" w:rsidRDefault="00535983" w:rsidP="00982118">
            <w:pPr>
              <w:rPr>
                <w:b/>
                <w:color w:val="000000" w:themeColor="text1"/>
              </w:rPr>
            </w:pPr>
            <w:r w:rsidRPr="0058432E">
              <w:rPr>
                <w:b/>
                <w:color w:val="000000" w:themeColor="text1"/>
              </w:rPr>
              <w:t>IC à 95 % pour le HR</w:t>
            </w:r>
            <w:r w:rsidRPr="0058432E">
              <w:rPr>
                <w:b/>
                <w:color w:val="000000" w:themeColor="text1"/>
                <w:vertAlign w:val="superscript"/>
              </w:rPr>
              <w:t>a</w:t>
            </w:r>
            <w:r w:rsidRPr="0058432E">
              <w:rPr>
                <w:b/>
                <w:color w:val="000000" w:themeColor="text1"/>
              </w:rPr>
              <w:t xml:space="preserve"> </w:t>
            </w:r>
          </w:p>
        </w:tc>
        <w:tc>
          <w:tcPr>
            <w:tcW w:w="1281" w:type="dxa"/>
            <w:tcBorders>
              <w:top w:val="single" w:sz="4" w:space="0" w:color="auto"/>
              <w:left w:val="nil"/>
              <w:bottom w:val="single" w:sz="4" w:space="0" w:color="auto"/>
              <w:right w:val="nil"/>
            </w:tcBorders>
            <w:hideMark/>
          </w:tcPr>
          <w:p w14:paraId="5CAA44FC" w14:textId="77777777" w:rsidR="00535983" w:rsidRPr="0058432E" w:rsidRDefault="00535983" w:rsidP="00982118">
            <w:pPr>
              <w:rPr>
                <w:b/>
                <w:color w:val="000000" w:themeColor="text1"/>
              </w:rPr>
            </w:pPr>
            <w:r w:rsidRPr="0058432E">
              <w:rPr>
                <w:b/>
                <w:color w:val="000000" w:themeColor="text1"/>
              </w:rPr>
              <w:t xml:space="preserve">Valeur de </w:t>
            </w:r>
            <w:r w:rsidRPr="0058432E">
              <w:rPr>
                <w:b/>
                <w:i/>
                <w:color w:val="000000" w:themeColor="text1"/>
              </w:rPr>
              <w:t>p</w:t>
            </w:r>
            <w:r w:rsidRPr="0058432E">
              <w:rPr>
                <w:b/>
                <w:color w:val="000000" w:themeColor="text1"/>
                <w:vertAlign w:val="superscript"/>
              </w:rPr>
              <w:t>b</w:t>
            </w:r>
          </w:p>
        </w:tc>
      </w:tr>
      <w:tr w:rsidR="00535983" w:rsidRPr="0058432E" w14:paraId="1DC192BF" w14:textId="77777777" w:rsidTr="002510E7">
        <w:tc>
          <w:tcPr>
            <w:tcW w:w="9303" w:type="dxa"/>
            <w:gridSpan w:val="7"/>
            <w:tcBorders>
              <w:top w:val="single" w:sz="4" w:space="0" w:color="auto"/>
              <w:left w:val="nil"/>
              <w:bottom w:val="nil"/>
              <w:right w:val="nil"/>
            </w:tcBorders>
            <w:hideMark/>
          </w:tcPr>
          <w:p w14:paraId="31E0F270" w14:textId="77777777" w:rsidR="00535983" w:rsidRPr="0058432E" w:rsidRDefault="00535983" w:rsidP="00982118">
            <w:pPr>
              <w:rPr>
                <w:b/>
                <w:color w:val="000000" w:themeColor="text1"/>
              </w:rPr>
            </w:pPr>
            <w:r w:rsidRPr="0058432E">
              <w:rPr>
                <w:b/>
                <w:color w:val="000000" w:themeColor="text1"/>
              </w:rPr>
              <w:t xml:space="preserve">Délai de survenue de la rechute à ou après la semaine 6 dans l’étude UV I  </w:t>
            </w:r>
          </w:p>
        </w:tc>
      </w:tr>
      <w:tr w:rsidR="00535983" w:rsidRPr="0058432E" w14:paraId="5418E2CB" w14:textId="77777777" w:rsidTr="002510E7">
        <w:tc>
          <w:tcPr>
            <w:tcW w:w="9303" w:type="dxa"/>
            <w:gridSpan w:val="7"/>
            <w:tcBorders>
              <w:top w:val="nil"/>
              <w:left w:val="nil"/>
              <w:bottom w:val="nil"/>
              <w:right w:val="nil"/>
            </w:tcBorders>
            <w:hideMark/>
          </w:tcPr>
          <w:p w14:paraId="26277DFC" w14:textId="77777777" w:rsidR="00535983" w:rsidRPr="0058432E" w:rsidRDefault="00535983" w:rsidP="00982118">
            <w:pPr>
              <w:rPr>
                <w:color w:val="000000" w:themeColor="text1"/>
              </w:rPr>
            </w:pPr>
            <w:r w:rsidRPr="0058432E">
              <w:rPr>
                <w:color w:val="000000" w:themeColor="text1"/>
              </w:rPr>
              <w:t>Analyse principale (ITT)</w:t>
            </w:r>
          </w:p>
        </w:tc>
      </w:tr>
      <w:tr w:rsidR="00535983" w:rsidRPr="0058432E" w14:paraId="76D8C63C" w14:textId="77777777" w:rsidTr="002510E7">
        <w:tc>
          <w:tcPr>
            <w:tcW w:w="2178" w:type="dxa"/>
            <w:tcBorders>
              <w:top w:val="nil"/>
              <w:left w:val="nil"/>
              <w:bottom w:val="nil"/>
              <w:right w:val="nil"/>
            </w:tcBorders>
            <w:hideMark/>
          </w:tcPr>
          <w:p w14:paraId="59C17311" w14:textId="77777777" w:rsidR="00535983" w:rsidRPr="0058432E" w:rsidRDefault="00535983" w:rsidP="00982118">
            <w:pPr>
              <w:rPr>
                <w:color w:val="000000" w:themeColor="text1"/>
              </w:rPr>
            </w:pPr>
            <w:r w:rsidRPr="0058432E">
              <w:rPr>
                <w:color w:val="000000" w:themeColor="text1"/>
              </w:rPr>
              <w:t>     Placebo</w:t>
            </w:r>
          </w:p>
        </w:tc>
        <w:tc>
          <w:tcPr>
            <w:tcW w:w="720" w:type="dxa"/>
            <w:tcBorders>
              <w:top w:val="nil"/>
              <w:left w:val="nil"/>
              <w:bottom w:val="nil"/>
              <w:right w:val="nil"/>
            </w:tcBorders>
            <w:hideMark/>
          </w:tcPr>
          <w:p w14:paraId="6D682D89" w14:textId="77777777" w:rsidR="00535983" w:rsidRPr="0058432E" w:rsidRDefault="00535983" w:rsidP="00982118">
            <w:pPr>
              <w:rPr>
                <w:color w:val="000000" w:themeColor="text1"/>
              </w:rPr>
            </w:pPr>
            <w:r w:rsidRPr="0058432E">
              <w:rPr>
                <w:color w:val="000000" w:themeColor="text1"/>
              </w:rPr>
              <w:t>107</w:t>
            </w:r>
          </w:p>
        </w:tc>
        <w:tc>
          <w:tcPr>
            <w:tcW w:w="1281" w:type="dxa"/>
            <w:tcBorders>
              <w:top w:val="nil"/>
              <w:left w:val="nil"/>
              <w:bottom w:val="nil"/>
              <w:right w:val="nil"/>
            </w:tcBorders>
            <w:hideMark/>
          </w:tcPr>
          <w:p w14:paraId="50A7E338" w14:textId="77777777" w:rsidR="00535983" w:rsidRPr="0058432E" w:rsidRDefault="00535983" w:rsidP="00982118">
            <w:pPr>
              <w:rPr>
                <w:color w:val="000000" w:themeColor="text1"/>
              </w:rPr>
            </w:pPr>
            <w:r w:rsidRPr="0058432E">
              <w:rPr>
                <w:color w:val="000000" w:themeColor="text1"/>
              </w:rPr>
              <w:t>84 (78,5)</w:t>
            </w:r>
          </w:p>
        </w:tc>
        <w:tc>
          <w:tcPr>
            <w:tcW w:w="1281" w:type="dxa"/>
            <w:tcBorders>
              <w:top w:val="nil"/>
              <w:left w:val="nil"/>
              <w:bottom w:val="nil"/>
              <w:right w:val="nil"/>
            </w:tcBorders>
            <w:hideMark/>
          </w:tcPr>
          <w:p w14:paraId="53C4BE53" w14:textId="77777777" w:rsidR="00535983" w:rsidRPr="0058432E" w:rsidRDefault="00535983" w:rsidP="00982118">
            <w:pPr>
              <w:rPr>
                <w:color w:val="000000" w:themeColor="text1"/>
              </w:rPr>
            </w:pPr>
            <w:r w:rsidRPr="0058432E">
              <w:rPr>
                <w:color w:val="000000" w:themeColor="text1"/>
              </w:rPr>
              <w:t>3,0 </w:t>
            </w:r>
          </w:p>
        </w:tc>
        <w:tc>
          <w:tcPr>
            <w:tcW w:w="1281" w:type="dxa"/>
            <w:tcBorders>
              <w:top w:val="nil"/>
              <w:left w:val="nil"/>
              <w:bottom w:val="nil"/>
              <w:right w:val="nil"/>
            </w:tcBorders>
            <w:hideMark/>
          </w:tcPr>
          <w:p w14:paraId="3DC64DF8"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7BA9F86F"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42ACB641"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r>
      <w:tr w:rsidR="00535983" w:rsidRPr="0058432E" w14:paraId="369B984F" w14:textId="77777777" w:rsidTr="002510E7">
        <w:tc>
          <w:tcPr>
            <w:tcW w:w="2178" w:type="dxa"/>
            <w:tcBorders>
              <w:top w:val="nil"/>
              <w:left w:val="nil"/>
              <w:bottom w:val="single" w:sz="4" w:space="0" w:color="auto"/>
              <w:right w:val="nil"/>
            </w:tcBorders>
            <w:hideMark/>
          </w:tcPr>
          <w:p w14:paraId="7539D7D7" w14:textId="77777777" w:rsidR="00535983" w:rsidRPr="0058432E" w:rsidRDefault="00535983" w:rsidP="00982118">
            <w:pPr>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471A509C" w14:textId="77777777" w:rsidR="00535983" w:rsidRPr="0058432E" w:rsidRDefault="00535983" w:rsidP="00982118">
            <w:pPr>
              <w:rPr>
                <w:color w:val="000000" w:themeColor="text1"/>
              </w:rPr>
            </w:pPr>
            <w:r w:rsidRPr="0058432E">
              <w:rPr>
                <w:color w:val="000000" w:themeColor="text1"/>
              </w:rPr>
              <w:t>110 </w:t>
            </w:r>
          </w:p>
        </w:tc>
        <w:tc>
          <w:tcPr>
            <w:tcW w:w="1281" w:type="dxa"/>
            <w:tcBorders>
              <w:top w:val="nil"/>
              <w:left w:val="nil"/>
              <w:bottom w:val="single" w:sz="4" w:space="0" w:color="auto"/>
              <w:right w:val="nil"/>
            </w:tcBorders>
            <w:hideMark/>
          </w:tcPr>
          <w:p w14:paraId="5793541A" w14:textId="77777777" w:rsidR="00535983" w:rsidRPr="0058432E" w:rsidRDefault="00535983" w:rsidP="00982118">
            <w:pPr>
              <w:rPr>
                <w:color w:val="000000" w:themeColor="text1"/>
              </w:rPr>
            </w:pPr>
            <w:r w:rsidRPr="0058432E">
              <w:rPr>
                <w:color w:val="000000" w:themeColor="text1"/>
              </w:rPr>
              <w:t>60 (54,5)</w:t>
            </w:r>
          </w:p>
        </w:tc>
        <w:tc>
          <w:tcPr>
            <w:tcW w:w="1281" w:type="dxa"/>
            <w:tcBorders>
              <w:top w:val="nil"/>
              <w:left w:val="nil"/>
              <w:bottom w:val="single" w:sz="4" w:space="0" w:color="auto"/>
              <w:right w:val="nil"/>
            </w:tcBorders>
            <w:hideMark/>
          </w:tcPr>
          <w:p w14:paraId="4A0E44B5" w14:textId="77777777" w:rsidR="00535983" w:rsidRPr="0058432E" w:rsidRDefault="00535983" w:rsidP="00982118">
            <w:pPr>
              <w:rPr>
                <w:color w:val="000000" w:themeColor="text1"/>
              </w:rPr>
            </w:pPr>
            <w:r w:rsidRPr="0058432E">
              <w:rPr>
                <w:color w:val="000000" w:themeColor="text1"/>
              </w:rPr>
              <w:t>5,6 </w:t>
            </w:r>
          </w:p>
        </w:tc>
        <w:tc>
          <w:tcPr>
            <w:tcW w:w="1281" w:type="dxa"/>
            <w:tcBorders>
              <w:top w:val="nil"/>
              <w:left w:val="nil"/>
              <w:bottom w:val="single" w:sz="4" w:space="0" w:color="auto"/>
              <w:right w:val="nil"/>
            </w:tcBorders>
            <w:hideMark/>
          </w:tcPr>
          <w:p w14:paraId="206EB6BD" w14:textId="77777777" w:rsidR="00535983" w:rsidRPr="0058432E" w:rsidRDefault="00535983" w:rsidP="00982118">
            <w:pPr>
              <w:rPr>
                <w:color w:val="000000" w:themeColor="text1"/>
              </w:rPr>
            </w:pPr>
            <w:r w:rsidRPr="0058432E">
              <w:rPr>
                <w:color w:val="000000" w:themeColor="text1"/>
              </w:rPr>
              <w:t>0,50</w:t>
            </w:r>
          </w:p>
        </w:tc>
        <w:tc>
          <w:tcPr>
            <w:tcW w:w="1281" w:type="dxa"/>
            <w:tcBorders>
              <w:top w:val="nil"/>
              <w:left w:val="nil"/>
              <w:bottom w:val="single" w:sz="4" w:space="0" w:color="auto"/>
              <w:right w:val="nil"/>
            </w:tcBorders>
            <w:hideMark/>
          </w:tcPr>
          <w:p w14:paraId="5265221D" w14:textId="77777777" w:rsidR="00535983" w:rsidRPr="0058432E" w:rsidRDefault="00535983" w:rsidP="00982118">
            <w:pPr>
              <w:rPr>
                <w:color w:val="000000" w:themeColor="text1"/>
              </w:rPr>
            </w:pPr>
            <w:r w:rsidRPr="0058432E">
              <w:rPr>
                <w:color w:val="000000" w:themeColor="text1"/>
              </w:rPr>
              <w:t>0,36 ; 0,70 </w:t>
            </w:r>
          </w:p>
        </w:tc>
        <w:tc>
          <w:tcPr>
            <w:tcW w:w="1281" w:type="dxa"/>
            <w:tcBorders>
              <w:top w:val="nil"/>
              <w:left w:val="nil"/>
              <w:bottom w:val="single" w:sz="4" w:space="0" w:color="auto"/>
              <w:right w:val="nil"/>
            </w:tcBorders>
            <w:hideMark/>
          </w:tcPr>
          <w:p w14:paraId="0CDA87E2" w14:textId="77777777" w:rsidR="00535983" w:rsidRPr="0058432E" w:rsidRDefault="00535983" w:rsidP="00982118">
            <w:pPr>
              <w:rPr>
                <w:color w:val="000000" w:themeColor="text1"/>
              </w:rPr>
            </w:pPr>
            <w:r w:rsidRPr="0058432E">
              <w:rPr>
                <w:color w:val="000000" w:themeColor="text1"/>
              </w:rPr>
              <w:t>&lt; 0,001 </w:t>
            </w:r>
          </w:p>
        </w:tc>
      </w:tr>
      <w:tr w:rsidR="00535983" w:rsidRPr="0058432E" w14:paraId="415A2D4F" w14:textId="77777777" w:rsidTr="002510E7">
        <w:tc>
          <w:tcPr>
            <w:tcW w:w="9303" w:type="dxa"/>
            <w:gridSpan w:val="7"/>
            <w:tcBorders>
              <w:top w:val="single" w:sz="4" w:space="0" w:color="auto"/>
              <w:left w:val="nil"/>
              <w:bottom w:val="nil"/>
              <w:right w:val="nil"/>
            </w:tcBorders>
            <w:hideMark/>
          </w:tcPr>
          <w:p w14:paraId="0A2ED2D0" w14:textId="77777777" w:rsidR="00535983" w:rsidRPr="0058432E" w:rsidRDefault="00535983" w:rsidP="00982118">
            <w:pPr>
              <w:rPr>
                <w:b/>
                <w:color w:val="000000" w:themeColor="text1"/>
              </w:rPr>
            </w:pPr>
            <w:r w:rsidRPr="0058432E">
              <w:rPr>
                <w:b/>
                <w:color w:val="000000" w:themeColor="text1"/>
              </w:rPr>
              <w:t>Délai de survenue de la rechute à ou après la semaine 2 dans l’étude UV II</w:t>
            </w:r>
          </w:p>
        </w:tc>
      </w:tr>
      <w:tr w:rsidR="00535983" w:rsidRPr="0058432E" w14:paraId="140EBB7F" w14:textId="77777777" w:rsidTr="002510E7">
        <w:tc>
          <w:tcPr>
            <w:tcW w:w="9303" w:type="dxa"/>
            <w:gridSpan w:val="7"/>
            <w:tcBorders>
              <w:top w:val="nil"/>
              <w:left w:val="nil"/>
              <w:bottom w:val="nil"/>
              <w:right w:val="nil"/>
            </w:tcBorders>
            <w:hideMark/>
          </w:tcPr>
          <w:p w14:paraId="3B890EEF" w14:textId="77777777" w:rsidR="00535983" w:rsidRPr="0058432E" w:rsidRDefault="00535983" w:rsidP="00982118">
            <w:pPr>
              <w:rPr>
                <w:color w:val="000000" w:themeColor="text1"/>
              </w:rPr>
            </w:pPr>
            <w:r w:rsidRPr="0058432E">
              <w:rPr>
                <w:color w:val="000000" w:themeColor="text1"/>
              </w:rPr>
              <w:t>Analyse principale (ITT)</w:t>
            </w:r>
          </w:p>
        </w:tc>
      </w:tr>
      <w:tr w:rsidR="00535983" w:rsidRPr="0058432E" w14:paraId="7FA93B80" w14:textId="77777777" w:rsidTr="002510E7">
        <w:tc>
          <w:tcPr>
            <w:tcW w:w="2178" w:type="dxa"/>
            <w:tcBorders>
              <w:top w:val="nil"/>
              <w:left w:val="nil"/>
              <w:bottom w:val="nil"/>
              <w:right w:val="nil"/>
            </w:tcBorders>
            <w:hideMark/>
          </w:tcPr>
          <w:p w14:paraId="143BB45B" w14:textId="77777777" w:rsidR="00535983" w:rsidRPr="0058432E" w:rsidRDefault="00535983" w:rsidP="00982118">
            <w:pPr>
              <w:rPr>
                <w:color w:val="000000" w:themeColor="text1"/>
              </w:rPr>
            </w:pPr>
            <w:r w:rsidRPr="0058432E">
              <w:rPr>
                <w:color w:val="000000" w:themeColor="text1"/>
              </w:rPr>
              <w:t>     Placebo</w:t>
            </w:r>
          </w:p>
        </w:tc>
        <w:tc>
          <w:tcPr>
            <w:tcW w:w="720" w:type="dxa"/>
            <w:tcBorders>
              <w:top w:val="nil"/>
              <w:left w:val="nil"/>
              <w:bottom w:val="nil"/>
              <w:right w:val="nil"/>
            </w:tcBorders>
            <w:hideMark/>
          </w:tcPr>
          <w:p w14:paraId="5182C9E5" w14:textId="77777777" w:rsidR="00535983" w:rsidRPr="0058432E" w:rsidRDefault="00535983" w:rsidP="00982118">
            <w:pPr>
              <w:rPr>
                <w:color w:val="000000" w:themeColor="text1"/>
              </w:rPr>
            </w:pPr>
            <w:r w:rsidRPr="0058432E">
              <w:rPr>
                <w:color w:val="000000" w:themeColor="text1"/>
              </w:rPr>
              <w:t>111 </w:t>
            </w:r>
          </w:p>
        </w:tc>
        <w:tc>
          <w:tcPr>
            <w:tcW w:w="1281" w:type="dxa"/>
            <w:tcBorders>
              <w:top w:val="nil"/>
              <w:left w:val="nil"/>
              <w:bottom w:val="nil"/>
              <w:right w:val="nil"/>
            </w:tcBorders>
            <w:hideMark/>
          </w:tcPr>
          <w:p w14:paraId="218830EF" w14:textId="77777777" w:rsidR="00535983" w:rsidRPr="0058432E" w:rsidRDefault="00535983" w:rsidP="00982118">
            <w:pPr>
              <w:rPr>
                <w:color w:val="000000" w:themeColor="text1"/>
              </w:rPr>
            </w:pPr>
            <w:r w:rsidRPr="0058432E">
              <w:rPr>
                <w:color w:val="000000" w:themeColor="text1"/>
              </w:rPr>
              <w:t>61 (55,0)</w:t>
            </w:r>
          </w:p>
        </w:tc>
        <w:tc>
          <w:tcPr>
            <w:tcW w:w="1281" w:type="dxa"/>
            <w:tcBorders>
              <w:top w:val="nil"/>
              <w:left w:val="nil"/>
              <w:bottom w:val="nil"/>
              <w:right w:val="nil"/>
            </w:tcBorders>
            <w:hideMark/>
          </w:tcPr>
          <w:p w14:paraId="00C9F308" w14:textId="77777777" w:rsidR="00535983" w:rsidRPr="0058432E" w:rsidRDefault="00535983" w:rsidP="00982118">
            <w:pPr>
              <w:rPr>
                <w:color w:val="000000" w:themeColor="text1"/>
              </w:rPr>
            </w:pPr>
            <w:r w:rsidRPr="0058432E">
              <w:rPr>
                <w:color w:val="000000" w:themeColor="text1"/>
              </w:rPr>
              <w:t>8,3 </w:t>
            </w:r>
          </w:p>
        </w:tc>
        <w:tc>
          <w:tcPr>
            <w:tcW w:w="1281" w:type="dxa"/>
            <w:tcBorders>
              <w:top w:val="nil"/>
              <w:left w:val="nil"/>
              <w:bottom w:val="nil"/>
              <w:right w:val="nil"/>
            </w:tcBorders>
            <w:hideMark/>
          </w:tcPr>
          <w:p w14:paraId="5E7D21D7"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01882E32"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6060E11F" w14:textId="77777777" w:rsidR="00535983" w:rsidRPr="0058432E" w:rsidRDefault="00535983" w:rsidP="00982118">
            <w:pPr>
              <w:rPr>
                <w:color w:val="000000" w:themeColor="text1"/>
              </w:rPr>
            </w:pPr>
            <w:r w:rsidRPr="0058432E">
              <w:rPr>
                <w:color w:val="000000" w:themeColor="text1"/>
              </w:rPr>
              <w:noBreakHyphen/>
            </w:r>
            <w:r w:rsidRPr="0058432E">
              <w:rPr>
                <w:color w:val="000000" w:themeColor="text1"/>
              </w:rPr>
              <w:noBreakHyphen/>
            </w:r>
          </w:p>
        </w:tc>
      </w:tr>
      <w:tr w:rsidR="00535983" w:rsidRPr="0058432E" w14:paraId="2F09FA64" w14:textId="77777777" w:rsidTr="00CC0C3D">
        <w:tc>
          <w:tcPr>
            <w:tcW w:w="2178" w:type="dxa"/>
            <w:tcBorders>
              <w:top w:val="nil"/>
              <w:left w:val="nil"/>
              <w:bottom w:val="single" w:sz="4" w:space="0" w:color="auto"/>
              <w:right w:val="nil"/>
            </w:tcBorders>
            <w:hideMark/>
          </w:tcPr>
          <w:p w14:paraId="1A5C8F9E" w14:textId="77777777" w:rsidR="00535983" w:rsidRPr="0058432E" w:rsidRDefault="00535983" w:rsidP="00982118">
            <w:pPr>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6BFE6C73" w14:textId="77777777" w:rsidR="00535983" w:rsidRPr="0058432E" w:rsidRDefault="00535983" w:rsidP="00982118">
            <w:pPr>
              <w:rPr>
                <w:color w:val="000000" w:themeColor="text1"/>
              </w:rPr>
            </w:pPr>
            <w:r w:rsidRPr="0058432E">
              <w:rPr>
                <w:color w:val="000000" w:themeColor="text1"/>
              </w:rPr>
              <w:t>115 </w:t>
            </w:r>
          </w:p>
        </w:tc>
        <w:tc>
          <w:tcPr>
            <w:tcW w:w="1281" w:type="dxa"/>
            <w:tcBorders>
              <w:top w:val="nil"/>
              <w:left w:val="nil"/>
              <w:bottom w:val="single" w:sz="4" w:space="0" w:color="auto"/>
              <w:right w:val="nil"/>
            </w:tcBorders>
            <w:hideMark/>
          </w:tcPr>
          <w:p w14:paraId="1A935FA1" w14:textId="77777777" w:rsidR="00535983" w:rsidRPr="0058432E" w:rsidRDefault="00535983" w:rsidP="00982118">
            <w:pPr>
              <w:rPr>
                <w:color w:val="000000" w:themeColor="text1"/>
              </w:rPr>
            </w:pPr>
            <w:r w:rsidRPr="0058432E">
              <w:rPr>
                <w:color w:val="000000" w:themeColor="text1"/>
              </w:rPr>
              <w:t>45 (39,1)</w:t>
            </w:r>
          </w:p>
        </w:tc>
        <w:tc>
          <w:tcPr>
            <w:tcW w:w="1281" w:type="dxa"/>
            <w:tcBorders>
              <w:top w:val="nil"/>
              <w:left w:val="nil"/>
              <w:bottom w:val="single" w:sz="4" w:space="0" w:color="auto"/>
              <w:right w:val="nil"/>
            </w:tcBorders>
            <w:hideMark/>
          </w:tcPr>
          <w:p w14:paraId="22C8740A" w14:textId="77777777" w:rsidR="00535983" w:rsidRPr="0058432E" w:rsidRDefault="00535983" w:rsidP="00982118">
            <w:pPr>
              <w:rPr>
                <w:color w:val="000000" w:themeColor="text1"/>
              </w:rPr>
            </w:pPr>
            <w:r w:rsidRPr="0058432E">
              <w:rPr>
                <w:color w:val="000000" w:themeColor="text1"/>
              </w:rPr>
              <w:t>NE</w:t>
            </w:r>
            <w:r w:rsidRPr="0058432E">
              <w:rPr>
                <w:color w:val="000000" w:themeColor="text1"/>
                <w:vertAlign w:val="superscript"/>
              </w:rPr>
              <w:t>c</w:t>
            </w:r>
          </w:p>
        </w:tc>
        <w:tc>
          <w:tcPr>
            <w:tcW w:w="1281" w:type="dxa"/>
            <w:tcBorders>
              <w:top w:val="nil"/>
              <w:left w:val="nil"/>
              <w:bottom w:val="single" w:sz="4" w:space="0" w:color="auto"/>
              <w:right w:val="nil"/>
            </w:tcBorders>
            <w:hideMark/>
          </w:tcPr>
          <w:p w14:paraId="7F186138" w14:textId="77777777" w:rsidR="00535983" w:rsidRPr="0058432E" w:rsidRDefault="00535983" w:rsidP="00982118">
            <w:pPr>
              <w:rPr>
                <w:color w:val="000000" w:themeColor="text1"/>
              </w:rPr>
            </w:pPr>
            <w:r w:rsidRPr="0058432E">
              <w:rPr>
                <w:color w:val="000000" w:themeColor="text1"/>
              </w:rPr>
              <w:t>0,57</w:t>
            </w:r>
          </w:p>
        </w:tc>
        <w:tc>
          <w:tcPr>
            <w:tcW w:w="1281" w:type="dxa"/>
            <w:tcBorders>
              <w:top w:val="nil"/>
              <w:left w:val="nil"/>
              <w:bottom w:val="single" w:sz="4" w:space="0" w:color="auto"/>
              <w:right w:val="nil"/>
            </w:tcBorders>
            <w:hideMark/>
          </w:tcPr>
          <w:p w14:paraId="6556AD62" w14:textId="77777777" w:rsidR="00535983" w:rsidRPr="0058432E" w:rsidRDefault="00535983" w:rsidP="00982118">
            <w:pPr>
              <w:rPr>
                <w:color w:val="000000" w:themeColor="text1"/>
              </w:rPr>
            </w:pPr>
            <w:r w:rsidRPr="0058432E">
              <w:rPr>
                <w:color w:val="000000" w:themeColor="text1"/>
              </w:rPr>
              <w:t>0,39 ; 0,84</w:t>
            </w:r>
          </w:p>
        </w:tc>
        <w:tc>
          <w:tcPr>
            <w:tcW w:w="1281" w:type="dxa"/>
            <w:tcBorders>
              <w:top w:val="nil"/>
              <w:left w:val="nil"/>
              <w:bottom w:val="single" w:sz="4" w:space="0" w:color="auto"/>
              <w:right w:val="nil"/>
            </w:tcBorders>
            <w:hideMark/>
          </w:tcPr>
          <w:p w14:paraId="4946752C" w14:textId="77777777" w:rsidR="00535983" w:rsidRPr="0058432E" w:rsidRDefault="00535983" w:rsidP="00982118">
            <w:pPr>
              <w:rPr>
                <w:color w:val="000000" w:themeColor="text1"/>
              </w:rPr>
            </w:pPr>
            <w:r w:rsidRPr="0058432E">
              <w:rPr>
                <w:color w:val="000000" w:themeColor="text1"/>
              </w:rPr>
              <w:t>0,004 </w:t>
            </w:r>
          </w:p>
        </w:tc>
      </w:tr>
      <w:tr w:rsidR="00CC0C3D" w:rsidRPr="0058432E" w14:paraId="66A71BE5" w14:textId="77777777" w:rsidTr="00CC0C3D">
        <w:tc>
          <w:tcPr>
            <w:tcW w:w="9303" w:type="dxa"/>
            <w:gridSpan w:val="7"/>
            <w:tcBorders>
              <w:top w:val="single" w:sz="4" w:space="0" w:color="auto"/>
              <w:left w:val="nil"/>
              <w:bottom w:val="nil"/>
              <w:right w:val="nil"/>
            </w:tcBorders>
          </w:tcPr>
          <w:p w14:paraId="2CD7AD44" w14:textId="77777777" w:rsidR="00CC0C3D" w:rsidRPr="0058432E" w:rsidRDefault="00CC0C3D" w:rsidP="00CC0C3D">
            <w:pPr>
              <w:rPr>
                <w:color w:val="000000" w:themeColor="text1"/>
                <w:sz w:val="20"/>
              </w:rPr>
            </w:pPr>
            <w:r w:rsidRPr="0058432E">
              <w:rPr>
                <w:color w:val="000000" w:themeColor="text1"/>
                <w:sz w:val="20"/>
              </w:rPr>
              <w:t xml:space="preserve">Remarque : la rechute à ou après la semaine 6 (étude UV I) ou la semaine 2 (étude UV II) était comptabilisée comme un événement. Les sorties d’étude pour d’autres raisons qu’une rechute étaient censurées au moment de la sortie d’étude. </w:t>
            </w:r>
          </w:p>
          <w:p w14:paraId="691EC27F" w14:textId="77777777" w:rsidR="00CC0C3D" w:rsidRPr="0058432E" w:rsidRDefault="00CC0C3D" w:rsidP="00CC0C3D">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 xml:space="preserve">HR pour l’adalimumab </w:t>
            </w:r>
            <w:r w:rsidRPr="0058432E">
              <w:rPr>
                <w:i/>
                <w:iCs/>
                <w:color w:val="000000" w:themeColor="text1"/>
                <w:sz w:val="20"/>
              </w:rPr>
              <w:t>versus</w:t>
            </w:r>
            <w:r w:rsidRPr="0058432E">
              <w:rPr>
                <w:color w:val="000000" w:themeColor="text1"/>
                <w:sz w:val="20"/>
              </w:rPr>
              <w:t xml:space="preserve"> placebo par une analyse de régression à risque proportionnel ajusté sur le traitement. </w:t>
            </w:r>
          </w:p>
          <w:p w14:paraId="5C187633" w14:textId="77777777" w:rsidR="00CC0C3D" w:rsidRPr="0058432E" w:rsidRDefault="00CC0C3D" w:rsidP="00CC0C3D">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bilatérale selon le test de log</w:t>
            </w:r>
            <w:r w:rsidR="001946D2" w:rsidRPr="0058432E">
              <w:rPr>
                <w:color w:val="000000" w:themeColor="text1"/>
                <w:sz w:val="20"/>
              </w:rPr>
              <w:t xml:space="preserve"> </w:t>
            </w:r>
            <w:r w:rsidRPr="0058432E">
              <w:rPr>
                <w:color w:val="000000" w:themeColor="text1"/>
                <w:sz w:val="20"/>
              </w:rPr>
              <w:t xml:space="preserve">rank. </w:t>
            </w:r>
          </w:p>
          <w:p w14:paraId="317B6A3B" w14:textId="77777777" w:rsidR="00CC0C3D" w:rsidRPr="0058432E" w:rsidRDefault="00CC0C3D" w:rsidP="00CC0C3D">
            <w:pPr>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ab/>
              <w:t xml:space="preserve">NE = non estimable. Moins de la moitié des patients à risque ont présenté un événement. </w:t>
            </w:r>
          </w:p>
        </w:tc>
      </w:tr>
    </w:tbl>
    <w:p w14:paraId="33E5FE74" w14:textId="77777777" w:rsidR="00535983" w:rsidRPr="0058432E" w:rsidRDefault="00535983" w:rsidP="00982118">
      <w:pPr>
        <w:rPr>
          <w:color w:val="000000" w:themeColor="text1"/>
        </w:rPr>
      </w:pPr>
    </w:p>
    <w:p w14:paraId="195F6EF3" w14:textId="77777777" w:rsidR="00533B44" w:rsidRPr="0058432E" w:rsidRDefault="00533B44" w:rsidP="00BC315A">
      <w:pPr>
        <w:keepNext/>
        <w:rPr>
          <w:color w:val="000000" w:themeColor="text1"/>
        </w:rPr>
      </w:pPr>
      <w:r w:rsidRPr="0058432E">
        <w:rPr>
          <w:b/>
          <w:color w:val="000000" w:themeColor="text1"/>
        </w:rPr>
        <w:t xml:space="preserve">Figure </w:t>
      </w:r>
      <w:r w:rsidR="006B2FBE" w:rsidRPr="0058432E">
        <w:rPr>
          <w:b/>
          <w:color w:val="000000" w:themeColor="text1"/>
        </w:rPr>
        <w:t>1</w:t>
      </w:r>
      <w:r w:rsidR="008D2E8E" w:rsidRPr="0058432E">
        <w:rPr>
          <w:b/>
          <w:color w:val="000000" w:themeColor="text1"/>
        </w:rPr>
        <w:t>.</w:t>
      </w:r>
      <w:r w:rsidRPr="0058432E">
        <w:rPr>
          <w:b/>
          <w:color w:val="000000" w:themeColor="text1"/>
        </w:rPr>
        <w:t xml:space="preserve"> Courbes de Kaplan-Meier illustrant le délai de survenue de la rechute à ou après la semaine 6 (étude UV I) ou la semaine 2 (étude UV II)</w:t>
      </w:r>
    </w:p>
    <w:p w14:paraId="7D302CB3" w14:textId="77777777" w:rsidR="000C123F" w:rsidRPr="0058432E" w:rsidRDefault="000C123F" w:rsidP="000C123F">
      <w:pPr>
        <w:keepNext/>
        <w:jc w:val="center"/>
        <w:rPr>
          <w:color w:val="000000" w:themeColor="text1"/>
        </w:rPr>
      </w:pPr>
    </w:p>
    <w:p w14:paraId="3C2FD9B8" w14:textId="1458C61E" w:rsidR="000C123F" w:rsidRPr="0058432E" w:rsidRDefault="009D65D0" w:rsidP="000C123F">
      <w:pPr>
        <w:keepNext/>
        <w:rPr>
          <w:color w:val="000000" w:themeColor="text1"/>
        </w:rPr>
      </w:pPr>
      <w:r w:rsidRPr="0058432E">
        <w:rPr>
          <w:noProof/>
          <w:color w:val="000000" w:themeColor="text1"/>
        </w:rPr>
        <mc:AlternateContent>
          <mc:Choice Requires="wps">
            <w:drawing>
              <wp:anchor distT="0" distB="0" distL="114300" distR="114300" simplePos="0" relativeHeight="251606528" behindDoc="0" locked="0" layoutInCell="1" allowOverlap="1" wp14:anchorId="15D3129C" wp14:editId="5207E7E9">
                <wp:simplePos x="0" y="0"/>
                <wp:positionH relativeFrom="column">
                  <wp:posOffset>-95250</wp:posOffset>
                </wp:positionH>
                <wp:positionV relativeFrom="paragraph">
                  <wp:posOffset>85725</wp:posOffset>
                </wp:positionV>
                <wp:extent cx="369570" cy="2882265"/>
                <wp:effectExtent l="0" t="0" r="0" b="0"/>
                <wp:wrapNone/>
                <wp:docPr id="156"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728C9B59" w14:textId="77777777" w:rsidR="009A26D2" w:rsidRPr="00DD4287" w:rsidRDefault="009A26D2" w:rsidP="000C123F">
                            <w:pPr>
                              <w:jc w:val="center"/>
                              <w:rPr>
                                <w:b/>
                                <w:bCs/>
                                <w:sz w:val="18"/>
                                <w:szCs w:val="18"/>
                              </w:rPr>
                            </w:pPr>
                            <w:r w:rsidRPr="00B51A46">
                              <w:rPr>
                                <w:b/>
                                <w:sz w:val="18"/>
                                <w:szCs w:val="18"/>
                              </w:rPr>
                              <w:t>TAUX DE RECHUTE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3129C" id="_x0000_t202" coordsize="21600,21600" o:spt="202" path="m,l,21600r21600,l21600,xe">
                <v:stroke joinstyle="miter"/>
                <v:path gradientshapeok="t" o:connecttype="rect"/>
              </v:shapetype>
              <v:shape id="Zone de texte 35" o:spid="_x0000_s1026" type="#_x0000_t202" style="position:absolute;margin-left:-7.5pt;margin-top:6.75pt;width:29.1pt;height:226.9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" stroked="f">
                <v:textbox style="layout-flow:vertical;mso-layout-flow-alt:bottom-to-top">
                  <w:txbxContent>
                    <w:p w14:paraId="728C9B59" w14:textId="77777777" w:rsidR="009A26D2" w:rsidRPr="00DD4287" w:rsidRDefault="009A26D2" w:rsidP="000C123F">
                      <w:pPr>
                        <w:jc w:val="center"/>
                        <w:rPr>
                          <w:b/>
                          <w:bCs/>
                          <w:sz w:val="18"/>
                          <w:szCs w:val="18"/>
                        </w:rPr>
                      </w:pPr>
                      <w:r w:rsidRPr="00B51A46">
                        <w:rPr>
                          <w:b/>
                          <w:sz w:val="18"/>
                          <w:szCs w:val="18"/>
                        </w:rPr>
                        <w:t>TAUX DE RECHUTE (%)</w:t>
                      </w:r>
                    </w:p>
                  </w:txbxContent>
                </v:textbox>
              </v:shape>
            </w:pict>
          </mc:Fallback>
        </mc:AlternateContent>
      </w:r>
    </w:p>
    <w:p w14:paraId="12C04A14" w14:textId="3CE2123C" w:rsidR="000C123F" w:rsidRPr="0058432E" w:rsidRDefault="009D65D0" w:rsidP="000C123F">
      <w:pPr>
        <w:rPr>
          <w:color w:val="000000" w:themeColor="text1"/>
        </w:rPr>
      </w:pPr>
      <w:r w:rsidRPr="0058432E">
        <w:rPr>
          <w:noProof/>
          <w:color w:val="000000" w:themeColor="text1"/>
        </w:rPr>
        <mc:AlternateContent>
          <mc:Choice Requires="wps">
            <w:drawing>
              <wp:anchor distT="0" distB="0" distL="114300" distR="114300" simplePos="0" relativeHeight="251610624" behindDoc="0" locked="0" layoutInCell="1" allowOverlap="1" wp14:anchorId="5D7DB42D" wp14:editId="019B463C">
                <wp:simplePos x="0" y="0"/>
                <wp:positionH relativeFrom="column">
                  <wp:posOffset>4590415</wp:posOffset>
                </wp:positionH>
                <wp:positionV relativeFrom="paragraph">
                  <wp:posOffset>2522855</wp:posOffset>
                </wp:positionV>
                <wp:extent cx="840740" cy="212725"/>
                <wp:effectExtent l="0" t="0" r="0" b="0"/>
                <wp:wrapNone/>
                <wp:docPr id="154"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3F42D66A" w14:textId="77777777" w:rsidR="009A26D2" w:rsidRPr="007C4B2C" w:rsidRDefault="009A26D2" w:rsidP="000C123F">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DB42D" id="Zone de texte 33" o:spid="_x0000_s1027" type="#_x0000_t202" style="position:absolute;margin-left:361.45pt;margin-top:198.65pt;width:66.2pt;height:16.7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" stroked="f">
                <v:textbox>
                  <w:txbxContent>
                    <w:p w14:paraId="3F42D66A" w14:textId="77777777" w:rsidR="009A26D2" w:rsidRPr="007C4B2C" w:rsidRDefault="009A26D2" w:rsidP="000C123F">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08576" behindDoc="0" locked="0" layoutInCell="1" allowOverlap="1" wp14:anchorId="3A760375" wp14:editId="3C412A6A">
                <wp:simplePos x="0" y="0"/>
                <wp:positionH relativeFrom="column">
                  <wp:posOffset>1694815</wp:posOffset>
                </wp:positionH>
                <wp:positionV relativeFrom="paragraph">
                  <wp:posOffset>2547620</wp:posOffset>
                </wp:positionV>
                <wp:extent cx="713105" cy="201930"/>
                <wp:effectExtent l="0" t="0" r="0" b="0"/>
                <wp:wrapNone/>
                <wp:docPr id="152"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66381683" w14:textId="77777777" w:rsidR="009A26D2" w:rsidRPr="007C4B2C" w:rsidRDefault="009A26D2" w:rsidP="000C123F">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60375" id="Zone de texte 31" o:spid="_x0000_s1028" type="#_x0000_t202" style="position:absolute;margin-left:133.45pt;margin-top:200.6pt;width:56.15pt;height:15.9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" stroked="f">
                <v:textbox>
                  <w:txbxContent>
                    <w:p w14:paraId="66381683" w14:textId="77777777" w:rsidR="009A26D2" w:rsidRPr="007C4B2C" w:rsidRDefault="009A26D2" w:rsidP="000C123F">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09600" behindDoc="0" locked="0" layoutInCell="1" allowOverlap="1" wp14:anchorId="5C6F6290" wp14:editId="62095D30">
                <wp:simplePos x="0" y="0"/>
                <wp:positionH relativeFrom="column">
                  <wp:posOffset>3165475</wp:posOffset>
                </wp:positionH>
                <wp:positionV relativeFrom="paragraph">
                  <wp:posOffset>2569210</wp:posOffset>
                </wp:positionV>
                <wp:extent cx="713105" cy="201930"/>
                <wp:effectExtent l="0" t="0" r="0" b="0"/>
                <wp:wrapNone/>
                <wp:docPr id="148" name="Zone de text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5CF4B3D1" w14:textId="77777777" w:rsidR="009A26D2" w:rsidRPr="007C4B2C" w:rsidRDefault="009A26D2" w:rsidP="000C123F">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F6290" id="Zone de texte 32" o:spid="_x0000_s1029" type="#_x0000_t202" style="position:absolute;margin-left:249.25pt;margin-top:202.3pt;width:56.15pt;height:15.9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4iA9wEAANADAAAOAAAAZHJzL2Uyb0RvYy54bWysU8Fu2zAMvQ/YPwi6L46Td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" stroked="f">
                <v:textbox>
                  <w:txbxContent>
                    <w:p w14:paraId="5CF4B3D1" w14:textId="77777777" w:rsidR="009A26D2" w:rsidRPr="007C4B2C" w:rsidRDefault="009A26D2" w:rsidP="000C123F">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07552" behindDoc="0" locked="0" layoutInCell="1" allowOverlap="1" wp14:anchorId="38251DF5" wp14:editId="2F2BCA3D">
                <wp:simplePos x="0" y="0"/>
                <wp:positionH relativeFrom="column">
                  <wp:posOffset>2434590</wp:posOffset>
                </wp:positionH>
                <wp:positionV relativeFrom="paragraph">
                  <wp:posOffset>2411095</wp:posOffset>
                </wp:positionV>
                <wp:extent cx="1181100" cy="196215"/>
                <wp:effectExtent l="0" t="0" r="0" b="0"/>
                <wp:wrapNone/>
                <wp:docPr id="146"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3966A04F" w14:textId="77777777" w:rsidR="009A26D2" w:rsidRPr="007C4B2C" w:rsidRDefault="009A26D2" w:rsidP="000C123F">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51DF5" id="Zone de texte 30" o:spid="_x0000_s1030" type="#_x0000_t202" style="position:absolute;margin-left:191.7pt;margin-top:189.85pt;width:93pt;height:15.4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Yb9wEAANE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" stroked="f">
                <v:textbox>
                  <w:txbxContent>
                    <w:p w14:paraId="3966A04F" w14:textId="77777777" w:rsidR="009A26D2" w:rsidRPr="007C4B2C" w:rsidRDefault="009A26D2" w:rsidP="000C123F">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11648" behindDoc="0" locked="0" layoutInCell="1" allowOverlap="1" wp14:anchorId="02FB0C36" wp14:editId="63AD813D">
                <wp:simplePos x="0" y="0"/>
                <wp:positionH relativeFrom="column">
                  <wp:posOffset>274320</wp:posOffset>
                </wp:positionH>
                <wp:positionV relativeFrom="paragraph">
                  <wp:posOffset>2550160</wp:posOffset>
                </wp:positionV>
                <wp:extent cx="713105" cy="201930"/>
                <wp:effectExtent l="0" t="0" r="0" b="0"/>
                <wp:wrapNone/>
                <wp:docPr id="14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500D30E9" w14:textId="77777777" w:rsidR="009A26D2" w:rsidRPr="007C4B2C" w:rsidRDefault="009A26D2" w:rsidP="000C123F">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B0C36" id="Zone de texte 34" o:spid="_x0000_s1031" type="#_x0000_t202" style="position:absolute;margin-left:21.6pt;margin-top:200.8pt;width:56.15pt;height:15.9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SH9wEAANADAAAOAAAAZHJzL2Uyb0RvYy54bWysU8Fu2zAMvQ/YPwi6L47TZ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" stroked="f">
                <v:textbox>
                  <w:txbxContent>
                    <w:p w14:paraId="500D30E9" w14:textId="77777777" w:rsidR="009A26D2" w:rsidRPr="007C4B2C" w:rsidRDefault="009A26D2" w:rsidP="000C123F">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w:drawing>
          <wp:inline distT="0" distB="0" distL="0" distR="0" wp14:anchorId="4410A16F" wp14:editId="7715B9ED">
            <wp:extent cx="5767705" cy="2750185"/>
            <wp:effectExtent l="0" t="0" r="0" b="0"/>
            <wp:docPr id="4"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705" cy="2750185"/>
                    </a:xfrm>
                    <a:prstGeom prst="rect">
                      <a:avLst/>
                    </a:prstGeom>
                    <a:noFill/>
                    <a:ln>
                      <a:noFill/>
                    </a:ln>
                  </pic:spPr>
                </pic:pic>
              </a:graphicData>
            </a:graphic>
          </wp:inline>
        </w:drawing>
      </w:r>
    </w:p>
    <w:p w14:paraId="75E699C2" w14:textId="77777777" w:rsidR="00DD4287" w:rsidRPr="0058432E" w:rsidRDefault="00DD4287" w:rsidP="00DD4287">
      <w:pPr>
        <w:rPr>
          <w:color w:val="000000" w:themeColor="text1"/>
        </w:rPr>
      </w:pPr>
    </w:p>
    <w:p w14:paraId="2AA5A608" w14:textId="28AC9FCF" w:rsidR="00DD4287" w:rsidRPr="0058432E" w:rsidRDefault="009D65D0" w:rsidP="00DD4287">
      <w:pPr>
        <w:rPr>
          <w:color w:val="000000" w:themeColor="text1"/>
        </w:rPr>
      </w:pPr>
      <w:r w:rsidRPr="0058432E">
        <w:rPr>
          <w:noProof/>
          <w:color w:val="000000" w:themeColor="text1"/>
        </w:rPr>
        <w:lastRenderedPageBreak/>
        <mc:AlternateContent>
          <mc:Choice Requires="wps">
            <w:drawing>
              <wp:anchor distT="0" distB="0" distL="114300" distR="114300" simplePos="0" relativeHeight="251617792" behindDoc="0" locked="0" layoutInCell="1" allowOverlap="1" wp14:anchorId="74101CAD" wp14:editId="15EC635D">
                <wp:simplePos x="0" y="0"/>
                <wp:positionH relativeFrom="column">
                  <wp:posOffset>4612640</wp:posOffset>
                </wp:positionH>
                <wp:positionV relativeFrom="paragraph">
                  <wp:posOffset>2517775</wp:posOffset>
                </wp:positionV>
                <wp:extent cx="814705" cy="204470"/>
                <wp:effectExtent l="0" t="0" r="0" b="0"/>
                <wp:wrapNone/>
                <wp:docPr id="139"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7C2AEA62" w14:textId="77777777" w:rsidR="009A26D2" w:rsidRPr="007C4B2C" w:rsidRDefault="009A26D2" w:rsidP="00DD428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01CAD" id="Zone de texte 42" o:spid="_x0000_s1032" type="#_x0000_t202" style="position:absolute;margin-left:363.2pt;margin-top:198.25pt;width:64.15pt;height:16.1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" stroked="f">
                <v:textbox>
                  <w:txbxContent>
                    <w:p w14:paraId="7C2AEA62" w14:textId="77777777" w:rsidR="009A26D2" w:rsidRPr="007C4B2C" w:rsidRDefault="009A26D2" w:rsidP="00DD428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16768" behindDoc="0" locked="0" layoutInCell="1" allowOverlap="1" wp14:anchorId="2929075F" wp14:editId="3FE9298F">
                <wp:simplePos x="0" y="0"/>
                <wp:positionH relativeFrom="column">
                  <wp:posOffset>3226435</wp:posOffset>
                </wp:positionH>
                <wp:positionV relativeFrom="paragraph">
                  <wp:posOffset>2526030</wp:posOffset>
                </wp:positionV>
                <wp:extent cx="814705" cy="204470"/>
                <wp:effectExtent l="0" t="0" r="0" b="0"/>
                <wp:wrapNone/>
                <wp:docPr id="137"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536B74CA" w14:textId="77777777" w:rsidR="009A26D2" w:rsidRPr="007C4B2C" w:rsidRDefault="009A26D2" w:rsidP="00DD428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9075F" id="Zone de texte 41" o:spid="_x0000_s1033" type="#_x0000_t202" style="position:absolute;margin-left:254.05pt;margin-top:198.9pt;width:64.15pt;height:16.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" stroked="f">
                <v:textbox>
                  <w:txbxContent>
                    <w:p w14:paraId="536B74CA" w14:textId="77777777" w:rsidR="009A26D2" w:rsidRPr="007C4B2C" w:rsidRDefault="009A26D2" w:rsidP="00DD428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13696" behindDoc="0" locked="0" layoutInCell="1" allowOverlap="1" wp14:anchorId="260C8EEC" wp14:editId="2A299EF3">
                <wp:simplePos x="0" y="0"/>
                <wp:positionH relativeFrom="column">
                  <wp:posOffset>373380</wp:posOffset>
                </wp:positionH>
                <wp:positionV relativeFrom="paragraph">
                  <wp:posOffset>2534285</wp:posOffset>
                </wp:positionV>
                <wp:extent cx="814705" cy="204470"/>
                <wp:effectExtent l="0" t="0" r="0" b="0"/>
                <wp:wrapNone/>
                <wp:docPr id="135"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3F955C4D" w14:textId="77777777" w:rsidR="009A26D2" w:rsidRPr="007C4B2C" w:rsidRDefault="009A26D2" w:rsidP="00DD4287">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C8EEC" id="Zone de texte 38" o:spid="_x0000_s1034" type="#_x0000_t202" style="position:absolute;margin-left:29.4pt;margin-top:199.55pt;width:64.15pt;height:16.1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L9QEAANA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" stroked="f">
                <v:textbox>
                  <w:txbxContent>
                    <w:p w14:paraId="3F955C4D" w14:textId="77777777" w:rsidR="009A26D2" w:rsidRPr="007C4B2C" w:rsidRDefault="009A26D2" w:rsidP="00DD4287">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15744" behindDoc="0" locked="0" layoutInCell="1" allowOverlap="1" wp14:anchorId="4AD3AB2E" wp14:editId="26125996">
                <wp:simplePos x="0" y="0"/>
                <wp:positionH relativeFrom="column">
                  <wp:posOffset>1727200</wp:posOffset>
                </wp:positionH>
                <wp:positionV relativeFrom="paragraph">
                  <wp:posOffset>2542540</wp:posOffset>
                </wp:positionV>
                <wp:extent cx="814705" cy="204470"/>
                <wp:effectExtent l="0" t="0" r="0" b="0"/>
                <wp:wrapNone/>
                <wp:docPr id="133"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693875B8" w14:textId="77777777" w:rsidR="009A26D2" w:rsidRPr="007C4B2C" w:rsidRDefault="009A26D2" w:rsidP="00DD4287">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3AB2E" id="Zone de texte 40" o:spid="_x0000_s1035" type="#_x0000_t202" style="position:absolute;margin-left:136pt;margin-top:200.2pt;width:64.15pt;height:16.1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" stroked="f">
                <v:textbox>
                  <w:txbxContent>
                    <w:p w14:paraId="693875B8" w14:textId="77777777" w:rsidR="009A26D2" w:rsidRPr="007C4B2C" w:rsidRDefault="009A26D2" w:rsidP="00DD4287">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14720" behindDoc="0" locked="0" layoutInCell="1" allowOverlap="1" wp14:anchorId="355AED70" wp14:editId="5988C0DF">
                <wp:simplePos x="0" y="0"/>
                <wp:positionH relativeFrom="column">
                  <wp:posOffset>2447925</wp:posOffset>
                </wp:positionH>
                <wp:positionV relativeFrom="paragraph">
                  <wp:posOffset>2378710</wp:posOffset>
                </wp:positionV>
                <wp:extent cx="1181100" cy="196215"/>
                <wp:effectExtent l="0" t="0" r="0" b="0"/>
                <wp:wrapNone/>
                <wp:docPr id="131" name="Zone de text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1522043C" w14:textId="77777777" w:rsidR="009A26D2" w:rsidRPr="007C4B2C" w:rsidRDefault="009A26D2" w:rsidP="00DD428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AED70" id="Zone de texte 39" o:spid="_x0000_s1036" type="#_x0000_t202" style="position:absolute;margin-left:192.75pt;margin-top:187.3pt;width:93pt;height:15.4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onX9wEAANI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" stroked="f">
                <v:textbox>
                  <w:txbxContent>
                    <w:p w14:paraId="1522043C" w14:textId="77777777" w:rsidR="009A26D2" w:rsidRPr="007C4B2C" w:rsidRDefault="009A26D2" w:rsidP="00DD428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12672" behindDoc="0" locked="0" layoutInCell="1" allowOverlap="1" wp14:anchorId="7C53A079" wp14:editId="1D7F3B9F">
                <wp:simplePos x="0" y="0"/>
                <wp:positionH relativeFrom="column">
                  <wp:posOffset>67310</wp:posOffset>
                </wp:positionH>
                <wp:positionV relativeFrom="paragraph">
                  <wp:posOffset>81915</wp:posOffset>
                </wp:positionV>
                <wp:extent cx="306070" cy="2510155"/>
                <wp:effectExtent l="0" t="0" r="0" b="0"/>
                <wp:wrapNone/>
                <wp:docPr id="129" name="Zone de text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59D6AC63" w14:textId="77777777" w:rsidR="009A26D2" w:rsidRPr="00DD4287" w:rsidRDefault="009A26D2" w:rsidP="00DD4287">
                            <w:pPr>
                              <w:jc w:val="center"/>
                              <w:rPr>
                                <w:b/>
                                <w:bCs/>
                                <w:sz w:val="18"/>
                                <w:szCs w:val="18"/>
                              </w:rPr>
                            </w:pPr>
                            <w:r w:rsidRPr="00B51A46">
                              <w:rPr>
                                <w:b/>
                                <w:sz w:val="18"/>
                                <w:szCs w:val="18"/>
                              </w:rPr>
                              <w:t>TAUX DE RECHUTE</w:t>
                            </w:r>
                            <w:r w:rsidRPr="00DD4287" w:rsidDel="00DD4287">
                              <w:rPr>
                                <w:b/>
                                <w:bCs/>
                                <w:sz w:val="18"/>
                                <w:szCs w:val="18"/>
                              </w:rPr>
                              <w:t xml:space="preserve"> </w:t>
                            </w:r>
                            <w:r w:rsidRPr="00DD4287">
                              <w:rPr>
                                <w:b/>
                                <w:bCs/>
                                <w:sz w:val="18"/>
                                <w:szCs w:val="18"/>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3A079" id="Zone de texte 37" o:spid="_x0000_s1037" type="#_x0000_t202" style="position:absolute;margin-left:5.3pt;margin-top:6.45pt;width:24.1pt;height:197.6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" stroked="f">
                <v:textbox style="layout-flow:vertical;mso-layout-flow-alt:bottom-to-top">
                  <w:txbxContent>
                    <w:p w14:paraId="59D6AC63" w14:textId="77777777" w:rsidR="009A26D2" w:rsidRPr="00DD4287" w:rsidRDefault="009A26D2" w:rsidP="00DD4287">
                      <w:pPr>
                        <w:jc w:val="center"/>
                        <w:rPr>
                          <w:b/>
                          <w:bCs/>
                          <w:sz w:val="18"/>
                          <w:szCs w:val="18"/>
                        </w:rPr>
                      </w:pPr>
                      <w:r w:rsidRPr="00B51A46">
                        <w:rPr>
                          <w:b/>
                          <w:sz w:val="18"/>
                          <w:szCs w:val="18"/>
                        </w:rPr>
                        <w:t>TAUX DE RECHUTE</w:t>
                      </w:r>
                      <w:r w:rsidRPr="00DD4287" w:rsidDel="00DD4287">
                        <w:rPr>
                          <w:b/>
                          <w:bCs/>
                          <w:sz w:val="18"/>
                          <w:szCs w:val="18"/>
                        </w:rPr>
                        <w:t xml:space="preserve"> </w:t>
                      </w:r>
                      <w:r w:rsidRPr="00DD4287">
                        <w:rPr>
                          <w:b/>
                          <w:bCs/>
                          <w:sz w:val="18"/>
                          <w:szCs w:val="18"/>
                        </w:rPr>
                        <w:t>(%)</w:t>
                      </w:r>
                    </w:p>
                  </w:txbxContent>
                </v:textbox>
              </v:shape>
            </w:pict>
          </mc:Fallback>
        </mc:AlternateContent>
      </w:r>
      <w:r w:rsidRPr="0058432E">
        <w:rPr>
          <w:noProof/>
          <w:color w:val="000000" w:themeColor="text1"/>
        </w:rPr>
        <w:drawing>
          <wp:inline distT="0" distB="0" distL="0" distR="0" wp14:anchorId="4D0DFCE9" wp14:editId="610E0757">
            <wp:extent cx="5767705" cy="2715260"/>
            <wp:effectExtent l="0" t="0" r="0" b="0"/>
            <wp:docPr id="5"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7705" cy="2715260"/>
                    </a:xfrm>
                    <a:prstGeom prst="rect">
                      <a:avLst/>
                    </a:prstGeom>
                    <a:noFill/>
                    <a:ln>
                      <a:noFill/>
                    </a:ln>
                  </pic:spPr>
                </pic:pic>
              </a:graphicData>
            </a:graphic>
          </wp:inline>
        </w:drawing>
      </w:r>
    </w:p>
    <w:p w14:paraId="2FDF52CE" w14:textId="77777777" w:rsidR="00964AFD" w:rsidRPr="0058432E" w:rsidRDefault="00964AFD" w:rsidP="00387D0C">
      <w:pPr>
        <w:pStyle w:val="BodyText"/>
        <w:widowControl/>
        <w:kinsoku w:val="0"/>
        <w:overflowPunct w:val="0"/>
        <w:ind w:left="0"/>
        <w:rPr>
          <w:color w:val="000000" w:themeColor="text1"/>
          <w:sz w:val="20"/>
        </w:rPr>
      </w:pPr>
      <w:r w:rsidRPr="0058432E">
        <w:rPr>
          <w:color w:val="000000" w:themeColor="text1"/>
          <w:sz w:val="20"/>
        </w:rPr>
        <w:t>Remarque : P# = Placebo (Nombre d’événements/Nombre de patients à risque) ; A# = Adalimumab (Nombre d’événements/Nombre de patients à risque)</w:t>
      </w:r>
    </w:p>
    <w:p w14:paraId="257870C5" w14:textId="77777777" w:rsidR="00964AFD" w:rsidRPr="0058432E" w:rsidRDefault="00964AFD" w:rsidP="00387D0C">
      <w:pPr>
        <w:pStyle w:val="BodyText"/>
        <w:widowControl/>
        <w:kinsoku w:val="0"/>
        <w:overflowPunct w:val="0"/>
        <w:ind w:left="0"/>
        <w:rPr>
          <w:color w:val="000000" w:themeColor="text1"/>
        </w:rPr>
      </w:pPr>
    </w:p>
    <w:p w14:paraId="188AF76E"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Dans l’étude UV I, des différences statistiquement significatives en faveur de l’adalimumab versus placebo ont été observées pour chaque composante du critère de rechute. Dans l’étude UV II, des différences statistiquement significatives ont été observées</w:t>
      </w:r>
      <w:r w:rsidR="00936054" w:rsidRPr="0058432E">
        <w:rPr>
          <w:color w:val="000000" w:themeColor="text1"/>
        </w:rPr>
        <w:t xml:space="preserve"> seulement</w:t>
      </w:r>
      <w:r w:rsidRPr="0058432E">
        <w:rPr>
          <w:color w:val="000000" w:themeColor="text1"/>
        </w:rPr>
        <w:t xml:space="preserve"> pour l’acuité visuelle, toutes les autres composantes étaient cependant numériquement en faveur de l’adalimumab.</w:t>
      </w:r>
    </w:p>
    <w:p w14:paraId="264303D7" w14:textId="77777777" w:rsidR="00964AFD" w:rsidRPr="0058432E" w:rsidRDefault="00964AFD" w:rsidP="00387D0C">
      <w:pPr>
        <w:pStyle w:val="BodyText"/>
        <w:widowControl/>
        <w:kinsoku w:val="0"/>
        <w:overflowPunct w:val="0"/>
        <w:ind w:left="0"/>
        <w:rPr>
          <w:color w:val="000000" w:themeColor="text1"/>
        </w:rPr>
      </w:pPr>
    </w:p>
    <w:p w14:paraId="73F71084"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Sur les 4</w:t>
      </w:r>
      <w:r w:rsidR="00A975CF" w:rsidRPr="0058432E">
        <w:rPr>
          <w:color w:val="000000" w:themeColor="text1"/>
        </w:rPr>
        <w:t>24</w:t>
      </w:r>
      <w:r w:rsidRPr="0058432E">
        <w:rPr>
          <w:color w:val="000000" w:themeColor="text1"/>
        </w:rPr>
        <w:t> patients inclus dans l’extension à long</w:t>
      </w:r>
      <w:r w:rsidR="001946D2" w:rsidRPr="0058432E">
        <w:rPr>
          <w:color w:val="000000" w:themeColor="text1"/>
        </w:rPr>
        <w:t xml:space="preserve"> </w:t>
      </w:r>
      <w:r w:rsidRPr="0058432E">
        <w:rPr>
          <w:color w:val="000000" w:themeColor="text1"/>
        </w:rPr>
        <w:t xml:space="preserve">terme non contrôlée des études UV I et UV II, </w:t>
      </w:r>
      <w:r w:rsidR="00A975CF" w:rsidRPr="0058432E">
        <w:rPr>
          <w:color w:val="000000" w:themeColor="text1"/>
        </w:rPr>
        <w:t>60</w:t>
      </w:r>
      <w:r w:rsidR="009C47DF" w:rsidRPr="0058432E">
        <w:rPr>
          <w:color w:val="000000" w:themeColor="text1"/>
        </w:rPr>
        <w:t> </w:t>
      </w:r>
      <w:r w:rsidRPr="0058432E">
        <w:rPr>
          <w:color w:val="000000" w:themeColor="text1"/>
        </w:rPr>
        <w:t xml:space="preserve">patients ont été considérés inéligibles (par </w:t>
      </w:r>
      <w:r w:rsidR="008D2E8E" w:rsidRPr="0058432E">
        <w:rPr>
          <w:color w:val="000000" w:themeColor="text1"/>
        </w:rPr>
        <w:t xml:space="preserve">exemple </w:t>
      </w:r>
      <w:r w:rsidR="00A975CF" w:rsidRPr="0058432E">
        <w:rPr>
          <w:color w:val="000000" w:themeColor="text1"/>
        </w:rPr>
        <w:t>en raison d</w:t>
      </w:r>
      <w:r w:rsidR="008D2E8E" w:rsidRPr="0058432E">
        <w:rPr>
          <w:color w:val="000000" w:themeColor="text1"/>
        </w:rPr>
        <w:t>e déviations</w:t>
      </w:r>
      <w:r w:rsidR="00A975CF" w:rsidRPr="0058432E">
        <w:rPr>
          <w:color w:val="000000" w:themeColor="text1"/>
        </w:rPr>
        <w:t xml:space="preserve"> ou en raison de </w:t>
      </w:r>
      <w:r w:rsidRPr="0058432E">
        <w:rPr>
          <w:color w:val="000000" w:themeColor="text1"/>
        </w:rPr>
        <w:t xml:space="preserve">complications secondaires à une rétinopathie diabétique, </w:t>
      </w:r>
      <w:proofErr w:type="gramStart"/>
      <w:r w:rsidRPr="0058432E">
        <w:rPr>
          <w:color w:val="000000" w:themeColor="text1"/>
        </w:rPr>
        <w:t>suite à une</w:t>
      </w:r>
      <w:proofErr w:type="gramEnd"/>
      <w:r w:rsidRPr="0058432E">
        <w:rPr>
          <w:color w:val="000000" w:themeColor="text1"/>
        </w:rPr>
        <w:t xml:space="preserve"> chirurgie de la cataracte ou une vitrectomie) et ont été exclus de l’analyse des critères </w:t>
      </w:r>
      <w:r w:rsidR="001946D2" w:rsidRPr="0058432E">
        <w:rPr>
          <w:color w:val="000000" w:themeColor="text1"/>
        </w:rPr>
        <w:t xml:space="preserve">d’efficacité </w:t>
      </w:r>
      <w:r w:rsidRPr="0058432E">
        <w:rPr>
          <w:color w:val="000000" w:themeColor="text1"/>
        </w:rPr>
        <w:t>primaires. Sur les 3</w:t>
      </w:r>
      <w:r w:rsidR="00A975CF" w:rsidRPr="0058432E">
        <w:rPr>
          <w:color w:val="000000" w:themeColor="text1"/>
        </w:rPr>
        <w:t>64</w:t>
      </w:r>
      <w:r w:rsidR="00B94379" w:rsidRPr="0058432E">
        <w:rPr>
          <w:color w:val="000000" w:themeColor="text1"/>
        </w:rPr>
        <w:t> </w:t>
      </w:r>
      <w:r w:rsidRPr="0058432E">
        <w:rPr>
          <w:color w:val="000000" w:themeColor="text1"/>
        </w:rPr>
        <w:t>patients restants, 2</w:t>
      </w:r>
      <w:r w:rsidR="00A975CF" w:rsidRPr="0058432E">
        <w:rPr>
          <w:color w:val="000000" w:themeColor="text1"/>
        </w:rPr>
        <w:t>69</w:t>
      </w:r>
      <w:r w:rsidRPr="0058432E">
        <w:rPr>
          <w:color w:val="000000" w:themeColor="text1"/>
        </w:rPr>
        <w:t xml:space="preserve"> patients évaluables </w:t>
      </w:r>
      <w:r w:rsidR="00A975CF" w:rsidRPr="0058432E">
        <w:rPr>
          <w:color w:val="000000" w:themeColor="text1"/>
        </w:rPr>
        <w:t xml:space="preserve">(74%) </w:t>
      </w:r>
      <w:r w:rsidRPr="0058432E">
        <w:rPr>
          <w:color w:val="000000" w:themeColor="text1"/>
        </w:rPr>
        <w:t>ont été traités pendant 78</w:t>
      </w:r>
      <w:r w:rsidR="00B94379" w:rsidRPr="0058432E">
        <w:rPr>
          <w:color w:val="000000" w:themeColor="text1"/>
        </w:rPr>
        <w:t> </w:t>
      </w:r>
      <w:r w:rsidRPr="0058432E">
        <w:rPr>
          <w:color w:val="000000" w:themeColor="text1"/>
        </w:rPr>
        <w:t xml:space="preserve">semaines en ouvert </w:t>
      </w:r>
      <w:r w:rsidR="008E7545" w:rsidRPr="0058432E">
        <w:rPr>
          <w:color w:val="000000" w:themeColor="text1"/>
        </w:rPr>
        <w:t>par adalimumab</w:t>
      </w:r>
      <w:r w:rsidRPr="0058432E">
        <w:rPr>
          <w:color w:val="000000" w:themeColor="text1"/>
        </w:rPr>
        <w:t>. Sur la base des données observées, 2</w:t>
      </w:r>
      <w:r w:rsidR="00A975CF" w:rsidRPr="0058432E">
        <w:rPr>
          <w:color w:val="000000" w:themeColor="text1"/>
        </w:rPr>
        <w:t>16</w:t>
      </w:r>
      <w:r w:rsidRPr="0058432E">
        <w:rPr>
          <w:color w:val="000000" w:themeColor="text1"/>
        </w:rPr>
        <w:t xml:space="preserve"> (80,</w:t>
      </w:r>
      <w:r w:rsidR="00A975CF" w:rsidRPr="0058432E">
        <w:rPr>
          <w:color w:val="000000" w:themeColor="text1"/>
        </w:rPr>
        <w:t>3</w:t>
      </w:r>
      <w:r w:rsidRPr="0058432E">
        <w:rPr>
          <w:color w:val="000000" w:themeColor="text1"/>
        </w:rPr>
        <w:t> %) étaient en phase de quiescence (absence de lésions inflammatoires actives, Tyndall cellulaire ≤ 0,5+, inflammation vitrée</w:t>
      </w:r>
      <w:r w:rsidR="00BE3D69" w:rsidRPr="0058432E">
        <w:rPr>
          <w:color w:val="000000" w:themeColor="text1"/>
        </w:rPr>
        <w:t>nne</w:t>
      </w:r>
      <w:r w:rsidRPr="0058432E">
        <w:rPr>
          <w:color w:val="000000" w:themeColor="text1"/>
        </w:rPr>
        <w:t xml:space="preserve"> ≤ 0,5+) avec corticothérapie </w:t>
      </w:r>
      <w:r w:rsidR="00936054" w:rsidRPr="0058432E">
        <w:rPr>
          <w:color w:val="000000" w:themeColor="text1"/>
        </w:rPr>
        <w:t>concomitante</w:t>
      </w:r>
      <w:r w:rsidRPr="0058432E">
        <w:rPr>
          <w:color w:val="000000" w:themeColor="text1"/>
        </w:rPr>
        <w:t xml:space="preserve"> à une dose ≤ 7,5 mg par jour, et 1</w:t>
      </w:r>
      <w:r w:rsidR="00A975CF" w:rsidRPr="0058432E">
        <w:rPr>
          <w:color w:val="000000" w:themeColor="text1"/>
        </w:rPr>
        <w:t>78</w:t>
      </w:r>
      <w:r w:rsidRPr="0058432E">
        <w:rPr>
          <w:color w:val="000000" w:themeColor="text1"/>
        </w:rPr>
        <w:t xml:space="preserve"> (66,</w:t>
      </w:r>
      <w:r w:rsidR="00A975CF" w:rsidRPr="0058432E">
        <w:rPr>
          <w:color w:val="000000" w:themeColor="text1"/>
        </w:rPr>
        <w:t>2</w:t>
      </w:r>
      <w:r w:rsidRPr="0058432E">
        <w:rPr>
          <w:color w:val="000000" w:themeColor="text1"/>
        </w:rPr>
        <w:t> %) étaient en phase de quiescence sans corticoïdes. La meilleure acuité visuelle corrigée était soit améliorée soit maintenue (détérioration &lt; 5 lettres) pour 88,</w:t>
      </w:r>
      <w:r w:rsidR="00A975CF" w:rsidRPr="0058432E">
        <w:rPr>
          <w:color w:val="000000" w:themeColor="text1"/>
        </w:rPr>
        <w:t>6</w:t>
      </w:r>
      <w:r w:rsidRPr="0058432E">
        <w:rPr>
          <w:color w:val="000000" w:themeColor="text1"/>
        </w:rPr>
        <w:t> % des yeux évalués à la semaine</w:t>
      </w:r>
      <w:r w:rsidR="00113BFC" w:rsidRPr="0058432E">
        <w:rPr>
          <w:color w:val="000000" w:themeColor="text1"/>
        </w:rPr>
        <w:t> </w:t>
      </w:r>
      <w:r w:rsidRPr="0058432E">
        <w:rPr>
          <w:color w:val="000000" w:themeColor="text1"/>
        </w:rPr>
        <w:t xml:space="preserve">78. </w:t>
      </w:r>
      <w:r w:rsidR="00A975CF" w:rsidRPr="0058432E">
        <w:rPr>
          <w:color w:val="000000" w:themeColor="text1"/>
        </w:rPr>
        <w:t xml:space="preserve">Les données au-delà de la semaine 78 concordaient généralement avec ces résultats, mais le nombre de sujets </w:t>
      </w:r>
      <w:r w:rsidR="00030A7A" w:rsidRPr="0058432E">
        <w:rPr>
          <w:color w:val="000000" w:themeColor="text1"/>
        </w:rPr>
        <w:t>inclus</w:t>
      </w:r>
      <w:r w:rsidR="00A975CF" w:rsidRPr="0058432E">
        <w:rPr>
          <w:color w:val="000000" w:themeColor="text1"/>
        </w:rPr>
        <w:t xml:space="preserve"> a diminué après cette période.</w:t>
      </w:r>
      <w:r w:rsidR="008D294D" w:rsidRPr="0058432E">
        <w:rPr>
          <w:color w:val="000000" w:themeColor="text1"/>
        </w:rPr>
        <w:t xml:space="preserve"> Dans l’ensemble</w:t>
      </w:r>
      <w:r w:rsidR="00A975CF" w:rsidRPr="0058432E">
        <w:rPr>
          <w:color w:val="000000" w:themeColor="text1"/>
        </w:rPr>
        <w:t xml:space="preserve"> p</w:t>
      </w:r>
      <w:r w:rsidRPr="0058432E">
        <w:rPr>
          <w:color w:val="000000" w:themeColor="text1"/>
        </w:rPr>
        <w:t>armi les patients sortis de l’étude, 1</w:t>
      </w:r>
      <w:r w:rsidR="006775F5" w:rsidRPr="0058432E">
        <w:rPr>
          <w:color w:val="000000" w:themeColor="text1"/>
        </w:rPr>
        <w:t>8</w:t>
      </w:r>
      <w:r w:rsidRPr="0058432E">
        <w:rPr>
          <w:color w:val="000000" w:themeColor="text1"/>
        </w:rPr>
        <w:t xml:space="preserve"> % ont arrêté l’étude en raison d’événements indésirables et </w:t>
      </w:r>
      <w:r w:rsidR="006775F5" w:rsidRPr="0058432E">
        <w:rPr>
          <w:color w:val="000000" w:themeColor="text1"/>
        </w:rPr>
        <w:t>8</w:t>
      </w:r>
      <w:r w:rsidRPr="0058432E">
        <w:rPr>
          <w:color w:val="000000" w:themeColor="text1"/>
        </w:rPr>
        <w:t xml:space="preserve"> % en raison d’une réponse insuffisante au traitement </w:t>
      </w:r>
      <w:r w:rsidR="008E7545" w:rsidRPr="0058432E">
        <w:rPr>
          <w:color w:val="000000" w:themeColor="text1"/>
        </w:rPr>
        <w:t>par adalimumab</w:t>
      </w:r>
      <w:r w:rsidRPr="0058432E">
        <w:rPr>
          <w:color w:val="000000" w:themeColor="text1"/>
        </w:rPr>
        <w:t>.</w:t>
      </w:r>
    </w:p>
    <w:p w14:paraId="684187BE" w14:textId="77777777" w:rsidR="00964AFD" w:rsidRPr="0058432E" w:rsidRDefault="00964AFD" w:rsidP="00387D0C">
      <w:pPr>
        <w:pStyle w:val="BodyText"/>
        <w:widowControl/>
        <w:kinsoku w:val="0"/>
        <w:overflowPunct w:val="0"/>
        <w:ind w:left="0"/>
        <w:rPr>
          <w:color w:val="000000" w:themeColor="text1"/>
        </w:rPr>
      </w:pPr>
    </w:p>
    <w:p w14:paraId="35018487" w14:textId="77777777" w:rsidR="00964AFD" w:rsidRPr="0058432E" w:rsidRDefault="00964AFD" w:rsidP="00ED34EF">
      <w:pPr>
        <w:pStyle w:val="BodyText"/>
        <w:keepNext/>
        <w:widowControl/>
        <w:kinsoku w:val="0"/>
        <w:overflowPunct w:val="0"/>
        <w:ind w:left="0"/>
        <w:rPr>
          <w:color w:val="000000" w:themeColor="text1"/>
        </w:rPr>
      </w:pPr>
      <w:r w:rsidRPr="0058432E">
        <w:rPr>
          <w:i/>
          <w:iCs/>
          <w:color w:val="000000" w:themeColor="text1"/>
          <w:u w:val="single"/>
        </w:rPr>
        <w:t>Qualité de vie</w:t>
      </w:r>
    </w:p>
    <w:p w14:paraId="1645F63A" w14:textId="77777777" w:rsidR="00964AFD" w:rsidRPr="0058432E" w:rsidRDefault="00964AFD" w:rsidP="00ED34EF">
      <w:pPr>
        <w:pStyle w:val="BodyText"/>
        <w:keepNext/>
        <w:widowControl/>
        <w:kinsoku w:val="0"/>
        <w:overflowPunct w:val="0"/>
        <w:ind w:left="0"/>
        <w:rPr>
          <w:i/>
          <w:iCs/>
          <w:color w:val="000000" w:themeColor="text1"/>
          <w:szCs w:val="15"/>
        </w:rPr>
      </w:pPr>
    </w:p>
    <w:p w14:paraId="1503D7FA"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Les résultats rapportés par les patients en termes de fonction visuelle ont fait l’objet d’une évaluation dans les deux études cliniques, à l’aide du questionnaire de qualité de vie NEI VFQ-25. La majorité des sous-scores étaient numériquement en faveur de l’adalimumab, avec des différences moyennes statistiquement significatives en termes de vision générale, douleur oculaire, vision de près, santé mentale, et de score total dans l’étude UV I, et en termes de vision générale et santé mentale dans l’étude UV II. Les effets lié</w:t>
      </w:r>
      <w:r w:rsidR="00BE3D69" w:rsidRPr="0058432E">
        <w:rPr>
          <w:color w:val="000000" w:themeColor="text1"/>
        </w:rPr>
        <w:t>s</w:t>
      </w:r>
      <w:r w:rsidRPr="0058432E">
        <w:rPr>
          <w:color w:val="000000" w:themeColor="text1"/>
        </w:rPr>
        <w:t xml:space="preserve"> à la </w:t>
      </w:r>
      <w:r w:rsidR="00BE3D69" w:rsidRPr="0058432E">
        <w:rPr>
          <w:color w:val="000000" w:themeColor="text1"/>
        </w:rPr>
        <w:t>vision</w:t>
      </w:r>
      <w:r w:rsidRPr="0058432E">
        <w:rPr>
          <w:color w:val="000000" w:themeColor="text1"/>
        </w:rPr>
        <w:t xml:space="preserve"> n’étaient pas numériquement en faveur de l’adalimumab pour </w:t>
      </w:r>
      <w:r w:rsidR="00BE3D69" w:rsidRPr="0058432E">
        <w:rPr>
          <w:color w:val="000000" w:themeColor="text1"/>
        </w:rPr>
        <w:t>la</w:t>
      </w:r>
      <w:r w:rsidRPr="0058432E">
        <w:rPr>
          <w:color w:val="000000" w:themeColor="text1"/>
        </w:rPr>
        <w:t xml:space="preserve"> vision des couleurs dans l’étude UV</w:t>
      </w:r>
      <w:r w:rsidR="00582146" w:rsidRPr="0058432E">
        <w:rPr>
          <w:color w:val="000000" w:themeColor="text1"/>
        </w:rPr>
        <w:t> </w:t>
      </w:r>
      <w:r w:rsidRPr="0058432E">
        <w:rPr>
          <w:color w:val="000000" w:themeColor="text1"/>
        </w:rPr>
        <w:t xml:space="preserve">I et pour </w:t>
      </w:r>
      <w:r w:rsidR="00BE3D69" w:rsidRPr="0058432E">
        <w:rPr>
          <w:color w:val="000000" w:themeColor="text1"/>
        </w:rPr>
        <w:t>la</w:t>
      </w:r>
      <w:r w:rsidRPr="0058432E">
        <w:rPr>
          <w:color w:val="000000" w:themeColor="text1"/>
        </w:rPr>
        <w:t xml:space="preserve"> vision des couleurs, </w:t>
      </w:r>
      <w:r w:rsidR="00BE3D69" w:rsidRPr="0058432E">
        <w:rPr>
          <w:color w:val="000000" w:themeColor="text1"/>
        </w:rPr>
        <w:t xml:space="preserve">la </w:t>
      </w:r>
      <w:r w:rsidRPr="0058432E">
        <w:rPr>
          <w:color w:val="000000" w:themeColor="text1"/>
        </w:rPr>
        <w:t xml:space="preserve">vision périphérique et </w:t>
      </w:r>
      <w:r w:rsidR="00BE3D69" w:rsidRPr="0058432E">
        <w:rPr>
          <w:color w:val="000000" w:themeColor="text1"/>
        </w:rPr>
        <w:t xml:space="preserve">la </w:t>
      </w:r>
      <w:r w:rsidRPr="0058432E">
        <w:rPr>
          <w:color w:val="000000" w:themeColor="text1"/>
        </w:rPr>
        <w:t>vision de près dans l’étude UV</w:t>
      </w:r>
      <w:r w:rsidR="00C937F2" w:rsidRPr="0058432E">
        <w:rPr>
          <w:color w:val="000000" w:themeColor="text1"/>
        </w:rPr>
        <w:t> </w:t>
      </w:r>
      <w:r w:rsidRPr="0058432E">
        <w:rPr>
          <w:color w:val="000000" w:themeColor="text1"/>
        </w:rPr>
        <w:t>II.</w:t>
      </w:r>
    </w:p>
    <w:p w14:paraId="4F81618B" w14:textId="77777777" w:rsidR="00964AFD" w:rsidRPr="0058432E" w:rsidRDefault="00964AFD" w:rsidP="00387D0C">
      <w:pPr>
        <w:pStyle w:val="BodyText"/>
        <w:widowControl/>
        <w:kinsoku w:val="0"/>
        <w:overflowPunct w:val="0"/>
        <w:ind w:left="0"/>
        <w:rPr>
          <w:color w:val="000000" w:themeColor="text1"/>
        </w:rPr>
      </w:pPr>
    </w:p>
    <w:p w14:paraId="3187F587" w14:textId="77777777" w:rsidR="00964AFD" w:rsidRPr="0058432E" w:rsidRDefault="00964AFD" w:rsidP="00ED34EF">
      <w:pPr>
        <w:pStyle w:val="BodyText"/>
        <w:keepNext/>
        <w:widowControl/>
        <w:kinsoku w:val="0"/>
        <w:overflowPunct w:val="0"/>
        <w:ind w:left="0"/>
        <w:rPr>
          <w:color w:val="000000" w:themeColor="text1"/>
        </w:rPr>
      </w:pPr>
      <w:r w:rsidRPr="0058432E">
        <w:rPr>
          <w:color w:val="000000" w:themeColor="text1"/>
          <w:u w:val="single"/>
        </w:rPr>
        <w:t>Immunogénicité</w:t>
      </w:r>
    </w:p>
    <w:p w14:paraId="47E30253" w14:textId="77777777" w:rsidR="00964AFD" w:rsidRPr="0058432E" w:rsidRDefault="00964AFD" w:rsidP="00ED34EF">
      <w:pPr>
        <w:pStyle w:val="BodyText"/>
        <w:keepNext/>
        <w:widowControl/>
        <w:kinsoku w:val="0"/>
        <w:overflowPunct w:val="0"/>
        <w:ind w:left="0"/>
        <w:rPr>
          <w:color w:val="000000" w:themeColor="text1"/>
          <w:szCs w:val="15"/>
        </w:rPr>
      </w:pPr>
    </w:p>
    <w:p w14:paraId="6ADD1286" w14:textId="77777777" w:rsidR="00964AFD" w:rsidRPr="0058432E" w:rsidRDefault="00C27FEF" w:rsidP="00387D0C">
      <w:pPr>
        <w:pStyle w:val="BodyText"/>
        <w:widowControl/>
        <w:kinsoku w:val="0"/>
        <w:overflowPunct w:val="0"/>
        <w:ind w:left="0"/>
        <w:rPr>
          <w:color w:val="000000" w:themeColor="text1"/>
        </w:rPr>
      </w:pPr>
      <w:r w:rsidRPr="0058432E">
        <w:rPr>
          <w:color w:val="000000" w:themeColor="text1"/>
        </w:rPr>
        <w:t xml:space="preserve">Des anticorps anti-adalimumab peuvent se développer pendant le traitement </w:t>
      </w:r>
      <w:r w:rsidR="008E7545" w:rsidRPr="0058432E">
        <w:rPr>
          <w:color w:val="000000" w:themeColor="text1"/>
        </w:rPr>
        <w:t>par adalimumab</w:t>
      </w:r>
      <w:r w:rsidRPr="0058432E">
        <w:rPr>
          <w:color w:val="000000" w:themeColor="text1"/>
        </w:rPr>
        <w:t>. La formation d’anticorps anti</w:t>
      </w:r>
      <w:r w:rsidRPr="0058432E">
        <w:rPr>
          <w:color w:val="000000" w:themeColor="text1"/>
        </w:rPr>
        <w:noBreakHyphen/>
        <w:t>adalimumab est associée à une augmentation de la clairance et à une diminution de l’efficacité de l’adalimumab. Il n’y a pas de corrélation apparente entre la présence d’anticorps anti-adalimumab et la survenue d’effets indésirables.</w:t>
      </w:r>
    </w:p>
    <w:p w14:paraId="3E1C9FDB" w14:textId="77777777" w:rsidR="00964AFD" w:rsidRPr="0058432E" w:rsidRDefault="00964AFD" w:rsidP="00387D0C">
      <w:pPr>
        <w:pStyle w:val="BodyText"/>
        <w:widowControl/>
        <w:kinsoku w:val="0"/>
        <w:overflowPunct w:val="0"/>
        <w:ind w:left="0"/>
        <w:rPr>
          <w:color w:val="000000" w:themeColor="text1"/>
        </w:rPr>
      </w:pPr>
    </w:p>
    <w:p w14:paraId="6B2D7417" w14:textId="77777777" w:rsidR="00964AFD" w:rsidRPr="0058432E" w:rsidRDefault="00964AFD" w:rsidP="002510E7">
      <w:pPr>
        <w:pStyle w:val="BodyText"/>
        <w:keepNext/>
        <w:widowControl/>
        <w:kinsoku w:val="0"/>
        <w:overflowPunct w:val="0"/>
        <w:ind w:left="0"/>
        <w:rPr>
          <w:color w:val="000000" w:themeColor="text1"/>
        </w:rPr>
      </w:pPr>
      <w:r w:rsidRPr="0058432E">
        <w:rPr>
          <w:color w:val="000000" w:themeColor="text1"/>
          <w:u w:val="single"/>
        </w:rPr>
        <w:lastRenderedPageBreak/>
        <w:t>Population pédiatrique</w:t>
      </w:r>
    </w:p>
    <w:p w14:paraId="49CB86E6" w14:textId="77777777" w:rsidR="00964AFD" w:rsidRPr="0058432E" w:rsidRDefault="00964AFD" w:rsidP="002510E7">
      <w:pPr>
        <w:pStyle w:val="BodyText"/>
        <w:keepNext/>
        <w:widowControl/>
        <w:kinsoku w:val="0"/>
        <w:overflowPunct w:val="0"/>
        <w:ind w:left="0"/>
        <w:rPr>
          <w:color w:val="000000" w:themeColor="text1"/>
        </w:rPr>
      </w:pPr>
      <w:bookmarkStart w:id="2" w:name="_Hlk66212030"/>
    </w:p>
    <w:p w14:paraId="2002F8CD" w14:textId="77777777" w:rsidR="006B2FBE" w:rsidRPr="0058432E" w:rsidRDefault="006B2FBE" w:rsidP="006B2FBE">
      <w:pPr>
        <w:pStyle w:val="BodyText"/>
        <w:keepNext/>
        <w:widowControl/>
        <w:kinsoku w:val="0"/>
        <w:overflowPunct w:val="0"/>
        <w:ind w:left="0"/>
        <w:rPr>
          <w:color w:val="000000" w:themeColor="text1"/>
        </w:rPr>
      </w:pPr>
      <w:r w:rsidRPr="0058432E">
        <w:rPr>
          <w:i/>
          <w:iCs/>
          <w:color w:val="000000" w:themeColor="text1"/>
        </w:rPr>
        <w:t>Arthrite juvénile idiopathique (AJI)</w:t>
      </w:r>
    </w:p>
    <w:p w14:paraId="2D0FA2BF" w14:textId="77777777" w:rsidR="006B2FBE" w:rsidRPr="0058432E" w:rsidRDefault="006B2FBE" w:rsidP="006B2FBE">
      <w:pPr>
        <w:pStyle w:val="BodyText"/>
        <w:keepNext/>
        <w:widowControl/>
        <w:kinsoku w:val="0"/>
        <w:overflowPunct w:val="0"/>
        <w:ind w:left="0"/>
        <w:rPr>
          <w:i/>
          <w:iCs/>
          <w:color w:val="000000" w:themeColor="text1"/>
        </w:rPr>
      </w:pPr>
    </w:p>
    <w:p w14:paraId="4BE33DCC" w14:textId="77777777" w:rsidR="006B2FBE" w:rsidRPr="0058432E" w:rsidRDefault="006B2FBE" w:rsidP="006B2FBE">
      <w:pPr>
        <w:pStyle w:val="BodyText"/>
        <w:keepNext/>
        <w:widowControl/>
        <w:kinsoku w:val="0"/>
        <w:overflowPunct w:val="0"/>
        <w:ind w:left="0"/>
        <w:rPr>
          <w:color w:val="000000" w:themeColor="text1"/>
        </w:rPr>
      </w:pPr>
      <w:r w:rsidRPr="0058432E">
        <w:rPr>
          <w:i/>
          <w:iCs/>
          <w:color w:val="000000" w:themeColor="text1"/>
          <w:u w:val="single"/>
        </w:rPr>
        <w:t>Arthrite juvénile idiopathique polyarticulaire (AJIp)</w:t>
      </w:r>
    </w:p>
    <w:p w14:paraId="67C68EBA" w14:textId="77777777" w:rsidR="006B2FBE" w:rsidRPr="0058432E" w:rsidRDefault="006B2FBE" w:rsidP="006B2FBE">
      <w:pPr>
        <w:pStyle w:val="BodyText"/>
        <w:keepNext/>
        <w:widowControl/>
        <w:kinsoku w:val="0"/>
        <w:overflowPunct w:val="0"/>
        <w:ind w:left="0"/>
        <w:rPr>
          <w:i/>
          <w:iCs/>
          <w:color w:val="000000" w:themeColor="text1"/>
        </w:rPr>
      </w:pPr>
    </w:p>
    <w:p w14:paraId="475E6AAF" w14:textId="77777777" w:rsidR="006B2FBE" w:rsidRPr="0058432E" w:rsidRDefault="00E45527" w:rsidP="00491257">
      <w:pPr>
        <w:pStyle w:val="BodyText"/>
        <w:kinsoku w:val="0"/>
        <w:overflowPunct w:val="0"/>
        <w:ind w:left="0"/>
        <w:rPr>
          <w:color w:val="000000" w:themeColor="text1"/>
        </w:rPr>
      </w:pPr>
      <w:r w:rsidRPr="0058432E">
        <w:rPr>
          <w:color w:val="000000" w:themeColor="text1"/>
        </w:rPr>
        <w:t xml:space="preserve">La tolérance et l’efficacité de l’adalimumab </w:t>
      </w:r>
      <w:r w:rsidR="006B2FBE" w:rsidRPr="0058432E">
        <w:rPr>
          <w:color w:val="000000" w:themeColor="text1"/>
        </w:rPr>
        <w:t>ont été évaluées dans deux études (AJIp I et II) chez des enfants ayant une arthrite juvénile idiopathique polyarticulaire active ou une AJI d’évolution polyarticulaire, qui présentaient différentes formes de début de la maladie (le plus souvent polyarthrite avec facteur rhumatoïde négatif ou positif et oligoarthrite étendue).</w:t>
      </w:r>
    </w:p>
    <w:p w14:paraId="0C2F91BF" w14:textId="77777777" w:rsidR="006B2FBE" w:rsidRPr="0058432E" w:rsidRDefault="006B2FBE" w:rsidP="006B2FBE">
      <w:pPr>
        <w:pStyle w:val="BodyText"/>
        <w:widowControl/>
        <w:kinsoku w:val="0"/>
        <w:overflowPunct w:val="0"/>
        <w:ind w:left="0"/>
        <w:rPr>
          <w:color w:val="000000" w:themeColor="text1"/>
        </w:rPr>
      </w:pPr>
    </w:p>
    <w:p w14:paraId="17F6FB85" w14:textId="77777777" w:rsidR="006B2FBE" w:rsidRPr="0058432E" w:rsidRDefault="006B2FBE" w:rsidP="006B2FBE">
      <w:pPr>
        <w:pStyle w:val="BodyText"/>
        <w:keepNext/>
        <w:widowControl/>
        <w:kinsoku w:val="0"/>
        <w:overflowPunct w:val="0"/>
        <w:ind w:left="0"/>
        <w:rPr>
          <w:color w:val="000000" w:themeColor="text1"/>
        </w:rPr>
      </w:pPr>
      <w:r w:rsidRPr="0058432E">
        <w:rPr>
          <w:color w:val="000000" w:themeColor="text1"/>
        </w:rPr>
        <w:t>AJIp I</w:t>
      </w:r>
    </w:p>
    <w:p w14:paraId="791BDA74" w14:textId="77777777" w:rsidR="006B2FBE" w:rsidRPr="0058432E" w:rsidRDefault="006B2FBE" w:rsidP="006B2FBE">
      <w:pPr>
        <w:pStyle w:val="BodyText"/>
        <w:keepNext/>
        <w:widowControl/>
        <w:kinsoku w:val="0"/>
        <w:overflowPunct w:val="0"/>
        <w:ind w:left="0"/>
        <w:rPr>
          <w:color w:val="000000" w:themeColor="text1"/>
        </w:rPr>
      </w:pPr>
    </w:p>
    <w:p w14:paraId="3C989CBC" w14:textId="77777777" w:rsidR="006B2FBE" w:rsidRPr="0058432E" w:rsidRDefault="006B2FBE" w:rsidP="00491257">
      <w:pPr>
        <w:pStyle w:val="BodyText"/>
        <w:kinsoku w:val="0"/>
        <w:overflowPunct w:val="0"/>
        <w:ind w:left="0"/>
        <w:rPr>
          <w:color w:val="000000" w:themeColor="text1"/>
        </w:rPr>
      </w:pPr>
      <w:r w:rsidRPr="0058432E">
        <w:rPr>
          <w:color w:val="000000" w:themeColor="text1"/>
        </w:rPr>
        <w:t xml:space="preserve">La tolérance et l’efficacité </w:t>
      </w:r>
      <w:r w:rsidR="00540150" w:rsidRPr="0058432E">
        <w:rPr>
          <w:color w:val="000000" w:themeColor="text1"/>
        </w:rPr>
        <w:t>de l’adalimumab</w:t>
      </w:r>
      <w:r w:rsidRPr="0058432E">
        <w:rPr>
          <w:color w:val="000000" w:themeColor="text1"/>
        </w:rPr>
        <w:t xml:space="preserve"> ont été évaluées dans une étude multicentrique randomisée en double aveugle en gr</w:t>
      </w:r>
      <w:r w:rsidR="00A152D3" w:rsidRPr="0058432E">
        <w:rPr>
          <w:color w:val="000000" w:themeColor="text1"/>
        </w:rPr>
        <w:t>oupes parallèles menée chez 171 enfants (de 4 à 17 </w:t>
      </w:r>
      <w:r w:rsidRPr="0058432E">
        <w:rPr>
          <w:color w:val="000000" w:themeColor="text1"/>
        </w:rPr>
        <w:t>ans) présentant une AJI polyarticulaire. Dans la phase de pré-inclusion en ouvert (PI-O), les patients ont été stratifiés en deux groupes</w:t>
      </w:r>
      <w:r w:rsidR="00A152D3" w:rsidRPr="0058432E">
        <w:rPr>
          <w:color w:val="000000" w:themeColor="text1"/>
        </w:rPr>
        <w:t> </w:t>
      </w:r>
      <w:r w:rsidRPr="0058432E">
        <w:rPr>
          <w:color w:val="000000" w:themeColor="text1"/>
        </w:rPr>
        <w:t>: patients traités par MTX (méthotrexate) ou non traités par M</w:t>
      </w:r>
      <w:r w:rsidR="00A152D3" w:rsidRPr="0058432E">
        <w:rPr>
          <w:color w:val="000000" w:themeColor="text1"/>
        </w:rPr>
        <w:t>TX. Les patients de la strate « sans MTX </w:t>
      </w:r>
      <w:r w:rsidRPr="0058432E">
        <w:rPr>
          <w:color w:val="000000" w:themeColor="text1"/>
        </w:rPr>
        <w:t>» étaient naïfs de traitement ou le MTX avait été arrêté deux semaines au moins avant l’administration du médicament à l’étude. Les patients sont restés sous doses stables d’anti-inflammatoires non stéroïdien</w:t>
      </w:r>
      <w:r w:rsidR="00A152D3" w:rsidRPr="0058432E">
        <w:rPr>
          <w:color w:val="000000" w:themeColor="text1"/>
        </w:rPr>
        <w:t>s (AINS) et/ou de prednisone (≤ 0,2 mg/kg/jour ou 10 </w:t>
      </w:r>
      <w:r w:rsidRPr="0058432E">
        <w:rPr>
          <w:color w:val="000000" w:themeColor="text1"/>
        </w:rPr>
        <w:t>mg/jour au maximum). Dans la phase de pré-inclusion en ouvert</w:t>
      </w:r>
      <w:r w:rsidR="00A152D3" w:rsidRPr="0058432E">
        <w:rPr>
          <w:color w:val="000000" w:themeColor="text1"/>
        </w:rPr>
        <w:t>, tous les patients ont reçu 24 </w:t>
      </w:r>
      <w:r w:rsidRPr="0058432E">
        <w:rPr>
          <w:color w:val="000000" w:themeColor="text1"/>
        </w:rPr>
        <w:t>mg/m</w:t>
      </w:r>
      <w:r w:rsidRPr="0058432E">
        <w:rPr>
          <w:color w:val="000000" w:themeColor="text1"/>
          <w:vertAlign w:val="superscript"/>
        </w:rPr>
        <w:t>2</w:t>
      </w:r>
      <w:r w:rsidRPr="0058432E">
        <w:rPr>
          <w:color w:val="000000" w:themeColor="text1"/>
        </w:rPr>
        <w:t xml:space="preserve"> </w:t>
      </w:r>
      <w:r w:rsidR="00A152D3" w:rsidRPr="0058432E">
        <w:rPr>
          <w:color w:val="000000" w:themeColor="text1"/>
        </w:rPr>
        <w:t>d’adalimumab</w:t>
      </w:r>
      <w:r w:rsidRPr="0058432E">
        <w:rPr>
          <w:color w:val="000000" w:themeColor="text1"/>
        </w:rPr>
        <w:t xml:space="preserve">, </w:t>
      </w:r>
      <w:r w:rsidR="00A152D3" w:rsidRPr="0058432E">
        <w:rPr>
          <w:color w:val="000000" w:themeColor="text1"/>
        </w:rPr>
        <w:t>jusqu’à un maximum de 40 </w:t>
      </w:r>
      <w:r w:rsidRPr="0058432E">
        <w:rPr>
          <w:color w:val="000000" w:themeColor="text1"/>
        </w:rPr>
        <w:t>mg, tout</w:t>
      </w:r>
      <w:r w:rsidR="00A152D3" w:rsidRPr="0058432E">
        <w:rPr>
          <w:color w:val="000000" w:themeColor="text1"/>
        </w:rPr>
        <w:t>es les deux semaines pendant 16 </w:t>
      </w:r>
      <w:r w:rsidRPr="0058432E">
        <w:rPr>
          <w:color w:val="000000" w:themeColor="text1"/>
        </w:rPr>
        <w:t>semaines. Le</w:t>
      </w:r>
      <w:r w:rsidR="00A152D3" w:rsidRPr="0058432E">
        <w:rPr>
          <w:color w:val="000000" w:themeColor="text1"/>
        </w:rPr>
        <w:t xml:space="preserve"> tableau </w:t>
      </w:r>
      <w:r w:rsidRPr="0058432E">
        <w:rPr>
          <w:color w:val="000000" w:themeColor="text1"/>
        </w:rPr>
        <w:t>17 présente la distribution des patients par âge et doses minimales, médianes et maximales reçues pendant la phase de pré-inclusion en ouvert.</w:t>
      </w:r>
    </w:p>
    <w:p w14:paraId="45C1B73B" w14:textId="77777777" w:rsidR="006B2FBE" w:rsidRPr="0058432E" w:rsidRDefault="006B2FBE" w:rsidP="006B2FBE">
      <w:pPr>
        <w:pStyle w:val="BodyText"/>
        <w:widowControl/>
        <w:kinsoku w:val="0"/>
        <w:overflowPunct w:val="0"/>
        <w:ind w:left="0"/>
        <w:rPr>
          <w:color w:val="000000" w:themeColor="text1"/>
        </w:rPr>
      </w:pPr>
    </w:p>
    <w:p w14:paraId="339F3198" w14:textId="77777777" w:rsidR="00B77928" w:rsidRPr="0058432E" w:rsidRDefault="006B2FBE" w:rsidP="0062404D">
      <w:pPr>
        <w:pStyle w:val="BodyText"/>
        <w:widowControl/>
        <w:kinsoku w:val="0"/>
        <w:overflowPunct w:val="0"/>
        <w:ind w:left="0"/>
        <w:rPr>
          <w:b/>
          <w:color w:val="000000" w:themeColor="text1"/>
        </w:rPr>
      </w:pPr>
      <w:r w:rsidRPr="0058432E">
        <w:rPr>
          <w:b/>
          <w:color w:val="000000" w:themeColor="text1"/>
        </w:rPr>
        <w:t>Tableau 17.</w:t>
      </w:r>
    </w:p>
    <w:p w14:paraId="7D3E61EA" w14:textId="77777777" w:rsidR="006B2FBE" w:rsidRPr="0058432E" w:rsidRDefault="006B2FBE" w:rsidP="0062404D">
      <w:pPr>
        <w:pStyle w:val="BodyText"/>
        <w:widowControl/>
        <w:kinsoku w:val="0"/>
        <w:overflowPunct w:val="0"/>
        <w:ind w:left="0"/>
        <w:rPr>
          <w:b/>
          <w:color w:val="000000" w:themeColor="text1"/>
        </w:rPr>
      </w:pPr>
      <w:r w:rsidRPr="0058432E">
        <w:rPr>
          <w:b/>
          <w:color w:val="000000" w:themeColor="text1"/>
        </w:rPr>
        <w:t>Distribution des patients par âge et doses d’adalimumab reçues pendant la phase de pré-inclusion en ouvert</w:t>
      </w:r>
    </w:p>
    <w:p w14:paraId="5D3F5C12" w14:textId="77777777" w:rsidR="006B2FBE" w:rsidRPr="0058432E" w:rsidRDefault="006B2FBE" w:rsidP="006B2FBE">
      <w:pPr>
        <w:pStyle w:val="BodyText"/>
        <w:keepNext/>
        <w:widowControl/>
        <w:kinsoku w:val="0"/>
        <w:overflowPunct w:val="0"/>
        <w:ind w:left="0"/>
        <w:rPr>
          <w:b/>
          <w:bCs/>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3477"/>
        <w:gridCol w:w="3200"/>
      </w:tblGrid>
      <w:tr w:rsidR="006B2FBE" w:rsidRPr="0058432E" w14:paraId="5F015EB0" w14:textId="77777777" w:rsidTr="00A26BF3">
        <w:trPr>
          <w:tblHeader/>
        </w:trPr>
        <w:tc>
          <w:tcPr>
            <w:tcW w:w="2397" w:type="dxa"/>
            <w:shd w:val="clear" w:color="auto" w:fill="auto"/>
          </w:tcPr>
          <w:p w14:paraId="62BC075D" w14:textId="77777777" w:rsidR="006B2FBE" w:rsidRPr="0058432E" w:rsidRDefault="006B2FBE" w:rsidP="00A26BF3">
            <w:pPr>
              <w:pStyle w:val="TableParagraph"/>
              <w:widowControl/>
              <w:kinsoku w:val="0"/>
              <w:overflowPunct w:val="0"/>
              <w:ind w:left="102"/>
              <w:jc w:val="center"/>
              <w:rPr>
                <w:rFonts w:ascii="Times New Roman" w:hAnsi="Times New Roman"/>
                <w:b/>
                <w:color w:val="000000" w:themeColor="text1"/>
              </w:rPr>
            </w:pPr>
            <w:r w:rsidRPr="0058432E">
              <w:rPr>
                <w:rFonts w:ascii="Times New Roman" w:hAnsi="Times New Roman"/>
                <w:b/>
                <w:color w:val="000000" w:themeColor="text1"/>
              </w:rPr>
              <w:t>Groupe d’âge</w:t>
            </w:r>
          </w:p>
        </w:tc>
        <w:tc>
          <w:tcPr>
            <w:tcW w:w="3489" w:type="dxa"/>
            <w:shd w:val="clear" w:color="auto" w:fill="auto"/>
          </w:tcPr>
          <w:p w14:paraId="6273590B" w14:textId="77777777" w:rsidR="006B2FBE" w:rsidRPr="0058432E" w:rsidRDefault="007A26D7" w:rsidP="00A26BF3">
            <w:pPr>
              <w:pStyle w:val="TableParagraph"/>
              <w:widowControl/>
              <w:kinsoku w:val="0"/>
              <w:overflowPunct w:val="0"/>
              <w:ind w:left="101" w:right="45"/>
              <w:jc w:val="center"/>
              <w:rPr>
                <w:rFonts w:ascii="Times New Roman" w:hAnsi="Times New Roman"/>
                <w:b/>
                <w:color w:val="000000" w:themeColor="text1"/>
              </w:rPr>
            </w:pPr>
            <w:r w:rsidRPr="0058432E">
              <w:rPr>
                <w:rFonts w:ascii="Times New Roman" w:hAnsi="Times New Roman"/>
                <w:b/>
                <w:color w:val="000000" w:themeColor="text1"/>
              </w:rPr>
              <w:t>Nombre de patients au début de l’étude</w:t>
            </w:r>
          </w:p>
          <w:p w14:paraId="7E2BE82A" w14:textId="77777777" w:rsidR="006B2FBE" w:rsidRPr="0058432E" w:rsidRDefault="006B2FBE" w:rsidP="00A26BF3">
            <w:pPr>
              <w:pStyle w:val="TableParagraph"/>
              <w:widowControl/>
              <w:kinsoku w:val="0"/>
              <w:overflowPunct w:val="0"/>
              <w:ind w:left="101" w:right="45"/>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xml:space="preserve"> (%)</w:t>
            </w:r>
          </w:p>
        </w:tc>
        <w:tc>
          <w:tcPr>
            <w:tcW w:w="3211" w:type="dxa"/>
            <w:shd w:val="clear" w:color="auto" w:fill="auto"/>
          </w:tcPr>
          <w:p w14:paraId="7576860C" w14:textId="77777777" w:rsidR="006B2FBE" w:rsidRPr="0058432E" w:rsidRDefault="007A26D7" w:rsidP="00491257">
            <w:pPr>
              <w:pStyle w:val="TableParagraph"/>
              <w:kinsoku w:val="0"/>
              <w:overflowPunct w:val="0"/>
              <w:ind w:left="102" w:right="165"/>
              <w:jc w:val="center"/>
              <w:rPr>
                <w:rFonts w:ascii="Times New Roman" w:hAnsi="Times New Roman"/>
                <w:b/>
                <w:color w:val="000000" w:themeColor="text1"/>
              </w:rPr>
            </w:pPr>
            <w:r w:rsidRPr="0058432E">
              <w:rPr>
                <w:rFonts w:ascii="Times New Roman" w:hAnsi="Times New Roman"/>
                <w:b/>
                <w:color w:val="000000" w:themeColor="text1"/>
              </w:rPr>
              <w:t>Dose minimale, médiane et maximale</w:t>
            </w:r>
          </w:p>
        </w:tc>
      </w:tr>
      <w:tr w:rsidR="006B2FBE" w:rsidRPr="0058432E" w14:paraId="446CA932" w14:textId="77777777" w:rsidTr="00A26BF3">
        <w:tc>
          <w:tcPr>
            <w:tcW w:w="2397" w:type="dxa"/>
            <w:shd w:val="clear" w:color="auto" w:fill="auto"/>
          </w:tcPr>
          <w:p w14:paraId="529A682B" w14:textId="77777777" w:rsidR="006B2FBE" w:rsidRPr="0058432E" w:rsidRDefault="006B2FBE" w:rsidP="007A26D7">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 xml:space="preserve">4 </w:t>
            </w:r>
            <w:r w:rsidR="007A26D7" w:rsidRPr="0058432E">
              <w:rPr>
                <w:rFonts w:ascii="Times New Roman" w:hAnsi="Times New Roman"/>
                <w:color w:val="000000" w:themeColor="text1"/>
              </w:rPr>
              <w:t>à</w:t>
            </w:r>
            <w:r w:rsidRPr="0058432E">
              <w:rPr>
                <w:rFonts w:ascii="Times New Roman" w:hAnsi="Times New Roman"/>
                <w:color w:val="000000" w:themeColor="text1"/>
              </w:rPr>
              <w:t xml:space="preserve"> 7 </w:t>
            </w:r>
            <w:r w:rsidR="007A26D7" w:rsidRPr="0058432E">
              <w:rPr>
                <w:rFonts w:ascii="Times New Roman" w:hAnsi="Times New Roman"/>
                <w:color w:val="000000" w:themeColor="text1"/>
              </w:rPr>
              <w:t>ans</w:t>
            </w:r>
          </w:p>
        </w:tc>
        <w:tc>
          <w:tcPr>
            <w:tcW w:w="3489" w:type="dxa"/>
            <w:shd w:val="clear" w:color="auto" w:fill="auto"/>
          </w:tcPr>
          <w:p w14:paraId="089B187C" w14:textId="77777777" w:rsidR="006B2FBE" w:rsidRPr="0058432E" w:rsidRDefault="006B2FBE" w:rsidP="007A26D7">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31 (18</w:t>
            </w:r>
            <w:r w:rsidR="007A26D7" w:rsidRPr="0058432E">
              <w:rPr>
                <w:rFonts w:ascii="Times New Roman" w:hAnsi="Times New Roman"/>
                <w:color w:val="000000" w:themeColor="text1"/>
              </w:rPr>
              <w:t>,</w:t>
            </w:r>
            <w:r w:rsidRPr="0058432E">
              <w:rPr>
                <w:rFonts w:ascii="Times New Roman" w:hAnsi="Times New Roman"/>
                <w:color w:val="000000" w:themeColor="text1"/>
              </w:rPr>
              <w:t>1)</w:t>
            </w:r>
          </w:p>
        </w:tc>
        <w:tc>
          <w:tcPr>
            <w:tcW w:w="3211" w:type="dxa"/>
            <w:shd w:val="clear" w:color="auto" w:fill="auto"/>
          </w:tcPr>
          <w:p w14:paraId="4106FEE0" w14:textId="77777777" w:rsidR="006B2FBE" w:rsidRPr="0058432E" w:rsidRDefault="006B2FBE" w:rsidP="007A26D7">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 xml:space="preserve">10, 20 </w:t>
            </w:r>
            <w:r w:rsidR="007A26D7" w:rsidRPr="0058432E">
              <w:rPr>
                <w:rFonts w:ascii="Times New Roman" w:hAnsi="Times New Roman"/>
                <w:color w:val="000000" w:themeColor="text1"/>
              </w:rPr>
              <w:t>et</w:t>
            </w:r>
            <w:r w:rsidRPr="0058432E">
              <w:rPr>
                <w:rFonts w:ascii="Times New Roman" w:hAnsi="Times New Roman"/>
                <w:color w:val="000000" w:themeColor="text1"/>
              </w:rPr>
              <w:t xml:space="preserve"> 25 mg</w:t>
            </w:r>
          </w:p>
        </w:tc>
      </w:tr>
      <w:tr w:rsidR="006B2FBE" w:rsidRPr="0058432E" w14:paraId="5D84191E" w14:textId="77777777" w:rsidTr="00A26BF3">
        <w:tc>
          <w:tcPr>
            <w:tcW w:w="2397" w:type="dxa"/>
            <w:shd w:val="clear" w:color="auto" w:fill="auto"/>
          </w:tcPr>
          <w:p w14:paraId="17A3CA7E" w14:textId="77777777" w:rsidR="006B2FBE" w:rsidRPr="0058432E" w:rsidRDefault="007A26D7" w:rsidP="00A26BF3">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8 à</w:t>
            </w:r>
            <w:r w:rsidR="006B2FBE" w:rsidRPr="0058432E">
              <w:rPr>
                <w:rFonts w:ascii="Times New Roman" w:hAnsi="Times New Roman"/>
                <w:color w:val="000000" w:themeColor="text1"/>
              </w:rPr>
              <w:t xml:space="preserve"> 12 </w:t>
            </w:r>
            <w:r w:rsidRPr="0058432E">
              <w:rPr>
                <w:rFonts w:ascii="Times New Roman" w:hAnsi="Times New Roman"/>
                <w:color w:val="000000" w:themeColor="text1"/>
              </w:rPr>
              <w:t>ans</w:t>
            </w:r>
          </w:p>
        </w:tc>
        <w:tc>
          <w:tcPr>
            <w:tcW w:w="3489" w:type="dxa"/>
            <w:shd w:val="clear" w:color="auto" w:fill="auto"/>
          </w:tcPr>
          <w:p w14:paraId="019C09C3" w14:textId="77777777" w:rsidR="006B2FBE" w:rsidRPr="0058432E" w:rsidRDefault="007A26D7" w:rsidP="00A26BF3">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71 (41,</w:t>
            </w:r>
            <w:r w:rsidR="006B2FBE" w:rsidRPr="0058432E">
              <w:rPr>
                <w:rFonts w:ascii="Times New Roman" w:hAnsi="Times New Roman"/>
                <w:color w:val="000000" w:themeColor="text1"/>
              </w:rPr>
              <w:t>5)</w:t>
            </w:r>
          </w:p>
        </w:tc>
        <w:tc>
          <w:tcPr>
            <w:tcW w:w="3211" w:type="dxa"/>
            <w:shd w:val="clear" w:color="auto" w:fill="auto"/>
          </w:tcPr>
          <w:p w14:paraId="5A2F23FA" w14:textId="77777777" w:rsidR="006B2FBE" w:rsidRPr="0058432E" w:rsidRDefault="006B2FBE" w:rsidP="007A26D7">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 xml:space="preserve">20, 25 </w:t>
            </w:r>
            <w:r w:rsidR="007A26D7" w:rsidRPr="0058432E">
              <w:rPr>
                <w:rFonts w:ascii="Times New Roman" w:hAnsi="Times New Roman"/>
                <w:color w:val="000000" w:themeColor="text1"/>
              </w:rPr>
              <w:t>et</w:t>
            </w:r>
            <w:r w:rsidRPr="0058432E">
              <w:rPr>
                <w:rFonts w:ascii="Times New Roman" w:hAnsi="Times New Roman"/>
                <w:color w:val="000000" w:themeColor="text1"/>
              </w:rPr>
              <w:t xml:space="preserve"> 40 mg</w:t>
            </w:r>
          </w:p>
        </w:tc>
      </w:tr>
      <w:tr w:rsidR="006B2FBE" w:rsidRPr="0058432E" w14:paraId="3AD382AC" w14:textId="77777777" w:rsidTr="00A26BF3">
        <w:tc>
          <w:tcPr>
            <w:tcW w:w="2397" w:type="dxa"/>
            <w:shd w:val="clear" w:color="auto" w:fill="auto"/>
          </w:tcPr>
          <w:p w14:paraId="2FC47D66" w14:textId="77777777" w:rsidR="006B2FBE" w:rsidRPr="0058432E" w:rsidRDefault="006B2FBE" w:rsidP="00A26BF3">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 xml:space="preserve">13 </w:t>
            </w:r>
            <w:r w:rsidR="007A26D7" w:rsidRPr="0058432E">
              <w:rPr>
                <w:rFonts w:ascii="Times New Roman" w:hAnsi="Times New Roman"/>
                <w:color w:val="000000" w:themeColor="text1"/>
              </w:rPr>
              <w:t>à</w:t>
            </w:r>
            <w:r w:rsidRPr="0058432E">
              <w:rPr>
                <w:rFonts w:ascii="Times New Roman" w:hAnsi="Times New Roman"/>
                <w:color w:val="000000" w:themeColor="text1"/>
              </w:rPr>
              <w:t xml:space="preserve"> 17 </w:t>
            </w:r>
            <w:r w:rsidR="007A26D7" w:rsidRPr="0058432E">
              <w:rPr>
                <w:rFonts w:ascii="Times New Roman" w:hAnsi="Times New Roman"/>
                <w:color w:val="000000" w:themeColor="text1"/>
              </w:rPr>
              <w:t>ans</w:t>
            </w:r>
          </w:p>
        </w:tc>
        <w:tc>
          <w:tcPr>
            <w:tcW w:w="3489" w:type="dxa"/>
            <w:shd w:val="clear" w:color="auto" w:fill="auto"/>
          </w:tcPr>
          <w:p w14:paraId="200B824E" w14:textId="77777777" w:rsidR="006B2FBE" w:rsidRPr="0058432E" w:rsidRDefault="007A26D7" w:rsidP="00A26BF3">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69 (40,</w:t>
            </w:r>
            <w:r w:rsidR="006B2FBE" w:rsidRPr="0058432E">
              <w:rPr>
                <w:rFonts w:ascii="Times New Roman" w:hAnsi="Times New Roman"/>
                <w:color w:val="000000" w:themeColor="text1"/>
              </w:rPr>
              <w:t>4)</w:t>
            </w:r>
          </w:p>
        </w:tc>
        <w:tc>
          <w:tcPr>
            <w:tcW w:w="3211" w:type="dxa"/>
            <w:shd w:val="clear" w:color="auto" w:fill="auto"/>
          </w:tcPr>
          <w:p w14:paraId="7492B26A" w14:textId="77777777" w:rsidR="006B2FBE" w:rsidRPr="0058432E" w:rsidRDefault="006B2FBE" w:rsidP="007A26D7">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 xml:space="preserve">25, 40 </w:t>
            </w:r>
            <w:r w:rsidR="007A26D7" w:rsidRPr="0058432E">
              <w:rPr>
                <w:rFonts w:ascii="Times New Roman" w:hAnsi="Times New Roman"/>
                <w:color w:val="000000" w:themeColor="text1"/>
              </w:rPr>
              <w:t>et</w:t>
            </w:r>
            <w:r w:rsidRPr="0058432E">
              <w:rPr>
                <w:rFonts w:ascii="Times New Roman" w:hAnsi="Times New Roman"/>
                <w:color w:val="000000" w:themeColor="text1"/>
              </w:rPr>
              <w:t xml:space="preserve"> 40 mg</w:t>
            </w:r>
          </w:p>
        </w:tc>
      </w:tr>
    </w:tbl>
    <w:p w14:paraId="5F48C531" w14:textId="77777777" w:rsidR="006B2FBE" w:rsidRPr="0058432E" w:rsidRDefault="006B2FBE" w:rsidP="00B06871">
      <w:pPr>
        <w:pStyle w:val="BodyText"/>
        <w:widowControl/>
        <w:kinsoku w:val="0"/>
        <w:overflowPunct w:val="0"/>
        <w:ind w:left="0"/>
        <w:rPr>
          <w:bCs/>
          <w:color w:val="000000" w:themeColor="text1"/>
        </w:rPr>
      </w:pPr>
    </w:p>
    <w:p w14:paraId="05C1D84C" w14:textId="77777777" w:rsidR="006B2FBE" w:rsidRPr="0058432E" w:rsidRDefault="00B06871" w:rsidP="00491257">
      <w:pPr>
        <w:pStyle w:val="BodyText"/>
        <w:kinsoku w:val="0"/>
        <w:overflowPunct w:val="0"/>
        <w:ind w:left="0"/>
        <w:rPr>
          <w:color w:val="000000" w:themeColor="text1"/>
        </w:rPr>
      </w:pPr>
      <w:r w:rsidRPr="0058432E">
        <w:rPr>
          <w:color w:val="000000" w:themeColor="text1"/>
        </w:rPr>
        <w:t>Les patients présentant une réponse ACR</w:t>
      </w:r>
      <w:r w:rsidR="00A152D3" w:rsidRPr="0058432E">
        <w:rPr>
          <w:color w:val="000000" w:themeColor="text1"/>
        </w:rPr>
        <w:t> 30 pédiatrique en semaine </w:t>
      </w:r>
      <w:r w:rsidRPr="0058432E">
        <w:rPr>
          <w:color w:val="000000" w:themeColor="text1"/>
        </w:rPr>
        <w:t xml:space="preserve">16 étaient éligibles pour être randomisés dans la phase en double aveugle (DA) et ils ont reçu </w:t>
      </w:r>
      <w:r w:rsidR="00A152D3" w:rsidRPr="0058432E">
        <w:rPr>
          <w:color w:val="000000" w:themeColor="text1"/>
        </w:rPr>
        <w:t>l’adalimumab à raison de 24 </w:t>
      </w:r>
      <w:r w:rsidRPr="0058432E">
        <w:rPr>
          <w:color w:val="000000" w:themeColor="text1"/>
        </w:rPr>
        <w:t>mg/m</w:t>
      </w:r>
      <w:r w:rsidRPr="0058432E">
        <w:rPr>
          <w:color w:val="000000" w:themeColor="text1"/>
          <w:vertAlign w:val="superscript"/>
        </w:rPr>
        <w:t>2</w:t>
      </w:r>
      <w:r w:rsidR="00A152D3" w:rsidRPr="0058432E">
        <w:rPr>
          <w:color w:val="000000" w:themeColor="text1"/>
        </w:rPr>
        <w:t xml:space="preserve"> jusqu’à un maximum de 40 </w:t>
      </w:r>
      <w:r w:rsidRPr="0058432E">
        <w:rPr>
          <w:color w:val="000000" w:themeColor="text1"/>
        </w:rPr>
        <w:t>mg ou le placebo tout</w:t>
      </w:r>
      <w:r w:rsidR="00A152D3" w:rsidRPr="0058432E">
        <w:rPr>
          <w:color w:val="000000" w:themeColor="text1"/>
        </w:rPr>
        <w:t>es les deux semaines pendant 32 </w:t>
      </w:r>
      <w:r w:rsidRPr="0058432E">
        <w:rPr>
          <w:color w:val="000000" w:themeColor="text1"/>
        </w:rPr>
        <w:t>semaines de plus ou jusqu’à une poussée de la maladie. Une poussée était définie comm</w:t>
      </w:r>
      <w:r w:rsidR="00A152D3" w:rsidRPr="0058432E">
        <w:rPr>
          <w:color w:val="000000" w:themeColor="text1"/>
        </w:rPr>
        <w:t>e une aggravation d’au moins 30 % d’au moins 3 des 6 </w:t>
      </w:r>
      <w:r w:rsidRPr="0058432E">
        <w:rPr>
          <w:color w:val="000000" w:themeColor="text1"/>
        </w:rPr>
        <w:t>critères du score ACR pédiat</w:t>
      </w:r>
      <w:r w:rsidR="00A152D3" w:rsidRPr="0058432E">
        <w:rPr>
          <w:color w:val="000000" w:themeColor="text1"/>
        </w:rPr>
        <w:t>rique, la présence d’au moins 2 </w:t>
      </w:r>
      <w:r w:rsidRPr="0058432E">
        <w:rPr>
          <w:color w:val="000000" w:themeColor="text1"/>
        </w:rPr>
        <w:t>articulations actives et u</w:t>
      </w:r>
      <w:r w:rsidR="00A152D3" w:rsidRPr="0058432E">
        <w:rPr>
          <w:color w:val="000000" w:themeColor="text1"/>
        </w:rPr>
        <w:t>ne amélioration supérieure à 30 </w:t>
      </w:r>
      <w:r w:rsidRPr="0058432E">
        <w:rPr>
          <w:color w:val="000000" w:themeColor="text1"/>
        </w:rPr>
        <w:t>% d’un critère seulement sur les six. Après 32</w:t>
      </w:r>
      <w:r w:rsidR="00A152D3" w:rsidRPr="0058432E">
        <w:rPr>
          <w:color w:val="000000" w:themeColor="text1"/>
        </w:rPr>
        <w:t> </w:t>
      </w:r>
      <w:r w:rsidRPr="0058432E">
        <w:rPr>
          <w:color w:val="000000" w:themeColor="text1"/>
        </w:rPr>
        <w:t>semaines ou au moment d’une poussée de la maladie, les patients étaient éligibles pour entrer dans la phase d’extension en ouvert.</w:t>
      </w:r>
    </w:p>
    <w:p w14:paraId="789399DF" w14:textId="77777777" w:rsidR="006B2FBE" w:rsidRPr="0058432E" w:rsidRDefault="006B2FBE" w:rsidP="00B06871">
      <w:pPr>
        <w:rPr>
          <w:color w:val="000000" w:themeColor="text1"/>
        </w:rPr>
      </w:pPr>
    </w:p>
    <w:p w14:paraId="5182FE0A" w14:textId="77777777" w:rsidR="00B77928" w:rsidRPr="0058432E" w:rsidRDefault="006B2FBE" w:rsidP="006B2FBE">
      <w:pPr>
        <w:keepNext/>
        <w:rPr>
          <w:b/>
          <w:color w:val="000000" w:themeColor="text1"/>
        </w:rPr>
      </w:pPr>
      <w:r w:rsidRPr="0058432E">
        <w:rPr>
          <w:b/>
          <w:color w:val="000000" w:themeColor="text1"/>
        </w:rPr>
        <w:t>Table</w:t>
      </w:r>
      <w:r w:rsidR="00B06871" w:rsidRPr="0058432E">
        <w:rPr>
          <w:b/>
          <w:color w:val="000000" w:themeColor="text1"/>
        </w:rPr>
        <w:t>au </w:t>
      </w:r>
      <w:r w:rsidRPr="0058432E">
        <w:rPr>
          <w:b/>
          <w:color w:val="000000" w:themeColor="text1"/>
        </w:rPr>
        <w:t>18.</w:t>
      </w:r>
    </w:p>
    <w:p w14:paraId="2958B38E" w14:textId="77777777" w:rsidR="006B2FBE" w:rsidRPr="0058432E" w:rsidRDefault="00A152D3" w:rsidP="006B2FBE">
      <w:pPr>
        <w:keepNext/>
        <w:rPr>
          <w:b/>
          <w:color w:val="000000" w:themeColor="text1"/>
        </w:rPr>
      </w:pPr>
      <w:r w:rsidRPr="0058432E">
        <w:rPr>
          <w:b/>
          <w:color w:val="000000" w:themeColor="text1"/>
        </w:rPr>
        <w:t>Réponses ACR </w:t>
      </w:r>
      <w:r w:rsidR="00B06871" w:rsidRPr="0058432E">
        <w:rPr>
          <w:b/>
          <w:color w:val="000000" w:themeColor="text1"/>
        </w:rPr>
        <w:t>30 Pédiatrique dans l’étude de l’AJI</w:t>
      </w:r>
    </w:p>
    <w:p w14:paraId="4AED13F8" w14:textId="77777777" w:rsidR="006B2FBE" w:rsidRPr="0058432E" w:rsidRDefault="006B2FBE" w:rsidP="006B2FBE">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359"/>
        <w:gridCol w:w="1915"/>
        <w:gridCol w:w="1654"/>
        <w:gridCol w:w="1826"/>
        <w:gridCol w:w="1311"/>
      </w:tblGrid>
      <w:tr w:rsidR="006B2FBE" w:rsidRPr="0058432E" w14:paraId="21D07F07" w14:textId="77777777" w:rsidTr="00A26BF3">
        <w:trPr>
          <w:tblHeader/>
        </w:trPr>
        <w:tc>
          <w:tcPr>
            <w:tcW w:w="1311" w:type="pct"/>
            <w:tcBorders>
              <w:top w:val="single" w:sz="4" w:space="0" w:color="auto"/>
              <w:left w:val="single" w:sz="4" w:space="0" w:color="auto"/>
              <w:bottom w:val="single" w:sz="4" w:space="0" w:color="auto"/>
              <w:right w:val="single" w:sz="4" w:space="0" w:color="auto"/>
            </w:tcBorders>
            <w:hideMark/>
          </w:tcPr>
          <w:p w14:paraId="0423F294" w14:textId="77777777" w:rsidR="006B2FBE" w:rsidRPr="0058432E" w:rsidRDefault="00B06871" w:rsidP="00A26BF3">
            <w:pPr>
              <w:keepNext/>
              <w:rPr>
                <w:b/>
                <w:color w:val="000000" w:themeColor="text1"/>
              </w:rPr>
            </w:pPr>
            <w:r w:rsidRPr="0058432E">
              <w:rPr>
                <w:b/>
                <w:color w:val="000000" w:themeColor="text1"/>
              </w:rPr>
              <w:t>Strate</w:t>
            </w:r>
          </w:p>
        </w:tc>
        <w:tc>
          <w:tcPr>
            <w:tcW w:w="1939" w:type="pct"/>
            <w:gridSpan w:val="2"/>
            <w:tcBorders>
              <w:top w:val="single" w:sz="4" w:space="0" w:color="auto"/>
              <w:left w:val="single" w:sz="4" w:space="0" w:color="auto"/>
              <w:bottom w:val="single" w:sz="4" w:space="0" w:color="auto"/>
              <w:right w:val="single" w:sz="4" w:space="0" w:color="auto"/>
            </w:tcBorders>
            <w:hideMark/>
          </w:tcPr>
          <w:p w14:paraId="721DD74D" w14:textId="77777777" w:rsidR="006B2FBE" w:rsidRPr="0058432E" w:rsidRDefault="006B2FBE" w:rsidP="00A26BF3">
            <w:pPr>
              <w:keepNext/>
              <w:jc w:val="center"/>
              <w:rPr>
                <w:b/>
                <w:color w:val="000000" w:themeColor="text1"/>
              </w:rPr>
            </w:pPr>
            <w:r w:rsidRPr="0058432E">
              <w:rPr>
                <w:b/>
                <w:color w:val="000000" w:themeColor="text1"/>
              </w:rPr>
              <w:t>MTX</w:t>
            </w:r>
          </w:p>
        </w:tc>
        <w:tc>
          <w:tcPr>
            <w:tcW w:w="1750" w:type="pct"/>
            <w:gridSpan w:val="2"/>
            <w:tcBorders>
              <w:top w:val="single" w:sz="4" w:space="0" w:color="auto"/>
              <w:left w:val="single" w:sz="4" w:space="0" w:color="auto"/>
              <w:bottom w:val="single" w:sz="4" w:space="0" w:color="auto"/>
              <w:right w:val="single" w:sz="4" w:space="0" w:color="auto"/>
            </w:tcBorders>
            <w:hideMark/>
          </w:tcPr>
          <w:p w14:paraId="7DD9A65F" w14:textId="77777777" w:rsidR="006B2FBE" w:rsidRPr="0058432E" w:rsidRDefault="00B06871" w:rsidP="00A26BF3">
            <w:pPr>
              <w:keepNext/>
              <w:jc w:val="center"/>
              <w:rPr>
                <w:b/>
                <w:color w:val="000000" w:themeColor="text1"/>
              </w:rPr>
            </w:pPr>
            <w:r w:rsidRPr="0058432E">
              <w:rPr>
                <w:b/>
                <w:color w:val="000000" w:themeColor="text1"/>
              </w:rPr>
              <w:t>Sans</w:t>
            </w:r>
            <w:r w:rsidR="006B2FBE" w:rsidRPr="0058432E">
              <w:rPr>
                <w:b/>
                <w:color w:val="000000" w:themeColor="text1"/>
              </w:rPr>
              <w:t xml:space="preserve"> MTX</w:t>
            </w:r>
          </w:p>
        </w:tc>
      </w:tr>
      <w:tr w:rsidR="006B2FBE" w:rsidRPr="0058432E" w14:paraId="770E41BD" w14:textId="77777777" w:rsidTr="00A26BF3">
        <w:trPr>
          <w:tblHeader/>
        </w:trPr>
        <w:tc>
          <w:tcPr>
            <w:tcW w:w="1311" w:type="pct"/>
            <w:tcBorders>
              <w:top w:val="single" w:sz="4" w:space="0" w:color="auto"/>
              <w:left w:val="single" w:sz="4" w:space="0" w:color="auto"/>
              <w:bottom w:val="single" w:sz="4" w:space="0" w:color="auto"/>
              <w:right w:val="single" w:sz="4" w:space="0" w:color="auto"/>
            </w:tcBorders>
            <w:hideMark/>
          </w:tcPr>
          <w:p w14:paraId="56A5F467" w14:textId="77777777" w:rsidR="006B2FBE" w:rsidRPr="0058432E" w:rsidRDefault="006B2FBE" w:rsidP="00A26BF3">
            <w:pPr>
              <w:keepNext/>
              <w:rPr>
                <w:b/>
                <w:color w:val="000000" w:themeColor="text1"/>
              </w:rPr>
            </w:pPr>
            <w:r w:rsidRPr="0058432E">
              <w:rPr>
                <w:b/>
                <w:color w:val="000000" w:themeColor="text1"/>
              </w:rPr>
              <w:t>Phase</w:t>
            </w:r>
          </w:p>
        </w:tc>
        <w:tc>
          <w:tcPr>
            <w:tcW w:w="1939" w:type="pct"/>
            <w:gridSpan w:val="2"/>
            <w:tcBorders>
              <w:top w:val="single" w:sz="4" w:space="0" w:color="auto"/>
              <w:left w:val="single" w:sz="4" w:space="0" w:color="auto"/>
              <w:bottom w:val="single" w:sz="4" w:space="0" w:color="auto"/>
              <w:right w:val="single" w:sz="4" w:space="0" w:color="auto"/>
            </w:tcBorders>
          </w:tcPr>
          <w:p w14:paraId="379DEA7C" w14:textId="77777777" w:rsidR="006B2FBE" w:rsidRPr="0058432E" w:rsidRDefault="006B2FBE" w:rsidP="00A26BF3">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4039736F" w14:textId="77777777" w:rsidR="006B2FBE" w:rsidRPr="0058432E" w:rsidRDefault="006B2FBE" w:rsidP="00A26BF3">
            <w:pPr>
              <w:keepNext/>
              <w:jc w:val="center"/>
              <w:rPr>
                <w:color w:val="000000" w:themeColor="text1"/>
              </w:rPr>
            </w:pPr>
          </w:p>
        </w:tc>
      </w:tr>
      <w:tr w:rsidR="006B2FBE" w:rsidRPr="0058432E" w14:paraId="6A9857BC" w14:textId="77777777" w:rsidTr="00A26BF3">
        <w:tc>
          <w:tcPr>
            <w:tcW w:w="1311" w:type="pct"/>
            <w:tcBorders>
              <w:top w:val="single" w:sz="4" w:space="0" w:color="auto"/>
              <w:left w:val="single" w:sz="4" w:space="0" w:color="auto"/>
              <w:bottom w:val="single" w:sz="4" w:space="0" w:color="auto"/>
              <w:right w:val="single" w:sz="4" w:space="0" w:color="auto"/>
            </w:tcBorders>
            <w:hideMark/>
          </w:tcPr>
          <w:p w14:paraId="78FCD662" w14:textId="77777777" w:rsidR="006B2FBE" w:rsidRPr="0058432E" w:rsidRDefault="00B06871" w:rsidP="00757BCE">
            <w:pPr>
              <w:keepNext/>
              <w:rPr>
                <w:color w:val="000000" w:themeColor="text1"/>
              </w:rPr>
            </w:pPr>
            <w:r w:rsidRPr="0058432E">
              <w:rPr>
                <w:color w:val="000000" w:themeColor="text1"/>
              </w:rPr>
              <w:t>Pré-inclusion en ouvert de 16</w:t>
            </w:r>
            <w:r w:rsidR="00A152D3" w:rsidRPr="0058432E">
              <w:rPr>
                <w:color w:val="000000" w:themeColor="text1"/>
              </w:rPr>
              <w:t> </w:t>
            </w:r>
            <w:r w:rsidRPr="0058432E">
              <w:rPr>
                <w:color w:val="000000" w:themeColor="text1"/>
              </w:rPr>
              <w:t>semaines</w:t>
            </w:r>
          </w:p>
        </w:tc>
        <w:tc>
          <w:tcPr>
            <w:tcW w:w="1939" w:type="pct"/>
            <w:gridSpan w:val="2"/>
            <w:tcBorders>
              <w:top w:val="single" w:sz="4" w:space="0" w:color="auto"/>
              <w:left w:val="single" w:sz="4" w:space="0" w:color="auto"/>
              <w:bottom w:val="single" w:sz="4" w:space="0" w:color="auto"/>
              <w:right w:val="single" w:sz="4" w:space="0" w:color="auto"/>
            </w:tcBorders>
          </w:tcPr>
          <w:p w14:paraId="16B96F01" w14:textId="77777777" w:rsidR="006B2FBE" w:rsidRPr="0058432E" w:rsidRDefault="006B2FBE" w:rsidP="00A26BF3">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62E44783" w14:textId="77777777" w:rsidR="006B2FBE" w:rsidRPr="0058432E" w:rsidRDefault="006B2FBE" w:rsidP="00A26BF3">
            <w:pPr>
              <w:keepNext/>
              <w:jc w:val="center"/>
              <w:rPr>
                <w:color w:val="000000" w:themeColor="text1"/>
              </w:rPr>
            </w:pPr>
          </w:p>
        </w:tc>
      </w:tr>
      <w:tr w:rsidR="006B2FBE" w:rsidRPr="0058432E" w14:paraId="3ADE66BE" w14:textId="77777777" w:rsidTr="00A26BF3">
        <w:tc>
          <w:tcPr>
            <w:tcW w:w="1311" w:type="pct"/>
            <w:tcBorders>
              <w:top w:val="single" w:sz="4" w:space="0" w:color="auto"/>
              <w:left w:val="single" w:sz="4" w:space="0" w:color="auto"/>
              <w:bottom w:val="single" w:sz="4" w:space="0" w:color="auto"/>
              <w:right w:val="single" w:sz="4" w:space="0" w:color="auto"/>
            </w:tcBorders>
            <w:hideMark/>
          </w:tcPr>
          <w:p w14:paraId="716ABDC1" w14:textId="77777777" w:rsidR="006B2FBE" w:rsidRPr="0000463E" w:rsidRDefault="00B06871" w:rsidP="00757BCE">
            <w:pPr>
              <w:keepNext/>
              <w:ind w:left="180"/>
              <w:rPr>
                <w:color w:val="000000" w:themeColor="text1"/>
                <w:lang w:val="pt-PT"/>
              </w:rPr>
            </w:pPr>
            <w:r w:rsidRPr="0000463E">
              <w:rPr>
                <w:color w:val="000000" w:themeColor="text1"/>
                <w:lang w:val="pt-PT"/>
              </w:rPr>
              <w:t>Réponse ACR</w:t>
            </w:r>
            <w:r w:rsidR="00A152D3" w:rsidRPr="0000463E">
              <w:rPr>
                <w:color w:val="000000" w:themeColor="text1"/>
                <w:lang w:val="pt-PT"/>
              </w:rPr>
              <w:t> </w:t>
            </w:r>
            <w:r w:rsidRPr="0000463E">
              <w:rPr>
                <w:color w:val="000000" w:themeColor="text1"/>
                <w:lang w:val="pt-PT"/>
              </w:rPr>
              <w:t xml:space="preserve">30 Péd. </w:t>
            </w:r>
            <w:r w:rsidR="006B2FBE" w:rsidRPr="0000463E">
              <w:rPr>
                <w:color w:val="000000" w:themeColor="text1"/>
                <w:lang w:val="pt-PT"/>
              </w:rPr>
              <w:t>(n/N)</w:t>
            </w:r>
          </w:p>
        </w:tc>
        <w:tc>
          <w:tcPr>
            <w:tcW w:w="1939" w:type="pct"/>
            <w:gridSpan w:val="2"/>
            <w:tcBorders>
              <w:top w:val="single" w:sz="4" w:space="0" w:color="auto"/>
              <w:left w:val="single" w:sz="4" w:space="0" w:color="auto"/>
              <w:bottom w:val="single" w:sz="4" w:space="0" w:color="auto"/>
              <w:right w:val="single" w:sz="4" w:space="0" w:color="auto"/>
            </w:tcBorders>
            <w:hideMark/>
          </w:tcPr>
          <w:p w14:paraId="26FE9BFC" w14:textId="77777777" w:rsidR="006B2FBE" w:rsidRPr="0058432E" w:rsidRDefault="006B2FBE" w:rsidP="00B06871">
            <w:pPr>
              <w:keepNext/>
              <w:jc w:val="center"/>
              <w:rPr>
                <w:color w:val="000000" w:themeColor="text1"/>
              </w:rPr>
            </w:pPr>
            <w:r w:rsidRPr="0058432E">
              <w:rPr>
                <w:color w:val="000000" w:themeColor="text1"/>
              </w:rPr>
              <w:t>94</w:t>
            </w:r>
            <w:r w:rsidR="00B06871" w:rsidRPr="0058432E">
              <w:rPr>
                <w:color w:val="000000" w:themeColor="text1"/>
              </w:rPr>
              <w:t>,</w:t>
            </w:r>
            <w:r w:rsidRPr="0058432E">
              <w:rPr>
                <w:color w:val="000000" w:themeColor="text1"/>
              </w:rPr>
              <w:t>1</w:t>
            </w:r>
            <w:r w:rsidR="00B06871" w:rsidRPr="0058432E">
              <w:rPr>
                <w:color w:val="000000" w:themeColor="text1"/>
              </w:rPr>
              <w:t> </w:t>
            </w:r>
            <w:r w:rsidRPr="0058432E">
              <w:rPr>
                <w:color w:val="000000" w:themeColor="text1"/>
              </w:rPr>
              <w:t>% (80/85)</w:t>
            </w:r>
          </w:p>
        </w:tc>
        <w:tc>
          <w:tcPr>
            <w:tcW w:w="1750" w:type="pct"/>
            <w:gridSpan w:val="2"/>
            <w:tcBorders>
              <w:top w:val="single" w:sz="4" w:space="0" w:color="auto"/>
              <w:left w:val="single" w:sz="4" w:space="0" w:color="auto"/>
              <w:bottom w:val="single" w:sz="4" w:space="0" w:color="auto"/>
              <w:right w:val="single" w:sz="4" w:space="0" w:color="auto"/>
            </w:tcBorders>
            <w:hideMark/>
          </w:tcPr>
          <w:p w14:paraId="10B2EA97" w14:textId="77777777" w:rsidR="006B2FBE" w:rsidRPr="0058432E" w:rsidRDefault="00B06871" w:rsidP="00A26BF3">
            <w:pPr>
              <w:keepNext/>
              <w:jc w:val="center"/>
              <w:rPr>
                <w:color w:val="000000" w:themeColor="text1"/>
              </w:rPr>
            </w:pPr>
            <w:r w:rsidRPr="0058432E">
              <w:rPr>
                <w:color w:val="000000" w:themeColor="text1"/>
              </w:rPr>
              <w:t>74,</w:t>
            </w:r>
            <w:r w:rsidR="006B2FBE" w:rsidRPr="0058432E">
              <w:rPr>
                <w:color w:val="000000" w:themeColor="text1"/>
              </w:rPr>
              <w:t>4</w:t>
            </w:r>
            <w:r w:rsidRPr="0058432E">
              <w:rPr>
                <w:color w:val="000000" w:themeColor="text1"/>
              </w:rPr>
              <w:t> </w:t>
            </w:r>
            <w:r w:rsidR="006B2FBE" w:rsidRPr="0058432E">
              <w:rPr>
                <w:color w:val="000000" w:themeColor="text1"/>
              </w:rPr>
              <w:t>% (64/86)</w:t>
            </w:r>
          </w:p>
        </w:tc>
      </w:tr>
      <w:tr w:rsidR="006B2FBE" w:rsidRPr="0058432E" w14:paraId="1CCAACAB" w14:textId="77777777" w:rsidTr="00A26BF3">
        <w:tc>
          <w:tcPr>
            <w:tcW w:w="5000" w:type="pct"/>
            <w:gridSpan w:val="5"/>
            <w:tcBorders>
              <w:top w:val="single" w:sz="4" w:space="0" w:color="auto"/>
              <w:left w:val="single" w:sz="4" w:space="0" w:color="auto"/>
              <w:bottom w:val="single" w:sz="4" w:space="0" w:color="auto"/>
              <w:right w:val="single" w:sz="4" w:space="0" w:color="auto"/>
            </w:tcBorders>
            <w:hideMark/>
          </w:tcPr>
          <w:p w14:paraId="0118503C" w14:textId="77777777" w:rsidR="006B2FBE" w:rsidRPr="0058432E" w:rsidRDefault="002A3A97" w:rsidP="00A26BF3">
            <w:pPr>
              <w:jc w:val="center"/>
              <w:rPr>
                <w:color w:val="000000" w:themeColor="text1"/>
              </w:rPr>
            </w:pPr>
            <w:r w:rsidRPr="0058432E">
              <w:rPr>
                <w:color w:val="000000" w:themeColor="text1"/>
              </w:rPr>
              <w:t>Résultats</w:t>
            </w:r>
            <w:r w:rsidR="00B06871" w:rsidRPr="0058432E">
              <w:rPr>
                <w:color w:val="000000" w:themeColor="text1"/>
              </w:rPr>
              <w:t xml:space="preserve"> d’efficacité</w:t>
            </w:r>
          </w:p>
        </w:tc>
      </w:tr>
      <w:tr w:rsidR="006B2FBE" w:rsidRPr="0058432E" w14:paraId="68588C55" w14:textId="77777777" w:rsidTr="00A26BF3">
        <w:tc>
          <w:tcPr>
            <w:tcW w:w="1311" w:type="pct"/>
            <w:tcBorders>
              <w:top w:val="single" w:sz="4" w:space="0" w:color="auto"/>
              <w:left w:val="single" w:sz="4" w:space="0" w:color="auto"/>
              <w:bottom w:val="single" w:sz="4" w:space="0" w:color="auto"/>
              <w:right w:val="single" w:sz="4" w:space="0" w:color="auto"/>
            </w:tcBorders>
            <w:hideMark/>
          </w:tcPr>
          <w:p w14:paraId="264EEFAB" w14:textId="77777777" w:rsidR="006B2FBE" w:rsidRPr="0058432E" w:rsidRDefault="00A152D3" w:rsidP="00B06871">
            <w:pPr>
              <w:rPr>
                <w:color w:val="000000" w:themeColor="text1"/>
              </w:rPr>
            </w:pPr>
            <w:r w:rsidRPr="0058432E">
              <w:rPr>
                <w:color w:val="000000" w:themeColor="text1"/>
              </w:rPr>
              <w:t>Phase en double aveugle de 32 </w:t>
            </w:r>
            <w:r w:rsidR="00B06871" w:rsidRPr="0058432E">
              <w:rPr>
                <w:color w:val="000000" w:themeColor="text1"/>
              </w:rPr>
              <w:t>semaines</w:t>
            </w:r>
          </w:p>
        </w:tc>
        <w:tc>
          <w:tcPr>
            <w:tcW w:w="1017" w:type="pct"/>
            <w:tcBorders>
              <w:top w:val="single" w:sz="4" w:space="0" w:color="auto"/>
              <w:left w:val="single" w:sz="4" w:space="0" w:color="auto"/>
              <w:bottom w:val="single" w:sz="4" w:space="0" w:color="auto"/>
              <w:right w:val="single" w:sz="4" w:space="0" w:color="auto"/>
            </w:tcBorders>
            <w:hideMark/>
          </w:tcPr>
          <w:p w14:paraId="3D4D4668" w14:textId="77777777" w:rsidR="006B2FBE" w:rsidRPr="0058432E" w:rsidRDefault="006B2FBE" w:rsidP="00A26BF3">
            <w:pPr>
              <w:jc w:val="center"/>
              <w:rPr>
                <w:color w:val="000000" w:themeColor="text1"/>
              </w:rPr>
            </w:pPr>
            <w:r w:rsidRPr="0058432E">
              <w:rPr>
                <w:color w:val="000000" w:themeColor="text1"/>
              </w:rPr>
              <w:t>Adalimumab/MTX</w:t>
            </w:r>
          </w:p>
          <w:p w14:paraId="5892C65B" w14:textId="77777777" w:rsidR="006B2FBE" w:rsidRPr="0058432E" w:rsidRDefault="006B2FBE" w:rsidP="00A26BF3">
            <w:pPr>
              <w:jc w:val="center"/>
              <w:rPr>
                <w:color w:val="000000" w:themeColor="text1"/>
              </w:rPr>
            </w:pPr>
            <w:r w:rsidRPr="0058432E">
              <w:rPr>
                <w:color w:val="000000" w:themeColor="text1"/>
              </w:rPr>
              <w:t>(N = 38)</w:t>
            </w:r>
          </w:p>
        </w:tc>
        <w:tc>
          <w:tcPr>
            <w:tcW w:w="922" w:type="pct"/>
            <w:tcBorders>
              <w:top w:val="single" w:sz="4" w:space="0" w:color="auto"/>
              <w:left w:val="single" w:sz="4" w:space="0" w:color="auto"/>
              <w:bottom w:val="single" w:sz="4" w:space="0" w:color="auto"/>
              <w:right w:val="single" w:sz="4" w:space="0" w:color="auto"/>
            </w:tcBorders>
            <w:hideMark/>
          </w:tcPr>
          <w:p w14:paraId="11D066A1" w14:textId="77777777" w:rsidR="006B2FBE" w:rsidRPr="0058432E" w:rsidRDefault="006B2FBE" w:rsidP="00A26BF3">
            <w:pPr>
              <w:jc w:val="center"/>
              <w:rPr>
                <w:color w:val="000000" w:themeColor="text1"/>
              </w:rPr>
            </w:pPr>
            <w:r w:rsidRPr="0058432E">
              <w:rPr>
                <w:color w:val="000000" w:themeColor="text1"/>
              </w:rPr>
              <w:t>Placebo/MTX</w:t>
            </w:r>
          </w:p>
          <w:p w14:paraId="02FDF29A" w14:textId="77777777" w:rsidR="006B2FBE" w:rsidRPr="0058432E" w:rsidRDefault="006B2FBE" w:rsidP="00A26BF3">
            <w:pPr>
              <w:jc w:val="center"/>
              <w:rPr>
                <w:color w:val="000000" w:themeColor="text1"/>
              </w:rPr>
            </w:pPr>
            <w:r w:rsidRPr="0058432E">
              <w:rPr>
                <w:color w:val="000000" w:themeColor="text1"/>
              </w:rPr>
              <w:t>(N = 37)</w:t>
            </w:r>
          </w:p>
        </w:tc>
        <w:tc>
          <w:tcPr>
            <w:tcW w:w="1017" w:type="pct"/>
            <w:tcBorders>
              <w:top w:val="single" w:sz="4" w:space="0" w:color="auto"/>
              <w:left w:val="single" w:sz="4" w:space="0" w:color="auto"/>
              <w:bottom w:val="single" w:sz="4" w:space="0" w:color="auto"/>
              <w:right w:val="single" w:sz="4" w:space="0" w:color="auto"/>
            </w:tcBorders>
            <w:hideMark/>
          </w:tcPr>
          <w:p w14:paraId="6350B5B1" w14:textId="77777777" w:rsidR="006B2FBE" w:rsidRPr="0058432E" w:rsidRDefault="006B2FBE" w:rsidP="00A26BF3">
            <w:pPr>
              <w:jc w:val="center"/>
              <w:rPr>
                <w:color w:val="000000" w:themeColor="text1"/>
              </w:rPr>
            </w:pPr>
            <w:r w:rsidRPr="0058432E">
              <w:rPr>
                <w:color w:val="000000" w:themeColor="text1"/>
              </w:rPr>
              <w:t>Adalimumab</w:t>
            </w:r>
          </w:p>
          <w:p w14:paraId="2A57268A" w14:textId="77777777" w:rsidR="006B2FBE" w:rsidRPr="0058432E" w:rsidRDefault="006B2FBE" w:rsidP="00A26BF3">
            <w:pPr>
              <w:jc w:val="center"/>
              <w:rPr>
                <w:color w:val="000000" w:themeColor="text1"/>
              </w:rPr>
            </w:pPr>
            <w:r w:rsidRPr="0058432E">
              <w:rPr>
                <w:color w:val="000000" w:themeColor="text1"/>
              </w:rPr>
              <w:t>(N = 30)</w:t>
            </w:r>
          </w:p>
        </w:tc>
        <w:tc>
          <w:tcPr>
            <w:tcW w:w="733" w:type="pct"/>
            <w:tcBorders>
              <w:top w:val="single" w:sz="4" w:space="0" w:color="auto"/>
              <w:left w:val="single" w:sz="4" w:space="0" w:color="auto"/>
              <w:bottom w:val="single" w:sz="4" w:space="0" w:color="auto"/>
              <w:right w:val="single" w:sz="4" w:space="0" w:color="auto"/>
            </w:tcBorders>
            <w:hideMark/>
          </w:tcPr>
          <w:p w14:paraId="6C6E4170" w14:textId="77777777" w:rsidR="006B2FBE" w:rsidRPr="0058432E" w:rsidRDefault="006B2FBE" w:rsidP="00A26BF3">
            <w:pPr>
              <w:jc w:val="center"/>
              <w:rPr>
                <w:color w:val="000000" w:themeColor="text1"/>
              </w:rPr>
            </w:pPr>
            <w:r w:rsidRPr="0058432E">
              <w:rPr>
                <w:color w:val="000000" w:themeColor="text1"/>
              </w:rPr>
              <w:t>Placebo</w:t>
            </w:r>
          </w:p>
          <w:p w14:paraId="5CD16690" w14:textId="77777777" w:rsidR="006B2FBE" w:rsidRPr="0058432E" w:rsidRDefault="006B2FBE" w:rsidP="00A26BF3">
            <w:pPr>
              <w:jc w:val="center"/>
              <w:rPr>
                <w:color w:val="000000" w:themeColor="text1"/>
              </w:rPr>
            </w:pPr>
            <w:r w:rsidRPr="0058432E">
              <w:rPr>
                <w:color w:val="000000" w:themeColor="text1"/>
              </w:rPr>
              <w:t>(N = 28)</w:t>
            </w:r>
          </w:p>
        </w:tc>
      </w:tr>
      <w:tr w:rsidR="006B2FBE" w:rsidRPr="0058432E" w14:paraId="2F1ED94A" w14:textId="77777777" w:rsidTr="00A26BF3">
        <w:tc>
          <w:tcPr>
            <w:tcW w:w="1311" w:type="pct"/>
            <w:tcBorders>
              <w:top w:val="single" w:sz="4" w:space="0" w:color="auto"/>
              <w:left w:val="single" w:sz="4" w:space="0" w:color="auto"/>
              <w:bottom w:val="single" w:sz="4" w:space="0" w:color="auto"/>
              <w:right w:val="single" w:sz="4" w:space="0" w:color="auto"/>
            </w:tcBorders>
            <w:hideMark/>
          </w:tcPr>
          <w:p w14:paraId="280C99E8" w14:textId="77777777" w:rsidR="006B2FBE" w:rsidRPr="0058432E" w:rsidRDefault="00B06871" w:rsidP="00B06871">
            <w:pPr>
              <w:ind w:left="180"/>
              <w:rPr>
                <w:color w:val="000000" w:themeColor="text1"/>
              </w:rPr>
            </w:pPr>
            <w:r w:rsidRPr="0058432E">
              <w:rPr>
                <w:color w:val="000000" w:themeColor="text1"/>
              </w:rPr>
              <w:lastRenderedPageBreak/>
              <w:t>Poussées de la</w:t>
            </w:r>
            <w:r w:rsidR="00A152D3" w:rsidRPr="0058432E">
              <w:rPr>
                <w:color w:val="000000" w:themeColor="text1"/>
              </w:rPr>
              <w:t xml:space="preserve"> maladie à la fin des 32 </w:t>
            </w:r>
            <w:r w:rsidRPr="0058432E">
              <w:rPr>
                <w:color w:val="000000" w:themeColor="text1"/>
              </w:rPr>
              <w:t>semaines</w:t>
            </w:r>
            <w:r w:rsidR="006B2FBE" w:rsidRPr="0058432E">
              <w:rPr>
                <w:color w:val="000000" w:themeColor="text1"/>
                <w:vertAlign w:val="superscript"/>
              </w:rPr>
              <w:t>a</w:t>
            </w:r>
            <w:r w:rsidR="006B2FBE" w:rsidRPr="0058432E">
              <w:rPr>
                <w:color w:val="000000" w:themeColor="text1"/>
              </w:rPr>
              <w:t xml:space="preserve"> (n/N)</w:t>
            </w:r>
          </w:p>
        </w:tc>
        <w:tc>
          <w:tcPr>
            <w:tcW w:w="1017" w:type="pct"/>
            <w:tcBorders>
              <w:top w:val="single" w:sz="4" w:space="0" w:color="auto"/>
              <w:left w:val="single" w:sz="4" w:space="0" w:color="auto"/>
              <w:bottom w:val="single" w:sz="4" w:space="0" w:color="auto"/>
              <w:right w:val="single" w:sz="4" w:space="0" w:color="auto"/>
            </w:tcBorders>
            <w:hideMark/>
          </w:tcPr>
          <w:p w14:paraId="06792AE2" w14:textId="77777777" w:rsidR="006B2FBE" w:rsidRPr="0058432E" w:rsidRDefault="006B2FBE" w:rsidP="00B06871">
            <w:pPr>
              <w:jc w:val="center"/>
              <w:rPr>
                <w:color w:val="000000" w:themeColor="text1"/>
              </w:rPr>
            </w:pPr>
            <w:r w:rsidRPr="0058432E">
              <w:rPr>
                <w:color w:val="000000" w:themeColor="text1"/>
              </w:rPr>
              <w:t>36</w:t>
            </w:r>
            <w:r w:rsidR="00B06871" w:rsidRPr="0058432E">
              <w:rPr>
                <w:color w:val="000000" w:themeColor="text1"/>
              </w:rPr>
              <w:t>,</w:t>
            </w:r>
            <w:r w:rsidRPr="0058432E">
              <w:rPr>
                <w:color w:val="000000" w:themeColor="text1"/>
              </w:rPr>
              <w:t>8</w:t>
            </w:r>
            <w:r w:rsidR="00B06871" w:rsidRPr="0058432E">
              <w:rPr>
                <w:color w:val="000000" w:themeColor="text1"/>
              </w:rPr>
              <w:t> </w:t>
            </w:r>
            <w:r w:rsidRPr="0058432E">
              <w:rPr>
                <w:color w:val="000000" w:themeColor="text1"/>
              </w:rPr>
              <w:t>% (14/38)</w:t>
            </w:r>
          </w:p>
        </w:tc>
        <w:tc>
          <w:tcPr>
            <w:tcW w:w="922" w:type="pct"/>
            <w:tcBorders>
              <w:top w:val="single" w:sz="4" w:space="0" w:color="auto"/>
              <w:left w:val="single" w:sz="4" w:space="0" w:color="auto"/>
              <w:bottom w:val="single" w:sz="4" w:space="0" w:color="auto"/>
              <w:right w:val="single" w:sz="4" w:space="0" w:color="auto"/>
            </w:tcBorders>
            <w:hideMark/>
          </w:tcPr>
          <w:p w14:paraId="716ECC28" w14:textId="77777777" w:rsidR="006B2FBE" w:rsidRPr="0058432E" w:rsidRDefault="00B06871" w:rsidP="00A26BF3">
            <w:pPr>
              <w:jc w:val="center"/>
              <w:rPr>
                <w:color w:val="000000" w:themeColor="text1"/>
              </w:rPr>
            </w:pPr>
            <w:r w:rsidRPr="0058432E">
              <w:rPr>
                <w:color w:val="000000" w:themeColor="text1"/>
              </w:rPr>
              <w:t>64,</w:t>
            </w:r>
            <w:r w:rsidR="006B2FBE" w:rsidRPr="0058432E">
              <w:rPr>
                <w:color w:val="000000" w:themeColor="text1"/>
              </w:rPr>
              <w:t>9</w:t>
            </w:r>
            <w:r w:rsidRPr="0058432E">
              <w:rPr>
                <w:color w:val="000000" w:themeColor="text1"/>
              </w:rPr>
              <w:t> </w:t>
            </w:r>
            <w:r w:rsidR="006B2FBE" w:rsidRPr="0058432E">
              <w:rPr>
                <w:color w:val="000000" w:themeColor="text1"/>
              </w:rPr>
              <w:t>% (24/</w:t>
            </w:r>
            <w:proofErr w:type="gramStart"/>
            <w:r w:rsidR="006B2FBE" w:rsidRPr="0058432E">
              <w:rPr>
                <w:color w:val="000000" w:themeColor="text1"/>
              </w:rPr>
              <w:t>37)</w:t>
            </w:r>
            <w:r w:rsidR="006B2FBE" w:rsidRPr="0058432E">
              <w:rPr>
                <w:color w:val="000000" w:themeColor="text1"/>
                <w:vertAlign w:val="superscript"/>
              </w:rPr>
              <w:t>b</w:t>
            </w:r>
            <w:proofErr w:type="gramEnd"/>
          </w:p>
        </w:tc>
        <w:tc>
          <w:tcPr>
            <w:tcW w:w="1017" w:type="pct"/>
            <w:tcBorders>
              <w:top w:val="single" w:sz="4" w:space="0" w:color="auto"/>
              <w:left w:val="single" w:sz="4" w:space="0" w:color="auto"/>
              <w:bottom w:val="single" w:sz="4" w:space="0" w:color="auto"/>
              <w:right w:val="single" w:sz="4" w:space="0" w:color="auto"/>
            </w:tcBorders>
            <w:hideMark/>
          </w:tcPr>
          <w:p w14:paraId="429B133E" w14:textId="77777777" w:rsidR="006B2FBE" w:rsidRPr="0058432E" w:rsidRDefault="00B06871" w:rsidP="00A26BF3">
            <w:pPr>
              <w:jc w:val="center"/>
              <w:rPr>
                <w:color w:val="000000" w:themeColor="text1"/>
              </w:rPr>
            </w:pPr>
            <w:r w:rsidRPr="0058432E">
              <w:rPr>
                <w:color w:val="000000" w:themeColor="text1"/>
              </w:rPr>
              <w:t>43,</w:t>
            </w:r>
            <w:r w:rsidR="006B2FBE" w:rsidRPr="0058432E">
              <w:rPr>
                <w:color w:val="000000" w:themeColor="text1"/>
              </w:rPr>
              <w:t>3</w:t>
            </w:r>
            <w:r w:rsidRPr="0058432E">
              <w:rPr>
                <w:color w:val="000000" w:themeColor="text1"/>
              </w:rPr>
              <w:t> </w:t>
            </w:r>
            <w:r w:rsidR="006B2FBE" w:rsidRPr="0058432E">
              <w:rPr>
                <w:color w:val="000000" w:themeColor="text1"/>
              </w:rPr>
              <w:t>% (13/30)</w:t>
            </w:r>
          </w:p>
        </w:tc>
        <w:tc>
          <w:tcPr>
            <w:tcW w:w="733" w:type="pct"/>
            <w:tcBorders>
              <w:top w:val="single" w:sz="4" w:space="0" w:color="auto"/>
              <w:left w:val="single" w:sz="4" w:space="0" w:color="auto"/>
              <w:bottom w:val="single" w:sz="4" w:space="0" w:color="auto"/>
              <w:right w:val="single" w:sz="4" w:space="0" w:color="auto"/>
            </w:tcBorders>
            <w:hideMark/>
          </w:tcPr>
          <w:p w14:paraId="523DFCFA" w14:textId="77777777" w:rsidR="006B2FBE" w:rsidRPr="0058432E" w:rsidRDefault="006B2FBE" w:rsidP="00B06871">
            <w:pPr>
              <w:jc w:val="center"/>
              <w:rPr>
                <w:color w:val="000000" w:themeColor="text1"/>
              </w:rPr>
            </w:pPr>
            <w:r w:rsidRPr="0058432E">
              <w:rPr>
                <w:color w:val="000000" w:themeColor="text1"/>
              </w:rPr>
              <w:t>71</w:t>
            </w:r>
            <w:r w:rsidR="00B06871" w:rsidRPr="0058432E">
              <w:rPr>
                <w:color w:val="000000" w:themeColor="text1"/>
              </w:rPr>
              <w:t>,</w:t>
            </w:r>
            <w:r w:rsidRPr="0058432E">
              <w:rPr>
                <w:color w:val="000000" w:themeColor="text1"/>
              </w:rPr>
              <w:t>4</w:t>
            </w:r>
            <w:r w:rsidR="00B06871" w:rsidRPr="0058432E">
              <w:rPr>
                <w:color w:val="000000" w:themeColor="text1"/>
              </w:rPr>
              <w:t> </w:t>
            </w:r>
            <w:r w:rsidRPr="0058432E">
              <w:rPr>
                <w:color w:val="000000" w:themeColor="text1"/>
              </w:rPr>
              <w:t>% (20/</w:t>
            </w:r>
            <w:proofErr w:type="gramStart"/>
            <w:r w:rsidRPr="0058432E">
              <w:rPr>
                <w:color w:val="000000" w:themeColor="text1"/>
              </w:rPr>
              <w:t>28)</w:t>
            </w:r>
            <w:r w:rsidRPr="0058432E">
              <w:rPr>
                <w:color w:val="000000" w:themeColor="text1"/>
                <w:vertAlign w:val="superscript"/>
              </w:rPr>
              <w:t>c</w:t>
            </w:r>
            <w:proofErr w:type="gramEnd"/>
          </w:p>
        </w:tc>
      </w:tr>
      <w:tr w:rsidR="006B2FBE" w:rsidRPr="0058432E" w14:paraId="06471DCE" w14:textId="77777777" w:rsidTr="00A26BF3">
        <w:tc>
          <w:tcPr>
            <w:tcW w:w="1311" w:type="pct"/>
            <w:tcBorders>
              <w:top w:val="single" w:sz="4" w:space="0" w:color="auto"/>
              <w:left w:val="single" w:sz="4" w:space="0" w:color="auto"/>
              <w:bottom w:val="single" w:sz="4" w:space="0" w:color="auto"/>
              <w:right w:val="single" w:sz="4" w:space="0" w:color="auto"/>
            </w:tcBorders>
            <w:hideMark/>
          </w:tcPr>
          <w:p w14:paraId="4D82B6E3" w14:textId="77777777" w:rsidR="006B2FBE" w:rsidRPr="0058432E" w:rsidRDefault="00B06871" w:rsidP="00B06871">
            <w:pPr>
              <w:ind w:left="180"/>
              <w:rPr>
                <w:color w:val="000000" w:themeColor="text1"/>
              </w:rPr>
            </w:pPr>
            <w:r w:rsidRPr="0058432E">
              <w:rPr>
                <w:color w:val="000000" w:themeColor="text1"/>
              </w:rPr>
              <w:t>Délai médian jusqu’à une poussée de la maladie</w:t>
            </w:r>
          </w:p>
        </w:tc>
        <w:tc>
          <w:tcPr>
            <w:tcW w:w="1017" w:type="pct"/>
            <w:tcBorders>
              <w:top w:val="single" w:sz="4" w:space="0" w:color="auto"/>
              <w:left w:val="single" w:sz="4" w:space="0" w:color="auto"/>
              <w:bottom w:val="single" w:sz="4" w:space="0" w:color="auto"/>
              <w:right w:val="single" w:sz="4" w:space="0" w:color="auto"/>
            </w:tcBorders>
            <w:hideMark/>
          </w:tcPr>
          <w:p w14:paraId="2AAEF57D" w14:textId="77777777" w:rsidR="006B2FBE" w:rsidRPr="0058432E" w:rsidRDefault="006B2FBE" w:rsidP="00B06871">
            <w:pPr>
              <w:jc w:val="center"/>
              <w:rPr>
                <w:color w:val="000000" w:themeColor="text1"/>
              </w:rPr>
            </w:pPr>
            <w:r w:rsidRPr="0058432E">
              <w:rPr>
                <w:color w:val="000000" w:themeColor="text1"/>
              </w:rPr>
              <w:t>&gt;</w:t>
            </w:r>
            <w:r w:rsidR="00B06871" w:rsidRPr="0058432E">
              <w:rPr>
                <w:color w:val="000000" w:themeColor="text1"/>
              </w:rPr>
              <w:t> </w:t>
            </w:r>
            <w:r w:rsidRPr="0058432E">
              <w:rPr>
                <w:color w:val="000000" w:themeColor="text1"/>
              </w:rPr>
              <w:t>32 </w:t>
            </w:r>
            <w:r w:rsidR="00B06871" w:rsidRPr="0058432E">
              <w:rPr>
                <w:color w:val="000000" w:themeColor="text1"/>
              </w:rPr>
              <w:t>semaines</w:t>
            </w:r>
          </w:p>
        </w:tc>
        <w:tc>
          <w:tcPr>
            <w:tcW w:w="922" w:type="pct"/>
            <w:tcBorders>
              <w:top w:val="single" w:sz="4" w:space="0" w:color="auto"/>
              <w:left w:val="single" w:sz="4" w:space="0" w:color="auto"/>
              <w:bottom w:val="single" w:sz="4" w:space="0" w:color="auto"/>
              <w:right w:val="single" w:sz="4" w:space="0" w:color="auto"/>
            </w:tcBorders>
            <w:hideMark/>
          </w:tcPr>
          <w:p w14:paraId="150C79C8" w14:textId="77777777" w:rsidR="006B2FBE" w:rsidRPr="0058432E" w:rsidRDefault="006B2FBE" w:rsidP="00A26BF3">
            <w:pPr>
              <w:jc w:val="center"/>
              <w:rPr>
                <w:color w:val="000000" w:themeColor="text1"/>
              </w:rPr>
            </w:pPr>
            <w:r w:rsidRPr="0058432E">
              <w:rPr>
                <w:color w:val="000000" w:themeColor="text1"/>
              </w:rPr>
              <w:t>20 </w:t>
            </w:r>
            <w:r w:rsidR="00B06871" w:rsidRPr="0058432E">
              <w:rPr>
                <w:color w:val="000000" w:themeColor="text1"/>
              </w:rPr>
              <w:t>semaines</w:t>
            </w:r>
          </w:p>
        </w:tc>
        <w:tc>
          <w:tcPr>
            <w:tcW w:w="1017" w:type="pct"/>
            <w:tcBorders>
              <w:top w:val="single" w:sz="4" w:space="0" w:color="auto"/>
              <w:left w:val="single" w:sz="4" w:space="0" w:color="auto"/>
              <w:bottom w:val="single" w:sz="4" w:space="0" w:color="auto"/>
              <w:right w:val="single" w:sz="4" w:space="0" w:color="auto"/>
            </w:tcBorders>
            <w:hideMark/>
          </w:tcPr>
          <w:p w14:paraId="1AA89811" w14:textId="77777777" w:rsidR="006B2FBE" w:rsidRPr="0058432E" w:rsidRDefault="006B2FBE" w:rsidP="00A26BF3">
            <w:pPr>
              <w:jc w:val="center"/>
              <w:rPr>
                <w:color w:val="000000" w:themeColor="text1"/>
              </w:rPr>
            </w:pPr>
            <w:r w:rsidRPr="0058432E">
              <w:rPr>
                <w:color w:val="000000" w:themeColor="text1"/>
              </w:rPr>
              <w:t>&gt;</w:t>
            </w:r>
            <w:r w:rsidR="00B06871" w:rsidRPr="0058432E">
              <w:rPr>
                <w:color w:val="000000" w:themeColor="text1"/>
              </w:rPr>
              <w:t> </w:t>
            </w:r>
            <w:r w:rsidRPr="0058432E">
              <w:rPr>
                <w:color w:val="000000" w:themeColor="text1"/>
              </w:rPr>
              <w:t>32 </w:t>
            </w:r>
            <w:r w:rsidR="00B06871" w:rsidRPr="0058432E">
              <w:rPr>
                <w:color w:val="000000" w:themeColor="text1"/>
              </w:rPr>
              <w:t>semaines</w:t>
            </w:r>
          </w:p>
        </w:tc>
        <w:tc>
          <w:tcPr>
            <w:tcW w:w="733" w:type="pct"/>
            <w:tcBorders>
              <w:top w:val="single" w:sz="4" w:space="0" w:color="auto"/>
              <w:left w:val="single" w:sz="4" w:space="0" w:color="auto"/>
              <w:bottom w:val="single" w:sz="4" w:space="0" w:color="auto"/>
              <w:right w:val="single" w:sz="4" w:space="0" w:color="auto"/>
            </w:tcBorders>
            <w:hideMark/>
          </w:tcPr>
          <w:p w14:paraId="50DE96AC" w14:textId="77777777" w:rsidR="006B2FBE" w:rsidRPr="0058432E" w:rsidRDefault="006B2FBE" w:rsidP="00A26BF3">
            <w:pPr>
              <w:jc w:val="center"/>
              <w:rPr>
                <w:color w:val="000000" w:themeColor="text1"/>
              </w:rPr>
            </w:pPr>
            <w:r w:rsidRPr="0058432E">
              <w:rPr>
                <w:color w:val="000000" w:themeColor="text1"/>
              </w:rPr>
              <w:t>14 </w:t>
            </w:r>
            <w:r w:rsidR="00B06871" w:rsidRPr="0058432E">
              <w:rPr>
                <w:color w:val="000000" w:themeColor="text1"/>
              </w:rPr>
              <w:t>semaines</w:t>
            </w:r>
          </w:p>
        </w:tc>
      </w:tr>
      <w:tr w:rsidR="006B2FBE" w:rsidRPr="0058432E" w14:paraId="6B17519E" w14:textId="77777777" w:rsidTr="00A26BF3">
        <w:tc>
          <w:tcPr>
            <w:tcW w:w="5000" w:type="pct"/>
            <w:gridSpan w:val="5"/>
            <w:tcBorders>
              <w:top w:val="single" w:sz="4" w:space="0" w:color="auto"/>
              <w:left w:val="nil"/>
              <w:bottom w:val="nil"/>
              <w:right w:val="nil"/>
            </w:tcBorders>
          </w:tcPr>
          <w:p w14:paraId="714F08BA" w14:textId="77777777" w:rsidR="006B2FBE" w:rsidRPr="0058432E" w:rsidRDefault="006B2FBE" w:rsidP="00491257">
            <w:pPr>
              <w:pStyle w:val="BodyText"/>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r>
            <w:r w:rsidR="00B06871" w:rsidRPr="0058432E">
              <w:rPr>
                <w:color w:val="000000" w:themeColor="text1"/>
                <w:sz w:val="20"/>
              </w:rPr>
              <w:t>Répons</w:t>
            </w:r>
            <w:r w:rsidR="00A152D3" w:rsidRPr="0058432E">
              <w:rPr>
                <w:color w:val="000000" w:themeColor="text1"/>
                <w:sz w:val="20"/>
              </w:rPr>
              <w:t>es ACR Péd. 30/50/70 en semaine </w:t>
            </w:r>
            <w:r w:rsidR="00B06871" w:rsidRPr="0058432E">
              <w:rPr>
                <w:color w:val="000000" w:themeColor="text1"/>
                <w:sz w:val="20"/>
              </w:rPr>
              <w:t>48 significativement plus élevées que celles des patients sous placebo</w:t>
            </w:r>
          </w:p>
          <w:p w14:paraId="000EBDD0" w14:textId="77777777" w:rsidR="006B2FBE" w:rsidRPr="0058432E" w:rsidRDefault="006B2FBE" w:rsidP="00A26BF3">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0</w:t>
            </w:r>
            <w:r w:rsidR="00B06871" w:rsidRPr="0058432E">
              <w:rPr>
                <w:color w:val="000000" w:themeColor="text1"/>
                <w:sz w:val="20"/>
              </w:rPr>
              <w:t>,</w:t>
            </w:r>
            <w:r w:rsidRPr="0058432E">
              <w:rPr>
                <w:color w:val="000000" w:themeColor="text1"/>
                <w:sz w:val="20"/>
              </w:rPr>
              <w:t>015</w:t>
            </w:r>
          </w:p>
          <w:p w14:paraId="509479F3" w14:textId="77777777" w:rsidR="006B2FBE" w:rsidRPr="0058432E" w:rsidRDefault="006B2FBE" w:rsidP="00A26BF3">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w:t>
            </w:r>
            <w:r w:rsidR="00B06871" w:rsidRPr="0058432E">
              <w:rPr>
                <w:color w:val="000000" w:themeColor="text1"/>
                <w:sz w:val="20"/>
              </w:rPr>
              <w:t>0,</w:t>
            </w:r>
            <w:r w:rsidRPr="0058432E">
              <w:rPr>
                <w:color w:val="000000" w:themeColor="text1"/>
                <w:sz w:val="20"/>
              </w:rPr>
              <w:t>031</w:t>
            </w:r>
          </w:p>
        </w:tc>
      </w:tr>
    </w:tbl>
    <w:p w14:paraId="78A308EA" w14:textId="77777777" w:rsidR="006B2FBE" w:rsidRPr="0058432E" w:rsidRDefault="006B2FBE" w:rsidP="00B06871">
      <w:pPr>
        <w:pStyle w:val="BodyText"/>
        <w:widowControl/>
        <w:kinsoku w:val="0"/>
        <w:overflowPunct w:val="0"/>
        <w:ind w:left="0"/>
        <w:rPr>
          <w:color w:val="000000" w:themeColor="text1"/>
        </w:rPr>
      </w:pPr>
    </w:p>
    <w:p w14:paraId="2199F637" w14:textId="77777777" w:rsidR="006B2FBE" w:rsidRPr="0058432E" w:rsidRDefault="00B06871" w:rsidP="00491257">
      <w:pPr>
        <w:pStyle w:val="BodyText"/>
        <w:kinsoku w:val="0"/>
        <w:overflowPunct w:val="0"/>
        <w:ind w:left="0"/>
        <w:rPr>
          <w:color w:val="000000" w:themeColor="text1"/>
        </w:rPr>
      </w:pPr>
      <w:r w:rsidRPr="0058432E">
        <w:rPr>
          <w:color w:val="000000" w:themeColor="text1"/>
        </w:rPr>
        <w:t>Chez les sujets qui avaient répondu en semaine</w:t>
      </w:r>
      <w:r w:rsidR="00A152D3" w:rsidRPr="0058432E">
        <w:rPr>
          <w:color w:val="000000" w:themeColor="text1"/>
        </w:rPr>
        <w:t> 16 (n = </w:t>
      </w:r>
      <w:r w:rsidRPr="0058432E">
        <w:rPr>
          <w:color w:val="000000" w:themeColor="text1"/>
        </w:rPr>
        <w:t>144), les réponses ACR pédiatriques 30/50/70/90 ont été maintenues pendan</w:t>
      </w:r>
      <w:r w:rsidR="00A152D3" w:rsidRPr="0058432E">
        <w:rPr>
          <w:color w:val="000000" w:themeColor="text1"/>
        </w:rPr>
        <w:t>t des durées allant jusqu’à six </w:t>
      </w:r>
      <w:r w:rsidRPr="0058432E">
        <w:rPr>
          <w:color w:val="000000" w:themeColor="text1"/>
        </w:rPr>
        <w:t xml:space="preserve">ans dans la phase d’extension en ouvert chez les patients qui avaient reçu </w:t>
      </w:r>
      <w:r w:rsidR="00A152D3" w:rsidRPr="0058432E">
        <w:rPr>
          <w:color w:val="000000" w:themeColor="text1"/>
        </w:rPr>
        <w:t xml:space="preserve">l’adalimumab </w:t>
      </w:r>
      <w:r w:rsidRPr="0058432E">
        <w:rPr>
          <w:color w:val="000000" w:themeColor="text1"/>
        </w:rPr>
        <w:t>pendant toute l’étude. Dix-neuf patients do</w:t>
      </w:r>
      <w:r w:rsidR="00A152D3" w:rsidRPr="0058432E">
        <w:rPr>
          <w:color w:val="000000" w:themeColor="text1"/>
        </w:rPr>
        <w:t>nt 11 du groupe d’âge de 4 à 12 </w:t>
      </w:r>
      <w:r w:rsidRPr="0058432E">
        <w:rPr>
          <w:color w:val="000000" w:themeColor="text1"/>
        </w:rPr>
        <w:t xml:space="preserve">ans </w:t>
      </w:r>
      <w:r w:rsidR="00A152D3" w:rsidRPr="0058432E">
        <w:rPr>
          <w:color w:val="000000" w:themeColor="text1"/>
        </w:rPr>
        <w:t>et 8 du groupe d’âge de 13 à 17 ans ont été traités pendant 6 </w:t>
      </w:r>
      <w:r w:rsidRPr="0058432E">
        <w:rPr>
          <w:color w:val="000000" w:themeColor="text1"/>
        </w:rPr>
        <w:t>ans ou plus</w:t>
      </w:r>
      <w:r w:rsidR="006B2FBE" w:rsidRPr="0058432E">
        <w:rPr>
          <w:color w:val="000000" w:themeColor="text1"/>
        </w:rPr>
        <w:t>.</w:t>
      </w:r>
    </w:p>
    <w:p w14:paraId="2A87638A" w14:textId="77777777" w:rsidR="006B2FBE" w:rsidRPr="0058432E" w:rsidRDefault="006B2FBE" w:rsidP="00B06871">
      <w:pPr>
        <w:pStyle w:val="BodyText"/>
        <w:widowControl/>
        <w:kinsoku w:val="0"/>
        <w:overflowPunct w:val="0"/>
        <w:ind w:left="0"/>
        <w:rPr>
          <w:color w:val="000000" w:themeColor="text1"/>
        </w:rPr>
      </w:pPr>
    </w:p>
    <w:p w14:paraId="27026A85" w14:textId="77777777" w:rsidR="006B2FBE" w:rsidRPr="0058432E" w:rsidRDefault="00B06871" w:rsidP="00491257">
      <w:pPr>
        <w:pStyle w:val="BodyText"/>
        <w:kinsoku w:val="0"/>
        <w:overflowPunct w:val="0"/>
        <w:ind w:left="0"/>
        <w:rPr>
          <w:color w:val="000000" w:themeColor="text1"/>
        </w:rPr>
      </w:pPr>
      <w:r w:rsidRPr="0058432E">
        <w:rPr>
          <w:color w:val="000000" w:themeColor="text1"/>
        </w:rPr>
        <w:t xml:space="preserve">Les réponses globales ont été généralement supérieures et le nombre de patients ayant développé des anticorps a été plus faible avec l’association </w:t>
      </w:r>
      <w:r w:rsidR="00962C35" w:rsidRPr="0058432E">
        <w:rPr>
          <w:color w:val="000000" w:themeColor="text1"/>
        </w:rPr>
        <w:t xml:space="preserve">adalimumab </w:t>
      </w:r>
      <w:r w:rsidRPr="0058432E">
        <w:rPr>
          <w:color w:val="000000" w:themeColor="text1"/>
        </w:rPr>
        <w:t xml:space="preserve">plus MTX qu’avec </w:t>
      </w:r>
      <w:r w:rsidR="00962C35" w:rsidRPr="0058432E">
        <w:rPr>
          <w:color w:val="000000" w:themeColor="text1"/>
        </w:rPr>
        <w:t xml:space="preserve">l’adalimumab </w:t>
      </w:r>
      <w:r w:rsidRPr="0058432E">
        <w:rPr>
          <w:color w:val="000000" w:themeColor="text1"/>
        </w:rPr>
        <w:t xml:space="preserve">en monothérapie. En tenant compte de ces résultats, </w:t>
      </w:r>
      <w:r w:rsidR="003D621F" w:rsidRPr="0058432E">
        <w:rPr>
          <w:color w:val="000000" w:themeColor="text1"/>
        </w:rPr>
        <w:t xml:space="preserve">l’adalimumab </w:t>
      </w:r>
      <w:r w:rsidRPr="0058432E">
        <w:rPr>
          <w:color w:val="000000" w:themeColor="text1"/>
        </w:rPr>
        <w:t xml:space="preserve">est recommandé en association avec le MTX et en monothérapie chez les patients pour lesquels le traitement par </w:t>
      </w:r>
      <w:r w:rsidR="00BC498B" w:rsidRPr="0058432E">
        <w:rPr>
          <w:color w:val="000000" w:themeColor="text1"/>
        </w:rPr>
        <w:t>MTX est inadapté (voir rubrique </w:t>
      </w:r>
      <w:r w:rsidRPr="0058432E">
        <w:rPr>
          <w:color w:val="000000" w:themeColor="text1"/>
        </w:rPr>
        <w:t>4.2)</w:t>
      </w:r>
      <w:r w:rsidR="006B2FBE" w:rsidRPr="0058432E">
        <w:rPr>
          <w:color w:val="000000" w:themeColor="text1"/>
        </w:rPr>
        <w:t>.</w:t>
      </w:r>
    </w:p>
    <w:p w14:paraId="22BD2B70" w14:textId="77777777" w:rsidR="006B2FBE" w:rsidRPr="0058432E" w:rsidRDefault="006B2FBE" w:rsidP="006B2FBE">
      <w:pPr>
        <w:rPr>
          <w:color w:val="000000" w:themeColor="text1"/>
        </w:rPr>
      </w:pPr>
    </w:p>
    <w:p w14:paraId="4E38273A" w14:textId="77777777" w:rsidR="006B2FBE" w:rsidRPr="0058432E" w:rsidRDefault="00B06871" w:rsidP="006B2FBE">
      <w:pPr>
        <w:pStyle w:val="BodyText"/>
        <w:keepNext/>
        <w:widowControl/>
        <w:kinsoku w:val="0"/>
        <w:overflowPunct w:val="0"/>
        <w:ind w:left="0"/>
        <w:rPr>
          <w:color w:val="000000" w:themeColor="text1"/>
        </w:rPr>
      </w:pPr>
      <w:r w:rsidRPr="0058432E">
        <w:rPr>
          <w:color w:val="000000" w:themeColor="text1"/>
        </w:rPr>
        <w:t>AJIp II</w:t>
      </w:r>
    </w:p>
    <w:p w14:paraId="5B45B71B" w14:textId="77777777" w:rsidR="006B2FBE" w:rsidRPr="0058432E" w:rsidRDefault="006B2FBE" w:rsidP="006B2FBE">
      <w:pPr>
        <w:pStyle w:val="BodyText"/>
        <w:keepNext/>
        <w:widowControl/>
        <w:kinsoku w:val="0"/>
        <w:overflowPunct w:val="0"/>
        <w:ind w:left="0"/>
        <w:rPr>
          <w:color w:val="000000" w:themeColor="text1"/>
        </w:rPr>
      </w:pPr>
    </w:p>
    <w:p w14:paraId="1C8E7B40" w14:textId="77777777" w:rsidR="006B2FBE" w:rsidRPr="0058432E" w:rsidRDefault="00B06871" w:rsidP="00491257">
      <w:pPr>
        <w:pStyle w:val="BodyText"/>
        <w:kinsoku w:val="0"/>
        <w:overflowPunct w:val="0"/>
        <w:ind w:left="0"/>
        <w:rPr>
          <w:color w:val="000000" w:themeColor="text1"/>
        </w:rPr>
      </w:pPr>
      <w:r w:rsidRPr="0058432E">
        <w:rPr>
          <w:color w:val="000000" w:themeColor="text1"/>
        </w:rPr>
        <w:t xml:space="preserve">La tolérance et l’efficacité </w:t>
      </w:r>
      <w:r w:rsidR="00BC498B" w:rsidRPr="0058432E">
        <w:rPr>
          <w:color w:val="000000" w:themeColor="text1"/>
        </w:rPr>
        <w:t>de l’adalimumab</w:t>
      </w:r>
      <w:r w:rsidRPr="0058432E">
        <w:rPr>
          <w:color w:val="000000" w:themeColor="text1"/>
        </w:rPr>
        <w:t xml:space="preserve"> ont été évaluées dans une étude en</w:t>
      </w:r>
      <w:r w:rsidR="003032B3" w:rsidRPr="0058432E">
        <w:rPr>
          <w:color w:val="000000" w:themeColor="text1"/>
        </w:rPr>
        <w:t xml:space="preserve"> ouvert, multicentrique chez 32 enfants (âgés de 2 à </w:t>
      </w:r>
      <w:r w:rsidRPr="0058432E">
        <w:rPr>
          <w:color w:val="000000" w:themeColor="text1"/>
        </w:rPr>
        <w:t>4 ans ou âgés de 4</w:t>
      </w:r>
      <w:r w:rsidR="003032B3" w:rsidRPr="0058432E">
        <w:rPr>
          <w:color w:val="000000" w:themeColor="text1"/>
        </w:rPr>
        <w:t> ans et plus, de poids &lt; 15 </w:t>
      </w:r>
      <w:r w:rsidRPr="0058432E">
        <w:rPr>
          <w:color w:val="000000" w:themeColor="text1"/>
        </w:rPr>
        <w:t xml:space="preserve">kg) présentant une AJI polyarticulaire modérément à sévèrement active. Les patients ont reçu </w:t>
      </w:r>
      <w:r w:rsidR="003032B3" w:rsidRPr="0058432E">
        <w:rPr>
          <w:color w:val="000000" w:themeColor="text1"/>
        </w:rPr>
        <w:t>l’adalimumab à la dose de 24 </w:t>
      </w:r>
      <w:r w:rsidRPr="0058432E">
        <w:rPr>
          <w:color w:val="000000" w:themeColor="text1"/>
        </w:rPr>
        <w:t>mg/m</w:t>
      </w:r>
      <w:r w:rsidRPr="0058432E">
        <w:rPr>
          <w:color w:val="000000" w:themeColor="text1"/>
          <w:vertAlign w:val="superscript"/>
        </w:rPr>
        <w:t>2</w:t>
      </w:r>
      <w:r w:rsidRPr="0058432E">
        <w:rPr>
          <w:color w:val="000000" w:themeColor="text1"/>
        </w:rPr>
        <w:t xml:space="preserve"> de surface corporelle</w:t>
      </w:r>
      <w:r w:rsidR="00B2479F" w:rsidRPr="0058432E">
        <w:rPr>
          <w:color w:val="000000" w:themeColor="text1"/>
        </w:rPr>
        <w:t xml:space="preserve"> </w:t>
      </w:r>
      <w:r w:rsidR="003032B3" w:rsidRPr="0058432E">
        <w:rPr>
          <w:color w:val="000000" w:themeColor="text1"/>
        </w:rPr>
        <w:t>jusqu’à une dose maximale de 20 </w:t>
      </w:r>
      <w:r w:rsidRPr="0058432E">
        <w:rPr>
          <w:color w:val="000000" w:themeColor="text1"/>
        </w:rPr>
        <w:t>mg en une seule inje</w:t>
      </w:r>
      <w:r w:rsidR="003032B3" w:rsidRPr="0058432E">
        <w:rPr>
          <w:color w:val="000000" w:themeColor="text1"/>
        </w:rPr>
        <w:t>ction sous-cutanée toutes les 2 semaines pendant au moins 24 </w:t>
      </w:r>
      <w:r w:rsidRPr="0058432E">
        <w:rPr>
          <w:color w:val="000000" w:themeColor="text1"/>
        </w:rPr>
        <w:t>semaines. Durant l’étude, la plupart des patients avaient un traitement concomitant par MTX, une plus faible proportion avait des corticoïdes ou des AINS</w:t>
      </w:r>
      <w:r w:rsidR="006B2FBE" w:rsidRPr="0058432E">
        <w:rPr>
          <w:color w:val="000000" w:themeColor="text1"/>
        </w:rPr>
        <w:t>.</w:t>
      </w:r>
    </w:p>
    <w:p w14:paraId="211B0411" w14:textId="77777777" w:rsidR="006B2FBE" w:rsidRPr="0058432E" w:rsidRDefault="006B2FBE" w:rsidP="00B06871">
      <w:pPr>
        <w:pStyle w:val="BodyText"/>
        <w:widowControl/>
        <w:kinsoku w:val="0"/>
        <w:overflowPunct w:val="0"/>
        <w:ind w:left="0"/>
        <w:rPr>
          <w:color w:val="000000" w:themeColor="text1"/>
          <w:szCs w:val="21"/>
        </w:rPr>
      </w:pPr>
    </w:p>
    <w:p w14:paraId="2477D466" w14:textId="77777777" w:rsidR="006B2FBE" w:rsidRPr="0058432E" w:rsidRDefault="003032B3" w:rsidP="00491257">
      <w:pPr>
        <w:pStyle w:val="BodyText"/>
        <w:kinsoku w:val="0"/>
        <w:overflowPunct w:val="0"/>
        <w:ind w:left="0"/>
        <w:rPr>
          <w:color w:val="000000" w:themeColor="text1"/>
        </w:rPr>
      </w:pPr>
      <w:r w:rsidRPr="0058432E">
        <w:rPr>
          <w:color w:val="000000" w:themeColor="text1"/>
        </w:rPr>
        <w:t>À la semaine 12 et à la semaine 24, la réponse ACR </w:t>
      </w:r>
      <w:r w:rsidR="00B06871" w:rsidRPr="0058432E">
        <w:rPr>
          <w:color w:val="000000" w:themeColor="text1"/>
        </w:rPr>
        <w:t xml:space="preserve">30 </w:t>
      </w:r>
      <w:r w:rsidR="00EB6D65" w:rsidRPr="0058432E">
        <w:rPr>
          <w:color w:val="000000" w:themeColor="text1"/>
        </w:rPr>
        <w:t>p</w:t>
      </w:r>
      <w:r w:rsidR="00B06871" w:rsidRPr="0058432E">
        <w:rPr>
          <w:color w:val="000000" w:themeColor="text1"/>
        </w:rPr>
        <w:t>édiatrique était</w:t>
      </w:r>
      <w:r w:rsidRPr="0058432E">
        <w:rPr>
          <w:color w:val="000000" w:themeColor="text1"/>
        </w:rPr>
        <w:t xml:space="preserve"> de 93,5 % et de 90,0 </w:t>
      </w:r>
      <w:r w:rsidR="00B06871" w:rsidRPr="0058432E">
        <w:rPr>
          <w:color w:val="000000" w:themeColor="text1"/>
        </w:rPr>
        <w:t xml:space="preserve">%, respectivement, en utilisant les données observées. La </w:t>
      </w:r>
      <w:r w:rsidRPr="0058432E">
        <w:rPr>
          <w:color w:val="000000" w:themeColor="text1"/>
        </w:rPr>
        <w:t>proportion de patients avec ACR </w:t>
      </w:r>
      <w:r w:rsidR="00B06871" w:rsidRPr="0058432E">
        <w:rPr>
          <w:color w:val="000000" w:themeColor="text1"/>
        </w:rPr>
        <w:t>50</w:t>
      </w:r>
      <w:r w:rsidRPr="0058432E">
        <w:rPr>
          <w:color w:val="000000" w:themeColor="text1"/>
        </w:rPr>
        <w:t xml:space="preserve">/70/90 </w:t>
      </w:r>
      <w:r w:rsidR="00EB6D65" w:rsidRPr="0058432E">
        <w:rPr>
          <w:color w:val="000000" w:themeColor="text1"/>
        </w:rPr>
        <w:t>p</w:t>
      </w:r>
      <w:r w:rsidRPr="0058432E">
        <w:rPr>
          <w:color w:val="000000" w:themeColor="text1"/>
        </w:rPr>
        <w:t>édiatrique à la semaine 12 et à la semaine 24 était respectivement de 90,3 </w:t>
      </w:r>
      <w:r w:rsidR="00B06871" w:rsidRPr="0058432E">
        <w:rPr>
          <w:color w:val="000000" w:themeColor="text1"/>
        </w:rPr>
        <w:t>%/61,3</w:t>
      </w:r>
      <w:r w:rsidRPr="0058432E">
        <w:rPr>
          <w:color w:val="000000" w:themeColor="text1"/>
        </w:rPr>
        <w:t> %/38,7 </w:t>
      </w:r>
      <w:r w:rsidR="00B06871" w:rsidRPr="0058432E">
        <w:rPr>
          <w:color w:val="000000" w:themeColor="text1"/>
        </w:rPr>
        <w:t>% et 83,3</w:t>
      </w:r>
      <w:r w:rsidRPr="0058432E">
        <w:rPr>
          <w:color w:val="000000" w:themeColor="text1"/>
        </w:rPr>
        <w:t> %/73,3 %/36,7 </w:t>
      </w:r>
      <w:r w:rsidR="00B06871" w:rsidRPr="0058432E">
        <w:rPr>
          <w:color w:val="000000" w:themeColor="text1"/>
        </w:rPr>
        <w:t>%. Parmi ceux ayant répondu (ACR</w:t>
      </w:r>
      <w:r w:rsidRPr="0058432E">
        <w:rPr>
          <w:color w:val="000000" w:themeColor="text1"/>
        </w:rPr>
        <w:t> </w:t>
      </w:r>
      <w:r w:rsidR="00B06871" w:rsidRPr="0058432E">
        <w:rPr>
          <w:color w:val="000000" w:themeColor="text1"/>
        </w:rPr>
        <w:t xml:space="preserve">30 </w:t>
      </w:r>
      <w:r w:rsidR="00EB6D65" w:rsidRPr="0058432E">
        <w:rPr>
          <w:color w:val="000000" w:themeColor="text1"/>
        </w:rPr>
        <w:t>p</w:t>
      </w:r>
      <w:r w:rsidR="00B06871" w:rsidRPr="0058432E">
        <w:rPr>
          <w:color w:val="000000" w:themeColor="text1"/>
        </w:rPr>
        <w:t>édiatrique) à la semaine</w:t>
      </w:r>
      <w:r w:rsidRPr="0058432E">
        <w:rPr>
          <w:color w:val="000000" w:themeColor="text1"/>
        </w:rPr>
        <w:t> 24 (n = 27 sur les 30 patients), la réponse ACR </w:t>
      </w:r>
      <w:r w:rsidR="00B06871" w:rsidRPr="0058432E">
        <w:rPr>
          <w:color w:val="000000" w:themeColor="text1"/>
        </w:rPr>
        <w:t>30 Pédiatr</w:t>
      </w:r>
      <w:r w:rsidRPr="0058432E">
        <w:rPr>
          <w:color w:val="000000" w:themeColor="text1"/>
        </w:rPr>
        <w:t>ique était maintenue jusqu’à 60 </w:t>
      </w:r>
      <w:r w:rsidR="00B06871" w:rsidRPr="0058432E">
        <w:rPr>
          <w:color w:val="000000" w:themeColor="text1"/>
        </w:rPr>
        <w:t xml:space="preserve">semaines dans la phase d’extension en ouvert chez les patients qui ont reçu </w:t>
      </w:r>
      <w:r w:rsidRPr="0058432E">
        <w:rPr>
          <w:color w:val="000000" w:themeColor="text1"/>
        </w:rPr>
        <w:t xml:space="preserve">l’adalimumab </w:t>
      </w:r>
      <w:r w:rsidR="00B06871" w:rsidRPr="0058432E">
        <w:rPr>
          <w:color w:val="000000" w:themeColor="text1"/>
        </w:rPr>
        <w:t>durant toute cette période. Globalement, 2</w:t>
      </w:r>
      <w:r w:rsidRPr="0058432E">
        <w:rPr>
          <w:color w:val="000000" w:themeColor="text1"/>
        </w:rPr>
        <w:t>0 </w:t>
      </w:r>
      <w:r w:rsidR="00B06871" w:rsidRPr="0058432E">
        <w:rPr>
          <w:color w:val="000000" w:themeColor="text1"/>
        </w:rPr>
        <w:t>pati</w:t>
      </w:r>
      <w:r w:rsidRPr="0058432E">
        <w:rPr>
          <w:color w:val="000000" w:themeColor="text1"/>
        </w:rPr>
        <w:t>ents ont été traités pendant 60 </w:t>
      </w:r>
      <w:r w:rsidR="00B06871" w:rsidRPr="0058432E">
        <w:rPr>
          <w:color w:val="000000" w:themeColor="text1"/>
        </w:rPr>
        <w:t>semaines ou plus</w:t>
      </w:r>
      <w:r w:rsidR="006B2FBE" w:rsidRPr="0058432E">
        <w:rPr>
          <w:color w:val="000000" w:themeColor="text1"/>
        </w:rPr>
        <w:t>.</w:t>
      </w:r>
    </w:p>
    <w:p w14:paraId="241C06D4" w14:textId="77777777" w:rsidR="006B2FBE" w:rsidRPr="0058432E" w:rsidRDefault="006B2FBE" w:rsidP="006B2FBE">
      <w:pPr>
        <w:pStyle w:val="BodyText"/>
        <w:widowControl/>
        <w:kinsoku w:val="0"/>
        <w:overflowPunct w:val="0"/>
        <w:ind w:left="0"/>
        <w:rPr>
          <w:color w:val="000000" w:themeColor="text1"/>
        </w:rPr>
      </w:pPr>
    </w:p>
    <w:p w14:paraId="623EA837" w14:textId="77777777" w:rsidR="006B2FBE" w:rsidRPr="0058432E" w:rsidRDefault="00B06871" w:rsidP="006B2FBE">
      <w:pPr>
        <w:pStyle w:val="BodyText"/>
        <w:keepNext/>
        <w:widowControl/>
        <w:kinsoku w:val="0"/>
        <w:overflowPunct w:val="0"/>
        <w:ind w:left="0"/>
        <w:rPr>
          <w:color w:val="000000" w:themeColor="text1"/>
        </w:rPr>
      </w:pPr>
      <w:r w:rsidRPr="0058432E">
        <w:rPr>
          <w:i/>
          <w:iCs/>
          <w:color w:val="000000" w:themeColor="text1"/>
          <w:u w:val="single"/>
        </w:rPr>
        <w:t>Arthrite liée à l’enthésite</w:t>
      </w:r>
    </w:p>
    <w:p w14:paraId="18C81E79" w14:textId="77777777" w:rsidR="006B2FBE" w:rsidRPr="0058432E" w:rsidRDefault="006B2FBE" w:rsidP="00B06871">
      <w:pPr>
        <w:pStyle w:val="BodyText"/>
        <w:keepNext/>
        <w:widowControl/>
        <w:kinsoku w:val="0"/>
        <w:overflowPunct w:val="0"/>
        <w:ind w:left="0"/>
        <w:rPr>
          <w:i/>
          <w:iCs/>
          <w:color w:val="000000" w:themeColor="text1"/>
        </w:rPr>
      </w:pPr>
    </w:p>
    <w:p w14:paraId="5045CF4A" w14:textId="77777777" w:rsidR="006B2FBE" w:rsidRPr="0058432E" w:rsidRDefault="00B06871" w:rsidP="00491257">
      <w:pPr>
        <w:pStyle w:val="BodyText"/>
        <w:kinsoku w:val="0"/>
        <w:overflowPunct w:val="0"/>
        <w:ind w:left="0"/>
        <w:rPr>
          <w:color w:val="000000" w:themeColor="text1"/>
        </w:rPr>
      </w:pPr>
      <w:r w:rsidRPr="0058432E">
        <w:rPr>
          <w:color w:val="000000" w:themeColor="text1"/>
        </w:rPr>
        <w:t xml:space="preserve">La tolérance et l’efficacité </w:t>
      </w:r>
      <w:r w:rsidR="003032B3" w:rsidRPr="0058432E">
        <w:rPr>
          <w:color w:val="000000" w:themeColor="text1"/>
        </w:rPr>
        <w:t>de l’adalimumab</w:t>
      </w:r>
      <w:r w:rsidRPr="0058432E">
        <w:rPr>
          <w:color w:val="000000" w:themeColor="text1"/>
        </w:rPr>
        <w:t xml:space="preserve"> ont été évaluées dans une étude multicentrique, rando</w:t>
      </w:r>
      <w:r w:rsidR="00B2479F" w:rsidRPr="0058432E">
        <w:rPr>
          <w:color w:val="000000" w:themeColor="text1"/>
        </w:rPr>
        <w:t>misée en double aveugle chez 46 </w:t>
      </w:r>
      <w:r w:rsidRPr="0058432E">
        <w:rPr>
          <w:color w:val="000000" w:themeColor="text1"/>
        </w:rPr>
        <w:t>patien</w:t>
      </w:r>
      <w:r w:rsidR="00B2479F" w:rsidRPr="0058432E">
        <w:rPr>
          <w:color w:val="000000" w:themeColor="text1"/>
        </w:rPr>
        <w:t>ts pédiatriques (âgés de 6 à 17 </w:t>
      </w:r>
      <w:r w:rsidRPr="0058432E">
        <w:rPr>
          <w:color w:val="000000" w:themeColor="text1"/>
        </w:rPr>
        <w:t>ans) présentant une arthrite liée à l’enthésite modérée. Les patients ont été randomisés pour recevoir, tout</w:t>
      </w:r>
      <w:r w:rsidR="00B2479F" w:rsidRPr="0058432E">
        <w:rPr>
          <w:color w:val="000000" w:themeColor="text1"/>
        </w:rPr>
        <w:t>es les deux semaines pendant 12 </w:t>
      </w:r>
      <w:r w:rsidRPr="0058432E">
        <w:rPr>
          <w:color w:val="000000" w:themeColor="text1"/>
        </w:rPr>
        <w:t xml:space="preserve">semaines, soit une dose </w:t>
      </w:r>
      <w:r w:rsidR="00B2479F" w:rsidRPr="0058432E">
        <w:rPr>
          <w:color w:val="000000" w:themeColor="text1"/>
        </w:rPr>
        <w:t>d’adalimumab de 24 </w:t>
      </w:r>
      <w:r w:rsidRPr="0058432E">
        <w:rPr>
          <w:color w:val="000000" w:themeColor="text1"/>
        </w:rPr>
        <w:t>mg/m</w:t>
      </w:r>
      <w:r w:rsidRPr="0058432E">
        <w:rPr>
          <w:color w:val="000000" w:themeColor="text1"/>
          <w:vertAlign w:val="superscript"/>
        </w:rPr>
        <w:t>2</w:t>
      </w:r>
      <w:r w:rsidRPr="0058432E">
        <w:rPr>
          <w:color w:val="000000" w:themeColor="text1"/>
        </w:rPr>
        <w:t xml:space="preserve"> de surface corporelle </w:t>
      </w:r>
      <w:r w:rsidR="00B2479F" w:rsidRPr="0058432E">
        <w:rPr>
          <w:color w:val="000000" w:themeColor="text1"/>
        </w:rPr>
        <w:t>jusqu’à une dose maximale de 40 </w:t>
      </w:r>
      <w:r w:rsidRPr="0058432E">
        <w:rPr>
          <w:color w:val="000000" w:themeColor="text1"/>
        </w:rPr>
        <w:t xml:space="preserve">mg, soit un placebo. La phase en double aveugle a été suivie d’une phase en ouvert durant laquelle les patients recevaient une dose </w:t>
      </w:r>
      <w:r w:rsidR="00B2479F" w:rsidRPr="0058432E">
        <w:rPr>
          <w:color w:val="000000" w:themeColor="text1"/>
        </w:rPr>
        <w:t>d’adalimumab de 24 </w:t>
      </w:r>
      <w:r w:rsidRPr="0058432E">
        <w:rPr>
          <w:color w:val="000000" w:themeColor="text1"/>
        </w:rPr>
        <w:t>mg/m</w:t>
      </w:r>
      <w:r w:rsidRPr="0058432E">
        <w:rPr>
          <w:color w:val="000000" w:themeColor="text1"/>
          <w:vertAlign w:val="superscript"/>
        </w:rPr>
        <w:t>2</w:t>
      </w:r>
      <w:r w:rsidRPr="0058432E">
        <w:rPr>
          <w:color w:val="000000" w:themeColor="text1"/>
        </w:rPr>
        <w:t xml:space="preserve"> de </w:t>
      </w:r>
      <w:r w:rsidR="00B2479F" w:rsidRPr="0058432E">
        <w:rPr>
          <w:color w:val="000000" w:themeColor="text1"/>
        </w:rPr>
        <w:t>surface corporelle</w:t>
      </w:r>
      <w:r w:rsidRPr="0058432E">
        <w:rPr>
          <w:color w:val="000000" w:themeColor="text1"/>
        </w:rPr>
        <w:t xml:space="preserve"> </w:t>
      </w:r>
      <w:r w:rsidR="00B2479F" w:rsidRPr="0058432E">
        <w:rPr>
          <w:color w:val="000000" w:themeColor="text1"/>
        </w:rPr>
        <w:t>jusqu’à une dose maximale de 40 </w:t>
      </w:r>
      <w:r w:rsidRPr="0058432E">
        <w:rPr>
          <w:color w:val="000000" w:themeColor="text1"/>
        </w:rPr>
        <w:t>mg toutes les deux semaines pa</w:t>
      </w:r>
      <w:r w:rsidR="00B2479F" w:rsidRPr="0058432E">
        <w:rPr>
          <w:color w:val="000000" w:themeColor="text1"/>
        </w:rPr>
        <w:t>r voie sous-cutanée pendant 192 </w:t>
      </w:r>
      <w:r w:rsidRPr="0058432E">
        <w:rPr>
          <w:color w:val="000000" w:themeColor="text1"/>
        </w:rPr>
        <w:t>semaines supplémentaires. Le critère d’évaluation principal était la variation en pourcentage du nombre d’articulations actives touchées par l’arthrite (gonflement non lié à une malformation ou articulations avec perte de mouvement et douleur et/ou sensibilité) entre l</w:t>
      </w:r>
      <w:r w:rsidR="00B2479F" w:rsidRPr="0058432E">
        <w:rPr>
          <w:color w:val="000000" w:themeColor="text1"/>
        </w:rPr>
        <w:t>’inclusion et la semaine </w:t>
      </w:r>
      <w:r w:rsidRPr="0058432E">
        <w:rPr>
          <w:color w:val="000000" w:themeColor="text1"/>
        </w:rPr>
        <w:t>12.</w:t>
      </w:r>
      <w:r w:rsidR="00B2479F" w:rsidRPr="0058432E">
        <w:rPr>
          <w:color w:val="000000" w:themeColor="text1"/>
        </w:rPr>
        <w:t xml:space="preserve"> Une réduction moyenne de -62,6 % (variation médiane : -88,9 </w:t>
      </w:r>
      <w:r w:rsidRPr="0058432E">
        <w:rPr>
          <w:color w:val="000000" w:themeColor="text1"/>
        </w:rPr>
        <w:t xml:space="preserve">%) a été observée chez les patients traités par </w:t>
      </w:r>
      <w:r w:rsidR="00B2479F" w:rsidRPr="0058432E">
        <w:rPr>
          <w:color w:val="000000" w:themeColor="text1"/>
        </w:rPr>
        <w:t>l’adalimumab par rapport à -11,6 </w:t>
      </w:r>
      <w:r w:rsidRPr="0058432E">
        <w:rPr>
          <w:color w:val="000000" w:themeColor="text1"/>
        </w:rPr>
        <w:t>% (variation médiane</w:t>
      </w:r>
      <w:r w:rsidR="00B2479F" w:rsidRPr="0058432E">
        <w:rPr>
          <w:color w:val="000000" w:themeColor="text1"/>
        </w:rPr>
        <w:t> : -50,0 </w:t>
      </w:r>
      <w:r w:rsidRPr="0058432E">
        <w:rPr>
          <w:color w:val="000000" w:themeColor="text1"/>
        </w:rPr>
        <w:t>%) chez les patients recevant le placebo.</w:t>
      </w:r>
      <w:r w:rsidR="00B2479F" w:rsidRPr="0058432E">
        <w:rPr>
          <w:color w:val="000000" w:themeColor="text1"/>
        </w:rPr>
        <w:t xml:space="preserve"> </w:t>
      </w:r>
      <w:r w:rsidRPr="0058432E">
        <w:rPr>
          <w:color w:val="000000" w:themeColor="text1"/>
        </w:rPr>
        <w:t xml:space="preserve">L’amélioration relative au nombre d’articulations actives touchées par </w:t>
      </w:r>
      <w:r w:rsidRPr="0058432E">
        <w:rPr>
          <w:color w:val="000000" w:themeColor="text1"/>
        </w:rPr>
        <w:lastRenderedPageBreak/>
        <w:t>l’arthrite a été maintenue au cours de la phase en ouvert jusqu’à la semaine</w:t>
      </w:r>
      <w:r w:rsidR="00B2479F" w:rsidRPr="0058432E">
        <w:rPr>
          <w:color w:val="000000" w:themeColor="text1"/>
        </w:rPr>
        <w:t> 156 pour les 26 patients sur 31 (84 </w:t>
      </w:r>
      <w:r w:rsidRPr="0058432E">
        <w:rPr>
          <w:color w:val="000000" w:themeColor="text1"/>
        </w:rPr>
        <w:t xml:space="preserve">%) du groupe </w:t>
      </w:r>
      <w:r w:rsidR="00B2479F" w:rsidRPr="0058432E">
        <w:rPr>
          <w:color w:val="000000" w:themeColor="text1"/>
        </w:rPr>
        <w:t xml:space="preserve">adalimumab </w:t>
      </w:r>
      <w:r w:rsidRPr="0058432E">
        <w:rPr>
          <w:color w:val="000000" w:themeColor="text1"/>
        </w:rPr>
        <w:t>qui sont restés dans l’étude. Une amélioration clinique mais non statistiquement significative a été observée chez la majorité des patients pour les critères secondaires tels que le nombre de sites d’enthésite, le nombre d’articulations douloureuses, le nombre d’articulations gonflées, et la réponse selon les critères ACR</w:t>
      </w:r>
      <w:r w:rsidR="00B2479F" w:rsidRPr="0058432E">
        <w:rPr>
          <w:color w:val="000000" w:themeColor="text1"/>
        </w:rPr>
        <w:t> </w:t>
      </w:r>
      <w:r w:rsidRPr="0058432E">
        <w:rPr>
          <w:color w:val="000000" w:themeColor="text1"/>
        </w:rPr>
        <w:t>50 et 70 pédiatriques</w:t>
      </w:r>
      <w:r w:rsidR="006B2FBE" w:rsidRPr="0058432E">
        <w:rPr>
          <w:color w:val="000000" w:themeColor="text1"/>
        </w:rPr>
        <w:t>.</w:t>
      </w:r>
    </w:p>
    <w:p w14:paraId="212E20BA" w14:textId="77777777" w:rsidR="006B2FBE" w:rsidRPr="0058432E" w:rsidRDefault="006B2FBE" w:rsidP="00B06871">
      <w:pPr>
        <w:pStyle w:val="BodyText"/>
        <w:widowControl/>
        <w:kinsoku w:val="0"/>
        <w:overflowPunct w:val="0"/>
        <w:ind w:left="0"/>
        <w:rPr>
          <w:color w:val="000000" w:themeColor="text1"/>
        </w:rPr>
      </w:pPr>
    </w:p>
    <w:p w14:paraId="01AA470E" w14:textId="77777777" w:rsidR="006B2FBE" w:rsidRPr="0058432E" w:rsidRDefault="00B06871" w:rsidP="006B2FBE">
      <w:pPr>
        <w:pStyle w:val="BodyText"/>
        <w:keepNext/>
        <w:widowControl/>
        <w:kinsoku w:val="0"/>
        <w:overflowPunct w:val="0"/>
        <w:ind w:left="0"/>
        <w:rPr>
          <w:color w:val="000000" w:themeColor="text1"/>
        </w:rPr>
      </w:pPr>
      <w:r w:rsidRPr="0058432E">
        <w:rPr>
          <w:i/>
          <w:iCs/>
          <w:color w:val="000000" w:themeColor="text1"/>
        </w:rPr>
        <w:t>Psoriasis en plaques pédiatrique</w:t>
      </w:r>
    </w:p>
    <w:p w14:paraId="7C74A27F" w14:textId="77777777" w:rsidR="006B2FBE" w:rsidRPr="0058432E" w:rsidRDefault="006B2FBE" w:rsidP="00B06871">
      <w:pPr>
        <w:pStyle w:val="BodyText"/>
        <w:keepNext/>
        <w:widowControl/>
        <w:kinsoku w:val="0"/>
        <w:overflowPunct w:val="0"/>
        <w:ind w:left="0"/>
        <w:rPr>
          <w:i/>
          <w:iCs/>
          <w:color w:val="000000" w:themeColor="text1"/>
        </w:rPr>
      </w:pPr>
    </w:p>
    <w:p w14:paraId="218AEE1B" w14:textId="77777777" w:rsidR="006B2FBE" w:rsidRPr="0058432E" w:rsidRDefault="00B06871" w:rsidP="00491257">
      <w:pPr>
        <w:pStyle w:val="BodyText"/>
        <w:kinsoku w:val="0"/>
        <w:overflowPunct w:val="0"/>
        <w:ind w:left="0"/>
        <w:rPr>
          <w:color w:val="000000" w:themeColor="text1"/>
        </w:rPr>
      </w:pPr>
      <w:r w:rsidRPr="0058432E">
        <w:rPr>
          <w:color w:val="000000" w:themeColor="text1"/>
        </w:rPr>
        <w:t xml:space="preserve">L’efficacité </w:t>
      </w:r>
      <w:r w:rsidR="00B2479F" w:rsidRPr="0058432E">
        <w:rPr>
          <w:color w:val="000000" w:themeColor="text1"/>
        </w:rPr>
        <w:t>de l’adalimumab</w:t>
      </w:r>
      <w:r w:rsidRPr="0058432E">
        <w:rPr>
          <w:color w:val="000000" w:themeColor="text1"/>
        </w:rPr>
        <w:t xml:space="preserve"> a été évaluée dans une étude contrôlée, random</w:t>
      </w:r>
      <w:r w:rsidR="00180B99" w:rsidRPr="0058432E">
        <w:rPr>
          <w:color w:val="000000" w:themeColor="text1"/>
        </w:rPr>
        <w:t>isée en double aveugle chez 114 patients pédiatriques âgés de 4 </w:t>
      </w:r>
      <w:r w:rsidRPr="0058432E">
        <w:rPr>
          <w:color w:val="000000" w:themeColor="text1"/>
        </w:rPr>
        <w:t>ans et plus présentant un psoriasis en plaques chronique sévère (défini</w:t>
      </w:r>
      <w:r w:rsidR="00180B99" w:rsidRPr="0058432E">
        <w:rPr>
          <w:color w:val="000000" w:themeColor="text1"/>
        </w:rPr>
        <w:t xml:space="preserve"> par un score PGA</w:t>
      </w:r>
      <w:bookmarkEnd w:id="2"/>
      <w:r w:rsidR="00045482" w:rsidRPr="0058432E">
        <w:rPr>
          <w:color w:val="000000" w:themeColor="text1"/>
        </w:rPr>
        <w:t xml:space="preserve"> [</w:t>
      </w:r>
      <w:r w:rsidR="00045482" w:rsidRPr="0058432E">
        <w:rPr>
          <w:i/>
          <w:iCs/>
          <w:color w:val="000000" w:themeColor="text1"/>
        </w:rPr>
        <w:t>Physician’s Global Assessment</w:t>
      </w:r>
      <w:r w:rsidR="00045482" w:rsidRPr="0058432E">
        <w:rPr>
          <w:color w:val="000000" w:themeColor="text1"/>
        </w:rPr>
        <w:t>]</w:t>
      </w:r>
      <w:r w:rsidR="00180B99" w:rsidRPr="0058432E">
        <w:rPr>
          <w:color w:val="000000" w:themeColor="text1"/>
        </w:rPr>
        <w:t xml:space="preserve"> ≥ </w:t>
      </w:r>
      <w:r w:rsidRPr="0058432E">
        <w:rPr>
          <w:color w:val="000000" w:themeColor="text1"/>
        </w:rPr>
        <w:t>4 ou une atte</w:t>
      </w:r>
      <w:r w:rsidR="00180B99" w:rsidRPr="0058432E">
        <w:rPr>
          <w:color w:val="000000" w:themeColor="text1"/>
        </w:rPr>
        <w:t>inte de la surface corporelle &gt; 20 % ou &gt; 10 </w:t>
      </w:r>
      <w:r w:rsidRPr="0058432E">
        <w:rPr>
          <w:color w:val="000000" w:themeColor="text1"/>
        </w:rPr>
        <w:t>% avec des lésions très épais</w:t>
      </w:r>
      <w:r w:rsidR="00180B99" w:rsidRPr="0058432E">
        <w:rPr>
          <w:color w:val="000000" w:themeColor="text1"/>
        </w:rPr>
        <w:t xml:space="preserve">ses ou un score du </w:t>
      </w:r>
      <w:r w:rsidR="003D7FFE" w:rsidRPr="0058432E">
        <w:rPr>
          <w:color w:val="000000" w:themeColor="text1"/>
        </w:rPr>
        <w:t>PASI [</w:t>
      </w:r>
      <w:r w:rsidR="003D7FFE" w:rsidRPr="0058432E">
        <w:rPr>
          <w:i/>
          <w:iCs/>
          <w:color w:val="000000" w:themeColor="text1"/>
        </w:rPr>
        <w:t>Psoriasis Area and Severity Index</w:t>
      </w:r>
      <w:r w:rsidR="003D7FFE" w:rsidRPr="0058432E">
        <w:rPr>
          <w:color w:val="000000" w:themeColor="text1"/>
        </w:rPr>
        <w:t>]</w:t>
      </w:r>
      <w:r w:rsidR="00180B99" w:rsidRPr="0058432E">
        <w:rPr>
          <w:color w:val="000000" w:themeColor="text1"/>
        </w:rPr>
        <w:t xml:space="preserve"> ≥ 20 ou ≥ </w:t>
      </w:r>
      <w:r w:rsidRPr="0058432E">
        <w:rPr>
          <w:color w:val="000000" w:themeColor="text1"/>
        </w:rPr>
        <w:t>10 avec atteinte cliniquement significative du visage, des organes génitaux ou des mains et/ou pieds) qui n’était pas suffisamment contrôlé par un traitement topique et l’héliothérapie ou la photothérapie</w:t>
      </w:r>
      <w:r w:rsidR="006B2FBE" w:rsidRPr="0058432E">
        <w:rPr>
          <w:color w:val="000000" w:themeColor="text1"/>
        </w:rPr>
        <w:t>.</w:t>
      </w:r>
    </w:p>
    <w:p w14:paraId="69DD4C83" w14:textId="77777777" w:rsidR="006B2FBE" w:rsidRPr="0058432E" w:rsidRDefault="006B2FBE" w:rsidP="00B06871">
      <w:pPr>
        <w:pStyle w:val="BodyText"/>
        <w:widowControl/>
        <w:kinsoku w:val="0"/>
        <w:overflowPunct w:val="0"/>
        <w:ind w:left="0"/>
        <w:rPr>
          <w:color w:val="000000" w:themeColor="text1"/>
        </w:rPr>
      </w:pPr>
    </w:p>
    <w:p w14:paraId="69CD1B19" w14:textId="77777777" w:rsidR="006B2FBE" w:rsidRPr="0058432E" w:rsidRDefault="00B06871" w:rsidP="00491257">
      <w:pPr>
        <w:pStyle w:val="BodyText"/>
        <w:kinsoku w:val="0"/>
        <w:overflowPunct w:val="0"/>
        <w:ind w:left="0"/>
        <w:rPr>
          <w:color w:val="000000" w:themeColor="text1"/>
        </w:rPr>
      </w:pPr>
      <w:r w:rsidRPr="0058432E">
        <w:rPr>
          <w:color w:val="000000" w:themeColor="text1"/>
        </w:rPr>
        <w:t xml:space="preserve">Les patients ont reçu </w:t>
      </w:r>
      <w:r w:rsidR="00180B99" w:rsidRPr="0058432E">
        <w:rPr>
          <w:color w:val="000000" w:themeColor="text1"/>
        </w:rPr>
        <w:t>l’adalimumab à la dose de 0,8 </w:t>
      </w:r>
      <w:r w:rsidRPr="0058432E">
        <w:rPr>
          <w:color w:val="000000" w:themeColor="text1"/>
        </w:rPr>
        <w:t>mg/kg toute</w:t>
      </w:r>
      <w:r w:rsidR="00180B99" w:rsidRPr="0058432E">
        <w:rPr>
          <w:color w:val="000000" w:themeColor="text1"/>
        </w:rPr>
        <w:t>s les deux semaines (jusqu’à 40 mg) ou 0,4 </w:t>
      </w:r>
      <w:r w:rsidRPr="0058432E">
        <w:rPr>
          <w:color w:val="000000" w:themeColor="text1"/>
        </w:rPr>
        <w:t>mg/kg toute</w:t>
      </w:r>
      <w:r w:rsidR="00180B99" w:rsidRPr="0058432E">
        <w:rPr>
          <w:color w:val="000000" w:themeColor="text1"/>
        </w:rPr>
        <w:t>s les deux semaines (jusqu’à 20 </w:t>
      </w:r>
      <w:r w:rsidRPr="0058432E">
        <w:rPr>
          <w:color w:val="000000" w:themeColor="text1"/>
        </w:rPr>
        <w:t>mg) ou le méthotrexate à la dose de 0,1 à 0,4</w:t>
      </w:r>
      <w:r w:rsidR="00180B99" w:rsidRPr="0058432E">
        <w:rPr>
          <w:color w:val="000000" w:themeColor="text1"/>
        </w:rPr>
        <w:t> </w:t>
      </w:r>
      <w:r w:rsidRPr="0058432E">
        <w:rPr>
          <w:color w:val="000000" w:themeColor="text1"/>
        </w:rPr>
        <w:t>mg/kg u</w:t>
      </w:r>
      <w:r w:rsidR="00180B99" w:rsidRPr="0058432E">
        <w:rPr>
          <w:color w:val="000000" w:themeColor="text1"/>
        </w:rPr>
        <w:t>ne fois par semaine (jusqu’à 25 mg). À la semaine </w:t>
      </w:r>
      <w:r w:rsidRPr="0058432E">
        <w:rPr>
          <w:color w:val="000000" w:themeColor="text1"/>
        </w:rPr>
        <w:t>16, il y a eu p</w:t>
      </w:r>
      <w:r w:rsidR="001237B9" w:rsidRPr="0058432E">
        <w:rPr>
          <w:color w:val="000000" w:themeColor="text1"/>
        </w:rPr>
        <w:t>lus de répondeurs (par ex. PASI </w:t>
      </w:r>
      <w:r w:rsidRPr="0058432E">
        <w:rPr>
          <w:color w:val="000000" w:themeColor="text1"/>
        </w:rPr>
        <w:t xml:space="preserve">75) chez les patients randomisés dans le groupe </w:t>
      </w:r>
      <w:r w:rsidR="00180B99" w:rsidRPr="0058432E">
        <w:rPr>
          <w:color w:val="000000" w:themeColor="text1"/>
        </w:rPr>
        <w:t>adalimumab 0,8 </w:t>
      </w:r>
      <w:r w:rsidRPr="0058432E">
        <w:rPr>
          <w:color w:val="000000" w:themeColor="text1"/>
        </w:rPr>
        <w:t xml:space="preserve">mg/kg toutes les deux semaines par rapport aux patients randomisés dans le groupe </w:t>
      </w:r>
      <w:r w:rsidR="00180B99" w:rsidRPr="0058432E">
        <w:rPr>
          <w:color w:val="000000" w:themeColor="text1"/>
        </w:rPr>
        <w:t>adalimumab 0,4 </w:t>
      </w:r>
      <w:r w:rsidRPr="0058432E">
        <w:rPr>
          <w:color w:val="000000" w:themeColor="text1"/>
        </w:rPr>
        <w:t>mg/kg toutes les deux semaines ou le MTX</w:t>
      </w:r>
      <w:r w:rsidR="006B2FBE" w:rsidRPr="0058432E">
        <w:rPr>
          <w:color w:val="000000" w:themeColor="text1"/>
        </w:rPr>
        <w:t>.</w:t>
      </w:r>
    </w:p>
    <w:p w14:paraId="7C95824B" w14:textId="77777777" w:rsidR="006B2FBE" w:rsidRPr="0058432E" w:rsidRDefault="006B2FBE" w:rsidP="006B2FBE">
      <w:pPr>
        <w:pStyle w:val="BodyText"/>
        <w:widowControl/>
        <w:kinsoku w:val="0"/>
        <w:overflowPunct w:val="0"/>
        <w:ind w:left="0"/>
        <w:rPr>
          <w:color w:val="000000" w:themeColor="text1"/>
          <w:szCs w:val="23"/>
        </w:rPr>
      </w:pPr>
    </w:p>
    <w:p w14:paraId="0EB46CE3" w14:textId="77777777" w:rsidR="00B77928" w:rsidRPr="0058432E" w:rsidRDefault="006B2FBE" w:rsidP="006B2FBE">
      <w:pPr>
        <w:keepNext/>
        <w:rPr>
          <w:b/>
          <w:color w:val="000000" w:themeColor="text1"/>
        </w:rPr>
      </w:pPr>
      <w:r w:rsidRPr="0058432E">
        <w:rPr>
          <w:b/>
          <w:color w:val="000000" w:themeColor="text1"/>
        </w:rPr>
        <w:t>Table</w:t>
      </w:r>
      <w:r w:rsidR="00B06871" w:rsidRPr="0058432E">
        <w:rPr>
          <w:b/>
          <w:color w:val="000000" w:themeColor="text1"/>
        </w:rPr>
        <w:t>au </w:t>
      </w:r>
      <w:r w:rsidRPr="0058432E">
        <w:rPr>
          <w:b/>
          <w:color w:val="000000" w:themeColor="text1"/>
        </w:rPr>
        <w:t>19.</w:t>
      </w:r>
    </w:p>
    <w:p w14:paraId="3AC1FAD6" w14:textId="77777777" w:rsidR="006B2FBE" w:rsidRPr="0058432E" w:rsidRDefault="00B06871" w:rsidP="006B2FBE">
      <w:pPr>
        <w:keepNext/>
        <w:rPr>
          <w:b/>
          <w:bCs/>
          <w:color w:val="000000" w:themeColor="text1"/>
        </w:rPr>
      </w:pPr>
      <w:r w:rsidRPr="0058432E">
        <w:rPr>
          <w:b/>
          <w:color w:val="000000" w:themeColor="text1"/>
        </w:rPr>
        <w:t>Psoriasis en plaques pédiatriqu</w:t>
      </w:r>
      <w:r w:rsidR="00180B99" w:rsidRPr="0058432E">
        <w:rPr>
          <w:b/>
          <w:color w:val="000000" w:themeColor="text1"/>
        </w:rPr>
        <w:t>e — </w:t>
      </w:r>
      <w:r w:rsidRPr="0058432E">
        <w:rPr>
          <w:b/>
          <w:color w:val="000000" w:themeColor="text1"/>
        </w:rPr>
        <w:t>Résultats d’efficacité à 16 semaines</w:t>
      </w:r>
    </w:p>
    <w:p w14:paraId="3EC0AA53" w14:textId="77777777" w:rsidR="006B2FBE" w:rsidRPr="0058432E" w:rsidRDefault="006B2FBE" w:rsidP="006B2FBE">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2991"/>
        <w:gridCol w:w="3035"/>
      </w:tblGrid>
      <w:tr w:rsidR="006B2FBE" w:rsidRPr="0058432E" w14:paraId="2A8084A8" w14:textId="77777777" w:rsidTr="00A26BF3">
        <w:trPr>
          <w:cantSplit/>
          <w:tblHeader/>
        </w:trPr>
        <w:tc>
          <w:tcPr>
            <w:tcW w:w="3118" w:type="dxa"/>
            <w:tcBorders>
              <w:top w:val="single" w:sz="4" w:space="0" w:color="auto"/>
              <w:left w:val="single" w:sz="4" w:space="0" w:color="auto"/>
              <w:bottom w:val="single" w:sz="4" w:space="0" w:color="auto"/>
              <w:right w:val="single" w:sz="4" w:space="0" w:color="auto"/>
            </w:tcBorders>
          </w:tcPr>
          <w:p w14:paraId="0053100B" w14:textId="77777777" w:rsidR="006B2FBE" w:rsidRPr="0058432E" w:rsidRDefault="006B2FBE" w:rsidP="00A26BF3">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0D9B19F7" w14:textId="77777777" w:rsidR="006B2FBE" w:rsidRPr="0058432E" w:rsidRDefault="006B2FBE" w:rsidP="00A26BF3">
            <w:pPr>
              <w:keepNext/>
              <w:jc w:val="center"/>
              <w:rPr>
                <w:b/>
                <w:color w:val="000000" w:themeColor="text1"/>
                <w:vertAlign w:val="superscript"/>
              </w:rPr>
            </w:pPr>
            <w:r w:rsidRPr="0058432E">
              <w:rPr>
                <w:b/>
                <w:color w:val="000000" w:themeColor="text1"/>
              </w:rPr>
              <w:t>MTX</w:t>
            </w:r>
            <w:r w:rsidRPr="0058432E">
              <w:rPr>
                <w:b/>
                <w:color w:val="000000" w:themeColor="text1"/>
                <w:vertAlign w:val="superscript"/>
              </w:rPr>
              <w:t>a</w:t>
            </w:r>
          </w:p>
          <w:p w14:paraId="123FD367" w14:textId="77777777" w:rsidR="006B2FBE" w:rsidRPr="0058432E" w:rsidRDefault="006B2FBE" w:rsidP="00A26BF3">
            <w:pPr>
              <w:keepNext/>
              <w:jc w:val="center"/>
              <w:rPr>
                <w:b/>
                <w:color w:val="000000" w:themeColor="text1"/>
              </w:rPr>
            </w:pPr>
            <w:r w:rsidRPr="0058432E">
              <w:rPr>
                <w:b/>
                <w:color w:val="000000" w:themeColor="text1"/>
              </w:rPr>
              <w:t>N = 37</w:t>
            </w:r>
          </w:p>
        </w:tc>
        <w:tc>
          <w:tcPr>
            <w:tcW w:w="3108" w:type="dxa"/>
            <w:tcBorders>
              <w:top w:val="single" w:sz="4" w:space="0" w:color="auto"/>
              <w:left w:val="single" w:sz="4" w:space="0" w:color="auto"/>
              <w:bottom w:val="single" w:sz="4" w:space="0" w:color="auto"/>
              <w:right w:val="single" w:sz="4" w:space="0" w:color="auto"/>
            </w:tcBorders>
            <w:hideMark/>
          </w:tcPr>
          <w:p w14:paraId="359DE0E1" w14:textId="77777777" w:rsidR="006B2FBE" w:rsidRPr="0058432E" w:rsidRDefault="00B06871" w:rsidP="00A26BF3">
            <w:pPr>
              <w:keepNext/>
              <w:jc w:val="center"/>
              <w:rPr>
                <w:b/>
                <w:color w:val="000000" w:themeColor="text1"/>
              </w:rPr>
            </w:pPr>
            <w:r w:rsidRPr="0058432E">
              <w:rPr>
                <w:b/>
                <w:color w:val="000000" w:themeColor="text1"/>
              </w:rPr>
              <w:t>Adalimumab 0,</w:t>
            </w:r>
            <w:r w:rsidR="006B2FBE" w:rsidRPr="0058432E">
              <w:rPr>
                <w:b/>
                <w:color w:val="000000" w:themeColor="text1"/>
              </w:rPr>
              <w:t xml:space="preserve">8 mg/kg </w:t>
            </w:r>
            <w:r w:rsidRPr="0058432E">
              <w:rPr>
                <w:b/>
                <w:color w:val="000000" w:themeColor="text1"/>
              </w:rPr>
              <w:t xml:space="preserve">toutes les </w:t>
            </w:r>
            <w:r w:rsidR="00EB6D65" w:rsidRPr="0058432E">
              <w:rPr>
                <w:b/>
                <w:color w:val="000000" w:themeColor="text1"/>
              </w:rPr>
              <w:t>deux</w:t>
            </w:r>
            <w:r w:rsidRPr="0058432E">
              <w:rPr>
                <w:b/>
                <w:color w:val="000000" w:themeColor="text1"/>
              </w:rPr>
              <w:t> semaines</w:t>
            </w:r>
          </w:p>
          <w:p w14:paraId="04C8E832" w14:textId="77777777" w:rsidR="006B2FBE" w:rsidRPr="0058432E" w:rsidRDefault="006B2FBE" w:rsidP="00A26BF3">
            <w:pPr>
              <w:keepNext/>
              <w:jc w:val="center"/>
              <w:rPr>
                <w:b/>
                <w:color w:val="000000" w:themeColor="text1"/>
              </w:rPr>
            </w:pPr>
            <w:r w:rsidRPr="0058432E">
              <w:rPr>
                <w:b/>
                <w:color w:val="000000" w:themeColor="text1"/>
              </w:rPr>
              <w:t>N = 38</w:t>
            </w:r>
          </w:p>
        </w:tc>
      </w:tr>
      <w:tr w:rsidR="006B2FBE" w:rsidRPr="0058432E" w14:paraId="390444D5" w14:textId="77777777" w:rsidTr="00A26BF3">
        <w:trPr>
          <w:cantSplit/>
        </w:trPr>
        <w:tc>
          <w:tcPr>
            <w:tcW w:w="3118" w:type="dxa"/>
            <w:tcBorders>
              <w:top w:val="single" w:sz="4" w:space="0" w:color="auto"/>
              <w:left w:val="single" w:sz="4" w:space="0" w:color="auto"/>
              <w:bottom w:val="single" w:sz="4" w:space="0" w:color="auto"/>
              <w:right w:val="single" w:sz="4" w:space="0" w:color="auto"/>
            </w:tcBorders>
            <w:hideMark/>
          </w:tcPr>
          <w:p w14:paraId="1F6DE73E" w14:textId="77777777" w:rsidR="006B2FBE" w:rsidRPr="0058432E" w:rsidRDefault="006B2FBE" w:rsidP="00A26BF3">
            <w:pPr>
              <w:rPr>
                <w:color w:val="000000" w:themeColor="text1"/>
              </w:rPr>
            </w:pPr>
            <w:r w:rsidRPr="0058432E">
              <w:rPr>
                <w:color w:val="000000" w:themeColor="text1"/>
              </w:rPr>
              <w:t>PASI 75</w:t>
            </w:r>
            <w:r w:rsidRPr="0058432E">
              <w:rPr>
                <w:color w:val="000000" w:themeColor="text1"/>
                <w:vertAlign w:val="superscript"/>
              </w:rPr>
              <w:t>b</w:t>
            </w:r>
          </w:p>
        </w:tc>
        <w:tc>
          <w:tcPr>
            <w:tcW w:w="3077" w:type="dxa"/>
            <w:tcBorders>
              <w:top w:val="single" w:sz="4" w:space="0" w:color="auto"/>
              <w:left w:val="single" w:sz="4" w:space="0" w:color="auto"/>
              <w:bottom w:val="single" w:sz="4" w:space="0" w:color="auto"/>
              <w:right w:val="single" w:sz="4" w:space="0" w:color="auto"/>
            </w:tcBorders>
            <w:hideMark/>
          </w:tcPr>
          <w:p w14:paraId="564CF091" w14:textId="77777777" w:rsidR="006B2FBE" w:rsidRPr="0058432E" w:rsidRDefault="00B06871" w:rsidP="00A26BF3">
            <w:pPr>
              <w:jc w:val="center"/>
              <w:rPr>
                <w:color w:val="000000" w:themeColor="text1"/>
              </w:rPr>
            </w:pPr>
            <w:r w:rsidRPr="0058432E">
              <w:rPr>
                <w:color w:val="000000" w:themeColor="text1"/>
              </w:rPr>
              <w:t>12 (32,</w:t>
            </w:r>
            <w:r w:rsidR="006B2FBE" w:rsidRPr="0058432E">
              <w:rPr>
                <w:color w:val="000000" w:themeColor="text1"/>
              </w:rPr>
              <w:t>4</w:t>
            </w:r>
            <w:r w:rsidRPr="0058432E">
              <w:rPr>
                <w:color w:val="000000" w:themeColor="text1"/>
              </w:rPr>
              <w:t> </w:t>
            </w:r>
            <w:r w:rsidR="006B2FBE" w:rsidRPr="0058432E">
              <w:rPr>
                <w:color w:val="000000" w:themeColor="text1"/>
              </w:rPr>
              <w:t>%)</w:t>
            </w:r>
          </w:p>
        </w:tc>
        <w:tc>
          <w:tcPr>
            <w:tcW w:w="3108" w:type="dxa"/>
            <w:tcBorders>
              <w:top w:val="single" w:sz="4" w:space="0" w:color="auto"/>
              <w:left w:val="single" w:sz="4" w:space="0" w:color="auto"/>
              <w:bottom w:val="single" w:sz="4" w:space="0" w:color="auto"/>
              <w:right w:val="single" w:sz="4" w:space="0" w:color="auto"/>
            </w:tcBorders>
            <w:hideMark/>
          </w:tcPr>
          <w:p w14:paraId="60B5C99C" w14:textId="77777777" w:rsidR="006B2FBE" w:rsidRPr="0058432E" w:rsidRDefault="006B2FBE" w:rsidP="00A26BF3">
            <w:pPr>
              <w:jc w:val="center"/>
              <w:rPr>
                <w:color w:val="000000" w:themeColor="text1"/>
              </w:rPr>
            </w:pPr>
            <w:r w:rsidRPr="0058432E">
              <w:rPr>
                <w:color w:val="000000" w:themeColor="text1"/>
              </w:rPr>
              <w:t>22 </w:t>
            </w:r>
            <w:r w:rsidR="00B06871" w:rsidRPr="0058432E">
              <w:rPr>
                <w:color w:val="000000" w:themeColor="text1"/>
              </w:rPr>
              <w:t>(57,</w:t>
            </w:r>
            <w:r w:rsidRPr="0058432E">
              <w:rPr>
                <w:color w:val="000000" w:themeColor="text1"/>
              </w:rPr>
              <w:t>9</w:t>
            </w:r>
            <w:r w:rsidR="00B06871" w:rsidRPr="0058432E">
              <w:rPr>
                <w:color w:val="000000" w:themeColor="text1"/>
              </w:rPr>
              <w:t> </w:t>
            </w:r>
            <w:r w:rsidRPr="0058432E">
              <w:rPr>
                <w:color w:val="000000" w:themeColor="text1"/>
              </w:rPr>
              <w:t>%)</w:t>
            </w:r>
          </w:p>
        </w:tc>
      </w:tr>
      <w:tr w:rsidR="006B2FBE" w:rsidRPr="0058432E" w14:paraId="32D598D9" w14:textId="77777777" w:rsidTr="00A26BF3">
        <w:trPr>
          <w:cantSplit/>
        </w:trPr>
        <w:tc>
          <w:tcPr>
            <w:tcW w:w="3118" w:type="dxa"/>
            <w:tcBorders>
              <w:top w:val="single" w:sz="4" w:space="0" w:color="auto"/>
              <w:left w:val="single" w:sz="4" w:space="0" w:color="auto"/>
              <w:bottom w:val="single" w:sz="4" w:space="0" w:color="auto"/>
              <w:right w:val="single" w:sz="4" w:space="0" w:color="auto"/>
            </w:tcBorders>
            <w:hideMark/>
          </w:tcPr>
          <w:p w14:paraId="73D16D14" w14:textId="77777777" w:rsidR="006B2FBE" w:rsidRPr="0058432E" w:rsidRDefault="006B2FBE" w:rsidP="00757BCE">
            <w:pPr>
              <w:rPr>
                <w:color w:val="000000" w:themeColor="text1"/>
              </w:rPr>
            </w:pPr>
            <w:r w:rsidRPr="0058432E">
              <w:rPr>
                <w:color w:val="000000" w:themeColor="text1"/>
              </w:rPr>
              <w:t>PGA</w:t>
            </w:r>
            <w:r w:rsidR="00B06871" w:rsidRPr="0058432E">
              <w:rPr>
                <w:color w:val="000000" w:themeColor="text1"/>
              </w:rPr>
              <w:t> </w:t>
            </w:r>
            <w:r w:rsidRPr="0058432E">
              <w:rPr>
                <w:color w:val="000000" w:themeColor="text1"/>
              </w:rPr>
              <w:t xml:space="preserve">: </w:t>
            </w:r>
            <w:r w:rsidR="005F1EE7" w:rsidRPr="0058432E">
              <w:rPr>
                <w:color w:val="000000" w:themeColor="text1"/>
              </w:rPr>
              <w:t>c</w:t>
            </w:r>
            <w:r w:rsidRPr="0058432E">
              <w:rPr>
                <w:color w:val="000000" w:themeColor="text1"/>
              </w:rPr>
              <w:t>l</w:t>
            </w:r>
            <w:r w:rsidR="00B06871" w:rsidRPr="0058432E">
              <w:rPr>
                <w:color w:val="000000" w:themeColor="text1"/>
              </w:rPr>
              <w:t>ai</w:t>
            </w:r>
            <w:r w:rsidRPr="0058432E">
              <w:rPr>
                <w:color w:val="000000" w:themeColor="text1"/>
              </w:rPr>
              <w:t>r/minimal</w:t>
            </w:r>
            <w:r w:rsidRPr="0058432E">
              <w:rPr>
                <w:color w:val="000000" w:themeColor="text1"/>
                <w:vertAlign w:val="superscript"/>
              </w:rPr>
              <w:t>c</w:t>
            </w:r>
          </w:p>
        </w:tc>
        <w:tc>
          <w:tcPr>
            <w:tcW w:w="3077" w:type="dxa"/>
            <w:tcBorders>
              <w:top w:val="single" w:sz="4" w:space="0" w:color="auto"/>
              <w:left w:val="single" w:sz="4" w:space="0" w:color="auto"/>
              <w:bottom w:val="single" w:sz="4" w:space="0" w:color="auto"/>
              <w:right w:val="single" w:sz="4" w:space="0" w:color="auto"/>
            </w:tcBorders>
            <w:hideMark/>
          </w:tcPr>
          <w:p w14:paraId="44527FF7" w14:textId="77777777" w:rsidR="006B2FBE" w:rsidRPr="0058432E" w:rsidRDefault="006B2FBE" w:rsidP="00B06871">
            <w:pPr>
              <w:jc w:val="center"/>
              <w:rPr>
                <w:color w:val="000000" w:themeColor="text1"/>
              </w:rPr>
            </w:pPr>
            <w:r w:rsidRPr="0058432E">
              <w:rPr>
                <w:color w:val="000000" w:themeColor="text1"/>
              </w:rPr>
              <w:t>15 (40</w:t>
            </w:r>
            <w:r w:rsidR="00B06871" w:rsidRPr="0058432E">
              <w:rPr>
                <w:color w:val="000000" w:themeColor="text1"/>
              </w:rPr>
              <w:t>,</w:t>
            </w:r>
            <w:r w:rsidRPr="0058432E">
              <w:rPr>
                <w:color w:val="000000" w:themeColor="text1"/>
              </w:rPr>
              <w:t>5</w:t>
            </w:r>
            <w:r w:rsidR="00B06871" w:rsidRPr="0058432E">
              <w:rPr>
                <w:color w:val="000000" w:themeColor="text1"/>
              </w:rPr>
              <w:t> </w:t>
            </w:r>
            <w:r w:rsidRPr="0058432E">
              <w:rPr>
                <w:color w:val="000000" w:themeColor="text1"/>
              </w:rPr>
              <w:t>%)</w:t>
            </w:r>
          </w:p>
        </w:tc>
        <w:tc>
          <w:tcPr>
            <w:tcW w:w="3108" w:type="dxa"/>
            <w:tcBorders>
              <w:top w:val="single" w:sz="4" w:space="0" w:color="auto"/>
              <w:left w:val="single" w:sz="4" w:space="0" w:color="auto"/>
              <w:bottom w:val="single" w:sz="4" w:space="0" w:color="auto"/>
              <w:right w:val="single" w:sz="4" w:space="0" w:color="auto"/>
            </w:tcBorders>
            <w:hideMark/>
          </w:tcPr>
          <w:p w14:paraId="2C040F8F" w14:textId="77777777" w:rsidR="006B2FBE" w:rsidRPr="0058432E" w:rsidRDefault="00B06871" w:rsidP="00A26BF3">
            <w:pPr>
              <w:jc w:val="center"/>
              <w:rPr>
                <w:color w:val="000000" w:themeColor="text1"/>
              </w:rPr>
            </w:pPr>
            <w:r w:rsidRPr="0058432E">
              <w:rPr>
                <w:color w:val="000000" w:themeColor="text1"/>
              </w:rPr>
              <w:t>23 (60,</w:t>
            </w:r>
            <w:r w:rsidR="006B2FBE" w:rsidRPr="0058432E">
              <w:rPr>
                <w:color w:val="000000" w:themeColor="text1"/>
              </w:rPr>
              <w:t>5</w:t>
            </w:r>
            <w:r w:rsidRPr="0058432E">
              <w:rPr>
                <w:color w:val="000000" w:themeColor="text1"/>
              </w:rPr>
              <w:t> </w:t>
            </w:r>
            <w:r w:rsidR="006B2FBE" w:rsidRPr="0058432E">
              <w:rPr>
                <w:color w:val="000000" w:themeColor="text1"/>
              </w:rPr>
              <w:t>%)</w:t>
            </w:r>
          </w:p>
        </w:tc>
      </w:tr>
      <w:tr w:rsidR="006B2FBE" w:rsidRPr="0058432E" w14:paraId="129BF976" w14:textId="77777777" w:rsidTr="00A26BF3">
        <w:trPr>
          <w:cantSplit/>
        </w:trPr>
        <w:tc>
          <w:tcPr>
            <w:tcW w:w="9303" w:type="dxa"/>
            <w:gridSpan w:val="3"/>
            <w:tcBorders>
              <w:top w:val="single" w:sz="4" w:space="0" w:color="auto"/>
              <w:left w:val="nil"/>
              <w:bottom w:val="nil"/>
              <w:right w:val="nil"/>
            </w:tcBorders>
          </w:tcPr>
          <w:p w14:paraId="475583A4" w14:textId="77777777" w:rsidR="006B2FBE" w:rsidRPr="0058432E" w:rsidRDefault="006B2FBE" w:rsidP="00A26BF3">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MTX = m</w:t>
            </w:r>
            <w:r w:rsidR="00B06871" w:rsidRPr="0058432E">
              <w:rPr>
                <w:color w:val="000000" w:themeColor="text1"/>
                <w:sz w:val="20"/>
              </w:rPr>
              <w:t>é</w:t>
            </w:r>
            <w:r w:rsidRPr="0058432E">
              <w:rPr>
                <w:color w:val="000000" w:themeColor="text1"/>
                <w:sz w:val="20"/>
              </w:rPr>
              <w:t>thotrexate</w:t>
            </w:r>
          </w:p>
          <w:p w14:paraId="36A7F702" w14:textId="77777777" w:rsidR="006B2FBE" w:rsidRPr="0058432E" w:rsidRDefault="006B2FBE" w:rsidP="00A26BF3">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001F1C30" w:rsidRPr="0058432E">
              <w:rPr>
                <w:i/>
                <w:color w:val="000000" w:themeColor="text1"/>
                <w:sz w:val="20"/>
              </w:rPr>
              <w:t>p</w:t>
            </w:r>
            <w:r w:rsidRPr="0058432E">
              <w:rPr>
                <w:color w:val="000000" w:themeColor="text1"/>
                <w:sz w:val="20"/>
              </w:rPr>
              <w:t> = </w:t>
            </w:r>
            <w:r w:rsidR="00B06871" w:rsidRPr="0058432E">
              <w:rPr>
                <w:color w:val="000000" w:themeColor="text1"/>
                <w:sz w:val="20"/>
              </w:rPr>
              <w:t>0,027, adalimumab 0,</w:t>
            </w:r>
            <w:r w:rsidRPr="0058432E">
              <w:rPr>
                <w:color w:val="000000" w:themeColor="text1"/>
                <w:sz w:val="20"/>
              </w:rPr>
              <w:t xml:space="preserve">8 mg/kg </w:t>
            </w:r>
            <w:r w:rsidRPr="0058432E">
              <w:rPr>
                <w:i/>
                <w:color w:val="000000" w:themeColor="text1"/>
                <w:sz w:val="20"/>
              </w:rPr>
              <w:t>versus</w:t>
            </w:r>
            <w:r w:rsidRPr="0058432E">
              <w:rPr>
                <w:color w:val="000000" w:themeColor="text1"/>
                <w:sz w:val="20"/>
              </w:rPr>
              <w:t xml:space="preserve"> MTX</w:t>
            </w:r>
          </w:p>
          <w:p w14:paraId="64BBC5B1" w14:textId="77777777" w:rsidR="006B2FBE" w:rsidRPr="0058432E" w:rsidRDefault="006B2FBE" w:rsidP="00A26BF3">
            <w:pPr>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001F1C30" w:rsidRPr="0058432E">
              <w:rPr>
                <w:i/>
                <w:color w:val="000000" w:themeColor="text1"/>
                <w:sz w:val="20"/>
              </w:rPr>
              <w:t>p</w:t>
            </w:r>
            <w:r w:rsidRPr="0058432E">
              <w:rPr>
                <w:color w:val="000000" w:themeColor="text1"/>
                <w:sz w:val="20"/>
              </w:rPr>
              <w:t> = </w:t>
            </w:r>
            <w:r w:rsidR="00B06871" w:rsidRPr="0058432E">
              <w:rPr>
                <w:color w:val="000000" w:themeColor="text1"/>
                <w:sz w:val="20"/>
              </w:rPr>
              <w:t>0,083, adalimumab 0,</w:t>
            </w:r>
            <w:r w:rsidRPr="0058432E">
              <w:rPr>
                <w:color w:val="000000" w:themeColor="text1"/>
                <w:sz w:val="20"/>
              </w:rPr>
              <w:t xml:space="preserve">8 mg/kg </w:t>
            </w:r>
            <w:r w:rsidRPr="0058432E">
              <w:rPr>
                <w:i/>
                <w:color w:val="000000" w:themeColor="text1"/>
                <w:sz w:val="20"/>
              </w:rPr>
              <w:t>versus</w:t>
            </w:r>
            <w:r w:rsidRPr="0058432E">
              <w:rPr>
                <w:color w:val="000000" w:themeColor="text1"/>
                <w:sz w:val="20"/>
              </w:rPr>
              <w:t xml:space="preserve"> MTX</w:t>
            </w:r>
          </w:p>
        </w:tc>
      </w:tr>
    </w:tbl>
    <w:p w14:paraId="04BDD566" w14:textId="77777777" w:rsidR="006B2FBE" w:rsidRPr="0058432E" w:rsidRDefault="006B2FBE" w:rsidP="00B06871">
      <w:pPr>
        <w:rPr>
          <w:color w:val="000000" w:themeColor="text1"/>
        </w:rPr>
      </w:pPr>
    </w:p>
    <w:p w14:paraId="01B06002" w14:textId="77777777" w:rsidR="006B2FBE" w:rsidRPr="0058432E" w:rsidRDefault="00B06871" w:rsidP="00491257">
      <w:pPr>
        <w:pStyle w:val="BodyText"/>
        <w:kinsoku w:val="0"/>
        <w:overflowPunct w:val="0"/>
        <w:ind w:left="0"/>
        <w:rPr>
          <w:color w:val="000000" w:themeColor="text1"/>
        </w:rPr>
      </w:pPr>
      <w:r w:rsidRPr="0058432E">
        <w:rPr>
          <w:color w:val="000000" w:themeColor="text1"/>
        </w:rPr>
        <w:t>Chez les pati</w:t>
      </w:r>
      <w:r w:rsidR="005F1EE7" w:rsidRPr="0058432E">
        <w:rPr>
          <w:color w:val="000000" w:themeColor="text1"/>
        </w:rPr>
        <w:t>ents ayant obtenu un score PASI 75 et un score PGA « clair ou minimal </w:t>
      </w:r>
      <w:r w:rsidRPr="0058432E">
        <w:rPr>
          <w:color w:val="000000" w:themeColor="text1"/>
        </w:rPr>
        <w:t>», le traitement a été arrêté pend</w:t>
      </w:r>
      <w:r w:rsidR="005F1EE7" w:rsidRPr="0058432E">
        <w:rPr>
          <w:color w:val="000000" w:themeColor="text1"/>
        </w:rPr>
        <w:t>ant une durée allant jusqu’à 36 </w:t>
      </w:r>
      <w:r w:rsidRPr="0058432E">
        <w:rPr>
          <w:color w:val="000000" w:themeColor="text1"/>
        </w:rPr>
        <w:t>semaines et ils ont été suivis pour détecter une perte de contrôle de la maladie (c’est-à-di</w:t>
      </w:r>
      <w:r w:rsidR="005F1EE7" w:rsidRPr="0058432E">
        <w:rPr>
          <w:color w:val="000000" w:themeColor="text1"/>
        </w:rPr>
        <w:t>re une aggravation d’au moins 2 </w:t>
      </w:r>
      <w:r w:rsidRPr="0058432E">
        <w:rPr>
          <w:color w:val="000000" w:themeColor="text1"/>
        </w:rPr>
        <w:t>grades du score PGA). Les patients ont ensuite été retraités par l’adalim</w:t>
      </w:r>
      <w:r w:rsidR="005F1EE7" w:rsidRPr="0058432E">
        <w:rPr>
          <w:color w:val="000000" w:themeColor="text1"/>
        </w:rPr>
        <w:t>umab 0,8 </w:t>
      </w:r>
      <w:r w:rsidRPr="0058432E">
        <w:rPr>
          <w:color w:val="000000" w:themeColor="text1"/>
        </w:rPr>
        <w:t>mg/kg tout</w:t>
      </w:r>
      <w:r w:rsidR="005F1EE7" w:rsidRPr="0058432E">
        <w:rPr>
          <w:color w:val="000000" w:themeColor="text1"/>
        </w:rPr>
        <w:t>es les deux semaines pendant 16 </w:t>
      </w:r>
      <w:r w:rsidRPr="0058432E">
        <w:rPr>
          <w:color w:val="000000" w:themeColor="text1"/>
        </w:rPr>
        <w:t>semaines supplémentaires et les taux de réponse observés pendant le retraitement ont été comparables à ceux rapportés pendant la pha</w:t>
      </w:r>
      <w:r w:rsidR="005F1EE7" w:rsidRPr="0058432E">
        <w:rPr>
          <w:color w:val="000000" w:themeColor="text1"/>
        </w:rPr>
        <w:t>se en double aveugle antérieure : réponse PASI 75 chez 78,9 </w:t>
      </w:r>
      <w:r w:rsidRPr="0058432E">
        <w:rPr>
          <w:color w:val="000000" w:themeColor="text1"/>
        </w:rPr>
        <w:t>% des patients (15 sur 19) et score PGA «</w:t>
      </w:r>
      <w:r w:rsidR="005F1EE7" w:rsidRPr="0058432E">
        <w:rPr>
          <w:color w:val="000000" w:themeColor="text1"/>
        </w:rPr>
        <w:t> clair ou minimal » chez 52,6 </w:t>
      </w:r>
      <w:r w:rsidRPr="0058432E">
        <w:rPr>
          <w:color w:val="000000" w:themeColor="text1"/>
        </w:rPr>
        <w:t>% (10 sur 19)</w:t>
      </w:r>
      <w:r w:rsidR="006B2FBE" w:rsidRPr="0058432E">
        <w:rPr>
          <w:color w:val="000000" w:themeColor="text1"/>
        </w:rPr>
        <w:t>.</w:t>
      </w:r>
    </w:p>
    <w:p w14:paraId="665FD7CF" w14:textId="77777777" w:rsidR="006B2FBE" w:rsidRPr="0058432E" w:rsidRDefault="006B2FBE" w:rsidP="00A26BF3">
      <w:pPr>
        <w:pStyle w:val="BodyText"/>
        <w:widowControl/>
        <w:kinsoku w:val="0"/>
        <w:overflowPunct w:val="0"/>
        <w:ind w:left="0"/>
        <w:rPr>
          <w:color w:val="000000" w:themeColor="text1"/>
        </w:rPr>
      </w:pPr>
    </w:p>
    <w:p w14:paraId="05E70B0E" w14:textId="77777777" w:rsidR="006B2FBE" w:rsidRPr="0058432E" w:rsidRDefault="00A26BF3" w:rsidP="00491257">
      <w:pPr>
        <w:pStyle w:val="BodyText"/>
        <w:kinsoku w:val="0"/>
        <w:overflowPunct w:val="0"/>
        <w:ind w:left="0"/>
        <w:rPr>
          <w:color w:val="000000" w:themeColor="text1"/>
        </w:rPr>
      </w:pPr>
      <w:r w:rsidRPr="0058432E">
        <w:rPr>
          <w:color w:val="000000" w:themeColor="text1"/>
        </w:rPr>
        <w:t>Dans la phase en ouver</w:t>
      </w:r>
      <w:r w:rsidR="005F1EE7" w:rsidRPr="0058432E">
        <w:rPr>
          <w:color w:val="000000" w:themeColor="text1"/>
        </w:rPr>
        <w:t>t de l’étude, les réponses PASI 75 et PGA « clair ou minimal </w:t>
      </w:r>
      <w:r w:rsidRPr="0058432E">
        <w:rPr>
          <w:color w:val="000000" w:themeColor="text1"/>
        </w:rPr>
        <w:t>» ont été maintenues pendant une durée allant jusqu’à 52</w:t>
      </w:r>
      <w:r w:rsidR="005F1EE7" w:rsidRPr="0058432E">
        <w:rPr>
          <w:color w:val="000000" w:themeColor="text1"/>
        </w:rPr>
        <w:t> </w:t>
      </w:r>
      <w:r w:rsidRPr="0058432E">
        <w:rPr>
          <w:color w:val="000000" w:themeColor="text1"/>
        </w:rPr>
        <w:t>semaines supplémentaires sans nouveaux signaux de sécurité</w:t>
      </w:r>
      <w:r w:rsidR="006B2FBE" w:rsidRPr="0058432E">
        <w:rPr>
          <w:color w:val="000000" w:themeColor="text1"/>
        </w:rPr>
        <w:t>.</w:t>
      </w:r>
    </w:p>
    <w:p w14:paraId="0B9FBCF4" w14:textId="77777777" w:rsidR="006B2FBE" w:rsidRPr="0058432E" w:rsidRDefault="006B2FBE" w:rsidP="006B2FBE">
      <w:pPr>
        <w:pStyle w:val="BodyText"/>
        <w:widowControl/>
        <w:kinsoku w:val="0"/>
        <w:overflowPunct w:val="0"/>
        <w:ind w:left="0"/>
        <w:rPr>
          <w:color w:val="000000" w:themeColor="text1"/>
        </w:rPr>
      </w:pPr>
    </w:p>
    <w:p w14:paraId="0A209E35" w14:textId="77777777" w:rsidR="006B2FBE" w:rsidRPr="0058432E" w:rsidRDefault="00A26BF3" w:rsidP="00A26BF3">
      <w:pPr>
        <w:pStyle w:val="BodyText"/>
        <w:keepNext/>
        <w:widowControl/>
        <w:kinsoku w:val="0"/>
        <w:overflowPunct w:val="0"/>
        <w:ind w:left="0"/>
        <w:rPr>
          <w:i/>
          <w:iCs/>
          <w:color w:val="000000" w:themeColor="text1"/>
        </w:rPr>
      </w:pPr>
      <w:r w:rsidRPr="0058432E">
        <w:rPr>
          <w:i/>
          <w:iCs/>
          <w:color w:val="000000" w:themeColor="text1"/>
        </w:rPr>
        <w:t>Maladie de Crohn pédiatrique</w:t>
      </w:r>
    </w:p>
    <w:p w14:paraId="20620842" w14:textId="77777777" w:rsidR="006B2FBE" w:rsidRPr="0058432E" w:rsidRDefault="006B2FBE" w:rsidP="00A26BF3">
      <w:pPr>
        <w:pStyle w:val="BodyText"/>
        <w:keepNext/>
        <w:widowControl/>
        <w:kinsoku w:val="0"/>
        <w:overflowPunct w:val="0"/>
        <w:ind w:left="0"/>
        <w:rPr>
          <w:color w:val="000000" w:themeColor="text1"/>
        </w:rPr>
      </w:pPr>
    </w:p>
    <w:p w14:paraId="6BE39DDF" w14:textId="77777777" w:rsidR="006B2FBE" w:rsidRPr="0058432E" w:rsidRDefault="00A26BF3" w:rsidP="00491257">
      <w:pPr>
        <w:pStyle w:val="BodyText"/>
        <w:kinsoku w:val="0"/>
        <w:overflowPunct w:val="0"/>
        <w:ind w:left="0"/>
        <w:rPr>
          <w:color w:val="000000" w:themeColor="text1"/>
        </w:rPr>
      </w:pPr>
      <w:r w:rsidRPr="0058432E">
        <w:rPr>
          <w:color w:val="000000" w:themeColor="text1"/>
        </w:rPr>
        <w:t>Une étude clinique multicentrique, randomisé</w:t>
      </w:r>
      <w:r w:rsidR="005F1EE7" w:rsidRPr="0058432E">
        <w:rPr>
          <w:color w:val="000000" w:themeColor="text1"/>
        </w:rPr>
        <w:t>e, en double aveugle a évalué l’</w:t>
      </w:r>
      <w:r w:rsidRPr="0058432E">
        <w:rPr>
          <w:color w:val="000000" w:themeColor="text1"/>
        </w:rPr>
        <w:t xml:space="preserve">efficacité et la tolérance </w:t>
      </w:r>
      <w:r w:rsidR="005F1EE7" w:rsidRPr="0058432E">
        <w:rPr>
          <w:color w:val="000000" w:themeColor="text1"/>
        </w:rPr>
        <w:t>de l’adalimumab dans le traitement d’induction et le traitement d’</w:t>
      </w:r>
      <w:r w:rsidRPr="0058432E">
        <w:rPr>
          <w:color w:val="000000" w:themeColor="text1"/>
        </w:rPr>
        <w:t>entretien à des doses déterminées en fonction</w:t>
      </w:r>
      <w:r w:rsidR="005F1EE7" w:rsidRPr="0058432E">
        <w:rPr>
          <w:color w:val="000000" w:themeColor="text1"/>
        </w:rPr>
        <w:t xml:space="preserve"> du poids (&lt; 40 kg ou ≥ 40 kg) chez 192 patients pédiatriques âgés de 6 à 17 </w:t>
      </w:r>
      <w:r w:rsidRPr="0058432E">
        <w:rPr>
          <w:color w:val="000000" w:themeColor="text1"/>
        </w:rPr>
        <w:t xml:space="preserve">ans (inclus), présentant une maladie de Crohn (MC) modérée à </w:t>
      </w:r>
      <w:r w:rsidR="005F1EE7" w:rsidRPr="0058432E">
        <w:rPr>
          <w:color w:val="000000" w:themeColor="text1"/>
        </w:rPr>
        <w:t>sévère, définie par un indice d’</w:t>
      </w:r>
      <w:r w:rsidRPr="0058432E">
        <w:rPr>
          <w:color w:val="000000" w:themeColor="text1"/>
        </w:rPr>
        <w:t>activit</w:t>
      </w:r>
      <w:r w:rsidR="005F1EE7" w:rsidRPr="0058432E">
        <w:rPr>
          <w:color w:val="000000" w:themeColor="text1"/>
        </w:rPr>
        <w:t>é de la maladie de Crohn chez l’</w:t>
      </w:r>
      <w:r w:rsidRPr="0058432E">
        <w:rPr>
          <w:color w:val="000000" w:themeColor="text1"/>
        </w:rPr>
        <w:t>enfant (</w:t>
      </w:r>
      <w:r w:rsidR="005F1EE7" w:rsidRPr="0058432E">
        <w:rPr>
          <w:i/>
          <w:color w:val="000000" w:themeColor="text1"/>
        </w:rPr>
        <w:t>Paediatric Crohn’</w:t>
      </w:r>
      <w:r w:rsidRPr="0058432E">
        <w:rPr>
          <w:i/>
          <w:color w:val="000000" w:themeColor="text1"/>
        </w:rPr>
        <w:t>s Disease Activity Index</w:t>
      </w:r>
      <w:r w:rsidR="005F1EE7" w:rsidRPr="0058432E">
        <w:rPr>
          <w:color w:val="000000" w:themeColor="text1"/>
        </w:rPr>
        <w:t xml:space="preserve"> [PCDAI]) &gt; </w:t>
      </w:r>
      <w:r w:rsidRPr="0058432E">
        <w:rPr>
          <w:color w:val="000000" w:themeColor="text1"/>
        </w:rPr>
        <w:t>30. Les patients devaient ne pas avoir répondu à un traitement conventionnel de la MC (comprenant un corticoïde et/ou un immunomodulateur). Les patients pouvaient également ne plus répondre ou être intolérants à l</w:t>
      </w:r>
      <w:r w:rsidR="005F1EE7" w:rsidRPr="0058432E">
        <w:rPr>
          <w:color w:val="000000" w:themeColor="text1"/>
        </w:rPr>
        <w:t>’</w:t>
      </w:r>
      <w:r w:rsidRPr="0058432E">
        <w:rPr>
          <w:color w:val="000000" w:themeColor="text1"/>
        </w:rPr>
        <w:t>infliximab</w:t>
      </w:r>
      <w:r w:rsidR="006B2FBE" w:rsidRPr="0058432E">
        <w:rPr>
          <w:color w:val="000000" w:themeColor="text1"/>
        </w:rPr>
        <w:t>.</w:t>
      </w:r>
    </w:p>
    <w:p w14:paraId="162C624F" w14:textId="77777777" w:rsidR="006B2FBE" w:rsidRPr="0058432E" w:rsidRDefault="006B2FBE" w:rsidP="00A26BF3">
      <w:pPr>
        <w:pStyle w:val="BodyText"/>
        <w:widowControl/>
        <w:kinsoku w:val="0"/>
        <w:overflowPunct w:val="0"/>
        <w:ind w:left="0"/>
        <w:rPr>
          <w:color w:val="000000" w:themeColor="text1"/>
        </w:rPr>
      </w:pPr>
    </w:p>
    <w:p w14:paraId="3FC43290" w14:textId="77777777" w:rsidR="006B2FBE" w:rsidRPr="0058432E" w:rsidRDefault="00A26BF3" w:rsidP="00491257">
      <w:pPr>
        <w:pStyle w:val="BodyText"/>
        <w:kinsoku w:val="0"/>
        <w:overflowPunct w:val="0"/>
        <w:ind w:left="0"/>
        <w:rPr>
          <w:color w:val="000000" w:themeColor="text1"/>
        </w:rPr>
      </w:pPr>
      <w:r w:rsidRPr="0058432E">
        <w:rPr>
          <w:color w:val="000000" w:themeColor="text1"/>
        </w:rPr>
        <w:t>Tous les patie</w:t>
      </w:r>
      <w:r w:rsidR="005F1EE7" w:rsidRPr="0058432E">
        <w:rPr>
          <w:color w:val="000000" w:themeColor="text1"/>
        </w:rPr>
        <w:t>nts ont reçu un traitement d’</w:t>
      </w:r>
      <w:r w:rsidRPr="0058432E">
        <w:rPr>
          <w:color w:val="000000" w:themeColor="text1"/>
        </w:rPr>
        <w:t>induction en ouvert à une dose déterminée en fonction de leur poids initial</w:t>
      </w:r>
      <w:r w:rsidR="005F1EE7" w:rsidRPr="0058432E">
        <w:rPr>
          <w:color w:val="000000" w:themeColor="text1"/>
        </w:rPr>
        <w:t> : 160 mg à la semaine 0 et 80 mg à la semaine 2 pour les patients de poids ≥ 40 kg et respectivement 80 mg et 40 mg pour les patients de poids &lt; 40 </w:t>
      </w:r>
      <w:r w:rsidRPr="0058432E">
        <w:rPr>
          <w:color w:val="000000" w:themeColor="text1"/>
        </w:rPr>
        <w:t>kg</w:t>
      </w:r>
      <w:r w:rsidR="006B2FBE" w:rsidRPr="0058432E">
        <w:rPr>
          <w:color w:val="000000" w:themeColor="text1"/>
        </w:rPr>
        <w:t>.</w:t>
      </w:r>
    </w:p>
    <w:p w14:paraId="64D48B30" w14:textId="77777777" w:rsidR="006B2FBE" w:rsidRPr="0058432E" w:rsidRDefault="006B2FBE" w:rsidP="00A26BF3">
      <w:pPr>
        <w:pStyle w:val="BodyText"/>
        <w:widowControl/>
        <w:kinsoku w:val="0"/>
        <w:overflowPunct w:val="0"/>
        <w:ind w:left="0"/>
        <w:rPr>
          <w:color w:val="000000" w:themeColor="text1"/>
        </w:rPr>
      </w:pPr>
    </w:p>
    <w:p w14:paraId="48EC9837" w14:textId="77777777" w:rsidR="006B2FBE" w:rsidRPr="0058432E" w:rsidRDefault="00A26BF3" w:rsidP="00491257">
      <w:pPr>
        <w:pStyle w:val="BodyText"/>
        <w:kinsoku w:val="0"/>
        <w:overflowPunct w:val="0"/>
        <w:ind w:left="0"/>
        <w:rPr>
          <w:color w:val="000000" w:themeColor="text1"/>
        </w:rPr>
      </w:pPr>
      <w:r w:rsidRPr="0058432E">
        <w:rPr>
          <w:color w:val="000000" w:themeColor="text1"/>
        </w:rPr>
        <w:t>À la semaine</w:t>
      </w:r>
      <w:r w:rsidR="005F1EE7" w:rsidRPr="0058432E">
        <w:rPr>
          <w:color w:val="000000" w:themeColor="text1"/>
        </w:rPr>
        <w:t> </w:t>
      </w:r>
      <w:r w:rsidRPr="0058432E">
        <w:rPr>
          <w:color w:val="000000" w:themeColor="text1"/>
        </w:rPr>
        <w:t>4, les patients ont été randomisés selon un rapport 1/1, en fonction de leur poids à cette date, pour r</w:t>
      </w:r>
      <w:r w:rsidR="005F1EE7" w:rsidRPr="0058432E">
        <w:rPr>
          <w:color w:val="000000" w:themeColor="text1"/>
        </w:rPr>
        <w:t>ecevoir le schéma posologique d’</w:t>
      </w:r>
      <w:r w:rsidRPr="0058432E">
        <w:rPr>
          <w:color w:val="000000" w:themeColor="text1"/>
        </w:rPr>
        <w:t xml:space="preserve">entretien soit à dose faible soit à dose standard, comme le </w:t>
      </w:r>
      <w:r w:rsidR="005F1EE7" w:rsidRPr="0058432E">
        <w:rPr>
          <w:color w:val="000000" w:themeColor="text1"/>
        </w:rPr>
        <w:t>montre le tableau </w:t>
      </w:r>
      <w:r w:rsidRPr="0058432E">
        <w:rPr>
          <w:color w:val="000000" w:themeColor="text1"/>
        </w:rPr>
        <w:t>20</w:t>
      </w:r>
      <w:r w:rsidR="006B2FBE" w:rsidRPr="0058432E">
        <w:rPr>
          <w:color w:val="000000" w:themeColor="text1"/>
        </w:rPr>
        <w:t>.</w:t>
      </w:r>
    </w:p>
    <w:p w14:paraId="37983F69" w14:textId="77777777" w:rsidR="006B2FBE" w:rsidRPr="0058432E" w:rsidRDefault="006B2FBE" w:rsidP="00A26BF3">
      <w:pPr>
        <w:pStyle w:val="BodyText"/>
        <w:widowControl/>
        <w:kinsoku w:val="0"/>
        <w:overflowPunct w:val="0"/>
        <w:ind w:left="0"/>
        <w:jc w:val="center"/>
        <w:rPr>
          <w:color w:val="000000" w:themeColor="text1"/>
        </w:rPr>
      </w:pPr>
    </w:p>
    <w:p w14:paraId="66C57948" w14:textId="77777777" w:rsidR="009035FD" w:rsidRPr="0058432E" w:rsidRDefault="006B2FBE" w:rsidP="006B2FBE">
      <w:pPr>
        <w:keepNext/>
        <w:rPr>
          <w:b/>
          <w:color w:val="000000" w:themeColor="text1"/>
        </w:rPr>
      </w:pPr>
      <w:r w:rsidRPr="0058432E">
        <w:rPr>
          <w:b/>
          <w:color w:val="000000" w:themeColor="text1"/>
        </w:rPr>
        <w:t>Table</w:t>
      </w:r>
      <w:r w:rsidR="00A26BF3" w:rsidRPr="0058432E">
        <w:rPr>
          <w:b/>
          <w:color w:val="000000" w:themeColor="text1"/>
        </w:rPr>
        <w:t>au </w:t>
      </w:r>
      <w:r w:rsidRPr="0058432E">
        <w:rPr>
          <w:b/>
          <w:color w:val="000000" w:themeColor="text1"/>
        </w:rPr>
        <w:t>20</w:t>
      </w:r>
      <w:r w:rsidR="00A26BF3" w:rsidRPr="0058432E">
        <w:rPr>
          <w:b/>
          <w:color w:val="000000" w:themeColor="text1"/>
        </w:rPr>
        <w:t>.</w:t>
      </w:r>
    </w:p>
    <w:p w14:paraId="40CAACB4" w14:textId="77777777" w:rsidR="006B2FBE" w:rsidRPr="0058432E" w:rsidRDefault="005F1EE7" w:rsidP="006B2FBE">
      <w:pPr>
        <w:keepNext/>
        <w:rPr>
          <w:b/>
          <w:color w:val="000000" w:themeColor="text1"/>
        </w:rPr>
      </w:pPr>
      <w:r w:rsidRPr="0058432E">
        <w:rPr>
          <w:b/>
          <w:color w:val="000000" w:themeColor="text1"/>
        </w:rPr>
        <w:t>Schéma posologique d’</w:t>
      </w:r>
      <w:r w:rsidR="00A26BF3" w:rsidRPr="0058432E">
        <w:rPr>
          <w:b/>
          <w:color w:val="000000" w:themeColor="text1"/>
        </w:rPr>
        <w:t>entretien</w:t>
      </w:r>
    </w:p>
    <w:p w14:paraId="3A503E4C" w14:textId="77777777" w:rsidR="006B2FBE" w:rsidRPr="0058432E" w:rsidRDefault="006B2FBE" w:rsidP="006B2FBE">
      <w:pPr>
        <w:keepNext/>
        <w:jc w:val="center"/>
        <w:rPr>
          <w:b/>
          <w:bCs/>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6B2FBE" w:rsidRPr="0058432E" w14:paraId="3EA79979" w14:textId="77777777" w:rsidTr="00A26BF3">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3372B956" w14:textId="77777777" w:rsidR="006B2FBE" w:rsidRPr="0058432E" w:rsidRDefault="00A26BF3" w:rsidP="00A26BF3">
            <w:pPr>
              <w:pStyle w:val="TableParagraph"/>
              <w:keepNext/>
              <w:widowControl/>
              <w:kinsoku w:val="0"/>
              <w:overflowPunct w:val="0"/>
              <w:ind w:left="102" w:right="188"/>
              <w:jc w:val="center"/>
              <w:rPr>
                <w:rFonts w:ascii="Times New Roman" w:hAnsi="Times New Roman"/>
                <w:color w:val="000000" w:themeColor="text1"/>
              </w:rPr>
            </w:pPr>
            <w:r w:rsidRPr="0058432E">
              <w:rPr>
                <w:rFonts w:ascii="Times New Roman" w:hAnsi="Times New Roman"/>
                <w:b/>
                <w:bCs/>
                <w:color w:val="000000" w:themeColor="text1"/>
              </w:rPr>
              <w:t>Poids du patient</w:t>
            </w:r>
          </w:p>
        </w:tc>
        <w:tc>
          <w:tcPr>
            <w:tcW w:w="2321" w:type="dxa"/>
            <w:tcBorders>
              <w:top w:val="single" w:sz="4" w:space="0" w:color="000000"/>
              <w:left w:val="single" w:sz="4" w:space="0" w:color="000000"/>
              <w:bottom w:val="single" w:sz="4" w:space="0" w:color="000000"/>
              <w:right w:val="single" w:sz="4" w:space="0" w:color="000000"/>
            </w:tcBorders>
          </w:tcPr>
          <w:p w14:paraId="533CD5E8" w14:textId="77777777" w:rsidR="006B2FBE" w:rsidRPr="0058432E" w:rsidRDefault="00A26BF3" w:rsidP="00A26BF3">
            <w:pPr>
              <w:pStyle w:val="TableParagraph"/>
              <w:keepNext/>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b/>
                <w:bCs/>
                <w:color w:val="000000" w:themeColor="text1"/>
              </w:rPr>
              <w:t>Dose faible</w:t>
            </w:r>
          </w:p>
        </w:tc>
        <w:tc>
          <w:tcPr>
            <w:tcW w:w="2318" w:type="dxa"/>
            <w:tcBorders>
              <w:top w:val="single" w:sz="4" w:space="0" w:color="000000"/>
              <w:left w:val="single" w:sz="4" w:space="0" w:color="000000"/>
              <w:bottom w:val="single" w:sz="4" w:space="0" w:color="000000"/>
              <w:right w:val="single" w:sz="4" w:space="0" w:color="000000"/>
            </w:tcBorders>
          </w:tcPr>
          <w:p w14:paraId="5FE711ED" w14:textId="77777777" w:rsidR="006B2FBE" w:rsidRPr="0058432E" w:rsidRDefault="005F1EE7" w:rsidP="00757BCE">
            <w:pPr>
              <w:pStyle w:val="TableParagraph"/>
              <w:keepNext/>
              <w:widowControl/>
              <w:kinsoku w:val="0"/>
              <w:overflowPunct w:val="0"/>
              <w:ind w:left="102" w:right="213"/>
              <w:jc w:val="center"/>
              <w:rPr>
                <w:rFonts w:ascii="Times New Roman" w:hAnsi="Times New Roman"/>
                <w:color w:val="000000" w:themeColor="text1"/>
              </w:rPr>
            </w:pPr>
            <w:r w:rsidRPr="0058432E">
              <w:rPr>
                <w:rFonts w:ascii="Times New Roman" w:hAnsi="Times New Roman"/>
                <w:b/>
                <w:bCs/>
                <w:color w:val="000000" w:themeColor="text1"/>
              </w:rPr>
              <w:t>Dose standard</w:t>
            </w:r>
          </w:p>
        </w:tc>
      </w:tr>
      <w:tr w:rsidR="006B2FBE" w:rsidRPr="0058432E" w14:paraId="0BE68239" w14:textId="77777777" w:rsidTr="00A26BF3">
        <w:trPr>
          <w:cantSplit/>
        </w:trPr>
        <w:tc>
          <w:tcPr>
            <w:tcW w:w="2639" w:type="dxa"/>
            <w:tcBorders>
              <w:top w:val="single" w:sz="4" w:space="0" w:color="000000"/>
              <w:left w:val="single" w:sz="4" w:space="0" w:color="000000"/>
              <w:bottom w:val="single" w:sz="4" w:space="0" w:color="000000"/>
              <w:right w:val="single" w:sz="4" w:space="0" w:color="000000"/>
            </w:tcBorders>
          </w:tcPr>
          <w:p w14:paraId="3EB791C5" w14:textId="77777777" w:rsidR="006B2FBE" w:rsidRPr="0058432E" w:rsidRDefault="006B2FBE" w:rsidP="00A26BF3">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&lt; 40 kg</w:t>
            </w:r>
          </w:p>
        </w:tc>
        <w:tc>
          <w:tcPr>
            <w:tcW w:w="2321" w:type="dxa"/>
            <w:tcBorders>
              <w:top w:val="single" w:sz="4" w:space="0" w:color="000000"/>
              <w:left w:val="single" w:sz="4" w:space="0" w:color="000000"/>
              <w:bottom w:val="single" w:sz="4" w:space="0" w:color="000000"/>
              <w:right w:val="single" w:sz="4" w:space="0" w:color="000000"/>
            </w:tcBorders>
          </w:tcPr>
          <w:p w14:paraId="2360121A" w14:textId="77777777" w:rsidR="006B2FBE" w:rsidRPr="0058432E" w:rsidRDefault="006B2FBE" w:rsidP="00A26BF3">
            <w:pPr>
              <w:pStyle w:val="TableParagraph"/>
              <w:widowControl/>
              <w:kinsoku w:val="0"/>
              <w:overflowPunct w:val="0"/>
              <w:spacing w:line="249" w:lineRule="exact"/>
              <w:ind w:left="100"/>
              <w:jc w:val="center"/>
              <w:rPr>
                <w:rFonts w:ascii="Times New Roman" w:hAnsi="Times New Roman"/>
                <w:color w:val="000000" w:themeColor="text1"/>
              </w:rPr>
            </w:pPr>
            <w:r w:rsidRPr="0058432E">
              <w:rPr>
                <w:rFonts w:ascii="Times New Roman" w:hAnsi="Times New Roman"/>
                <w:color w:val="000000" w:themeColor="text1"/>
              </w:rPr>
              <w:t xml:space="preserve">10 mg </w:t>
            </w:r>
            <w:r w:rsidR="00A26BF3" w:rsidRPr="0058432E">
              <w:rPr>
                <w:rFonts w:ascii="Times New Roman" w:hAnsi="Times New Roman"/>
                <w:color w:val="000000" w:themeColor="text1"/>
              </w:rPr>
              <w:t>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37A339A0" w14:textId="77777777" w:rsidR="006B2FBE" w:rsidRPr="0058432E" w:rsidRDefault="006B2FBE" w:rsidP="00A26BF3">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 xml:space="preserve">20 mg </w:t>
            </w:r>
            <w:r w:rsidR="00A26BF3" w:rsidRPr="0058432E">
              <w:rPr>
                <w:rFonts w:ascii="Times New Roman" w:hAnsi="Times New Roman"/>
                <w:color w:val="000000" w:themeColor="text1"/>
              </w:rPr>
              <w:t>toutes les deux semaines</w:t>
            </w:r>
          </w:p>
        </w:tc>
      </w:tr>
      <w:tr w:rsidR="006B2FBE" w:rsidRPr="0058432E" w14:paraId="0679CA25" w14:textId="77777777" w:rsidTr="00A26BF3">
        <w:trPr>
          <w:cantSplit/>
        </w:trPr>
        <w:tc>
          <w:tcPr>
            <w:tcW w:w="2639" w:type="dxa"/>
            <w:tcBorders>
              <w:top w:val="single" w:sz="4" w:space="0" w:color="000000"/>
              <w:left w:val="single" w:sz="4" w:space="0" w:color="000000"/>
              <w:bottom w:val="single" w:sz="4" w:space="0" w:color="000000"/>
              <w:right w:val="single" w:sz="4" w:space="0" w:color="000000"/>
            </w:tcBorders>
          </w:tcPr>
          <w:p w14:paraId="251E890B" w14:textId="77777777" w:rsidR="006B2FBE" w:rsidRPr="0058432E" w:rsidRDefault="006B2FBE" w:rsidP="00A26BF3">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 40 kg</w:t>
            </w:r>
          </w:p>
        </w:tc>
        <w:tc>
          <w:tcPr>
            <w:tcW w:w="2321" w:type="dxa"/>
            <w:tcBorders>
              <w:top w:val="single" w:sz="4" w:space="0" w:color="000000"/>
              <w:left w:val="single" w:sz="4" w:space="0" w:color="000000"/>
              <w:bottom w:val="single" w:sz="4" w:space="0" w:color="000000"/>
              <w:right w:val="single" w:sz="4" w:space="0" w:color="000000"/>
            </w:tcBorders>
          </w:tcPr>
          <w:p w14:paraId="1F7C37A6" w14:textId="77777777" w:rsidR="006B2FBE" w:rsidRPr="0058432E" w:rsidRDefault="006B2FBE" w:rsidP="00A26BF3">
            <w:pPr>
              <w:pStyle w:val="TableParagraph"/>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color w:val="000000" w:themeColor="text1"/>
              </w:rPr>
              <w:t xml:space="preserve">20 mg </w:t>
            </w:r>
            <w:r w:rsidR="00A26BF3" w:rsidRPr="0058432E">
              <w:rPr>
                <w:rFonts w:ascii="Times New Roman" w:hAnsi="Times New Roman"/>
                <w:color w:val="000000" w:themeColor="text1"/>
              </w:rPr>
              <w:t>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7B6FAE2C" w14:textId="77777777" w:rsidR="006B2FBE" w:rsidRPr="0058432E" w:rsidRDefault="006B2FBE" w:rsidP="00A26BF3">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 xml:space="preserve">40 mg </w:t>
            </w:r>
            <w:r w:rsidR="00A26BF3" w:rsidRPr="0058432E">
              <w:rPr>
                <w:rFonts w:ascii="Times New Roman" w:hAnsi="Times New Roman"/>
                <w:color w:val="000000" w:themeColor="text1"/>
              </w:rPr>
              <w:t>toutes les deux semaines</w:t>
            </w:r>
          </w:p>
        </w:tc>
      </w:tr>
    </w:tbl>
    <w:p w14:paraId="094CA02C" w14:textId="77777777" w:rsidR="006B2FBE" w:rsidRPr="0058432E" w:rsidRDefault="006B2FBE" w:rsidP="006B2FBE">
      <w:pPr>
        <w:pStyle w:val="BodyText"/>
        <w:widowControl/>
        <w:kinsoku w:val="0"/>
        <w:overflowPunct w:val="0"/>
        <w:ind w:left="0"/>
        <w:rPr>
          <w:bCs/>
          <w:color w:val="000000" w:themeColor="text1"/>
        </w:rPr>
      </w:pPr>
    </w:p>
    <w:p w14:paraId="5BA96A56" w14:textId="77777777" w:rsidR="006B2FBE" w:rsidRPr="0058432E" w:rsidRDefault="00A26BF3" w:rsidP="006B2FBE">
      <w:pPr>
        <w:pStyle w:val="BodyText"/>
        <w:keepNext/>
        <w:widowControl/>
        <w:kinsoku w:val="0"/>
        <w:overflowPunct w:val="0"/>
        <w:ind w:left="0"/>
        <w:rPr>
          <w:color w:val="000000" w:themeColor="text1"/>
        </w:rPr>
      </w:pPr>
      <w:r w:rsidRPr="0058432E">
        <w:rPr>
          <w:i/>
          <w:iCs/>
          <w:color w:val="000000" w:themeColor="text1"/>
          <w:u w:val="single"/>
        </w:rPr>
        <w:t>Résultats d'efficacité</w:t>
      </w:r>
    </w:p>
    <w:p w14:paraId="0D61417B" w14:textId="77777777" w:rsidR="006B2FBE" w:rsidRPr="0058432E" w:rsidRDefault="006B2FBE" w:rsidP="00A26BF3">
      <w:pPr>
        <w:pStyle w:val="BodyText"/>
        <w:keepNext/>
        <w:widowControl/>
        <w:kinsoku w:val="0"/>
        <w:overflowPunct w:val="0"/>
        <w:ind w:left="0"/>
        <w:rPr>
          <w:i/>
          <w:iCs/>
          <w:color w:val="000000" w:themeColor="text1"/>
        </w:rPr>
      </w:pPr>
    </w:p>
    <w:p w14:paraId="6719D629" w14:textId="77777777" w:rsidR="006B2FBE" w:rsidRPr="0058432E" w:rsidRDefault="00A26BF3" w:rsidP="00491257">
      <w:pPr>
        <w:pStyle w:val="BodyText"/>
        <w:kinsoku w:val="0"/>
        <w:overflowPunct w:val="0"/>
        <w:ind w:left="0"/>
        <w:rPr>
          <w:color w:val="000000" w:themeColor="text1"/>
        </w:rPr>
      </w:pPr>
      <w:r w:rsidRPr="0058432E">
        <w:rPr>
          <w:color w:val="000000" w:themeColor="text1"/>
        </w:rPr>
        <w:t>Le cri</w:t>
      </w:r>
      <w:r w:rsidR="005F1EE7" w:rsidRPr="0058432E">
        <w:rPr>
          <w:color w:val="000000" w:themeColor="text1"/>
        </w:rPr>
        <w:t>tère d’évaluation principal de l’</w:t>
      </w:r>
      <w:r w:rsidRPr="0058432E">
        <w:rPr>
          <w:color w:val="000000" w:themeColor="text1"/>
        </w:rPr>
        <w:t xml:space="preserve">étude était la </w:t>
      </w:r>
      <w:r w:rsidR="005F1EE7" w:rsidRPr="0058432E">
        <w:rPr>
          <w:color w:val="000000" w:themeColor="text1"/>
        </w:rPr>
        <w:t>rémission clinique à la semaine </w:t>
      </w:r>
      <w:r w:rsidRPr="0058432E">
        <w:rPr>
          <w:color w:val="000000" w:themeColor="text1"/>
        </w:rPr>
        <w:t>2</w:t>
      </w:r>
      <w:r w:rsidR="005F1EE7" w:rsidRPr="0058432E">
        <w:rPr>
          <w:color w:val="000000" w:themeColor="text1"/>
        </w:rPr>
        <w:t>6, définie par un score PCDAI ≤ </w:t>
      </w:r>
      <w:r w:rsidRPr="0058432E">
        <w:rPr>
          <w:color w:val="000000" w:themeColor="text1"/>
        </w:rPr>
        <w:t>10</w:t>
      </w:r>
      <w:r w:rsidR="006B2FBE" w:rsidRPr="0058432E">
        <w:rPr>
          <w:color w:val="000000" w:themeColor="text1"/>
        </w:rPr>
        <w:t>.</w:t>
      </w:r>
    </w:p>
    <w:p w14:paraId="6539D1DD" w14:textId="77777777" w:rsidR="006B2FBE" w:rsidRPr="0058432E" w:rsidRDefault="006B2FBE" w:rsidP="00A26BF3">
      <w:pPr>
        <w:pStyle w:val="BodyText"/>
        <w:widowControl/>
        <w:kinsoku w:val="0"/>
        <w:overflowPunct w:val="0"/>
        <w:ind w:left="0"/>
        <w:rPr>
          <w:color w:val="000000" w:themeColor="text1"/>
        </w:rPr>
      </w:pPr>
    </w:p>
    <w:p w14:paraId="7634E57F" w14:textId="77777777" w:rsidR="006B2FBE" w:rsidRPr="0058432E" w:rsidRDefault="00A26BF3" w:rsidP="00491257">
      <w:pPr>
        <w:pStyle w:val="BodyText"/>
        <w:kinsoku w:val="0"/>
        <w:overflowPunct w:val="0"/>
        <w:ind w:left="0"/>
        <w:rPr>
          <w:color w:val="000000" w:themeColor="text1"/>
        </w:rPr>
      </w:pPr>
      <w:r w:rsidRPr="0058432E">
        <w:rPr>
          <w:color w:val="000000" w:themeColor="text1"/>
        </w:rPr>
        <w:t>Les taux de rémission clinique et de réponse clinique (définie par</w:t>
      </w:r>
      <w:r w:rsidR="005F1EE7" w:rsidRPr="0058432E">
        <w:rPr>
          <w:color w:val="000000" w:themeColor="text1"/>
        </w:rPr>
        <w:t xml:space="preserve"> une réduction du score PCDAI d’au moins 15 </w:t>
      </w:r>
      <w:r w:rsidRPr="0058432E">
        <w:rPr>
          <w:color w:val="000000" w:themeColor="text1"/>
        </w:rPr>
        <w:t>points par rapport à la valeur initiale)</w:t>
      </w:r>
      <w:r w:rsidR="005F1EE7" w:rsidRPr="0058432E">
        <w:rPr>
          <w:color w:val="000000" w:themeColor="text1"/>
        </w:rPr>
        <w:t xml:space="preserve"> sont présentés dans le tableau </w:t>
      </w:r>
      <w:r w:rsidRPr="0058432E">
        <w:rPr>
          <w:color w:val="000000" w:themeColor="text1"/>
        </w:rPr>
        <w:t>21. Les taux d</w:t>
      </w:r>
      <w:r w:rsidR="005F1EE7" w:rsidRPr="0058432E">
        <w:rPr>
          <w:color w:val="000000" w:themeColor="text1"/>
        </w:rPr>
        <w:t>’</w:t>
      </w:r>
      <w:r w:rsidRPr="0058432E">
        <w:rPr>
          <w:color w:val="000000" w:themeColor="text1"/>
        </w:rPr>
        <w:t>arrêt des corticoïdes ou des immunomodulateurs</w:t>
      </w:r>
      <w:r w:rsidR="005F1EE7" w:rsidRPr="0058432E">
        <w:rPr>
          <w:color w:val="000000" w:themeColor="text1"/>
        </w:rPr>
        <w:t xml:space="preserve"> sont présentés dans le tableau </w:t>
      </w:r>
      <w:r w:rsidRPr="0058432E">
        <w:rPr>
          <w:color w:val="000000" w:themeColor="text1"/>
        </w:rPr>
        <w:t>22</w:t>
      </w:r>
      <w:r w:rsidR="006B2FBE" w:rsidRPr="0058432E">
        <w:rPr>
          <w:color w:val="000000" w:themeColor="text1"/>
        </w:rPr>
        <w:t>.</w:t>
      </w:r>
    </w:p>
    <w:p w14:paraId="66552DA6" w14:textId="77777777" w:rsidR="006B2FBE" w:rsidRPr="0058432E" w:rsidRDefault="006B2FBE" w:rsidP="006B2FBE">
      <w:pPr>
        <w:pStyle w:val="BodyText"/>
        <w:widowControl/>
        <w:kinsoku w:val="0"/>
        <w:overflowPunct w:val="0"/>
        <w:ind w:left="0"/>
        <w:rPr>
          <w:color w:val="000000" w:themeColor="text1"/>
        </w:rPr>
      </w:pPr>
    </w:p>
    <w:p w14:paraId="6CC52486" w14:textId="77777777" w:rsidR="009035FD" w:rsidRPr="0058432E" w:rsidRDefault="006B2FBE" w:rsidP="006B2FBE">
      <w:pPr>
        <w:keepNext/>
        <w:rPr>
          <w:b/>
          <w:color w:val="000000" w:themeColor="text1"/>
        </w:rPr>
      </w:pPr>
      <w:r w:rsidRPr="0058432E">
        <w:rPr>
          <w:b/>
          <w:color w:val="000000" w:themeColor="text1"/>
        </w:rPr>
        <w:t>Table</w:t>
      </w:r>
      <w:r w:rsidR="00A26BF3" w:rsidRPr="0058432E">
        <w:rPr>
          <w:b/>
          <w:color w:val="000000" w:themeColor="text1"/>
        </w:rPr>
        <w:t>au</w:t>
      </w:r>
      <w:r w:rsidR="005F1EE7" w:rsidRPr="0058432E">
        <w:rPr>
          <w:b/>
          <w:color w:val="000000" w:themeColor="text1"/>
        </w:rPr>
        <w:t> </w:t>
      </w:r>
      <w:r w:rsidRPr="0058432E">
        <w:rPr>
          <w:b/>
          <w:color w:val="000000" w:themeColor="text1"/>
        </w:rPr>
        <w:t>21.</w:t>
      </w:r>
    </w:p>
    <w:p w14:paraId="6217261C" w14:textId="77777777" w:rsidR="006B2FBE" w:rsidRPr="0058432E" w:rsidRDefault="00A26BF3" w:rsidP="006B2FBE">
      <w:pPr>
        <w:keepNext/>
        <w:rPr>
          <w:b/>
          <w:color w:val="000000" w:themeColor="text1"/>
        </w:rPr>
      </w:pPr>
      <w:r w:rsidRPr="0058432E">
        <w:rPr>
          <w:b/>
          <w:color w:val="000000" w:themeColor="text1"/>
        </w:rPr>
        <w:t>Étude sur la MC pédiatrique</w:t>
      </w:r>
      <w:r w:rsidR="005F1EE7" w:rsidRPr="0058432E">
        <w:rPr>
          <w:b/>
          <w:color w:val="000000" w:themeColor="text1"/>
        </w:rPr>
        <w:t> — </w:t>
      </w:r>
      <w:r w:rsidRPr="0058432E">
        <w:rPr>
          <w:b/>
          <w:color w:val="000000" w:themeColor="text1"/>
        </w:rPr>
        <w:t>Rémission et réponse cliniques (PCDAI)</w:t>
      </w:r>
    </w:p>
    <w:p w14:paraId="2D1DDCB6" w14:textId="77777777" w:rsidR="006B2FBE" w:rsidRPr="0058432E" w:rsidRDefault="006B2FBE" w:rsidP="006B2FBE">
      <w:pPr>
        <w:keepNext/>
        <w:jc w:val="center"/>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66"/>
        <w:gridCol w:w="2266"/>
        <w:gridCol w:w="2256"/>
      </w:tblGrid>
      <w:tr w:rsidR="006B2FBE" w:rsidRPr="0058432E" w14:paraId="03CE619E" w14:textId="77777777" w:rsidTr="00A26BF3">
        <w:trPr>
          <w:tblHeader/>
        </w:trPr>
        <w:tc>
          <w:tcPr>
            <w:tcW w:w="2325" w:type="dxa"/>
            <w:tcBorders>
              <w:top w:val="single" w:sz="4" w:space="0" w:color="auto"/>
              <w:left w:val="single" w:sz="4" w:space="0" w:color="auto"/>
              <w:bottom w:val="single" w:sz="4" w:space="0" w:color="auto"/>
              <w:right w:val="single" w:sz="4" w:space="0" w:color="auto"/>
            </w:tcBorders>
          </w:tcPr>
          <w:p w14:paraId="6DA8F21A" w14:textId="77777777" w:rsidR="006B2FBE" w:rsidRPr="0058432E" w:rsidRDefault="006B2FBE" w:rsidP="00A26BF3">
            <w:pPr>
              <w:keepNext/>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055CD44C" w14:textId="77777777" w:rsidR="006B2FBE" w:rsidRPr="0058432E" w:rsidRDefault="006B2FBE" w:rsidP="00A26BF3">
            <w:pPr>
              <w:keepNext/>
              <w:jc w:val="center"/>
              <w:rPr>
                <w:b/>
                <w:color w:val="000000" w:themeColor="text1"/>
              </w:rPr>
            </w:pPr>
            <w:r w:rsidRPr="0058432E">
              <w:rPr>
                <w:b/>
                <w:color w:val="000000" w:themeColor="text1"/>
              </w:rPr>
              <w:t>Dose</w:t>
            </w:r>
            <w:r w:rsidR="00A26BF3" w:rsidRPr="0058432E">
              <w:rPr>
                <w:b/>
                <w:color w:val="000000" w:themeColor="text1"/>
              </w:rPr>
              <w:t xml:space="preserve"> standard</w:t>
            </w:r>
          </w:p>
          <w:p w14:paraId="55491D08" w14:textId="77777777" w:rsidR="006B2FBE" w:rsidRPr="0058432E" w:rsidRDefault="006B2FBE" w:rsidP="00A26BF3">
            <w:pPr>
              <w:keepNext/>
              <w:jc w:val="center"/>
              <w:rPr>
                <w:b/>
                <w:color w:val="000000" w:themeColor="text1"/>
              </w:rPr>
            </w:pPr>
            <w:r w:rsidRPr="0058432E">
              <w:rPr>
                <w:b/>
                <w:color w:val="000000" w:themeColor="text1"/>
              </w:rPr>
              <w:t xml:space="preserve">40/20 mg </w:t>
            </w:r>
            <w:r w:rsidR="00A26BF3" w:rsidRPr="0058432E">
              <w:rPr>
                <w:b/>
                <w:color w:val="000000" w:themeColor="text1"/>
              </w:rPr>
              <w:t>toutes les deux semaines</w:t>
            </w:r>
          </w:p>
          <w:p w14:paraId="70EBA94D" w14:textId="77777777" w:rsidR="006B2FBE" w:rsidRPr="0058432E" w:rsidRDefault="006B2FBE" w:rsidP="00A26BF3">
            <w:pPr>
              <w:keepNext/>
              <w:jc w:val="center"/>
              <w:rPr>
                <w:b/>
                <w:color w:val="000000" w:themeColor="text1"/>
              </w:rPr>
            </w:pPr>
            <w:r w:rsidRPr="0058432E">
              <w:rPr>
                <w:b/>
                <w:color w:val="000000" w:themeColor="text1"/>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BCAD04F" w14:textId="77777777" w:rsidR="006B2FBE" w:rsidRPr="0058432E" w:rsidRDefault="006B2FBE" w:rsidP="00A26BF3">
            <w:pPr>
              <w:keepNext/>
              <w:jc w:val="center"/>
              <w:rPr>
                <w:b/>
                <w:color w:val="000000" w:themeColor="text1"/>
              </w:rPr>
            </w:pPr>
            <w:r w:rsidRPr="0058432E">
              <w:rPr>
                <w:b/>
                <w:color w:val="000000" w:themeColor="text1"/>
              </w:rPr>
              <w:t>Dose</w:t>
            </w:r>
            <w:r w:rsidR="00A26BF3" w:rsidRPr="0058432E">
              <w:rPr>
                <w:b/>
                <w:color w:val="000000" w:themeColor="text1"/>
              </w:rPr>
              <w:t xml:space="preserve"> faible</w:t>
            </w:r>
          </w:p>
          <w:p w14:paraId="4EA61860" w14:textId="77777777" w:rsidR="006B2FBE" w:rsidRPr="0058432E" w:rsidRDefault="006B2FBE" w:rsidP="00A26BF3">
            <w:pPr>
              <w:keepNext/>
              <w:jc w:val="center"/>
              <w:rPr>
                <w:b/>
                <w:color w:val="000000" w:themeColor="text1"/>
              </w:rPr>
            </w:pPr>
            <w:r w:rsidRPr="0058432E">
              <w:rPr>
                <w:b/>
                <w:color w:val="000000" w:themeColor="text1"/>
              </w:rPr>
              <w:t xml:space="preserve">20/10 mg </w:t>
            </w:r>
            <w:r w:rsidR="00A26BF3" w:rsidRPr="0058432E">
              <w:rPr>
                <w:b/>
                <w:color w:val="000000" w:themeColor="text1"/>
              </w:rPr>
              <w:t>toutes les deux semaines</w:t>
            </w:r>
          </w:p>
          <w:p w14:paraId="5502051F" w14:textId="77777777" w:rsidR="006B2FBE" w:rsidRPr="0058432E" w:rsidRDefault="006B2FBE" w:rsidP="00A26BF3">
            <w:pPr>
              <w:keepNext/>
              <w:jc w:val="center"/>
              <w:rPr>
                <w:b/>
                <w:color w:val="000000" w:themeColor="text1"/>
              </w:rPr>
            </w:pPr>
            <w:r w:rsidRPr="0058432E">
              <w:rPr>
                <w:b/>
                <w:color w:val="000000" w:themeColor="text1"/>
              </w:rPr>
              <w:t>N = 95</w:t>
            </w:r>
          </w:p>
        </w:tc>
        <w:tc>
          <w:tcPr>
            <w:tcW w:w="2326" w:type="dxa"/>
            <w:tcBorders>
              <w:top w:val="single" w:sz="4" w:space="0" w:color="auto"/>
              <w:left w:val="single" w:sz="4" w:space="0" w:color="auto"/>
              <w:bottom w:val="single" w:sz="4" w:space="0" w:color="auto"/>
              <w:right w:val="single" w:sz="4" w:space="0" w:color="auto"/>
            </w:tcBorders>
            <w:hideMark/>
          </w:tcPr>
          <w:p w14:paraId="498B65D4" w14:textId="77777777" w:rsidR="006B2FBE" w:rsidRPr="0058432E" w:rsidRDefault="00A26BF3" w:rsidP="00A26BF3">
            <w:pPr>
              <w:keepNext/>
              <w:jc w:val="center"/>
              <w:rPr>
                <w:b/>
                <w:color w:val="000000" w:themeColor="text1"/>
              </w:rPr>
            </w:pPr>
            <w:r w:rsidRPr="0058432E">
              <w:rPr>
                <w:b/>
                <w:color w:val="000000" w:themeColor="text1"/>
              </w:rPr>
              <w:t xml:space="preserve">Valeur de </w:t>
            </w:r>
            <w:r w:rsidR="0059599E" w:rsidRPr="0058432E">
              <w:rPr>
                <w:b/>
                <w:i/>
                <w:color w:val="000000" w:themeColor="text1"/>
              </w:rPr>
              <w:t>p</w:t>
            </w:r>
            <w:r w:rsidR="006B2FBE" w:rsidRPr="0058432E">
              <w:rPr>
                <w:b/>
                <w:color w:val="000000" w:themeColor="text1"/>
              </w:rPr>
              <w:t>*</w:t>
            </w:r>
          </w:p>
        </w:tc>
      </w:tr>
      <w:tr w:rsidR="006B2FBE" w:rsidRPr="0058432E" w14:paraId="4E86A794"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1F839795" w14:textId="77777777" w:rsidR="006B2FBE" w:rsidRPr="0058432E" w:rsidRDefault="00A26BF3" w:rsidP="00A26BF3">
            <w:pPr>
              <w:keepNext/>
              <w:rPr>
                <w:b/>
                <w:color w:val="000000" w:themeColor="text1"/>
              </w:rPr>
            </w:pPr>
            <w:r w:rsidRPr="0058432E">
              <w:rPr>
                <w:b/>
                <w:color w:val="000000" w:themeColor="text1"/>
              </w:rPr>
              <w:t>Semaine</w:t>
            </w:r>
            <w:r w:rsidR="006B2FBE" w:rsidRPr="0058432E">
              <w:rPr>
                <w:b/>
                <w:color w:val="000000" w:themeColor="text1"/>
              </w:rPr>
              <w:t> 26</w:t>
            </w:r>
          </w:p>
        </w:tc>
        <w:tc>
          <w:tcPr>
            <w:tcW w:w="2326" w:type="dxa"/>
            <w:tcBorders>
              <w:top w:val="single" w:sz="4" w:space="0" w:color="auto"/>
              <w:left w:val="single" w:sz="4" w:space="0" w:color="auto"/>
              <w:bottom w:val="single" w:sz="4" w:space="0" w:color="auto"/>
              <w:right w:val="single" w:sz="4" w:space="0" w:color="auto"/>
            </w:tcBorders>
            <w:vAlign w:val="center"/>
          </w:tcPr>
          <w:p w14:paraId="165AF6EA" w14:textId="77777777" w:rsidR="006B2FBE" w:rsidRPr="0058432E" w:rsidRDefault="006B2FBE" w:rsidP="00A26BF3">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3ABF22EF" w14:textId="77777777" w:rsidR="006B2FBE" w:rsidRPr="0058432E" w:rsidRDefault="006B2FBE" w:rsidP="00A26BF3">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51ABFFF1" w14:textId="77777777" w:rsidR="006B2FBE" w:rsidRPr="0058432E" w:rsidRDefault="006B2FBE" w:rsidP="00A26BF3">
            <w:pPr>
              <w:keepNext/>
              <w:jc w:val="center"/>
              <w:rPr>
                <w:color w:val="000000" w:themeColor="text1"/>
              </w:rPr>
            </w:pPr>
          </w:p>
        </w:tc>
      </w:tr>
      <w:tr w:rsidR="006B2FBE" w:rsidRPr="0058432E" w14:paraId="03A0531F"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1ED7A93E" w14:textId="77777777" w:rsidR="006B2FBE" w:rsidRPr="0058432E" w:rsidRDefault="00A26BF3" w:rsidP="00A26BF3">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2846625" w14:textId="77777777" w:rsidR="006B2FBE" w:rsidRPr="0058432E" w:rsidRDefault="006B2FBE" w:rsidP="00A26BF3">
            <w:pPr>
              <w:keepNext/>
              <w:jc w:val="center"/>
              <w:rPr>
                <w:color w:val="000000" w:themeColor="text1"/>
              </w:rPr>
            </w:pPr>
            <w:r w:rsidRPr="0058432E">
              <w:rPr>
                <w:color w:val="000000" w:themeColor="text1"/>
              </w:rPr>
              <w:t>38</w:t>
            </w:r>
            <w:r w:rsidR="00A26BF3" w:rsidRPr="0058432E">
              <w:rPr>
                <w:color w:val="000000" w:themeColor="text1"/>
              </w:rPr>
              <w:t>,</w:t>
            </w:r>
            <w:r w:rsidRPr="0058432E">
              <w:rPr>
                <w:color w:val="000000" w:themeColor="text1"/>
              </w:rPr>
              <w:t>7</w:t>
            </w:r>
            <w:r w:rsidR="005F1EE7"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C4F833E" w14:textId="77777777" w:rsidR="006B2FBE" w:rsidRPr="0058432E" w:rsidRDefault="006B2FBE" w:rsidP="00A26BF3">
            <w:pPr>
              <w:keepNext/>
              <w:jc w:val="center"/>
              <w:rPr>
                <w:color w:val="000000" w:themeColor="text1"/>
              </w:rPr>
            </w:pPr>
            <w:r w:rsidRPr="0058432E">
              <w:rPr>
                <w:color w:val="000000" w:themeColor="text1"/>
              </w:rPr>
              <w:t>28</w:t>
            </w:r>
            <w:r w:rsidR="00A26BF3" w:rsidRPr="0058432E">
              <w:rPr>
                <w:color w:val="000000" w:themeColor="text1"/>
              </w:rPr>
              <w:t>,</w:t>
            </w:r>
            <w:r w:rsidRPr="0058432E">
              <w:rPr>
                <w:color w:val="000000" w:themeColor="text1"/>
              </w:rPr>
              <w:t>4</w:t>
            </w:r>
            <w:r w:rsidR="005F1EE7"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16AA748" w14:textId="77777777" w:rsidR="006B2FBE" w:rsidRPr="0058432E" w:rsidRDefault="006B2FBE" w:rsidP="00A26BF3">
            <w:pPr>
              <w:keepNext/>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075</w:t>
            </w:r>
          </w:p>
        </w:tc>
      </w:tr>
      <w:tr w:rsidR="006B2FBE" w:rsidRPr="0058432E" w14:paraId="7112BB15"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38A17732" w14:textId="77777777" w:rsidR="006B2FBE" w:rsidRPr="0058432E" w:rsidRDefault="00A26BF3" w:rsidP="00A26BF3">
            <w:pPr>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5669614" w14:textId="77777777" w:rsidR="006B2FBE" w:rsidRPr="0058432E" w:rsidRDefault="006B2FBE" w:rsidP="00A26BF3">
            <w:pPr>
              <w:jc w:val="center"/>
              <w:rPr>
                <w:color w:val="000000" w:themeColor="text1"/>
              </w:rPr>
            </w:pPr>
            <w:r w:rsidRPr="0058432E">
              <w:rPr>
                <w:color w:val="000000" w:themeColor="text1"/>
              </w:rPr>
              <w:t>59</w:t>
            </w:r>
            <w:r w:rsidR="00A26BF3" w:rsidRPr="0058432E">
              <w:rPr>
                <w:color w:val="000000" w:themeColor="text1"/>
              </w:rPr>
              <w:t>,</w:t>
            </w:r>
            <w:r w:rsidRPr="0058432E">
              <w:rPr>
                <w:color w:val="000000" w:themeColor="text1"/>
              </w:rPr>
              <w:t>1</w:t>
            </w:r>
            <w:r w:rsidR="005F1EE7"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B9839BB" w14:textId="77777777" w:rsidR="006B2FBE" w:rsidRPr="0058432E" w:rsidRDefault="006B2FBE" w:rsidP="00A26BF3">
            <w:pPr>
              <w:jc w:val="center"/>
              <w:rPr>
                <w:color w:val="000000" w:themeColor="text1"/>
              </w:rPr>
            </w:pPr>
            <w:r w:rsidRPr="0058432E">
              <w:rPr>
                <w:color w:val="000000" w:themeColor="text1"/>
              </w:rPr>
              <w:t>48</w:t>
            </w:r>
            <w:r w:rsidR="00A26BF3" w:rsidRPr="0058432E">
              <w:rPr>
                <w:color w:val="000000" w:themeColor="text1"/>
              </w:rPr>
              <w:t>,</w:t>
            </w:r>
            <w:r w:rsidRPr="0058432E">
              <w:rPr>
                <w:color w:val="000000" w:themeColor="text1"/>
              </w:rPr>
              <w:t>4</w:t>
            </w:r>
            <w:r w:rsidR="005F1EE7"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9EBAB2D"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073</w:t>
            </w:r>
          </w:p>
        </w:tc>
      </w:tr>
      <w:tr w:rsidR="006B2FBE" w:rsidRPr="0058432E" w14:paraId="267E4DBF"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769FF762" w14:textId="77777777" w:rsidR="006B2FBE" w:rsidRPr="0058432E" w:rsidRDefault="00A26BF3" w:rsidP="00A26BF3">
            <w:pPr>
              <w:keepNext/>
              <w:rPr>
                <w:b/>
                <w:color w:val="000000" w:themeColor="text1"/>
              </w:rPr>
            </w:pPr>
            <w:r w:rsidRPr="0058432E">
              <w:rPr>
                <w:b/>
                <w:color w:val="000000" w:themeColor="text1"/>
              </w:rPr>
              <w:t>Semaine </w:t>
            </w:r>
            <w:r w:rsidR="006B2FBE" w:rsidRPr="0058432E">
              <w:rPr>
                <w:b/>
                <w:color w:val="000000" w:themeColor="text1"/>
              </w:rPr>
              <w:t>52</w:t>
            </w:r>
          </w:p>
        </w:tc>
        <w:tc>
          <w:tcPr>
            <w:tcW w:w="2326" w:type="dxa"/>
            <w:tcBorders>
              <w:top w:val="single" w:sz="4" w:space="0" w:color="auto"/>
              <w:left w:val="single" w:sz="4" w:space="0" w:color="auto"/>
              <w:bottom w:val="single" w:sz="4" w:space="0" w:color="auto"/>
              <w:right w:val="single" w:sz="4" w:space="0" w:color="auto"/>
            </w:tcBorders>
            <w:vAlign w:val="center"/>
          </w:tcPr>
          <w:p w14:paraId="71E25406" w14:textId="77777777" w:rsidR="006B2FBE" w:rsidRPr="0058432E" w:rsidRDefault="006B2FBE" w:rsidP="00A26BF3">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12BE59E7" w14:textId="77777777" w:rsidR="006B2FBE" w:rsidRPr="0058432E" w:rsidRDefault="006B2FBE" w:rsidP="00A26BF3">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2B8B9FCD" w14:textId="77777777" w:rsidR="006B2FBE" w:rsidRPr="0058432E" w:rsidRDefault="006B2FBE" w:rsidP="00A26BF3">
            <w:pPr>
              <w:keepNext/>
              <w:jc w:val="center"/>
              <w:rPr>
                <w:color w:val="000000" w:themeColor="text1"/>
              </w:rPr>
            </w:pPr>
          </w:p>
        </w:tc>
      </w:tr>
      <w:tr w:rsidR="006B2FBE" w:rsidRPr="0058432E" w14:paraId="02FF4A85"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56795CCC" w14:textId="77777777" w:rsidR="006B2FBE" w:rsidRPr="0058432E" w:rsidRDefault="00A26BF3" w:rsidP="00A26BF3">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8E9D1BC" w14:textId="77777777" w:rsidR="006B2FBE" w:rsidRPr="0058432E" w:rsidRDefault="006B2FBE" w:rsidP="00A26BF3">
            <w:pPr>
              <w:keepNext/>
              <w:jc w:val="center"/>
              <w:rPr>
                <w:color w:val="000000" w:themeColor="text1"/>
              </w:rPr>
            </w:pPr>
            <w:r w:rsidRPr="0058432E">
              <w:rPr>
                <w:color w:val="000000" w:themeColor="text1"/>
              </w:rPr>
              <w:t>33</w:t>
            </w:r>
            <w:r w:rsidR="00A26BF3" w:rsidRPr="0058432E">
              <w:rPr>
                <w:color w:val="000000" w:themeColor="text1"/>
              </w:rPr>
              <w:t>,</w:t>
            </w:r>
            <w:r w:rsidRPr="0058432E">
              <w:rPr>
                <w:color w:val="000000" w:themeColor="text1"/>
              </w:rPr>
              <w:t>3</w:t>
            </w:r>
            <w:r w:rsidR="00A26BF3"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D1FC1B0" w14:textId="77777777" w:rsidR="006B2FBE" w:rsidRPr="0058432E" w:rsidRDefault="006B2FBE" w:rsidP="00A26BF3">
            <w:pPr>
              <w:keepNext/>
              <w:jc w:val="center"/>
              <w:rPr>
                <w:color w:val="000000" w:themeColor="text1"/>
              </w:rPr>
            </w:pPr>
            <w:r w:rsidRPr="0058432E">
              <w:rPr>
                <w:color w:val="000000" w:themeColor="text1"/>
              </w:rPr>
              <w:t>23</w:t>
            </w:r>
            <w:r w:rsidR="00A26BF3" w:rsidRPr="0058432E">
              <w:rPr>
                <w:color w:val="000000" w:themeColor="text1"/>
              </w:rPr>
              <w:t>,</w:t>
            </w:r>
            <w:r w:rsidRPr="0058432E">
              <w:rPr>
                <w:color w:val="000000" w:themeColor="text1"/>
              </w:rPr>
              <w:t>2</w:t>
            </w:r>
            <w:r w:rsidR="00A26BF3"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6562CBF" w14:textId="77777777" w:rsidR="006B2FBE" w:rsidRPr="0058432E" w:rsidRDefault="006B2FBE" w:rsidP="00A26BF3">
            <w:pPr>
              <w:keepNext/>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100</w:t>
            </w:r>
          </w:p>
        </w:tc>
      </w:tr>
      <w:tr w:rsidR="006B2FBE" w:rsidRPr="0058432E" w14:paraId="301E1777" w14:textId="77777777" w:rsidTr="00A26BF3">
        <w:tc>
          <w:tcPr>
            <w:tcW w:w="2325" w:type="dxa"/>
            <w:tcBorders>
              <w:top w:val="single" w:sz="4" w:space="0" w:color="auto"/>
              <w:left w:val="single" w:sz="4" w:space="0" w:color="auto"/>
              <w:bottom w:val="single" w:sz="4" w:space="0" w:color="auto"/>
              <w:right w:val="single" w:sz="4" w:space="0" w:color="auto"/>
            </w:tcBorders>
            <w:hideMark/>
          </w:tcPr>
          <w:p w14:paraId="16DA8D76" w14:textId="77777777" w:rsidR="006B2FBE" w:rsidRPr="0058432E" w:rsidRDefault="00A26BF3" w:rsidP="00A26BF3">
            <w:pPr>
              <w:keepNext/>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971A3BC" w14:textId="77777777" w:rsidR="006B2FBE" w:rsidRPr="0058432E" w:rsidRDefault="006B2FBE" w:rsidP="00A26BF3">
            <w:pPr>
              <w:keepNext/>
              <w:jc w:val="center"/>
              <w:rPr>
                <w:color w:val="000000" w:themeColor="text1"/>
              </w:rPr>
            </w:pPr>
            <w:r w:rsidRPr="0058432E">
              <w:rPr>
                <w:color w:val="000000" w:themeColor="text1"/>
              </w:rPr>
              <w:t>41</w:t>
            </w:r>
            <w:r w:rsidR="00A26BF3" w:rsidRPr="0058432E">
              <w:rPr>
                <w:color w:val="000000" w:themeColor="text1"/>
              </w:rPr>
              <w:t>,</w:t>
            </w:r>
            <w:r w:rsidRPr="0058432E">
              <w:rPr>
                <w:color w:val="000000" w:themeColor="text1"/>
              </w:rPr>
              <w:t>9</w:t>
            </w:r>
            <w:r w:rsidR="00A26BF3"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7A35928" w14:textId="77777777" w:rsidR="006B2FBE" w:rsidRPr="0058432E" w:rsidRDefault="006B2FBE" w:rsidP="00A26BF3">
            <w:pPr>
              <w:keepNext/>
              <w:jc w:val="center"/>
              <w:rPr>
                <w:color w:val="000000" w:themeColor="text1"/>
              </w:rPr>
            </w:pPr>
            <w:r w:rsidRPr="0058432E">
              <w:rPr>
                <w:color w:val="000000" w:themeColor="text1"/>
              </w:rPr>
              <w:t>28</w:t>
            </w:r>
            <w:r w:rsidR="00A26BF3" w:rsidRPr="0058432E">
              <w:rPr>
                <w:color w:val="000000" w:themeColor="text1"/>
              </w:rPr>
              <w:t>,</w:t>
            </w:r>
            <w:r w:rsidRPr="0058432E">
              <w:rPr>
                <w:color w:val="000000" w:themeColor="text1"/>
              </w:rPr>
              <w:t>4</w:t>
            </w:r>
            <w:r w:rsidR="00A26BF3" w:rsidRPr="0058432E">
              <w:rPr>
                <w:color w:val="000000" w:themeColor="text1"/>
              </w:rPr>
              <w:t>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0A04905" w14:textId="77777777" w:rsidR="006B2FBE" w:rsidRPr="0058432E" w:rsidRDefault="006B2FBE" w:rsidP="00A26BF3">
            <w:pPr>
              <w:keepNext/>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038</w:t>
            </w:r>
          </w:p>
        </w:tc>
      </w:tr>
      <w:tr w:rsidR="006B2FBE" w:rsidRPr="0058432E" w14:paraId="270CF147" w14:textId="77777777" w:rsidTr="00A26BF3">
        <w:tc>
          <w:tcPr>
            <w:tcW w:w="9303" w:type="dxa"/>
            <w:gridSpan w:val="4"/>
            <w:tcBorders>
              <w:top w:val="single" w:sz="4" w:space="0" w:color="auto"/>
              <w:left w:val="nil"/>
              <w:bottom w:val="nil"/>
              <w:right w:val="nil"/>
            </w:tcBorders>
          </w:tcPr>
          <w:p w14:paraId="0D76F11F" w14:textId="77777777" w:rsidR="006B2FBE" w:rsidRPr="0058432E" w:rsidRDefault="006B2FBE" w:rsidP="00A26BF3">
            <w:pPr>
              <w:ind w:left="274" w:hanging="274"/>
              <w:rPr>
                <w:color w:val="000000" w:themeColor="text1"/>
                <w:sz w:val="20"/>
              </w:rPr>
            </w:pPr>
            <w:r w:rsidRPr="0058432E">
              <w:rPr>
                <w:color w:val="000000" w:themeColor="text1"/>
                <w:sz w:val="20"/>
              </w:rPr>
              <w:t xml:space="preserve">* </w:t>
            </w:r>
            <w:r w:rsidRPr="0058432E">
              <w:rPr>
                <w:color w:val="000000" w:themeColor="text1"/>
                <w:sz w:val="20"/>
              </w:rPr>
              <w:tab/>
            </w:r>
            <w:r w:rsidR="00A26BF3" w:rsidRPr="0058432E">
              <w:rPr>
                <w:color w:val="000000" w:themeColor="text1"/>
                <w:sz w:val="20"/>
              </w:rPr>
              <w:t xml:space="preserve">Valeur de </w:t>
            </w:r>
            <w:r w:rsidR="00A26BF3" w:rsidRPr="0058432E">
              <w:rPr>
                <w:i/>
                <w:color w:val="000000" w:themeColor="text1"/>
                <w:sz w:val="20"/>
              </w:rPr>
              <w:t>p</w:t>
            </w:r>
            <w:r w:rsidR="00A26BF3" w:rsidRPr="0058432E">
              <w:rPr>
                <w:color w:val="000000" w:themeColor="text1"/>
                <w:sz w:val="20"/>
              </w:rPr>
              <w:t xml:space="preserve"> pour la comparaison dose standard </w:t>
            </w:r>
            <w:r w:rsidR="00A26BF3" w:rsidRPr="0058432E">
              <w:rPr>
                <w:i/>
                <w:color w:val="000000" w:themeColor="text1"/>
                <w:sz w:val="20"/>
              </w:rPr>
              <w:t>versus</w:t>
            </w:r>
            <w:r w:rsidR="00A26BF3" w:rsidRPr="0058432E">
              <w:rPr>
                <w:color w:val="000000" w:themeColor="text1"/>
                <w:sz w:val="20"/>
              </w:rPr>
              <w:t xml:space="preserve"> dose faible</w:t>
            </w:r>
            <w:r w:rsidRPr="0058432E">
              <w:rPr>
                <w:color w:val="000000" w:themeColor="text1"/>
                <w:sz w:val="20"/>
              </w:rPr>
              <w:t>.</w:t>
            </w:r>
          </w:p>
        </w:tc>
      </w:tr>
    </w:tbl>
    <w:p w14:paraId="3691016B" w14:textId="77777777" w:rsidR="006B2FBE" w:rsidRPr="0058432E" w:rsidRDefault="006B2FBE" w:rsidP="006B2FBE">
      <w:pPr>
        <w:rPr>
          <w:color w:val="000000" w:themeColor="text1"/>
        </w:rPr>
      </w:pPr>
    </w:p>
    <w:p w14:paraId="73F02A6D" w14:textId="77777777" w:rsidR="009035FD" w:rsidRPr="0058432E" w:rsidRDefault="006B2FBE" w:rsidP="006B2FBE">
      <w:pPr>
        <w:keepNext/>
        <w:rPr>
          <w:b/>
          <w:color w:val="000000" w:themeColor="text1"/>
        </w:rPr>
      </w:pPr>
      <w:r w:rsidRPr="0058432E">
        <w:rPr>
          <w:b/>
          <w:color w:val="000000" w:themeColor="text1"/>
        </w:rPr>
        <w:t>Table</w:t>
      </w:r>
      <w:r w:rsidR="00A26BF3" w:rsidRPr="0058432E">
        <w:rPr>
          <w:b/>
          <w:color w:val="000000" w:themeColor="text1"/>
        </w:rPr>
        <w:t>au </w:t>
      </w:r>
      <w:r w:rsidRPr="0058432E">
        <w:rPr>
          <w:b/>
          <w:color w:val="000000" w:themeColor="text1"/>
        </w:rPr>
        <w:t>22.</w:t>
      </w:r>
    </w:p>
    <w:p w14:paraId="5F989F84" w14:textId="77777777" w:rsidR="006B2FBE" w:rsidRPr="0058432E" w:rsidRDefault="00A26BF3" w:rsidP="006B2FBE">
      <w:pPr>
        <w:keepNext/>
        <w:rPr>
          <w:b/>
          <w:color w:val="000000" w:themeColor="text1"/>
        </w:rPr>
      </w:pPr>
      <w:r w:rsidRPr="0058432E">
        <w:rPr>
          <w:b/>
          <w:color w:val="000000" w:themeColor="text1"/>
        </w:rPr>
        <w:t>Étude sur la MC pédiatrique</w:t>
      </w:r>
      <w:r w:rsidR="005F1EE7" w:rsidRPr="0058432E">
        <w:rPr>
          <w:b/>
          <w:color w:val="000000" w:themeColor="text1"/>
        </w:rPr>
        <w:t> — A</w:t>
      </w:r>
      <w:r w:rsidRPr="0058432E">
        <w:rPr>
          <w:b/>
          <w:color w:val="000000" w:themeColor="text1"/>
        </w:rPr>
        <w:t>rrêt des corticoïdes ou des immunomodulateurs et fermeture des fistules</w:t>
      </w:r>
    </w:p>
    <w:p w14:paraId="7D2C77F8" w14:textId="77777777" w:rsidR="006B2FBE" w:rsidRPr="0058432E" w:rsidRDefault="006B2FBE" w:rsidP="006B2FBE">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677"/>
        <w:gridCol w:w="1677"/>
        <w:gridCol w:w="1665"/>
      </w:tblGrid>
      <w:tr w:rsidR="006B2FBE" w:rsidRPr="0058432E" w14:paraId="5AA8892F" w14:textId="77777777" w:rsidTr="006D1A33">
        <w:tc>
          <w:tcPr>
            <w:tcW w:w="4158" w:type="dxa"/>
            <w:tcBorders>
              <w:top w:val="single" w:sz="4" w:space="0" w:color="auto"/>
              <w:left w:val="single" w:sz="4" w:space="0" w:color="auto"/>
              <w:bottom w:val="single" w:sz="4" w:space="0" w:color="auto"/>
              <w:right w:val="single" w:sz="4" w:space="0" w:color="auto"/>
            </w:tcBorders>
          </w:tcPr>
          <w:p w14:paraId="2E037050" w14:textId="77777777" w:rsidR="006B2FBE" w:rsidRPr="0058432E" w:rsidRDefault="006B2FBE" w:rsidP="00A26BF3">
            <w:pPr>
              <w:keepNext/>
              <w:rPr>
                <w:color w:val="000000" w:themeColor="text1"/>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54F8736B" w14:textId="77777777" w:rsidR="006B2FBE" w:rsidRPr="0058432E" w:rsidRDefault="00A26BF3" w:rsidP="00A26BF3">
            <w:pPr>
              <w:keepNext/>
              <w:jc w:val="center"/>
              <w:rPr>
                <w:b/>
                <w:color w:val="000000" w:themeColor="text1"/>
              </w:rPr>
            </w:pPr>
            <w:r w:rsidRPr="0058432E">
              <w:rPr>
                <w:b/>
                <w:color w:val="000000" w:themeColor="text1"/>
              </w:rPr>
              <w:t>Dose standard</w:t>
            </w:r>
          </w:p>
          <w:p w14:paraId="5A70BF37" w14:textId="77777777" w:rsidR="006B2FBE" w:rsidRPr="0058432E" w:rsidRDefault="006B2FBE" w:rsidP="00A26BF3">
            <w:pPr>
              <w:keepNext/>
              <w:jc w:val="center"/>
              <w:rPr>
                <w:b/>
                <w:color w:val="000000" w:themeColor="text1"/>
              </w:rPr>
            </w:pPr>
            <w:r w:rsidRPr="0058432E">
              <w:rPr>
                <w:b/>
                <w:color w:val="000000" w:themeColor="text1"/>
              </w:rPr>
              <w:t xml:space="preserve">40/20 mg </w:t>
            </w:r>
            <w:r w:rsidR="00A26BF3" w:rsidRPr="0058432E">
              <w:rPr>
                <w:b/>
                <w:color w:val="000000" w:themeColor="text1"/>
              </w:rPr>
              <w:t>toutes les deux semaines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26477AC" w14:textId="77777777" w:rsidR="006B2FBE" w:rsidRPr="0058432E" w:rsidRDefault="00A26BF3" w:rsidP="00A26BF3">
            <w:pPr>
              <w:keepNext/>
              <w:jc w:val="center"/>
              <w:rPr>
                <w:b/>
                <w:color w:val="000000" w:themeColor="text1"/>
              </w:rPr>
            </w:pPr>
            <w:r w:rsidRPr="0058432E">
              <w:rPr>
                <w:b/>
                <w:color w:val="000000" w:themeColor="text1"/>
              </w:rPr>
              <w:t>Dose faible</w:t>
            </w:r>
          </w:p>
          <w:p w14:paraId="534FE164" w14:textId="77777777" w:rsidR="006B2FBE" w:rsidRPr="0058432E" w:rsidRDefault="006B2FBE" w:rsidP="00A26BF3">
            <w:pPr>
              <w:keepNext/>
              <w:jc w:val="center"/>
              <w:rPr>
                <w:b/>
                <w:color w:val="000000" w:themeColor="text1"/>
              </w:rPr>
            </w:pPr>
            <w:r w:rsidRPr="0058432E">
              <w:rPr>
                <w:b/>
                <w:color w:val="000000" w:themeColor="text1"/>
              </w:rPr>
              <w:t xml:space="preserve">20/10 mg </w:t>
            </w:r>
            <w:r w:rsidR="00A26BF3" w:rsidRPr="0058432E">
              <w:rPr>
                <w:b/>
                <w:color w:val="000000" w:themeColor="text1"/>
              </w:rPr>
              <w:t>toutes les deux semaines</w:t>
            </w:r>
          </w:p>
        </w:tc>
        <w:tc>
          <w:tcPr>
            <w:tcW w:w="1715" w:type="dxa"/>
            <w:tcBorders>
              <w:top w:val="single" w:sz="4" w:space="0" w:color="auto"/>
              <w:left w:val="single" w:sz="4" w:space="0" w:color="auto"/>
              <w:bottom w:val="single" w:sz="4" w:space="0" w:color="auto"/>
              <w:right w:val="single" w:sz="4" w:space="0" w:color="auto"/>
            </w:tcBorders>
            <w:hideMark/>
          </w:tcPr>
          <w:p w14:paraId="3A86A659" w14:textId="77777777" w:rsidR="006B2FBE" w:rsidRPr="0058432E" w:rsidRDefault="00A26BF3" w:rsidP="00A26BF3">
            <w:pPr>
              <w:keepNext/>
              <w:jc w:val="center"/>
              <w:rPr>
                <w:b/>
                <w:color w:val="000000" w:themeColor="text1"/>
              </w:rPr>
            </w:pPr>
            <w:r w:rsidRPr="0058432E">
              <w:rPr>
                <w:b/>
                <w:color w:val="000000" w:themeColor="text1"/>
              </w:rPr>
              <w:t xml:space="preserve">Valeur de </w:t>
            </w:r>
            <w:r w:rsidR="0059599E" w:rsidRPr="0058432E">
              <w:rPr>
                <w:b/>
                <w:i/>
                <w:color w:val="000000" w:themeColor="text1"/>
              </w:rPr>
              <w:t>p</w:t>
            </w:r>
            <w:r w:rsidR="006B2FBE" w:rsidRPr="0058432E">
              <w:rPr>
                <w:b/>
                <w:color w:val="000000" w:themeColor="text1"/>
                <w:vertAlign w:val="superscript"/>
              </w:rPr>
              <w:t>1</w:t>
            </w:r>
          </w:p>
        </w:tc>
      </w:tr>
      <w:tr w:rsidR="006B2FBE" w:rsidRPr="0058432E" w14:paraId="08A17EFD" w14:textId="77777777" w:rsidTr="00491257">
        <w:trPr>
          <w:trHeight w:val="60"/>
        </w:trPr>
        <w:tc>
          <w:tcPr>
            <w:tcW w:w="4158" w:type="dxa"/>
            <w:tcBorders>
              <w:top w:val="single" w:sz="4" w:space="0" w:color="auto"/>
              <w:left w:val="single" w:sz="4" w:space="0" w:color="auto"/>
              <w:bottom w:val="single" w:sz="4" w:space="0" w:color="auto"/>
              <w:right w:val="single" w:sz="4" w:space="0" w:color="auto"/>
            </w:tcBorders>
            <w:hideMark/>
          </w:tcPr>
          <w:p w14:paraId="0EA3BCA6" w14:textId="77777777" w:rsidR="006B2FBE" w:rsidRPr="0058432E" w:rsidRDefault="00A26BF3" w:rsidP="00A26BF3">
            <w:pPr>
              <w:keepNext/>
              <w:rPr>
                <w:b/>
                <w:color w:val="000000" w:themeColor="text1"/>
              </w:rPr>
            </w:pPr>
            <w:r w:rsidRPr="0058432E">
              <w:rPr>
                <w:b/>
                <w:color w:val="000000" w:themeColor="text1"/>
              </w:rPr>
              <w:t>Arrêt des corticoïdes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A88E759" w14:textId="77777777" w:rsidR="006B2FBE" w:rsidRPr="0058432E" w:rsidRDefault="006B2FBE" w:rsidP="00A26BF3">
            <w:pPr>
              <w:keepNext/>
              <w:jc w:val="center"/>
              <w:rPr>
                <w:b/>
                <w:color w:val="000000" w:themeColor="text1"/>
              </w:rPr>
            </w:pPr>
            <w:r w:rsidRPr="0058432E">
              <w:rPr>
                <w:b/>
                <w:color w:val="000000" w:themeColor="text1"/>
              </w:rPr>
              <w:t>N = 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1202044" w14:textId="77777777" w:rsidR="006B2FBE" w:rsidRPr="0058432E" w:rsidRDefault="006B2FBE" w:rsidP="00A26BF3">
            <w:pPr>
              <w:keepNext/>
              <w:jc w:val="center"/>
              <w:rPr>
                <w:b/>
                <w:color w:val="000000" w:themeColor="text1"/>
              </w:rPr>
            </w:pPr>
            <w:r w:rsidRPr="0058432E">
              <w:rPr>
                <w:b/>
                <w:color w:val="000000" w:themeColor="text1"/>
              </w:rPr>
              <w:t>N = 38</w:t>
            </w:r>
          </w:p>
        </w:tc>
        <w:tc>
          <w:tcPr>
            <w:tcW w:w="1715" w:type="dxa"/>
            <w:tcBorders>
              <w:top w:val="single" w:sz="4" w:space="0" w:color="auto"/>
              <w:left w:val="single" w:sz="4" w:space="0" w:color="auto"/>
              <w:bottom w:val="single" w:sz="4" w:space="0" w:color="auto"/>
              <w:right w:val="single" w:sz="4" w:space="0" w:color="auto"/>
            </w:tcBorders>
            <w:vAlign w:val="center"/>
          </w:tcPr>
          <w:p w14:paraId="3882AFDD" w14:textId="77777777" w:rsidR="006B2FBE" w:rsidRPr="0058432E" w:rsidRDefault="006B2FBE" w:rsidP="00A26BF3">
            <w:pPr>
              <w:keepNext/>
              <w:jc w:val="center"/>
              <w:rPr>
                <w:b/>
                <w:color w:val="000000" w:themeColor="text1"/>
              </w:rPr>
            </w:pPr>
          </w:p>
        </w:tc>
      </w:tr>
      <w:tr w:rsidR="006B2FBE" w:rsidRPr="0058432E" w14:paraId="5C1EEAC9"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36917140" w14:textId="77777777" w:rsidR="006B2FBE" w:rsidRPr="0058432E" w:rsidRDefault="00A26BF3" w:rsidP="00A26BF3">
            <w:pPr>
              <w:rPr>
                <w:color w:val="000000" w:themeColor="text1"/>
              </w:rPr>
            </w:pPr>
            <w:r w:rsidRPr="0058432E">
              <w:rPr>
                <w:color w:val="000000" w:themeColor="text1"/>
              </w:rPr>
              <w:t>Semaine</w:t>
            </w:r>
            <w:r w:rsidR="006B2FBE" w:rsidRPr="0058432E">
              <w:rPr>
                <w:color w:val="000000" w:themeColor="text1"/>
              </w:rPr>
              <w:t>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4B266B7" w14:textId="77777777" w:rsidR="006B2FBE" w:rsidRPr="0058432E" w:rsidRDefault="006B2FBE" w:rsidP="00A26BF3">
            <w:pPr>
              <w:jc w:val="center"/>
              <w:rPr>
                <w:color w:val="000000" w:themeColor="text1"/>
              </w:rPr>
            </w:pPr>
            <w:r w:rsidRPr="0058432E">
              <w:rPr>
                <w:color w:val="000000" w:themeColor="text1"/>
              </w:rPr>
              <w:t>84</w:t>
            </w:r>
            <w:r w:rsidR="00A26BF3" w:rsidRPr="0058432E">
              <w:rPr>
                <w:color w:val="000000" w:themeColor="text1"/>
              </w:rPr>
              <w:t>,</w:t>
            </w:r>
            <w:r w:rsidRPr="0058432E">
              <w:rPr>
                <w:color w:val="000000" w:themeColor="text1"/>
              </w:rPr>
              <w:t>8</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B1B3260" w14:textId="77777777" w:rsidR="006B2FBE" w:rsidRPr="0058432E" w:rsidRDefault="006B2FBE" w:rsidP="00A26BF3">
            <w:pPr>
              <w:jc w:val="center"/>
              <w:rPr>
                <w:color w:val="000000" w:themeColor="text1"/>
              </w:rPr>
            </w:pPr>
            <w:r w:rsidRPr="0058432E">
              <w:rPr>
                <w:color w:val="000000" w:themeColor="text1"/>
              </w:rPr>
              <w:t>65</w:t>
            </w:r>
            <w:r w:rsidR="00A26BF3" w:rsidRPr="0058432E">
              <w:rPr>
                <w:color w:val="000000" w:themeColor="text1"/>
              </w:rPr>
              <w:t>,</w:t>
            </w:r>
            <w:r w:rsidRPr="0058432E">
              <w:rPr>
                <w:color w:val="000000" w:themeColor="text1"/>
              </w:rPr>
              <w:t>8</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D687A0B"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066</w:t>
            </w:r>
          </w:p>
        </w:tc>
      </w:tr>
      <w:tr w:rsidR="006B2FBE" w:rsidRPr="0058432E" w14:paraId="6A7667F7"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2922055A" w14:textId="77777777" w:rsidR="006B2FBE" w:rsidRPr="0058432E" w:rsidRDefault="00A26BF3" w:rsidP="00A26BF3">
            <w:pPr>
              <w:rPr>
                <w:color w:val="000000" w:themeColor="text1"/>
              </w:rPr>
            </w:pPr>
            <w:r w:rsidRPr="0058432E">
              <w:rPr>
                <w:color w:val="000000" w:themeColor="text1"/>
              </w:rPr>
              <w:t>Semaine </w:t>
            </w:r>
            <w:r w:rsidR="006B2FBE" w:rsidRPr="0058432E">
              <w:rPr>
                <w:color w:val="000000" w:themeColor="text1"/>
              </w:rPr>
              <w:t>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934097E" w14:textId="77777777" w:rsidR="006B2FBE" w:rsidRPr="0058432E" w:rsidRDefault="006B2FBE" w:rsidP="00A26BF3">
            <w:pPr>
              <w:jc w:val="center"/>
              <w:rPr>
                <w:color w:val="000000" w:themeColor="text1"/>
              </w:rPr>
            </w:pPr>
            <w:r w:rsidRPr="0058432E">
              <w:rPr>
                <w:color w:val="000000" w:themeColor="text1"/>
              </w:rPr>
              <w:t>69</w:t>
            </w:r>
            <w:r w:rsidR="00A26BF3" w:rsidRPr="0058432E">
              <w:rPr>
                <w:color w:val="000000" w:themeColor="text1"/>
              </w:rPr>
              <w:t>,</w:t>
            </w:r>
            <w:r w:rsidRPr="0058432E">
              <w:rPr>
                <w:color w:val="000000" w:themeColor="text1"/>
              </w:rPr>
              <w:t>7</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C5CD84C" w14:textId="77777777" w:rsidR="006B2FBE" w:rsidRPr="0058432E" w:rsidRDefault="006B2FBE" w:rsidP="00A26BF3">
            <w:pPr>
              <w:jc w:val="center"/>
              <w:rPr>
                <w:color w:val="000000" w:themeColor="text1"/>
              </w:rPr>
            </w:pPr>
            <w:r w:rsidRPr="0058432E">
              <w:rPr>
                <w:color w:val="000000" w:themeColor="text1"/>
              </w:rPr>
              <w:t>60</w:t>
            </w:r>
            <w:r w:rsidR="00A26BF3" w:rsidRPr="0058432E">
              <w:rPr>
                <w:color w:val="000000" w:themeColor="text1"/>
              </w:rPr>
              <w:t>,</w:t>
            </w:r>
            <w:r w:rsidRPr="0058432E">
              <w:rPr>
                <w:color w:val="000000" w:themeColor="text1"/>
              </w:rPr>
              <w:t>5</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0E2DE4A"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420</w:t>
            </w:r>
          </w:p>
        </w:tc>
      </w:tr>
      <w:tr w:rsidR="006B2FBE" w:rsidRPr="0058432E" w14:paraId="755044BA"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5B7F5994" w14:textId="77777777" w:rsidR="006B2FBE" w:rsidRPr="0058432E" w:rsidRDefault="00A26BF3" w:rsidP="00A26BF3">
            <w:pPr>
              <w:rPr>
                <w:b/>
                <w:color w:val="000000" w:themeColor="text1"/>
              </w:rPr>
            </w:pPr>
            <w:r w:rsidRPr="0058432E">
              <w:rPr>
                <w:b/>
                <w:color w:val="000000" w:themeColor="text1"/>
              </w:rPr>
              <w:t>Arrêt des immunomodulateurs</w:t>
            </w:r>
            <w:r w:rsidR="006B2FBE" w:rsidRPr="0058432E">
              <w:rPr>
                <w:b/>
                <w:color w:val="000000" w:themeColor="text1"/>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F9C5D5B" w14:textId="77777777" w:rsidR="006B2FBE" w:rsidRPr="0058432E" w:rsidRDefault="006B2FBE" w:rsidP="00A26BF3">
            <w:pPr>
              <w:jc w:val="center"/>
              <w:rPr>
                <w:b/>
                <w:color w:val="000000" w:themeColor="text1"/>
              </w:rPr>
            </w:pPr>
            <w:r w:rsidRPr="0058432E">
              <w:rPr>
                <w:b/>
                <w:color w:val="000000" w:themeColor="text1"/>
              </w:rPr>
              <w:t>N = 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CB636AF" w14:textId="77777777" w:rsidR="006B2FBE" w:rsidRPr="0058432E" w:rsidRDefault="006B2FBE" w:rsidP="00A26BF3">
            <w:pPr>
              <w:jc w:val="center"/>
              <w:rPr>
                <w:b/>
                <w:color w:val="000000" w:themeColor="text1"/>
              </w:rPr>
            </w:pPr>
            <w:r w:rsidRPr="0058432E">
              <w:rPr>
                <w:b/>
                <w:color w:val="000000" w:themeColor="text1"/>
              </w:rPr>
              <w:t>N = 57</w:t>
            </w:r>
          </w:p>
        </w:tc>
        <w:tc>
          <w:tcPr>
            <w:tcW w:w="1715" w:type="dxa"/>
            <w:tcBorders>
              <w:top w:val="single" w:sz="4" w:space="0" w:color="auto"/>
              <w:left w:val="single" w:sz="4" w:space="0" w:color="auto"/>
              <w:bottom w:val="single" w:sz="4" w:space="0" w:color="auto"/>
              <w:right w:val="single" w:sz="4" w:space="0" w:color="auto"/>
            </w:tcBorders>
            <w:vAlign w:val="center"/>
          </w:tcPr>
          <w:p w14:paraId="255CD47B" w14:textId="77777777" w:rsidR="006B2FBE" w:rsidRPr="0058432E" w:rsidRDefault="006B2FBE" w:rsidP="00A26BF3">
            <w:pPr>
              <w:jc w:val="center"/>
              <w:rPr>
                <w:b/>
                <w:color w:val="000000" w:themeColor="text1"/>
              </w:rPr>
            </w:pPr>
          </w:p>
        </w:tc>
      </w:tr>
      <w:tr w:rsidR="006B2FBE" w:rsidRPr="0058432E" w14:paraId="1706A733"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23698FCE" w14:textId="77777777" w:rsidR="006B2FBE" w:rsidRPr="0058432E" w:rsidRDefault="00A26BF3" w:rsidP="00A26BF3">
            <w:pPr>
              <w:rPr>
                <w:color w:val="000000" w:themeColor="text1"/>
              </w:rPr>
            </w:pPr>
            <w:r w:rsidRPr="0058432E">
              <w:rPr>
                <w:color w:val="000000" w:themeColor="text1"/>
              </w:rPr>
              <w:t>Semaine </w:t>
            </w:r>
            <w:r w:rsidR="006B2FBE" w:rsidRPr="0058432E">
              <w:rPr>
                <w:color w:val="000000" w:themeColor="text1"/>
              </w:rPr>
              <w:t>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3BE8B9C" w14:textId="77777777" w:rsidR="006B2FBE" w:rsidRPr="0058432E" w:rsidRDefault="006B2FBE" w:rsidP="00A26BF3">
            <w:pPr>
              <w:jc w:val="center"/>
              <w:rPr>
                <w:color w:val="000000" w:themeColor="text1"/>
              </w:rPr>
            </w:pPr>
            <w:r w:rsidRPr="0058432E">
              <w:rPr>
                <w:color w:val="000000" w:themeColor="text1"/>
              </w:rPr>
              <w:t>30</w:t>
            </w:r>
            <w:r w:rsidR="00A26BF3" w:rsidRPr="0058432E">
              <w:rPr>
                <w:color w:val="000000" w:themeColor="text1"/>
              </w:rPr>
              <w:t>,</w:t>
            </w:r>
            <w:r w:rsidRPr="0058432E">
              <w:rPr>
                <w:color w:val="000000" w:themeColor="text1"/>
              </w:rPr>
              <w:t>0</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FFE94DF" w14:textId="77777777" w:rsidR="006B2FBE" w:rsidRPr="0058432E" w:rsidRDefault="006B2FBE" w:rsidP="00A26BF3">
            <w:pPr>
              <w:jc w:val="center"/>
              <w:rPr>
                <w:color w:val="000000" w:themeColor="text1"/>
              </w:rPr>
            </w:pPr>
            <w:r w:rsidRPr="0058432E">
              <w:rPr>
                <w:color w:val="000000" w:themeColor="text1"/>
              </w:rPr>
              <w:t>29</w:t>
            </w:r>
            <w:r w:rsidR="00A26BF3" w:rsidRPr="0058432E">
              <w:rPr>
                <w:color w:val="000000" w:themeColor="text1"/>
              </w:rPr>
              <w:t>,</w:t>
            </w:r>
            <w:r w:rsidRPr="0058432E">
              <w:rPr>
                <w:color w:val="000000" w:themeColor="text1"/>
              </w:rPr>
              <w:t>8</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4A20781"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983</w:t>
            </w:r>
          </w:p>
        </w:tc>
      </w:tr>
      <w:tr w:rsidR="006B2FBE" w:rsidRPr="0058432E" w14:paraId="0D30568A"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75490001" w14:textId="77777777" w:rsidR="006B2FBE" w:rsidRPr="0058432E" w:rsidRDefault="00A26BF3" w:rsidP="00A26BF3">
            <w:pPr>
              <w:rPr>
                <w:b/>
                <w:color w:val="000000" w:themeColor="text1"/>
              </w:rPr>
            </w:pPr>
            <w:r w:rsidRPr="0058432E">
              <w:rPr>
                <w:b/>
                <w:color w:val="000000" w:themeColor="text1"/>
              </w:rPr>
              <w:t>Fermeture des fistules</w:t>
            </w:r>
            <w:r w:rsidR="006B2FBE" w:rsidRPr="0058432E">
              <w:rPr>
                <w:b/>
                <w:color w:val="000000" w:themeColor="text1"/>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C921436" w14:textId="77777777" w:rsidR="006B2FBE" w:rsidRPr="0058432E" w:rsidRDefault="006B2FBE" w:rsidP="00A26BF3">
            <w:pPr>
              <w:jc w:val="center"/>
              <w:rPr>
                <w:b/>
                <w:color w:val="000000" w:themeColor="text1"/>
              </w:rPr>
            </w:pPr>
            <w:r w:rsidRPr="0058432E">
              <w:rPr>
                <w:b/>
                <w:color w:val="000000" w:themeColor="text1"/>
              </w:rPr>
              <w:t>N = 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B1E1A2E" w14:textId="77777777" w:rsidR="006B2FBE" w:rsidRPr="0058432E" w:rsidRDefault="006B2FBE" w:rsidP="00A26BF3">
            <w:pPr>
              <w:jc w:val="center"/>
              <w:rPr>
                <w:b/>
                <w:color w:val="000000" w:themeColor="text1"/>
              </w:rPr>
            </w:pPr>
            <w:r w:rsidRPr="0058432E">
              <w:rPr>
                <w:b/>
                <w:color w:val="000000" w:themeColor="text1"/>
              </w:rPr>
              <w:t>N = 21</w:t>
            </w:r>
          </w:p>
        </w:tc>
        <w:tc>
          <w:tcPr>
            <w:tcW w:w="1715" w:type="dxa"/>
            <w:tcBorders>
              <w:top w:val="single" w:sz="4" w:space="0" w:color="auto"/>
              <w:left w:val="single" w:sz="4" w:space="0" w:color="auto"/>
              <w:bottom w:val="single" w:sz="4" w:space="0" w:color="auto"/>
              <w:right w:val="single" w:sz="4" w:space="0" w:color="auto"/>
            </w:tcBorders>
            <w:vAlign w:val="center"/>
          </w:tcPr>
          <w:p w14:paraId="2CDF4A40" w14:textId="77777777" w:rsidR="006B2FBE" w:rsidRPr="0058432E" w:rsidRDefault="006B2FBE" w:rsidP="00A26BF3">
            <w:pPr>
              <w:jc w:val="center"/>
              <w:rPr>
                <w:b/>
                <w:color w:val="000000" w:themeColor="text1"/>
              </w:rPr>
            </w:pPr>
          </w:p>
        </w:tc>
      </w:tr>
      <w:tr w:rsidR="006B2FBE" w:rsidRPr="0058432E" w14:paraId="631FCAFE"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1274A515" w14:textId="77777777" w:rsidR="006B2FBE" w:rsidRPr="0058432E" w:rsidRDefault="00A26BF3" w:rsidP="00A26BF3">
            <w:pPr>
              <w:rPr>
                <w:color w:val="000000" w:themeColor="text1"/>
              </w:rPr>
            </w:pPr>
            <w:r w:rsidRPr="0058432E">
              <w:rPr>
                <w:color w:val="000000" w:themeColor="text1"/>
              </w:rPr>
              <w:lastRenderedPageBreak/>
              <w:t>Semaine </w:t>
            </w:r>
            <w:r w:rsidR="006B2FBE" w:rsidRPr="0058432E">
              <w:rPr>
                <w:color w:val="000000" w:themeColor="text1"/>
              </w:rPr>
              <w:t>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FEDCBE8" w14:textId="77777777" w:rsidR="006B2FBE" w:rsidRPr="0058432E" w:rsidRDefault="006B2FBE" w:rsidP="00A26BF3">
            <w:pPr>
              <w:jc w:val="center"/>
              <w:rPr>
                <w:color w:val="000000" w:themeColor="text1"/>
              </w:rPr>
            </w:pPr>
            <w:r w:rsidRPr="0058432E">
              <w:rPr>
                <w:color w:val="000000" w:themeColor="text1"/>
              </w:rPr>
              <w:t>46</w:t>
            </w:r>
            <w:r w:rsidR="00A26BF3" w:rsidRPr="0058432E">
              <w:rPr>
                <w:color w:val="000000" w:themeColor="text1"/>
              </w:rPr>
              <w:t>,</w:t>
            </w:r>
            <w:r w:rsidRPr="0058432E">
              <w:rPr>
                <w:color w:val="000000" w:themeColor="text1"/>
              </w:rPr>
              <w:t>7</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0B43C61" w14:textId="77777777" w:rsidR="006B2FBE" w:rsidRPr="0058432E" w:rsidRDefault="006B2FBE" w:rsidP="00A26BF3">
            <w:pPr>
              <w:jc w:val="center"/>
              <w:rPr>
                <w:color w:val="000000" w:themeColor="text1"/>
              </w:rPr>
            </w:pPr>
            <w:r w:rsidRPr="0058432E">
              <w:rPr>
                <w:color w:val="000000" w:themeColor="text1"/>
              </w:rPr>
              <w:t>38</w:t>
            </w:r>
            <w:r w:rsidR="00A26BF3" w:rsidRPr="0058432E">
              <w:rPr>
                <w:color w:val="000000" w:themeColor="text1"/>
              </w:rPr>
              <w:t>,</w:t>
            </w:r>
            <w:r w:rsidRPr="0058432E">
              <w:rPr>
                <w:color w:val="000000" w:themeColor="text1"/>
              </w:rPr>
              <w:t>1</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D7D1874"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608</w:t>
            </w:r>
          </w:p>
        </w:tc>
      </w:tr>
      <w:tr w:rsidR="006B2FBE" w:rsidRPr="0058432E" w14:paraId="314D7DCC" w14:textId="77777777" w:rsidTr="006D1A33">
        <w:tc>
          <w:tcPr>
            <w:tcW w:w="4158" w:type="dxa"/>
            <w:tcBorders>
              <w:top w:val="single" w:sz="4" w:space="0" w:color="auto"/>
              <w:left w:val="single" w:sz="4" w:space="0" w:color="auto"/>
              <w:bottom w:val="single" w:sz="4" w:space="0" w:color="auto"/>
              <w:right w:val="single" w:sz="4" w:space="0" w:color="auto"/>
            </w:tcBorders>
            <w:hideMark/>
          </w:tcPr>
          <w:p w14:paraId="55BB6819" w14:textId="77777777" w:rsidR="006B2FBE" w:rsidRPr="0058432E" w:rsidRDefault="00A26BF3" w:rsidP="00A26BF3">
            <w:pPr>
              <w:rPr>
                <w:color w:val="000000" w:themeColor="text1"/>
              </w:rPr>
            </w:pPr>
            <w:r w:rsidRPr="0058432E">
              <w:rPr>
                <w:color w:val="000000" w:themeColor="text1"/>
              </w:rPr>
              <w:t>Semaine </w:t>
            </w:r>
            <w:r w:rsidR="006B2FBE" w:rsidRPr="0058432E">
              <w:rPr>
                <w:color w:val="000000" w:themeColor="text1"/>
              </w:rPr>
              <w:t>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19565F2" w14:textId="77777777" w:rsidR="006B2FBE" w:rsidRPr="0058432E" w:rsidRDefault="006B2FBE" w:rsidP="00A26BF3">
            <w:pPr>
              <w:jc w:val="center"/>
              <w:rPr>
                <w:color w:val="000000" w:themeColor="text1"/>
              </w:rPr>
            </w:pPr>
            <w:r w:rsidRPr="0058432E">
              <w:rPr>
                <w:color w:val="000000" w:themeColor="text1"/>
              </w:rPr>
              <w:t>40</w:t>
            </w:r>
            <w:r w:rsidR="00A26BF3" w:rsidRPr="0058432E">
              <w:rPr>
                <w:color w:val="000000" w:themeColor="text1"/>
              </w:rPr>
              <w:t>,</w:t>
            </w:r>
            <w:r w:rsidRPr="0058432E">
              <w:rPr>
                <w:color w:val="000000" w:themeColor="text1"/>
              </w:rPr>
              <w:t>0</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B74A6BE" w14:textId="77777777" w:rsidR="006B2FBE" w:rsidRPr="0058432E" w:rsidRDefault="006B2FBE" w:rsidP="00A26BF3">
            <w:pPr>
              <w:jc w:val="center"/>
              <w:rPr>
                <w:color w:val="000000" w:themeColor="text1"/>
              </w:rPr>
            </w:pPr>
            <w:r w:rsidRPr="0058432E">
              <w:rPr>
                <w:color w:val="000000" w:themeColor="text1"/>
              </w:rPr>
              <w:t>23</w:t>
            </w:r>
            <w:r w:rsidR="00A26BF3" w:rsidRPr="0058432E">
              <w:rPr>
                <w:color w:val="000000" w:themeColor="text1"/>
              </w:rPr>
              <w:t>,</w:t>
            </w:r>
            <w:r w:rsidRPr="0058432E">
              <w:rPr>
                <w:color w:val="000000" w:themeColor="text1"/>
              </w:rPr>
              <w:t>8</w:t>
            </w:r>
            <w:r w:rsidR="00A26BF3" w:rsidRPr="0058432E">
              <w:rPr>
                <w:color w:val="000000" w:themeColor="text1"/>
              </w:rPr>
              <w:t>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52D98D9" w14:textId="77777777" w:rsidR="006B2FBE" w:rsidRPr="0058432E" w:rsidRDefault="006B2FBE" w:rsidP="00A26BF3">
            <w:pPr>
              <w:jc w:val="center"/>
              <w:rPr>
                <w:color w:val="000000" w:themeColor="text1"/>
              </w:rPr>
            </w:pPr>
            <w:r w:rsidRPr="0058432E">
              <w:rPr>
                <w:color w:val="000000" w:themeColor="text1"/>
              </w:rPr>
              <w:t>0</w:t>
            </w:r>
            <w:r w:rsidR="00A26BF3" w:rsidRPr="0058432E">
              <w:rPr>
                <w:color w:val="000000" w:themeColor="text1"/>
              </w:rPr>
              <w:t>,</w:t>
            </w:r>
            <w:r w:rsidRPr="0058432E">
              <w:rPr>
                <w:color w:val="000000" w:themeColor="text1"/>
              </w:rPr>
              <w:t>303</w:t>
            </w:r>
          </w:p>
        </w:tc>
      </w:tr>
      <w:tr w:rsidR="006B2FBE" w:rsidRPr="0058432E" w14:paraId="4B34369D" w14:textId="77777777" w:rsidTr="006D1A33">
        <w:tc>
          <w:tcPr>
            <w:tcW w:w="9303" w:type="dxa"/>
            <w:gridSpan w:val="4"/>
            <w:tcBorders>
              <w:top w:val="single" w:sz="4" w:space="0" w:color="auto"/>
              <w:left w:val="nil"/>
              <w:bottom w:val="nil"/>
              <w:right w:val="nil"/>
            </w:tcBorders>
          </w:tcPr>
          <w:p w14:paraId="04DFC119" w14:textId="77777777" w:rsidR="006B2FBE" w:rsidRPr="0058432E" w:rsidRDefault="006B2FBE" w:rsidP="00A26BF3">
            <w:pPr>
              <w:ind w:left="270" w:hanging="270"/>
              <w:rPr>
                <w:color w:val="000000" w:themeColor="text1"/>
                <w:sz w:val="20"/>
              </w:rPr>
            </w:pPr>
            <w:r w:rsidRPr="0058432E">
              <w:rPr>
                <w:color w:val="000000" w:themeColor="text1"/>
                <w:sz w:val="20"/>
                <w:vertAlign w:val="superscript"/>
              </w:rPr>
              <w:t>1</w:t>
            </w:r>
            <w:r w:rsidRPr="0058432E">
              <w:rPr>
                <w:color w:val="000000" w:themeColor="text1"/>
                <w:sz w:val="20"/>
              </w:rPr>
              <w:tab/>
            </w:r>
            <w:r w:rsidR="00A26BF3" w:rsidRPr="0058432E">
              <w:rPr>
                <w:color w:val="000000" w:themeColor="text1"/>
                <w:sz w:val="20"/>
              </w:rPr>
              <w:t xml:space="preserve">Valeur de </w:t>
            </w:r>
            <w:r w:rsidR="00A26BF3" w:rsidRPr="0058432E">
              <w:rPr>
                <w:i/>
                <w:color w:val="000000" w:themeColor="text1"/>
                <w:sz w:val="20"/>
              </w:rPr>
              <w:t>p</w:t>
            </w:r>
            <w:r w:rsidR="00A26BF3" w:rsidRPr="0058432E">
              <w:rPr>
                <w:color w:val="000000" w:themeColor="text1"/>
                <w:sz w:val="20"/>
              </w:rPr>
              <w:t xml:space="preserve"> pour la comparaison dose standard </w:t>
            </w:r>
            <w:r w:rsidR="00A26BF3" w:rsidRPr="0058432E">
              <w:rPr>
                <w:i/>
                <w:color w:val="000000" w:themeColor="text1"/>
                <w:sz w:val="20"/>
              </w:rPr>
              <w:t>versus</w:t>
            </w:r>
            <w:r w:rsidR="00A26BF3" w:rsidRPr="0058432E">
              <w:rPr>
                <w:color w:val="000000" w:themeColor="text1"/>
                <w:sz w:val="20"/>
              </w:rPr>
              <w:t xml:space="preserve"> dose faible.</w:t>
            </w:r>
          </w:p>
          <w:p w14:paraId="16FF8239" w14:textId="77777777" w:rsidR="006B2FBE" w:rsidRPr="0058432E" w:rsidRDefault="006B2FBE" w:rsidP="00A26BF3">
            <w:pPr>
              <w:ind w:left="270" w:hanging="270"/>
              <w:rPr>
                <w:color w:val="000000" w:themeColor="text1"/>
                <w:sz w:val="20"/>
              </w:rPr>
            </w:pPr>
            <w:r w:rsidRPr="0058432E">
              <w:rPr>
                <w:color w:val="000000" w:themeColor="text1"/>
                <w:sz w:val="20"/>
                <w:vertAlign w:val="superscript"/>
              </w:rPr>
              <w:t>2</w:t>
            </w:r>
            <w:r w:rsidRPr="0058432E">
              <w:rPr>
                <w:color w:val="000000" w:themeColor="text1"/>
                <w:sz w:val="20"/>
              </w:rPr>
              <w:tab/>
            </w:r>
            <w:r w:rsidR="00A26BF3" w:rsidRPr="0058432E">
              <w:rPr>
                <w:color w:val="000000" w:themeColor="text1"/>
                <w:sz w:val="20"/>
              </w:rPr>
              <w:t>Le traitement immunosuppre</w:t>
            </w:r>
            <w:r w:rsidR="005F1EE7" w:rsidRPr="0058432E">
              <w:rPr>
                <w:color w:val="000000" w:themeColor="text1"/>
                <w:sz w:val="20"/>
              </w:rPr>
              <w:t>sseur ne pouvait être arrêté qu’à partir de la semaine </w:t>
            </w:r>
            <w:r w:rsidR="00A26BF3" w:rsidRPr="0058432E">
              <w:rPr>
                <w:color w:val="000000" w:themeColor="text1"/>
                <w:sz w:val="20"/>
              </w:rPr>
              <w:t xml:space="preserve">26, à la libre </w:t>
            </w:r>
            <w:r w:rsidR="005F1EE7" w:rsidRPr="0058432E">
              <w:rPr>
                <w:color w:val="000000" w:themeColor="text1"/>
                <w:sz w:val="20"/>
              </w:rPr>
              <w:t>appréciation de l’</w:t>
            </w:r>
            <w:r w:rsidR="00A26BF3" w:rsidRPr="0058432E">
              <w:rPr>
                <w:color w:val="000000" w:themeColor="text1"/>
                <w:sz w:val="20"/>
              </w:rPr>
              <w:t>investigateur, si le patient répondait au critère de réponse clinique</w:t>
            </w:r>
          </w:p>
          <w:p w14:paraId="633389A4" w14:textId="77777777" w:rsidR="006B2FBE" w:rsidRPr="0058432E" w:rsidRDefault="006B2FBE" w:rsidP="00A26BF3">
            <w:pPr>
              <w:ind w:left="270" w:hanging="270"/>
              <w:rPr>
                <w:color w:val="000000" w:themeColor="text1"/>
                <w:sz w:val="20"/>
              </w:rPr>
            </w:pPr>
            <w:r w:rsidRPr="0058432E">
              <w:rPr>
                <w:color w:val="000000" w:themeColor="text1"/>
                <w:sz w:val="20"/>
                <w:vertAlign w:val="superscript"/>
              </w:rPr>
              <w:t>3</w:t>
            </w:r>
            <w:r w:rsidRPr="0058432E">
              <w:rPr>
                <w:color w:val="000000" w:themeColor="text1"/>
                <w:sz w:val="20"/>
              </w:rPr>
              <w:tab/>
            </w:r>
            <w:r w:rsidR="00A26BF3" w:rsidRPr="0058432E">
              <w:rPr>
                <w:color w:val="000000" w:themeColor="text1"/>
                <w:sz w:val="20"/>
              </w:rPr>
              <w:t>Définie comme la fermeture de to</w:t>
            </w:r>
            <w:r w:rsidR="005F1EE7" w:rsidRPr="0058432E">
              <w:rPr>
                <w:color w:val="000000" w:themeColor="text1"/>
                <w:sz w:val="20"/>
              </w:rPr>
              <w:t>utes les fistules, à au moins 2 </w:t>
            </w:r>
            <w:r w:rsidR="00A26BF3" w:rsidRPr="0058432E">
              <w:rPr>
                <w:color w:val="000000" w:themeColor="text1"/>
                <w:sz w:val="20"/>
              </w:rPr>
              <w:t>visites consécutives après la visite initiale</w:t>
            </w:r>
          </w:p>
        </w:tc>
      </w:tr>
    </w:tbl>
    <w:p w14:paraId="2D1FFD4D" w14:textId="77777777" w:rsidR="006B2FBE" w:rsidRPr="0058432E" w:rsidRDefault="006B2FBE" w:rsidP="00A26BF3">
      <w:pPr>
        <w:rPr>
          <w:color w:val="000000" w:themeColor="text1"/>
        </w:rPr>
      </w:pPr>
    </w:p>
    <w:p w14:paraId="3F454BC3" w14:textId="77777777" w:rsidR="006B2FBE" w:rsidRPr="0058432E" w:rsidRDefault="00A26BF3" w:rsidP="00491257">
      <w:pPr>
        <w:pStyle w:val="BodyText"/>
        <w:kinsoku w:val="0"/>
        <w:overflowPunct w:val="0"/>
        <w:ind w:left="0"/>
        <w:rPr>
          <w:color w:val="000000" w:themeColor="text1"/>
        </w:rPr>
      </w:pPr>
      <w:r w:rsidRPr="0058432E">
        <w:rPr>
          <w:color w:val="000000" w:themeColor="text1"/>
        </w:rPr>
        <w:t>Des augmentations statistiquement sig</w:t>
      </w:r>
      <w:r w:rsidR="005F1EE7" w:rsidRPr="0058432E">
        <w:rPr>
          <w:color w:val="000000" w:themeColor="text1"/>
        </w:rPr>
        <w:t>nificatives (amélioration) de l’</w:t>
      </w:r>
      <w:r w:rsidRPr="0058432E">
        <w:rPr>
          <w:color w:val="000000" w:themeColor="text1"/>
        </w:rPr>
        <w:t>indice de masse corporelle et de la vitesse de croissance staturale ont été observées dans les deux groupes de traitement entre la visite init</w:t>
      </w:r>
      <w:r w:rsidR="005F1EE7" w:rsidRPr="0058432E">
        <w:rPr>
          <w:color w:val="000000" w:themeColor="text1"/>
        </w:rPr>
        <w:t>iale et les semaines </w:t>
      </w:r>
      <w:r w:rsidRPr="0058432E">
        <w:rPr>
          <w:color w:val="000000" w:themeColor="text1"/>
        </w:rPr>
        <w:t>26 et 52</w:t>
      </w:r>
      <w:r w:rsidR="006B2FBE" w:rsidRPr="0058432E">
        <w:rPr>
          <w:color w:val="000000" w:themeColor="text1"/>
        </w:rPr>
        <w:t>.</w:t>
      </w:r>
    </w:p>
    <w:p w14:paraId="60785B0B" w14:textId="77777777" w:rsidR="006B2FBE" w:rsidRPr="0058432E" w:rsidRDefault="006B2FBE" w:rsidP="00A26BF3">
      <w:pPr>
        <w:pStyle w:val="BodyText"/>
        <w:widowControl/>
        <w:kinsoku w:val="0"/>
        <w:overflowPunct w:val="0"/>
        <w:ind w:left="0"/>
        <w:rPr>
          <w:color w:val="000000" w:themeColor="text1"/>
        </w:rPr>
      </w:pPr>
    </w:p>
    <w:p w14:paraId="0449A1B9" w14:textId="77777777" w:rsidR="006B2FBE" w:rsidRPr="0058432E" w:rsidRDefault="00A26BF3" w:rsidP="00491257">
      <w:pPr>
        <w:pStyle w:val="BodyText"/>
        <w:kinsoku w:val="0"/>
        <w:overflowPunct w:val="0"/>
        <w:ind w:left="0"/>
        <w:rPr>
          <w:color w:val="000000" w:themeColor="text1"/>
        </w:rPr>
      </w:pPr>
      <w:r w:rsidRPr="0058432E">
        <w:rPr>
          <w:color w:val="000000" w:themeColor="text1"/>
        </w:rPr>
        <w:t>Des améliorations statistiquement et cliniquement significatives par rapport à la visite initiale ont également été observées dans les deux groupes de traitement pour les paramètres de qualité de vie (y compris IMPACT III)</w:t>
      </w:r>
      <w:r w:rsidR="006B2FBE" w:rsidRPr="0058432E">
        <w:rPr>
          <w:color w:val="000000" w:themeColor="text1"/>
        </w:rPr>
        <w:t>.</w:t>
      </w:r>
    </w:p>
    <w:p w14:paraId="17CDD8D4" w14:textId="77777777" w:rsidR="006B2FBE" w:rsidRPr="0058432E" w:rsidRDefault="006B2FBE" w:rsidP="00A26BF3">
      <w:pPr>
        <w:pStyle w:val="BodyText"/>
        <w:widowControl/>
        <w:kinsoku w:val="0"/>
        <w:overflowPunct w:val="0"/>
        <w:ind w:left="0"/>
        <w:rPr>
          <w:color w:val="000000" w:themeColor="text1"/>
          <w:szCs w:val="21"/>
        </w:rPr>
      </w:pPr>
    </w:p>
    <w:p w14:paraId="4F03ED58" w14:textId="77777777" w:rsidR="006B2FBE" w:rsidRPr="0058432E" w:rsidRDefault="00A26BF3" w:rsidP="00491257">
      <w:pPr>
        <w:pStyle w:val="BodyText"/>
        <w:kinsoku w:val="0"/>
        <w:overflowPunct w:val="0"/>
        <w:ind w:left="0"/>
        <w:rPr>
          <w:color w:val="000000" w:themeColor="text1"/>
        </w:rPr>
      </w:pPr>
      <w:r w:rsidRPr="0058432E">
        <w:rPr>
          <w:color w:val="000000" w:themeColor="text1"/>
        </w:rPr>
        <w:t>Cent patients (n</w:t>
      </w:r>
      <w:r w:rsidR="005F1EE7" w:rsidRPr="0058432E">
        <w:rPr>
          <w:color w:val="000000" w:themeColor="text1"/>
        </w:rPr>
        <w:t> =</w:t>
      </w:r>
      <w:r w:rsidR="005F1EE7" w:rsidRPr="0058432E">
        <w:rPr>
          <w:b/>
          <w:color w:val="000000" w:themeColor="text1"/>
        </w:rPr>
        <w:t> </w:t>
      </w:r>
      <w:r w:rsidRPr="0058432E">
        <w:rPr>
          <w:color w:val="000000" w:themeColor="text1"/>
        </w:rPr>
        <w:t xml:space="preserve">100) issus de l’étude sur la MC pédiatrique ont été inclus dans une étude d’extension </w:t>
      </w:r>
      <w:r w:rsidR="005F1EE7" w:rsidRPr="0058432E">
        <w:rPr>
          <w:color w:val="000000" w:themeColor="text1"/>
        </w:rPr>
        <w:t>à long terme en ouvert. Après 5 </w:t>
      </w:r>
      <w:r w:rsidRPr="0058432E">
        <w:rPr>
          <w:color w:val="000000" w:themeColor="text1"/>
        </w:rPr>
        <w:t>ans de tr</w:t>
      </w:r>
      <w:r w:rsidR="005F1EE7" w:rsidRPr="0058432E">
        <w:rPr>
          <w:color w:val="000000" w:themeColor="text1"/>
        </w:rPr>
        <w:t>aitement par adalimumab, 74,0 % (37/50) des 50 </w:t>
      </w:r>
      <w:r w:rsidRPr="0058432E">
        <w:rPr>
          <w:color w:val="000000" w:themeColor="text1"/>
        </w:rPr>
        <w:t>patients restant dans l’étude continuaient à être en rémissi</w:t>
      </w:r>
      <w:r w:rsidR="005F1EE7" w:rsidRPr="0058432E">
        <w:rPr>
          <w:color w:val="000000" w:themeColor="text1"/>
        </w:rPr>
        <w:t>on clinique et 92,0 </w:t>
      </w:r>
      <w:r w:rsidRPr="0058432E">
        <w:rPr>
          <w:color w:val="000000" w:themeColor="text1"/>
        </w:rPr>
        <w:t>% (46/50) des patients continuaient à être en réponse clinique selon le score PCDAI.</w:t>
      </w:r>
    </w:p>
    <w:p w14:paraId="64B528E0" w14:textId="77777777" w:rsidR="006B2FBE" w:rsidRPr="0058432E" w:rsidRDefault="006B2FBE" w:rsidP="006B2FBE">
      <w:pPr>
        <w:pStyle w:val="BodyText"/>
        <w:widowControl/>
        <w:kinsoku w:val="0"/>
        <w:overflowPunct w:val="0"/>
        <w:ind w:left="0"/>
        <w:rPr>
          <w:color w:val="000000" w:themeColor="text1"/>
        </w:rPr>
      </w:pPr>
    </w:p>
    <w:p w14:paraId="14EE0666" w14:textId="77777777" w:rsidR="006B2FBE" w:rsidRPr="0058432E" w:rsidRDefault="00A26BF3" w:rsidP="006B2FBE">
      <w:pPr>
        <w:pStyle w:val="BodyText"/>
        <w:keepNext/>
        <w:widowControl/>
        <w:kinsoku w:val="0"/>
        <w:overflowPunct w:val="0"/>
        <w:ind w:left="0"/>
        <w:rPr>
          <w:color w:val="000000" w:themeColor="text1"/>
        </w:rPr>
      </w:pPr>
      <w:r w:rsidRPr="0058432E">
        <w:rPr>
          <w:i/>
          <w:iCs/>
          <w:color w:val="000000" w:themeColor="text1"/>
        </w:rPr>
        <w:t>Uvéite pédiatrique</w:t>
      </w:r>
    </w:p>
    <w:p w14:paraId="0A78358C" w14:textId="77777777" w:rsidR="006B2FBE" w:rsidRPr="0058432E" w:rsidRDefault="006B2FBE" w:rsidP="00A26BF3">
      <w:pPr>
        <w:pStyle w:val="BodyText"/>
        <w:keepNext/>
        <w:widowControl/>
        <w:kinsoku w:val="0"/>
        <w:overflowPunct w:val="0"/>
        <w:ind w:left="0"/>
        <w:rPr>
          <w:i/>
          <w:iCs/>
          <w:color w:val="000000" w:themeColor="text1"/>
          <w:szCs w:val="21"/>
        </w:rPr>
      </w:pPr>
    </w:p>
    <w:p w14:paraId="40AB0211" w14:textId="77777777" w:rsidR="006B2FBE" w:rsidRPr="0058432E" w:rsidRDefault="00A26BF3" w:rsidP="00491257">
      <w:pPr>
        <w:pStyle w:val="BodyText"/>
        <w:kinsoku w:val="0"/>
        <w:overflowPunct w:val="0"/>
        <w:ind w:left="0"/>
        <w:rPr>
          <w:color w:val="000000" w:themeColor="text1"/>
        </w:rPr>
      </w:pPr>
      <w:r w:rsidRPr="0058432E">
        <w:rPr>
          <w:color w:val="000000" w:themeColor="text1"/>
        </w:rPr>
        <w:t xml:space="preserve">La tolérance et l’efficacité </w:t>
      </w:r>
      <w:r w:rsidR="005F1EE7" w:rsidRPr="0058432E">
        <w:rPr>
          <w:color w:val="000000" w:themeColor="text1"/>
        </w:rPr>
        <w:t>de l’adalimumab</w:t>
      </w:r>
      <w:r w:rsidRPr="0058432E">
        <w:rPr>
          <w:color w:val="000000" w:themeColor="text1"/>
        </w:rPr>
        <w:t xml:space="preserve"> ont été évaluées dans une étude randomisée, contrôlée, en d</w:t>
      </w:r>
      <w:r w:rsidR="005F1EE7" w:rsidRPr="0058432E">
        <w:rPr>
          <w:color w:val="000000" w:themeColor="text1"/>
        </w:rPr>
        <w:t>ouble aveugle, conduite chez 90 </w:t>
      </w:r>
      <w:r w:rsidRPr="0058432E">
        <w:rPr>
          <w:color w:val="000000" w:themeColor="text1"/>
        </w:rPr>
        <w:t>pati</w:t>
      </w:r>
      <w:r w:rsidR="005F1EE7" w:rsidRPr="0058432E">
        <w:rPr>
          <w:color w:val="000000" w:themeColor="text1"/>
        </w:rPr>
        <w:t>ents pédiatriques âgés de 2 à &lt; 18 </w:t>
      </w:r>
      <w:r w:rsidRPr="0058432E">
        <w:rPr>
          <w:color w:val="000000" w:themeColor="text1"/>
        </w:rPr>
        <w:t>ans atteints d’uvéite active antérieure non infectieuse associée à une AJI qui étaient réfractaire</w:t>
      </w:r>
      <w:r w:rsidR="005F1EE7" w:rsidRPr="0058432E">
        <w:rPr>
          <w:color w:val="000000" w:themeColor="text1"/>
        </w:rPr>
        <w:t>s à un traitement d’au moins 12 </w:t>
      </w:r>
      <w:r w:rsidRPr="0058432E">
        <w:rPr>
          <w:color w:val="000000" w:themeColor="text1"/>
        </w:rPr>
        <w:t>semaines par le méthotrexate. Les patients o</w:t>
      </w:r>
      <w:r w:rsidR="005F1EE7" w:rsidRPr="0058432E">
        <w:rPr>
          <w:color w:val="000000" w:themeColor="text1"/>
        </w:rPr>
        <w:t>nt reçu soit un placebo soit 20 </w:t>
      </w:r>
      <w:r w:rsidRPr="0058432E">
        <w:rPr>
          <w:color w:val="000000" w:themeColor="text1"/>
        </w:rPr>
        <w:t>mg d’adalimumab (s’ils pesaient &lt;</w:t>
      </w:r>
      <w:r w:rsidR="005F1EE7" w:rsidRPr="0058432E">
        <w:rPr>
          <w:color w:val="000000" w:themeColor="text1"/>
        </w:rPr>
        <w:t> 30 </w:t>
      </w:r>
      <w:r w:rsidRPr="0058432E">
        <w:rPr>
          <w:color w:val="000000" w:themeColor="text1"/>
        </w:rPr>
        <w:t xml:space="preserve">kg) </w:t>
      </w:r>
      <w:r w:rsidR="005F1EE7" w:rsidRPr="0058432E">
        <w:rPr>
          <w:color w:val="000000" w:themeColor="text1"/>
        </w:rPr>
        <w:t>ou 40 </w:t>
      </w:r>
      <w:r w:rsidRPr="0058432E">
        <w:rPr>
          <w:color w:val="000000" w:themeColor="text1"/>
        </w:rPr>
        <w:t>mg</w:t>
      </w:r>
      <w:r w:rsidR="005F1EE7" w:rsidRPr="0058432E">
        <w:rPr>
          <w:color w:val="000000" w:themeColor="text1"/>
        </w:rPr>
        <w:t xml:space="preserve"> d’adalimumab (s’ils pesaient ≥ 30 </w:t>
      </w:r>
      <w:r w:rsidRPr="0058432E">
        <w:rPr>
          <w:color w:val="000000" w:themeColor="text1"/>
        </w:rPr>
        <w:t>kg) toutes les deux semaines en association avec leur dose initiale de méthotrexate</w:t>
      </w:r>
      <w:r w:rsidR="006B2FBE" w:rsidRPr="0058432E">
        <w:rPr>
          <w:color w:val="000000" w:themeColor="text1"/>
        </w:rPr>
        <w:t>.</w:t>
      </w:r>
    </w:p>
    <w:p w14:paraId="7B7B2794" w14:textId="77777777" w:rsidR="006B2FBE" w:rsidRPr="0058432E" w:rsidRDefault="006B2FBE" w:rsidP="00A26BF3">
      <w:pPr>
        <w:pStyle w:val="BodyText"/>
        <w:widowControl/>
        <w:kinsoku w:val="0"/>
        <w:overflowPunct w:val="0"/>
        <w:ind w:left="0"/>
        <w:rPr>
          <w:color w:val="000000" w:themeColor="text1"/>
        </w:rPr>
      </w:pPr>
    </w:p>
    <w:p w14:paraId="3EAA5E10" w14:textId="77777777" w:rsidR="006B2FBE" w:rsidRPr="0058432E" w:rsidRDefault="00A26BF3" w:rsidP="00491257">
      <w:pPr>
        <w:pStyle w:val="BodyText"/>
        <w:kinsoku w:val="0"/>
        <w:overflowPunct w:val="0"/>
        <w:ind w:left="0"/>
        <w:rPr>
          <w:color w:val="000000" w:themeColor="text1"/>
        </w:rPr>
      </w:pPr>
      <w:r w:rsidRPr="0058432E">
        <w:rPr>
          <w:color w:val="000000" w:themeColor="text1"/>
        </w:rPr>
        <w:t xml:space="preserve">Le critère </w:t>
      </w:r>
      <w:r w:rsidR="005F1EE7" w:rsidRPr="0058432E">
        <w:rPr>
          <w:color w:val="000000" w:themeColor="text1"/>
        </w:rPr>
        <w:t xml:space="preserve">d’évaluation </w:t>
      </w:r>
      <w:r w:rsidRPr="0058432E">
        <w:rPr>
          <w:color w:val="000000" w:themeColor="text1"/>
        </w:rPr>
        <w:t xml:space="preserve">principal </w:t>
      </w:r>
      <w:r w:rsidR="005F1EE7" w:rsidRPr="0058432E">
        <w:rPr>
          <w:color w:val="000000" w:themeColor="text1"/>
        </w:rPr>
        <w:t>était le « délai de survenue de la rechute </w:t>
      </w:r>
      <w:r w:rsidRPr="0058432E">
        <w:rPr>
          <w:color w:val="000000" w:themeColor="text1"/>
        </w:rPr>
        <w:t>». Les critères déterminant la rechute étaient une aggravation ou l’absence prolongée d’amélioration de l’inflammation oculaire, une amélioration partielle avec le développement de comorbidités oculaires prolongées ou l’aggravation des comorbidités oculaires, l’utilisation non autorisée de médicaments concomitants et la suspension du traitement sur une durée de temps prolongée</w:t>
      </w:r>
      <w:r w:rsidR="006B2FBE" w:rsidRPr="0058432E">
        <w:rPr>
          <w:color w:val="000000" w:themeColor="text1"/>
        </w:rPr>
        <w:t>.</w:t>
      </w:r>
    </w:p>
    <w:p w14:paraId="28E76B0C" w14:textId="77777777" w:rsidR="006B2FBE" w:rsidRPr="0058432E" w:rsidRDefault="006B2FBE" w:rsidP="00A26BF3">
      <w:pPr>
        <w:pStyle w:val="BodyText"/>
        <w:widowControl/>
        <w:kinsoku w:val="0"/>
        <w:overflowPunct w:val="0"/>
        <w:ind w:left="0"/>
        <w:rPr>
          <w:color w:val="000000" w:themeColor="text1"/>
        </w:rPr>
      </w:pPr>
    </w:p>
    <w:p w14:paraId="51028007" w14:textId="77777777" w:rsidR="006B2FBE" w:rsidRPr="0058432E" w:rsidRDefault="00A26BF3" w:rsidP="006B2FBE">
      <w:pPr>
        <w:pStyle w:val="BodyText"/>
        <w:keepNext/>
        <w:widowControl/>
        <w:kinsoku w:val="0"/>
        <w:overflowPunct w:val="0"/>
        <w:ind w:left="0"/>
        <w:rPr>
          <w:color w:val="000000" w:themeColor="text1"/>
        </w:rPr>
      </w:pPr>
      <w:r w:rsidRPr="0058432E">
        <w:rPr>
          <w:i/>
          <w:iCs/>
          <w:color w:val="000000" w:themeColor="text1"/>
          <w:u w:val="single"/>
        </w:rPr>
        <w:t>Réponse clinique</w:t>
      </w:r>
    </w:p>
    <w:p w14:paraId="67F6701F" w14:textId="77777777" w:rsidR="006B2FBE" w:rsidRPr="0058432E" w:rsidRDefault="006B2FBE" w:rsidP="00A26BF3">
      <w:pPr>
        <w:pStyle w:val="BodyText"/>
        <w:keepNext/>
        <w:widowControl/>
        <w:kinsoku w:val="0"/>
        <w:overflowPunct w:val="0"/>
        <w:ind w:left="0"/>
        <w:rPr>
          <w:i/>
          <w:iCs/>
          <w:color w:val="000000" w:themeColor="text1"/>
        </w:rPr>
      </w:pPr>
    </w:p>
    <w:p w14:paraId="74383E75" w14:textId="77777777" w:rsidR="006B2FBE" w:rsidRPr="0058432E" w:rsidRDefault="00A26BF3" w:rsidP="00491257">
      <w:pPr>
        <w:pStyle w:val="BodyText"/>
        <w:kinsoku w:val="0"/>
        <w:overflowPunct w:val="0"/>
        <w:ind w:left="0"/>
        <w:rPr>
          <w:color w:val="000000" w:themeColor="text1"/>
        </w:rPr>
      </w:pPr>
      <w:r w:rsidRPr="0058432E">
        <w:rPr>
          <w:color w:val="000000" w:themeColor="text1"/>
        </w:rPr>
        <w:t xml:space="preserve">L’adalimumab a retardé de manière significative le délai de survenue de la rechute </w:t>
      </w:r>
      <w:r w:rsidRPr="0058432E">
        <w:rPr>
          <w:i/>
          <w:color w:val="000000" w:themeColor="text1"/>
        </w:rPr>
        <w:t>versus</w:t>
      </w:r>
      <w:r w:rsidR="008C4E5F" w:rsidRPr="0058432E">
        <w:rPr>
          <w:color w:val="000000" w:themeColor="text1"/>
        </w:rPr>
        <w:t xml:space="preserve"> placebo (voir figure 2</w:t>
      </w:r>
      <w:r w:rsidRPr="0058432E">
        <w:rPr>
          <w:color w:val="000000" w:themeColor="text1"/>
        </w:rPr>
        <w:t xml:space="preserve">, </w:t>
      </w:r>
      <w:r w:rsidR="00EC618D" w:rsidRPr="0058432E">
        <w:rPr>
          <w:i/>
          <w:color w:val="000000" w:themeColor="text1"/>
        </w:rPr>
        <w:t>p</w:t>
      </w:r>
      <w:r w:rsidR="008C4E5F" w:rsidRPr="0058432E">
        <w:rPr>
          <w:color w:val="000000" w:themeColor="text1"/>
        </w:rPr>
        <w:t> &lt; </w:t>
      </w:r>
      <w:r w:rsidRPr="0058432E">
        <w:rPr>
          <w:color w:val="000000" w:themeColor="text1"/>
        </w:rPr>
        <w:t>0,0001</w:t>
      </w:r>
      <w:r w:rsidR="008C4E5F" w:rsidRPr="0058432E">
        <w:rPr>
          <w:color w:val="000000" w:themeColor="text1"/>
        </w:rPr>
        <w:t>,</w:t>
      </w:r>
      <w:r w:rsidRPr="0058432E">
        <w:rPr>
          <w:color w:val="000000" w:themeColor="text1"/>
        </w:rPr>
        <w:t xml:space="preserve"> test de log rank). Le délai médian de surve</w:t>
      </w:r>
      <w:r w:rsidR="008C4E5F" w:rsidRPr="0058432E">
        <w:rPr>
          <w:color w:val="000000" w:themeColor="text1"/>
        </w:rPr>
        <w:t>nue de la rechute était de 24,1 </w:t>
      </w:r>
      <w:r w:rsidRPr="0058432E">
        <w:rPr>
          <w:color w:val="000000" w:themeColor="text1"/>
        </w:rPr>
        <w:t>semaines pour les patients recevant le placebo, tandis que le délai médian de survenue de la rechute n’a pas pu être estimé pour les patients traités par l’adalimumab car moins de la moitié de ces patients a présenté une rechute. L’adalimumab a diminué de manière significa</w:t>
      </w:r>
      <w:r w:rsidR="008C4E5F" w:rsidRPr="0058432E">
        <w:rPr>
          <w:color w:val="000000" w:themeColor="text1"/>
        </w:rPr>
        <w:t>tive le risque de rechute de 75 </w:t>
      </w:r>
      <w:r w:rsidRPr="0058432E">
        <w:rPr>
          <w:color w:val="000000" w:themeColor="text1"/>
        </w:rPr>
        <w:t>% par rapport au placebo, comm</w:t>
      </w:r>
      <w:r w:rsidR="008C4E5F" w:rsidRPr="0058432E">
        <w:rPr>
          <w:color w:val="000000" w:themeColor="text1"/>
        </w:rPr>
        <w:t>e le montre le hazard ratio (HR = 0,25 [IC à 95 % : 0,12 ;</w:t>
      </w:r>
      <w:r w:rsidRPr="0058432E">
        <w:rPr>
          <w:color w:val="000000" w:themeColor="text1"/>
        </w:rPr>
        <w:t xml:space="preserve"> 0,49])</w:t>
      </w:r>
      <w:r w:rsidR="006B2FBE" w:rsidRPr="0058432E">
        <w:rPr>
          <w:color w:val="000000" w:themeColor="text1"/>
        </w:rPr>
        <w:t>.</w:t>
      </w:r>
    </w:p>
    <w:p w14:paraId="2CC10F9B" w14:textId="77777777" w:rsidR="006B2FBE" w:rsidRPr="0058432E" w:rsidRDefault="006B2FBE" w:rsidP="00A26BF3">
      <w:pPr>
        <w:rPr>
          <w:color w:val="000000" w:themeColor="text1"/>
        </w:rPr>
      </w:pPr>
    </w:p>
    <w:p w14:paraId="058085F4" w14:textId="77777777" w:rsidR="006B2FBE" w:rsidRPr="0058432E" w:rsidRDefault="006B2FBE" w:rsidP="00143F50">
      <w:pPr>
        <w:keepNext/>
        <w:rPr>
          <w:color w:val="000000" w:themeColor="text1"/>
        </w:rPr>
      </w:pPr>
      <w:r w:rsidRPr="0058432E">
        <w:rPr>
          <w:b/>
          <w:color w:val="000000" w:themeColor="text1"/>
        </w:rPr>
        <w:lastRenderedPageBreak/>
        <w:t>Figure</w:t>
      </w:r>
      <w:r w:rsidR="00143F50" w:rsidRPr="0058432E">
        <w:rPr>
          <w:b/>
          <w:color w:val="000000" w:themeColor="text1"/>
        </w:rPr>
        <w:t> </w:t>
      </w:r>
      <w:r w:rsidRPr="0058432E">
        <w:rPr>
          <w:b/>
          <w:color w:val="000000" w:themeColor="text1"/>
        </w:rPr>
        <w:t xml:space="preserve">2. </w:t>
      </w:r>
      <w:r w:rsidR="00143F50" w:rsidRPr="0058432E">
        <w:rPr>
          <w:b/>
          <w:color w:val="000000" w:themeColor="text1"/>
        </w:rPr>
        <w:t>Courbes de Kaplan-Meier illustrant le délai de survenue de la rechute dans l’étude sur l’uvéite pédiatrique</w:t>
      </w:r>
    </w:p>
    <w:p w14:paraId="2E9F908C" w14:textId="2C7515BF" w:rsidR="006B2FBE" w:rsidRPr="0058432E" w:rsidRDefault="009D65D0" w:rsidP="006B2FBE">
      <w:pPr>
        <w:rPr>
          <w:color w:val="000000" w:themeColor="text1"/>
        </w:rPr>
      </w:pPr>
      <w:r w:rsidRPr="0058432E">
        <w:rPr>
          <w:noProof/>
          <w:color w:val="000000" w:themeColor="text1"/>
        </w:rPr>
        <w:drawing>
          <wp:inline distT="0" distB="0" distL="0" distR="0" wp14:anchorId="2CAC4B77" wp14:editId="489F9071">
            <wp:extent cx="5753735" cy="476186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735" cy="4761865"/>
                    </a:xfrm>
                    <a:prstGeom prst="rect">
                      <a:avLst/>
                    </a:prstGeom>
                    <a:noFill/>
                    <a:ln>
                      <a:noFill/>
                    </a:ln>
                  </pic:spPr>
                </pic:pic>
              </a:graphicData>
            </a:graphic>
          </wp:inline>
        </w:drawing>
      </w:r>
    </w:p>
    <w:p w14:paraId="3A791976" w14:textId="77777777" w:rsidR="006B2FBE" w:rsidRPr="0058432E" w:rsidRDefault="00143F50" w:rsidP="006B2FBE">
      <w:pPr>
        <w:rPr>
          <w:color w:val="000000" w:themeColor="text1"/>
          <w:sz w:val="20"/>
        </w:rPr>
      </w:pPr>
      <w:r w:rsidRPr="0058432E">
        <w:rPr>
          <w:color w:val="000000" w:themeColor="text1"/>
          <w:sz w:val="20"/>
        </w:rPr>
        <w:t>Remarque </w:t>
      </w:r>
      <w:r w:rsidR="006B2FBE" w:rsidRPr="0058432E">
        <w:rPr>
          <w:color w:val="000000" w:themeColor="text1"/>
          <w:sz w:val="20"/>
        </w:rPr>
        <w:t>: P = Placebo (</w:t>
      </w:r>
      <w:r w:rsidRPr="0058432E">
        <w:rPr>
          <w:color w:val="000000" w:themeColor="text1"/>
          <w:sz w:val="20"/>
        </w:rPr>
        <w:t>Nombre de patients à risque</w:t>
      </w:r>
      <w:r w:rsidR="006B2FBE" w:rsidRPr="0058432E">
        <w:rPr>
          <w:color w:val="000000" w:themeColor="text1"/>
          <w:sz w:val="20"/>
        </w:rPr>
        <w:t>)</w:t>
      </w:r>
      <w:r w:rsidRPr="0058432E">
        <w:rPr>
          <w:color w:val="000000" w:themeColor="text1"/>
          <w:sz w:val="20"/>
        </w:rPr>
        <w:t> </w:t>
      </w:r>
      <w:r w:rsidR="006B2FBE" w:rsidRPr="0058432E">
        <w:rPr>
          <w:color w:val="000000" w:themeColor="text1"/>
          <w:sz w:val="20"/>
        </w:rPr>
        <w:t>; H = Adalimumab (</w:t>
      </w:r>
      <w:r w:rsidRPr="0058432E">
        <w:rPr>
          <w:color w:val="000000" w:themeColor="text1"/>
          <w:sz w:val="20"/>
        </w:rPr>
        <w:t>Nombre de patients à risque</w:t>
      </w:r>
      <w:r w:rsidR="006B2FBE" w:rsidRPr="0058432E">
        <w:rPr>
          <w:color w:val="000000" w:themeColor="text1"/>
          <w:sz w:val="20"/>
        </w:rPr>
        <w:t>).</w:t>
      </w:r>
    </w:p>
    <w:p w14:paraId="52D28C19" w14:textId="77777777" w:rsidR="00964AFD" w:rsidRPr="0058432E" w:rsidRDefault="00964AFD" w:rsidP="00387D0C">
      <w:pPr>
        <w:pStyle w:val="BodyText"/>
        <w:widowControl/>
        <w:kinsoku w:val="0"/>
        <w:overflowPunct w:val="0"/>
        <w:ind w:left="0"/>
        <w:rPr>
          <w:color w:val="000000" w:themeColor="text1"/>
        </w:rPr>
      </w:pPr>
    </w:p>
    <w:p w14:paraId="725578D1" w14:textId="77777777" w:rsidR="00964AFD" w:rsidRPr="0058432E" w:rsidRDefault="00964AFD" w:rsidP="00B93DAC">
      <w:pPr>
        <w:pStyle w:val="BodyText"/>
        <w:keepNext/>
        <w:widowControl/>
        <w:numPr>
          <w:ilvl w:val="1"/>
          <w:numId w:val="21"/>
        </w:numPr>
        <w:kinsoku w:val="0"/>
        <w:overflowPunct w:val="0"/>
        <w:autoSpaceDE w:val="0"/>
        <w:autoSpaceDN w:val="0"/>
        <w:adjustRightInd w:val="0"/>
        <w:ind w:left="0" w:firstLine="0"/>
        <w:rPr>
          <w:b/>
          <w:bCs/>
          <w:color w:val="000000" w:themeColor="text1"/>
        </w:rPr>
      </w:pPr>
      <w:r w:rsidRPr="0058432E">
        <w:rPr>
          <w:b/>
          <w:bCs/>
          <w:color w:val="000000" w:themeColor="text1"/>
        </w:rPr>
        <w:t>Propriétés pharmacocinétiques</w:t>
      </w:r>
    </w:p>
    <w:p w14:paraId="5408CCAE" w14:textId="77777777" w:rsidR="00964AFD" w:rsidRPr="0058432E" w:rsidRDefault="00964AFD" w:rsidP="00ED34EF">
      <w:pPr>
        <w:pStyle w:val="BodyText"/>
        <w:keepNext/>
        <w:widowControl/>
        <w:kinsoku w:val="0"/>
        <w:overflowPunct w:val="0"/>
        <w:ind w:left="0"/>
        <w:rPr>
          <w:b/>
          <w:bCs/>
          <w:color w:val="000000" w:themeColor="text1"/>
          <w:szCs w:val="21"/>
        </w:rPr>
      </w:pPr>
    </w:p>
    <w:p w14:paraId="70A118A2" w14:textId="77777777" w:rsidR="00964AFD" w:rsidRPr="0058432E" w:rsidRDefault="00964AFD" w:rsidP="00ED34EF">
      <w:pPr>
        <w:pStyle w:val="BodyText"/>
        <w:keepNext/>
        <w:widowControl/>
        <w:kinsoku w:val="0"/>
        <w:overflowPunct w:val="0"/>
        <w:ind w:left="0"/>
        <w:rPr>
          <w:color w:val="000000" w:themeColor="text1"/>
        </w:rPr>
      </w:pPr>
      <w:r w:rsidRPr="0058432E">
        <w:rPr>
          <w:color w:val="000000" w:themeColor="text1"/>
          <w:u w:val="single"/>
        </w:rPr>
        <w:t>Absorption et distribution</w:t>
      </w:r>
    </w:p>
    <w:p w14:paraId="6F3AEE7E" w14:textId="77777777" w:rsidR="00964AFD" w:rsidRPr="0058432E" w:rsidRDefault="00964AFD" w:rsidP="00ED34EF">
      <w:pPr>
        <w:pStyle w:val="BodyText"/>
        <w:keepNext/>
        <w:widowControl/>
        <w:kinsoku w:val="0"/>
        <w:overflowPunct w:val="0"/>
        <w:ind w:left="0"/>
        <w:rPr>
          <w:color w:val="000000" w:themeColor="text1"/>
          <w:szCs w:val="19"/>
        </w:rPr>
      </w:pPr>
    </w:p>
    <w:p w14:paraId="42DC4A7D"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Après administration sous-cutanée de 24 mg/m</w:t>
      </w:r>
      <w:r w:rsidRPr="0058432E">
        <w:rPr>
          <w:color w:val="000000" w:themeColor="text1"/>
          <w:szCs w:val="14"/>
          <w:vertAlign w:val="superscript"/>
        </w:rPr>
        <w:t>2</w:t>
      </w:r>
      <w:r w:rsidRPr="0058432E">
        <w:rPr>
          <w:color w:val="000000" w:themeColor="text1"/>
        </w:rPr>
        <w:t xml:space="preserve"> (maximum de 40 mg) toutes les deux semaines chez des patients atteints d’arthrite juvénile idiopathique (AJI) polyarticulaire âgés de 4 à 17</w:t>
      </w:r>
      <w:r w:rsidR="00365159" w:rsidRPr="0058432E">
        <w:rPr>
          <w:color w:val="000000" w:themeColor="text1"/>
        </w:rPr>
        <w:t> </w:t>
      </w:r>
      <w:r w:rsidRPr="0058432E">
        <w:rPr>
          <w:color w:val="000000" w:themeColor="text1"/>
        </w:rPr>
        <w:t xml:space="preserve">ans, la concentration sérique résiduelle moyenne de l’adalimumab </w:t>
      </w:r>
      <w:r w:rsidR="00D03C4B" w:rsidRPr="0058432E">
        <w:rPr>
          <w:color w:val="000000" w:themeColor="text1"/>
        </w:rPr>
        <w:t xml:space="preserve">à l’état d’équilibre </w:t>
      </w:r>
      <w:r w:rsidRPr="0058432E">
        <w:rPr>
          <w:color w:val="000000" w:themeColor="text1"/>
        </w:rPr>
        <w:t>(valeurs mesurées des semaines</w:t>
      </w:r>
      <w:r w:rsidR="004F40D9" w:rsidRPr="0058432E">
        <w:rPr>
          <w:color w:val="000000" w:themeColor="text1"/>
        </w:rPr>
        <w:t> </w:t>
      </w:r>
      <w:r w:rsidRPr="0058432E">
        <w:rPr>
          <w:color w:val="000000" w:themeColor="text1"/>
        </w:rPr>
        <w:t xml:space="preserve">20 à 48) </w:t>
      </w:r>
      <w:r w:rsidR="00D03C4B" w:rsidRPr="0058432E">
        <w:rPr>
          <w:color w:val="000000" w:themeColor="text1"/>
        </w:rPr>
        <w:t>était</w:t>
      </w:r>
      <w:r w:rsidRPr="0058432E">
        <w:rPr>
          <w:color w:val="000000" w:themeColor="text1"/>
        </w:rPr>
        <w:t xml:space="preserve"> de 5,6 ± 5,6 µg/ml (CV 102 %) lorsque l’adalimumab était administré sans traitement concomitant par méthotrexate et de 10,9 ± 5,2 µg/ml (CV 47,7 %) en cas d’administration concomitante avec le méthotrexate.</w:t>
      </w:r>
    </w:p>
    <w:p w14:paraId="18227AD9" w14:textId="77777777" w:rsidR="00964AFD" w:rsidRPr="0058432E" w:rsidRDefault="00964AFD" w:rsidP="00387D0C">
      <w:pPr>
        <w:pStyle w:val="BodyText"/>
        <w:widowControl/>
        <w:kinsoku w:val="0"/>
        <w:overflowPunct w:val="0"/>
        <w:ind w:left="0"/>
        <w:rPr>
          <w:color w:val="000000" w:themeColor="text1"/>
        </w:rPr>
      </w:pPr>
    </w:p>
    <w:p w14:paraId="7DCF9DB6" w14:textId="77777777" w:rsidR="002510E7" w:rsidRPr="0058432E" w:rsidRDefault="002510E7" w:rsidP="002510E7">
      <w:pPr>
        <w:rPr>
          <w:color w:val="000000" w:themeColor="text1"/>
        </w:rPr>
      </w:pPr>
      <w:r w:rsidRPr="0058432E">
        <w:rPr>
          <w:color w:val="000000" w:themeColor="text1"/>
        </w:rPr>
        <w:t>Chez les patients atteints d’AJI polyarticulaire âgés de 2 à &lt; 4</w:t>
      </w:r>
      <w:r w:rsidR="004F40D9" w:rsidRPr="0058432E">
        <w:rPr>
          <w:color w:val="000000" w:themeColor="text1"/>
        </w:rPr>
        <w:t> </w:t>
      </w:r>
      <w:r w:rsidRPr="0058432E">
        <w:rPr>
          <w:color w:val="000000" w:themeColor="text1"/>
        </w:rPr>
        <w:t>ans ou âgés de 4</w:t>
      </w:r>
      <w:r w:rsidR="004F40D9" w:rsidRPr="0058432E">
        <w:rPr>
          <w:color w:val="000000" w:themeColor="text1"/>
        </w:rPr>
        <w:t> </w:t>
      </w:r>
      <w:r w:rsidRPr="0058432E">
        <w:rPr>
          <w:color w:val="000000" w:themeColor="text1"/>
        </w:rPr>
        <w:t>ans et plus d’un poids &lt; 15 kg ayant reçu l’adalimumab à la dose de 24 mg/m</w:t>
      </w:r>
      <w:r w:rsidRPr="0058432E">
        <w:rPr>
          <w:color w:val="000000" w:themeColor="text1"/>
          <w:vertAlign w:val="superscript"/>
        </w:rPr>
        <w:t>2</w:t>
      </w:r>
      <w:r w:rsidRPr="0058432E">
        <w:rPr>
          <w:color w:val="000000" w:themeColor="text1"/>
        </w:rPr>
        <w:t xml:space="preserve">, la concentration sérique résiduelle moyenne de l’adalimumab </w:t>
      </w:r>
      <w:r w:rsidR="00D03C4B" w:rsidRPr="0058432E">
        <w:rPr>
          <w:color w:val="000000" w:themeColor="text1"/>
        </w:rPr>
        <w:t xml:space="preserve">à l’état d’équilibre </w:t>
      </w:r>
      <w:r w:rsidRPr="0058432E">
        <w:rPr>
          <w:color w:val="000000" w:themeColor="text1"/>
        </w:rPr>
        <w:t xml:space="preserve">était de 6,0 ± 6,1 µg/ml (CV 101 %) lorsque l’adalimumab était administré sans traitement concomitant par méthotrexate et de 7,9 ± 5,6 µg/ml (CV 71,2 %) en cas d’administration concomitante avec le méthotrexate. </w:t>
      </w:r>
    </w:p>
    <w:p w14:paraId="20E248E1" w14:textId="77777777" w:rsidR="00964AFD" w:rsidRPr="0058432E" w:rsidRDefault="00964AFD" w:rsidP="00387D0C">
      <w:pPr>
        <w:pStyle w:val="BodyText"/>
        <w:widowControl/>
        <w:kinsoku w:val="0"/>
        <w:overflowPunct w:val="0"/>
        <w:ind w:left="0"/>
        <w:rPr>
          <w:color w:val="000000" w:themeColor="text1"/>
          <w:szCs w:val="19"/>
        </w:rPr>
      </w:pPr>
    </w:p>
    <w:p w14:paraId="241299A9"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Après administration sous-cutanée d’une dose de 24 mg/m</w:t>
      </w:r>
      <w:r w:rsidRPr="0058432E">
        <w:rPr>
          <w:color w:val="000000" w:themeColor="text1"/>
          <w:szCs w:val="14"/>
          <w:vertAlign w:val="superscript"/>
        </w:rPr>
        <w:t>2</w:t>
      </w:r>
      <w:r w:rsidRPr="0058432E">
        <w:rPr>
          <w:color w:val="000000" w:themeColor="text1"/>
        </w:rPr>
        <w:t xml:space="preserve"> (dose maximale de 40 mg) toutes les deux semaines chez des patients atteints d’arthrite liée à l’enthésite âgés de 6 à 17</w:t>
      </w:r>
      <w:r w:rsidR="00B02740" w:rsidRPr="0058432E">
        <w:rPr>
          <w:color w:val="000000" w:themeColor="text1"/>
        </w:rPr>
        <w:t> </w:t>
      </w:r>
      <w:r w:rsidRPr="0058432E">
        <w:rPr>
          <w:color w:val="000000" w:themeColor="text1"/>
        </w:rPr>
        <w:t>ans, la concentration sérique résiduelle moyenne de l’adalimumab à l’état d’équilibre (valeurs mesurées à la semaine</w:t>
      </w:r>
      <w:r w:rsidR="00187186" w:rsidRPr="0058432E">
        <w:rPr>
          <w:color w:val="000000" w:themeColor="text1"/>
        </w:rPr>
        <w:t> </w:t>
      </w:r>
      <w:r w:rsidRPr="0058432E">
        <w:rPr>
          <w:color w:val="000000" w:themeColor="text1"/>
        </w:rPr>
        <w:t xml:space="preserve">24) </w:t>
      </w:r>
      <w:r w:rsidR="00D03C4B" w:rsidRPr="0058432E">
        <w:rPr>
          <w:color w:val="000000" w:themeColor="text1"/>
        </w:rPr>
        <w:t>était</w:t>
      </w:r>
      <w:r w:rsidRPr="0058432E">
        <w:rPr>
          <w:color w:val="000000" w:themeColor="text1"/>
        </w:rPr>
        <w:t xml:space="preserve"> de 8,8 ± 6,6 µg/ml lorsque l’adalimumab était administré sans traitement concomitant par méthotrexate et de 11,8 ± 4,3 µg/ml en cas d’administration concomitante avec le méthotrexate.</w:t>
      </w:r>
    </w:p>
    <w:p w14:paraId="789DAB87" w14:textId="77777777" w:rsidR="00964AFD" w:rsidRPr="0058432E" w:rsidRDefault="00964AFD" w:rsidP="00387D0C">
      <w:pPr>
        <w:pStyle w:val="BodyText"/>
        <w:widowControl/>
        <w:kinsoku w:val="0"/>
        <w:overflowPunct w:val="0"/>
        <w:ind w:left="0"/>
        <w:rPr>
          <w:color w:val="000000" w:themeColor="text1"/>
        </w:rPr>
      </w:pPr>
    </w:p>
    <w:p w14:paraId="53CA50A7"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lastRenderedPageBreak/>
        <w:t xml:space="preserve">Après administration sous-cutanée de 0,8 mg/kg (dose maximale de 40 mg) toutes les deux semaines chez des patients pédiatriques atteints de psoriasis en plaques chronique, la concentration résiduelle moyenne de l’adalimumab </w:t>
      </w:r>
      <w:r w:rsidR="00656CC3" w:rsidRPr="0058432E">
        <w:rPr>
          <w:color w:val="000000" w:themeColor="text1"/>
        </w:rPr>
        <w:t xml:space="preserve">à l’état d’équilibre </w:t>
      </w:r>
      <w:r w:rsidRPr="0058432E">
        <w:rPr>
          <w:color w:val="000000" w:themeColor="text1"/>
        </w:rPr>
        <w:t>(moyenne ± ET) était d’environ 7,4 ± 5,8 µg/ml (CV 79 %).</w:t>
      </w:r>
    </w:p>
    <w:p w14:paraId="13850531" w14:textId="77777777" w:rsidR="00964AFD" w:rsidRPr="0058432E" w:rsidRDefault="00964AFD" w:rsidP="00387D0C">
      <w:pPr>
        <w:pStyle w:val="BodyText"/>
        <w:widowControl/>
        <w:kinsoku w:val="0"/>
        <w:overflowPunct w:val="0"/>
        <w:ind w:left="0"/>
        <w:rPr>
          <w:color w:val="000000" w:themeColor="text1"/>
          <w:szCs w:val="21"/>
        </w:rPr>
      </w:pPr>
    </w:p>
    <w:p w14:paraId="7124D934"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Chez les enfants et les adolescents atteints de MC modérée à sévère, la dose d’induction de l’adalimumab en ouvert était respectivement de 160/80 mg ou 80/40 mg aux semaines</w:t>
      </w:r>
      <w:r w:rsidR="008F1345" w:rsidRPr="0058432E">
        <w:rPr>
          <w:color w:val="000000" w:themeColor="text1"/>
        </w:rPr>
        <w:t> </w:t>
      </w:r>
      <w:r w:rsidRPr="0058432E">
        <w:rPr>
          <w:color w:val="000000" w:themeColor="text1"/>
        </w:rPr>
        <w:t>0 et 2, en fonction d’une valeur seuil de poids de 40 kg. À la semaine</w:t>
      </w:r>
      <w:r w:rsidR="008F1345" w:rsidRPr="0058432E">
        <w:rPr>
          <w:color w:val="000000" w:themeColor="text1"/>
        </w:rPr>
        <w:t> </w:t>
      </w:r>
      <w:r w:rsidRPr="0058432E">
        <w:rPr>
          <w:color w:val="000000" w:themeColor="text1"/>
        </w:rPr>
        <w:t>4, les patients ont été randomisés selon un rapport de 1/1 pour recevoir un traitement d’entretien soit à la dose standard (40/20 mg toutes les deux semaines) soit à la dose faible (20/10 mg toutes les deux semaines) en fonction de leur poids. Les concentrations sériques résiduelles moyennes (± ET) de l’adalimumab obtenues à la semaine</w:t>
      </w:r>
      <w:r w:rsidR="00862C5F" w:rsidRPr="0058432E">
        <w:rPr>
          <w:color w:val="000000" w:themeColor="text1"/>
        </w:rPr>
        <w:t> </w:t>
      </w:r>
      <w:r w:rsidRPr="0058432E">
        <w:rPr>
          <w:color w:val="000000" w:themeColor="text1"/>
        </w:rPr>
        <w:t xml:space="preserve">4 </w:t>
      </w:r>
      <w:r w:rsidR="007566F3" w:rsidRPr="0058432E">
        <w:rPr>
          <w:color w:val="000000" w:themeColor="text1"/>
        </w:rPr>
        <w:t>étaient</w:t>
      </w:r>
      <w:r w:rsidRPr="0058432E">
        <w:rPr>
          <w:color w:val="000000" w:themeColor="text1"/>
        </w:rPr>
        <w:t xml:space="preserve"> de 15,7 ± 6,6 μg/ml chez les patients de poids ≥ 40 kg (160/80 mg) et de 10,6 ± 6,1 μg/ml chez les patients de poids &lt; 40 kg (80/40 mg).</w:t>
      </w:r>
    </w:p>
    <w:p w14:paraId="2DAD86C5" w14:textId="77777777" w:rsidR="00964AFD" w:rsidRPr="0058432E" w:rsidRDefault="00964AFD" w:rsidP="00387D0C">
      <w:pPr>
        <w:pStyle w:val="BodyText"/>
        <w:widowControl/>
        <w:kinsoku w:val="0"/>
        <w:overflowPunct w:val="0"/>
        <w:ind w:left="0"/>
        <w:rPr>
          <w:color w:val="000000" w:themeColor="text1"/>
          <w:szCs w:val="21"/>
        </w:rPr>
      </w:pPr>
    </w:p>
    <w:p w14:paraId="7517F62D"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Chez les patients toujours traités, les concentrations résiduelles moyennes (± ET) de l’adalimumab à la semaine</w:t>
      </w:r>
      <w:r w:rsidR="00FD78DF" w:rsidRPr="0058432E">
        <w:rPr>
          <w:color w:val="000000" w:themeColor="text1"/>
        </w:rPr>
        <w:t> </w:t>
      </w:r>
      <w:r w:rsidRPr="0058432E">
        <w:rPr>
          <w:color w:val="000000" w:themeColor="text1"/>
        </w:rPr>
        <w:t xml:space="preserve">52 étaient de 9,5 ± 5,6 μg/ml dans le groupe traité à la dose standard et de 3,5 ± 2,2 μg/ml dans le groupe traité à la dose faible. Les concentrations résiduelles moyennes ont été maintenues chez les patients ayant continué à recevoir le traitement </w:t>
      </w:r>
      <w:r w:rsidR="008E7545" w:rsidRPr="0058432E">
        <w:rPr>
          <w:color w:val="000000" w:themeColor="text1"/>
        </w:rPr>
        <w:t>par adalimumab</w:t>
      </w:r>
      <w:r w:rsidRPr="0058432E">
        <w:rPr>
          <w:color w:val="000000" w:themeColor="text1"/>
        </w:rPr>
        <w:t xml:space="preserve"> toutes les deux semaines pendant 52 semaines. Chez les patients dont le schéma posologique est passé de toutes les deux semaines à toutes les semaines, les concentrations sériques moyennes (± ET) de l’adalimumab à la semaine</w:t>
      </w:r>
      <w:r w:rsidR="00BF11DA" w:rsidRPr="0058432E">
        <w:rPr>
          <w:color w:val="000000" w:themeColor="text1"/>
        </w:rPr>
        <w:t> </w:t>
      </w:r>
      <w:r w:rsidRPr="0058432E">
        <w:rPr>
          <w:color w:val="000000" w:themeColor="text1"/>
        </w:rPr>
        <w:t xml:space="preserve">52 </w:t>
      </w:r>
      <w:r w:rsidR="007566F3" w:rsidRPr="0058432E">
        <w:rPr>
          <w:color w:val="000000" w:themeColor="text1"/>
        </w:rPr>
        <w:t>étaient</w:t>
      </w:r>
      <w:r w:rsidRPr="0058432E">
        <w:rPr>
          <w:color w:val="000000" w:themeColor="text1"/>
        </w:rPr>
        <w:t xml:space="preserve"> de 15,3 ± 11,4 μg/ml (40/20 mg, toutes les semaines) et de 6,7 ± 3,5 μg/ml (20/10 mg, toutes les semaines).</w:t>
      </w:r>
    </w:p>
    <w:p w14:paraId="334C088C" w14:textId="77777777" w:rsidR="00964AFD" w:rsidRPr="0058432E" w:rsidRDefault="00964AFD" w:rsidP="00387D0C">
      <w:pPr>
        <w:pStyle w:val="BodyText"/>
        <w:widowControl/>
        <w:kinsoku w:val="0"/>
        <w:overflowPunct w:val="0"/>
        <w:ind w:left="0"/>
        <w:rPr>
          <w:color w:val="000000" w:themeColor="text1"/>
        </w:rPr>
      </w:pPr>
    </w:p>
    <w:p w14:paraId="06F0A16E"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L’exposition à l’adalimumab chez les patients atteints d’uvéite pédiatrique a été prédite en utilisant une modélisation pharmacocinétique de population et une simulation basée sur la pharmacocinétique observée dans différentes indications pédiatriques (psoriasis pédiatrique, arthrite juvénile idiopathique, maladie de Crohn pédiatrique et arthrite liée à l’enthésite). Aucune donnée d’exposition clinique n’est disponible sur l’utilisation d’une dose de charge chez les enfants âgés de moins de 6</w:t>
      </w:r>
      <w:r w:rsidR="00DC2C0C" w:rsidRPr="0058432E">
        <w:rPr>
          <w:color w:val="000000" w:themeColor="text1"/>
        </w:rPr>
        <w:t> </w:t>
      </w:r>
      <w:r w:rsidRPr="0058432E">
        <w:rPr>
          <w:color w:val="000000" w:themeColor="text1"/>
        </w:rPr>
        <w:t>ans. Les expositions prévisibles indiquent qu’en l’absence de méthotrexate, une dose de charge peut entraîner une augmentation initiale de l’exposition systémique.</w:t>
      </w:r>
    </w:p>
    <w:p w14:paraId="586D9FC6" w14:textId="77777777" w:rsidR="00964AFD" w:rsidRPr="0058432E" w:rsidRDefault="00964AFD" w:rsidP="00387D0C">
      <w:pPr>
        <w:pStyle w:val="BodyText"/>
        <w:widowControl/>
        <w:kinsoku w:val="0"/>
        <w:overflowPunct w:val="0"/>
        <w:ind w:left="0"/>
        <w:rPr>
          <w:color w:val="000000" w:themeColor="text1"/>
        </w:rPr>
      </w:pPr>
    </w:p>
    <w:p w14:paraId="00974C38" w14:textId="77777777" w:rsidR="00964AFD" w:rsidRPr="0058432E" w:rsidRDefault="00964AFD" w:rsidP="002510E7">
      <w:pPr>
        <w:pStyle w:val="BodyText"/>
        <w:keepNext/>
        <w:widowControl/>
        <w:kinsoku w:val="0"/>
        <w:overflowPunct w:val="0"/>
        <w:ind w:left="0"/>
        <w:rPr>
          <w:color w:val="000000" w:themeColor="text1"/>
          <w:u w:val="single"/>
        </w:rPr>
      </w:pPr>
      <w:r w:rsidRPr="0058432E">
        <w:rPr>
          <w:color w:val="000000" w:themeColor="text1"/>
          <w:u w:val="single"/>
        </w:rPr>
        <w:t>Relation exposition-réponse dans la population pédiatrique</w:t>
      </w:r>
    </w:p>
    <w:p w14:paraId="4753B94A" w14:textId="77777777" w:rsidR="00964AFD" w:rsidRPr="0058432E" w:rsidRDefault="00964AFD" w:rsidP="002510E7">
      <w:pPr>
        <w:pStyle w:val="BodyText"/>
        <w:keepNext/>
        <w:widowControl/>
        <w:kinsoku w:val="0"/>
        <w:overflowPunct w:val="0"/>
        <w:ind w:left="0"/>
        <w:rPr>
          <w:color w:val="000000" w:themeColor="text1"/>
        </w:rPr>
      </w:pPr>
    </w:p>
    <w:p w14:paraId="71F82785"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 xml:space="preserve">Sur la base des données des essais cliniques chez les patients atteints d’AJI (AJI polyarticulaire et arthrite liée à l’enthésite), une relation exposition-réponse a été démontrée entre les concentrations plasmatiques et la réponse ACR </w:t>
      </w:r>
      <w:r w:rsidR="00E1434E" w:rsidRPr="0058432E">
        <w:rPr>
          <w:color w:val="000000" w:themeColor="text1"/>
        </w:rPr>
        <w:t>p</w:t>
      </w:r>
      <w:r w:rsidRPr="0058432E">
        <w:rPr>
          <w:color w:val="000000" w:themeColor="text1"/>
        </w:rPr>
        <w:t>éd</w:t>
      </w:r>
      <w:r w:rsidR="00660970" w:rsidRPr="0058432E">
        <w:rPr>
          <w:color w:val="000000" w:themeColor="text1"/>
        </w:rPr>
        <w:t>iatrique</w:t>
      </w:r>
      <w:r w:rsidRPr="0058432E">
        <w:rPr>
          <w:color w:val="000000" w:themeColor="text1"/>
        </w:rPr>
        <w:t xml:space="preserve">. 50. La concentration plasmatique d’adalimumab apparente produisant la moitié de la probabilité maximale de réponse ACR </w:t>
      </w:r>
      <w:r w:rsidR="00B01771" w:rsidRPr="0058432E">
        <w:rPr>
          <w:color w:val="000000" w:themeColor="text1"/>
        </w:rPr>
        <w:t>p</w:t>
      </w:r>
      <w:r w:rsidRPr="0058432E">
        <w:rPr>
          <w:color w:val="000000" w:themeColor="text1"/>
        </w:rPr>
        <w:t>éd</w:t>
      </w:r>
      <w:r w:rsidR="00660970" w:rsidRPr="0058432E">
        <w:rPr>
          <w:color w:val="000000" w:themeColor="text1"/>
        </w:rPr>
        <w:t>iatrique</w:t>
      </w:r>
      <w:r w:rsidRPr="0058432E">
        <w:rPr>
          <w:color w:val="000000" w:themeColor="text1"/>
        </w:rPr>
        <w:t xml:space="preserve"> 50 (CE50) était de 3 µg/ml (IC à 95 % : 1</w:t>
      </w:r>
      <w:r w:rsidR="00172537" w:rsidRPr="0058432E">
        <w:rPr>
          <w:color w:val="000000" w:themeColor="text1"/>
        </w:rPr>
        <w:t> – </w:t>
      </w:r>
      <w:r w:rsidRPr="0058432E">
        <w:rPr>
          <w:color w:val="000000" w:themeColor="text1"/>
        </w:rPr>
        <w:t>6 μg/ml).</w:t>
      </w:r>
    </w:p>
    <w:p w14:paraId="5811043D" w14:textId="77777777" w:rsidR="00964AFD" w:rsidRPr="0058432E" w:rsidRDefault="00964AFD" w:rsidP="00387D0C">
      <w:pPr>
        <w:pStyle w:val="BodyText"/>
        <w:widowControl/>
        <w:kinsoku w:val="0"/>
        <w:overflowPunct w:val="0"/>
        <w:ind w:left="0"/>
        <w:rPr>
          <w:color w:val="000000" w:themeColor="text1"/>
        </w:rPr>
      </w:pPr>
    </w:p>
    <w:p w14:paraId="1FDC79CB"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Des relations exposition-réponse entre la concentration d’adalimumab et l’efficacité chez les patients pédiatriques atteints de psoriasis en plaques sévère ont été établies pour les résultats PASI 75 et PGA « clair ou minimal », respectivement. Les taux de résultats PASI 75 et PGA « clair ou minimal » ont augmenté à mesure de l’augmentation des concentrations d’adalimumab, avec une CE50 apparente similaire d’environ 4,5 μg/ml (IC à 95 % respectifs de 0,4</w:t>
      </w:r>
      <w:r w:rsidR="00BD7C44" w:rsidRPr="0058432E">
        <w:rPr>
          <w:color w:val="000000" w:themeColor="text1"/>
        </w:rPr>
        <w:t> – </w:t>
      </w:r>
      <w:r w:rsidRPr="0058432E">
        <w:rPr>
          <w:color w:val="000000" w:themeColor="text1"/>
        </w:rPr>
        <w:t>47,6 et 1,9</w:t>
      </w:r>
      <w:r w:rsidR="00BD7C44" w:rsidRPr="0058432E">
        <w:rPr>
          <w:color w:val="000000" w:themeColor="text1"/>
        </w:rPr>
        <w:t> – </w:t>
      </w:r>
      <w:r w:rsidRPr="0058432E">
        <w:rPr>
          <w:color w:val="000000" w:themeColor="text1"/>
        </w:rPr>
        <w:t>10,5) dans les deux cas.</w:t>
      </w:r>
    </w:p>
    <w:p w14:paraId="68392E38" w14:textId="77777777" w:rsidR="00964AFD" w:rsidRPr="0058432E" w:rsidRDefault="00964AFD" w:rsidP="00387D0C">
      <w:pPr>
        <w:pStyle w:val="BodyText"/>
        <w:widowControl/>
        <w:kinsoku w:val="0"/>
        <w:overflowPunct w:val="0"/>
        <w:ind w:left="0"/>
        <w:rPr>
          <w:color w:val="000000" w:themeColor="text1"/>
        </w:rPr>
      </w:pPr>
    </w:p>
    <w:p w14:paraId="74AF1380" w14:textId="77777777" w:rsidR="00964AFD" w:rsidRPr="0058432E" w:rsidRDefault="00964AFD" w:rsidP="00ED34EF">
      <w:pPr>
        <w:pStyle w:val="BodyText"/>
        <w:keepNext/>
        <w:widowControl/>
        <w:kinsoku w:val="0"/>
        <w:overflowPunct w:val="0"/>
        <w:ind w:left="0"/>
        <w:rPr>
          <w:color w:val="000000" w:themeColor="text1"/>
        </w:rPr>
      </w:pPr>
      <w:r w:rsidRPr="0058432E">
        <w:rPr>
          <w:color w:val="000000" w:themeColor="text1"/>
          <w:u w:val="single"/>
        </w:rPr>
        <w:t>Adultes</w:t>
      </w:r>
    </w:p>
    <w:p w14:paraId="7B8C0AAF" w14:textId="77777777" w:rsidR="00964AFD" w:rsidRPr="0058432E" w:rsidRDefault="00964AFD" w:rsidP="00ED34EF">
      <w:pPr>
        <w:pStyle w:val="BodyText"/>
        <w:keepNext/>
        <w:widowControl/>
        <w:kinsoku w:val="0"/>
        <w:overflowPunct w:val="0"/>
        <w:ind w:left="0"/>
        <w:rPr>
          <w:color w:val="000000" w:themeColor="text1"/>
        </w:rPr>
      </w:pPr>
    </w:p>
    <w:p w14:paraId="4682DF13"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Après administration sous-cutanée d’une dose unique de 40 mg, l’absorption et la distribution de l’adalimumab ont été lentes, le pic de concentration sérique étant atteint 5 jours environ après l’administration. La biodisponibilité absolue moyenne de l’adalimumab, estimée à partir de trois études, a été de 64 % après une dose sous-cutanée unique de 40 mg. Après administration de doses intraveineuses uniques variant de 0,25 à 10 mg/kg, les concentrations ont été proportionnelles à la dose. Après administration de doses de 0,5 mg/kg (~40 mg), les clairances étaient de 11 à 15 ml/heure, le volume de distribution (Vss) était compris entre 5 et 6 litres et la demi-vie terminale moyenne a été de deux semaines environ. La concentration d’adalimumab dans le liquide synovial de plusieurs patients atteints de polyarthrite rhumatoïde était comprise entre 31 et 96 % des concentrations sériques.</w:t>
      </w:r>
    </w:p>
    <w:p w14:paraId="25B4AD5A" w14:textId="77777777" w:rsidR="00964AFD" w:rsidRPr="0058432E" w:rsidRDefault="00964AFD" w:rsidP="00387D0C">
      <w:pPr>
        <w:pStyle w:val="BodyText"/>
        <w:widowControl/>
        <w:kinsoku w:val="0"/>
        <w:overflowPunct w:val="0"/>
        <w:ind w:left="0"/>
        <w:rPr>
          <w:color w:val="000000" w:themeColor="text1"/>
        </w:rPr>
      </w:pPr>
    </w:p>
    <w:p w14:paraId="1F6B1A2F"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 xml:space="preserve">Après administration sous-cutanée de 40 mg d’adalimumab toutes les deux semaines chez des patients adultes atteints de polyarthrite rhumatoïde (PR), les concentrations </w:t>
      </w:r>
      <w:r w:rsidR="00132CD1" w:rsidRPr="0058432E">
        <w:rPr>
          <w:color w:val="000000" w:themeColor="text1"/>
        </w:rPr>
        <w:t xml:space="preserve">résiduelles </w:t>
      </w:r>
      <w:r w:rsidRPr="0058432E">
        <w:rPr>
          <w:color w:val="000000" w:themeColor="text1"/>
        </w:rPr>
        <w:t xml:space="preserve">moyennes </w:t>
      </w:r>
      <w:r w:rsidR="00132CD1" w:rsidRPr="0058432E">
        <w:rPr>
          <w:color w:val="000000" w:themeColor="text1"/>
        </w:rPr>
        <w:t>à l’état d’équilibre</w:t>
      </w:r>
      <w:r w:rsidRPr="0058432E">
        <w:rPr>
          <w:color w:val="000000" w:themeColor="text1"/>
        </w:rPr>
        <w:t xml:space="preserve"> étaient de l’ordre d’environ 5 μg/ml (sans méthotrexate) et de 8 à 9 μg/ml (avec méthotrexate). Les concentrations sériques </w:t>
      </w:r>
      <w:r w:rsidR="00132CD1" w:rsidRPr="0058432E">
        <w:rPr>
          <w:color w:val="000000" w:themeColor="text1"/>
        </w:rPr>
        <w:t xml:space="preserve">résiduelles </w:t>
      </w:r>
      <w:r w:rsidRPr="0058432E">
        <w:rPr>
          <w:color w:val="000000" w:themeColor="text1"/>
        </w:rPr>
        <w:t>d’adalimumab à l’état d’équilibre ont augmenté de façon à peu près dose-dépendante après l’administration par voie sous-cutanée de 20, 40 et 80 mg toutes les deux semaines et toutes les semaines.</w:t>
      </w:r>
    </w:p>
    <w:p w14:paraId="6AD8314C" w14:textId="77777777" w:rsidR="00964AFD" w:rsidRPr="0058432E" w:rsidRDefault="00964AFD" w:rsidP="00387D0C">
      <w:pPr>
        <w:pStyle w:val="BodyText"/>
        <w:widowControl/>
        <w:kinsoku w:val="0"/>
        <w:overflowPunct w:val="0"/>
        <w:ind w:left="0"/>
        <w:rPr>
          <w:color w:val="000000" w:themeColor="text1"/>
        </w:rPr>
      </w:pPr>
    </w:p>
    <w:p w14:paraId="02E8219B"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 xml:space="preserve">Chez les patients adultes atteints de psoriasis, la concentration </w:t>
      </w:r>
      <w:r w:rsidR="00D577FA" w:rsidRPr="0058432E">
        <w:rPr>
          <w:color w:val="000000" w:themeColor="text1"/>
        </w:rPr>
        <w:t xml:space="preserve">résiduelle </w:t>
      </w:r>
      <w:r w:rsidRPr="0058432E">
        <w:rPr>
          <w:color w:val="000000" w:themeColor="text1"/>
        </w:rPr>
        <w:t xml:space="preserve">moyenne à l’état d’équilibre était de 5 μg/ml pendant le traitement par 40 mg d’adalimumab </w:t>
      </w:r>
      <w:r w:rsidR="001B430D" w:rsidRPr="0058432E">
        <w:rPr>
          <w:color w:val="000000" w:themeColor="text1"/>
        </w:rPr>
        <w:t>toutes les deux semaines</w:t>
      </w:r>
      <w:r w:rsidRPr="0058432E">
        <w:rPr>
          <w:color w:val="000000" w:themeColor="text1"/>
        </w:rPr>
        <w:t xml:space="preserve"> en monothérapie.</w:t>
      </w:r>
    </w:p>
    <w:p w14:paraId="1E5DE77D" w14:textId="77777777" w:rsidR="00964AFD" w:rsidRPr="0058432E" w:rsidRDefault="00964AFD" w:rsidP="00387D0C">
      <w:pPr>
        <w:pStyle w:val="BodyText"/>
        <w:widowControl/>
        <w:kinsoku w:val="0"/>
        <w:overflowPunct w:val="0"/>
        <w:ind w:left="0"/>
        <w:rPr>
          <w:color w:val="000000" w:themeColor="text1"/>
          <w:szCs w:val="21"/>
        </w:rPr>
      </w:pPr>
    </w:p>
    <w:p w14:paraId="13867863"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Chez les patients atteints de la maladie de Crohn, la dose de charge de 80 mg d’adalimumab à la semaine</w:t>
      </w:r>
      <w:r w:rsidR="00AD6A93" w:rsidRPr="0058432E">
        <w:rPr>
          <w:color w:val="000000" w:themeColor="text1"/>
        </w:rPr>
        <w:t> </w:t>
      </w:r>
      <w:r w:rsidRPr="0058432E">
        <w:rPr>
          <w:color w:val="000000" w:themeColor="text1"/>
        </w:rPr>
        <w:t>0 suivie de 40 mg d’adalimumab à la semaine 2 permet d’obtenir des concentrations</w:t>
      </w:r>
      <w:r w:rsidR="00936054" w:rsidRPr="0058432E">
        <w:rPr>
          <w:color w:val="000000" w:themeColor="text1"/>
        </w:rPr>
        <w:t xml:space="preserve"> </w:t>
      </w:r>
      <w:r w:rsidRPr="0058432E">
        <w:rPr>
          <w:color w:val="000000" w:themeColor="text1"/>
        </w:rPr>
        <w:t xml:space="preserve">sériques </w:t>
      </w:r>
      <w:r w:rsidR="00D577FA" w:rsidRPr="0058432E">
        <w:rPr>
          <w:color w:val="000000" w:themeColor="text1"/>
        </w:rPr>
        <w:t xml:space="preserve">résiduelles </w:t>
      </w:r>
      <w:r w:rsidRPr="0058432E">
        <w:rPr>
          <w:color w:val="000000" w:themeColor="text1"/>
        </w:rPr>
        <w:t xml:space="preserve">d’adalimumab d’environ 5,5 µg/ml pendant la période d’induction. Une dose de charge de 160 mg d’adalimumab à la semaine 0 suivie de 80 mg d’adalimumab à la semaine 2 permet d’obtenir des concentrations sériques </w:t>
      </w:r>
      <w:r w:rsidR="00D577FA" w:rsidRPr="0058432E">
        <w:rPr>
          <w:color w:val="000000" w:themeColor="text1"/>
        </w:rPr>
        <w:t xml:space="preserve">résiduelles </w:t>
      </w:r>
      <w:r w:rsidRPr="0058432E">
        <w:rPr>
          <w:color w:val="000000" w:themeColor="text1"/>
        </w:rPr>
        <w:t xml:space="preserve">d’adalimumab d’environ 12 µg/ml pendant la période d’induction. Des concentrations </w:t>
      </w:r>
      <w:r w:rsidR="00D577FA" w:rsidRPr="0058432E">
        <w:rPr>
          <w:color w:val="000000" w:themeColor="text1"/>
        </w:rPr>
        <w:t xml:space="preserve">résiduelles </w:t>
      </w:r>
      <w:r w:rsidRPr="0058432E">
        <w:rPr>
          <w:color w:val="000000" w:themeColor="text1"/>
        </w:rPr>
        <w:t>moyennes à l’état d’équilibre d’environ 7 µg/ml ont été obtenues chez des patients atteints de la maladie de Crohn ayant reçu une dose d’entretien de 40 mg d’adalimumab toutes les deux semaines.</w:t>
      </w:r>
    </w:p>
    <w:p w14:paraId="28C52D81" w14:textId="77777777" w:rsidR="00964AFD" w:rsidRPr="0058432E" w:rsidRDefault="00964AFD" w:rsidP="00387D0C">
      <w:pPr>
        <w:pStyle w:val="BodyText"/>
        <w:widowControl/>
        <w:kinsoku w:val="0"/>
        <w:overflowPunct w:val="0"/>
        <w:ind w:left="0"/>
        <w:rPr>
          <w:color w:val="000000" w:themeColor="text1"/>
          <w:szCs w:val="21"/>
        </w:rPr>
      </w:pPr>
    </w:p>
    <w:p w14:paraId="2F6F88E7" w14:textId="77777777" w:rsidR="00964AFD" w:rsidRPr="0058432E" w:rsidRDefault="00964AFD" w:rsidP="006B001C">
      <w:pPr>
        <w:pStyle w:val="BodyText"/>
        <w:widowControl/>
        <w:kinsoku w:val="0"/>
        <w:overflowPunct w:val="0"/>
        <w:ind w:left="0"/>
        <w:rPr>
          <w:color w:val="000000" w:themeColor="text1"/>
        </w:rPr>
      </w:pPr>
      <w:r w:rsidRPr="0058432E">
        <w:rPr>
          <w:color w:val="000000" w:themeColor="text1"/>
        </w:rPr>
        <w:t xml:space="preserve">Chez les patients adultes atteints d’uvéite, la dose </w:t>
      </w:r>
      <w:r w:rsidR="00D577FA" w:rsidRPr="0058432E">
        <w:rPr>
          <w:color w:val="000000" w:themeColor="text1"/>
        </w:rPr>
        <w:t xml:space="preserve">de charge </w:t>
      </w:r>
      <w:r w:rsidRPr="0058432E">
        <w:rPr>
          <w:color w:val="000000" w:themeColor="text1"/>
        </w:rPr>
        <w:t xml:space="preserve">de 80 mg d’adalimumab à la </w:t>
      </w:r>
      <w:r w:rsidR="008401F1" w:rsidRPr="0058432E">
        <w:rPr>
          <w:color w:val="000000" w:themeColor="text1"/>
        </w:rPr>
        <w:t>s</w:t>
      </w:r>
      <w:r w:rsidRPr="0058432E">
        <w:rPr>
          <w:color w:val="000000" w:themeColor="text1"/>
        </w:rPr>
        <w:t xml:space="preserve">emaine 0 suivie de 40 mg d’adalimumab toutes les deux semaines à partir de la </w:t>
      </w:r>
      <w:r w:rsidR="005D0E9A" w:rsidRPr="0058432E">
        <w:rPr>
          <w:color w:val="000000" w:themeColor="text1"/>
        </w:rPr>
        <w:t>s</w:t>
      </w:r>
      <w:r w:rsidRPr="0058432E">
        <w:rPr>
          <w:color w:val="000000" w:themeColor="text1"/>
        </w:rPr>
        <w:t>emaine 1 a permis d’obtenir des concentrations moyennes d’adalimumab à l’état d’équilibre d’environ 8 à 10 μg/ml.</w:t>
      </w:r>
    </w:p>
    <w:p w14:paraId="64E3D3FE" w14:textId="77777777" w:rsidR="00A35B02" w:rsidRPr="0058432E" w:rsidRDefault="00A35B02" w:rsidP="006B001C">
      <w:pPr>
        <w:pStyle w:val="BodyText"/>
        <w:widowControl/>
        <w:kinsoku w:val="0"/>
        <w:overflowPunct w:val="0"/>
        <w:ind w:left="0"/>
        <w:rPr>
          <w:color w:val="000000" w:themeColor="text1"/>
        </w:rPr>
      </w:pPr>
    </w:p>
    <w:p w14:paraId="13489B75" w14:textId="77777777" w:rsidR="00A35B02" w:rsidRPr="0058432E" w:rsidRDefault="00A35B02" w:rsidP="006B001C">
      <w:pPr>
        <w:rPr>
          <w:color w:val="000000" w:themeColor="text1"/>
        </w:rPr>
      </w:pPr>
      <w:r w:rsidRPr="0058432E">
        <w:rPr>
          <w:color w:val="000000" w:themeColor="text1"/>
        </w:rPr>
        <w:t xml:space="preserve">Une modélisation et une simulation pharmacocinétiques et pharmacocinétiques/pharmacodynamiques de population ont prédit une exposition et une efficacité </w:t>
      </w:r>
      <w:r w:rsidR="00D577FA" w:rsidRPr="0058432E">
        <w:rPr>
          <w:color w:val="000000" w:themeColor="text1"/>
        </w:rPr>
        <w:t xml:space="preserve">d’adalimumab </w:t>
      </w:r>
      <w:r w:rsidRPr="0058432E">
        <w:rPr>
          <w:color w:val="000000" w:themeColor="text1"/>
        </w:rPr>
        <w:t>comparables chez les patients traités par 80 mg toutes les deux semaines en comparaison avec 40 mg toutes les semaines (y compris les patients adultes atteints de PR, HS, RCH, MC ou Ps, les adolescents atteints d’HS, et les patients pédiatriques ≥ 40 kg atteints de MC).</w:t>
      </w:r>
    </w:p>
    <w:p w14:paraId="6380855C" w14:textId="77777777" w:rsidR="00964AFD" w:rsidRPr="0058432E" w:rsidRDefault="00964AFD" w:rsidP="00387D0C">
      <w:pPr>
        <w:pStyle w:val="BodyText"/>
        <w:widowControl/>
        <w:kinsoku w:val="0"/>
        <w:overflowPunct w:val="0"/>
        <w:ind w:left="0"/>
        <w:rPr>
          <w:color w:val="000000" w:themeColor="text1"/>
          <w:szCs w:val="21"/>
        </w:rPr>
      </w:pPr>
    </w:p>
    <w:p w14:paraId="5488FA8E" w14:textId="77777777" w:rsidR="00964AFD" w:rsidRPr="0058432E" w:rsidRDefault="00964AFD" w:rsidP="00387D0C">
      <w:pPr>
        <w:pStyle w:val="BodyText"/>
        <w:keepNext/>
        <w:widowControl/>
        <w:kinsoku w:val="0"/>
        <w:overflowPunct w:val="0"/>
        <w:ind w:left="0"/>
        <w:rPr>
          <w:color w:val="000000" w:themeColor="text1"/>
        </w:rPr>
      </w:pPr>
      <w:r w:rsidRPr="0058432E">
        <w:rPr>
          <w:color w:val="000000" w:themeColor="text1"/>
          <w:u w:val="single"/>
        </w:rPr>
        <w:t>Élimination</w:t>
      </w:r>
    </w:p>
    <w:p w14:paraId="2600F526" w14:textId="77777777" w:rsidR="00964AFD" w:rsidRPr="0058432E" w:rsidRDefault="00964AFD" w:rsidP="00387D0C">
      <w:pPr>
        <w:pStyle w:val="BodyText"/>
        <w:keepNext/>
        <w:widowControl/>
        <w:kinsoku w:val="0"/>
        <w:overflowPunct w:val="0"/>
        <w:ind w:left="0"/>
        <w:rPr>
          <w:color w:val="000000" w:themeColor="text1"/>
        </w:rPr>
      </w:pPr>
    </w:p>
    <w:p w14:paraId="0DC98B4C" w14:textId="77777777" w:rsidR="00964AFD" w:rsidRPr="0058432E" w:rsidRDefault="00964AFD" w:rsidP="00387D0C">
      <w:pPr>
        <w:pStyle w:val="BodyText"/>
        <w:keepNext/>
        <w:widowControl/>
        <w:kinsoku w:val="0"/>
        <w:overflowPunct w:val="0"/>
        <w:ind w:left="0"/>
        <w:rPr>
          <w:color w:val="000000" w:themeColor="text1"/>
        </w:rPr>
      </w:pPr>
      <w:r w:rsidRPr="0058432E">
        <w:rPr>
          <w:color w:val="000000" w:themeColor="text1"/>
        </w:rPr>
        <w:t>Les analyses pharmacocinétiques de populations portant sur des données recueillies chez plus de 1 300 patients atteints de PR, ont révélé une tendance à une augmentation de la clairance apparente de l’adalimumab avec une augmentation du poids corporel. Après ajustement en fonction des différences pondérales, le sexe et l’âge ont semblé avoir peu d’effet sur la clairance de l’adalimumab. Il a été observé que les taux sériques d’adalimumab libre (non lié aux anticorps anti-adalimumab, AAA) étaient plus bas chez les patients dont les AAA étaient mesurables.</w:t>
      </w:r>
    </w:p>
    <w:p w14:paraId="07F1A9F2" w14:textId="77777777" w:rsidR="00964AFD" w:rsidRPr="0058432E" w:rsidRDefault="00964AFD" w:rsidP="00387D0C">
      <w:pPr>
        <w:pStyle w:val="BodyText"/>
        <w:widowControl/>
        <w:kinsoku w:val="0"/>
        <w:overflowPunct w:val="0"/>
        <w:ind w:left="0"/>
        <w:rPr>
          <w:color w:val="000000" w:themeColor="text1"/>
          <w:u w:val="single"/>
        </w:rPr>
      </w:pPr>
    </w:p>
    <w:p w14:paraId="5D115964" w14:textId="77777777" w:rsidR="00964AFD" w:rsidRPr="0058432E" w:rsidRDefault="00964AFD" w:rsidP="00ED34EF">
      <w:pPr>
        <w:pStyle w:val="BodyText"/>
        <w:keepNext/>
        <w:widowControl/>
        <w:kinsoku w:val="0"/>
        <w:overflowPunct w:val="0"/>
        <w:ind w:left="0"/>
        <w:rPr>
          <w:color w:val="000000" w:themeColor="text1"/>
        </w:rPr>
      </w:pPr>
      <w:r w:rsidRPr="0058432E">
        <w:rPr>
          <w:color w:val="000000" w:themeColor="text1"/>
          <w:u w:val="single"/>
        </w:rPr>
        <w:t>Insuffisance hépatique ou rénale</w:t>
      </w:r>
    </w:p>
    <w:p w14:paraId="7D9F3F2B" w14:textId="77777777" w:rsidR="00964AFD" w:rsidRPr="0058432E" w:rsidRDefault="00964AFD" w:rsidP="00ED34EF">
      <w:pPr>
        <w:pStyle w:val="BodyText"/>
        <w:keepNext/>
        <w:widowControl/>
        <w:kinsoku w:val="0"/>
        <w:overflowPunct w:val="0"/>
        <w:ind w:left="0"/>
        <w:rPr>
          <w:color w:val="000000" w:themeColor="text1"/>
        </w:rPr>
      </w:pPr>
    </w:p>
    <w:p w14:paraId="61475FC3" w14:textId="77777777" w:rsidR="00964AFD" w:rsidRPr="0058432E" w:rsidRDefault="00621663" w:rsidP="00387D0C">
      <w:pPr>
        <w:pStyle w:val="BodyText"/>
        <w:widowControl/>
        <w:kinsoku w:val="0"/>
        <w:overflowPunct w:val="0"/>
        <w:ind w:left="0"/>
        <w:rPr>
          <w:color w:val="000000" w:themeColor="text1"/>
        </w:rPr>
      </w:pPr>
      <w:r w:rsidRPr="0058432E">
        <w:rPr>
          <w:color w:val="000000" w:themeColor="text1"/>
        </w:rPr>
        <w:t>L’adalimumab n’a pas été étudié chez les patients présentant une insuffisance hépatique ou rénale.</w:t>
      </w:r>
    </w:p>
    <w:p w14:paraId="0A31A185" w14:textId="77777777" w:rsidR="00533B44" w:rsidRPr="0058432E" w:rsidRDefault="00533B44" w:rsidP="00387D0C">
      <w:pPr>
        <w:rPr>
          <w:color w:val="000000" w:themeColor="text1"/>
        </w:rPr>
      </w:pPr>
    </w:p>
    <w:p w14:paraId="2D0E3173" w14:textId="77777777" w:rsidR="00964AFD" w:rsidRPr="0058432E" w:rsidRDefault="00964AFD" w:rsidP="00B93DAC">
      <w:pPr>
        <w:pStyle w:val="BodyText"/>
        <w:keepNext/>
        <w:widowControl/>
        <w:numPr>
          <w:ilvl w:val="1"/>
          <w:numId w:val="21"/>
        </w:numPr>
        <w:kinsoku w:val="0"/>
        <w:overflowPunct w:val="0"/>
        <w:autoSpaceDE w:val="0"/>
        <w:autoSpaceDN w:val="0"/>
        <w:adjustRightInd w:val="0"/>
        <w:ind w:left="0" w:firstLine="0"/>
        <w:rPr>
          <w:b/>
          <w:bCs/>
          <w:color w:val="000000" w:themeColor="text1"/>
        </w:rPr>
      </w:pPr>
      <w:r w:rsidRPr="0058432E">
        <w:rPr>
          <w:b/>
          <w:bCs/>
          <w:color w:val="000000" w:themeColor="text1"/>
        </w:rPr>
        <w:t>Données de sécurité préclinique</w:t>
      </w:r>
    </w:p>
    <w:p w14:paraId="148BE338" w14:textId="77777777" w:rsidR="00964AFD" w:rsidRPr="0058432E" w:rsidRDefault="00964AFD" w:rsidP="00ED34EF">
      <w:pPr>
        <w:pStyle w:val="BodyText"/>
        <w:keepNext/>
        <w:widowControl/>
        <w:kinsoku w:val="0"/>
        <w:overflowPunct w:val="0"/>
        <w:ind w:left="0"/>
        <w:rPr>
          <w:b/>
          <w:bCs/>
          <w:color w:val="000000" w:themeColor="text1"/>
          <w:szCs w:val="21"/>
        </w:rPr>
      </w:pPr>
    </w:p>
    <w:p w14:paraId="55989809"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Les données non cliniques issues des études de toxicologie en administration unique, toxicologie en administration répétée et de génotoxicité, n’ont pas révélé de risque particulier pour l’homme.</w:t>
      </w:r>
    </w:p>
    <w:p w14:paraId="5A0D700D" w14:textId="77777777" w:rsidR="00964AFD" w:rsidRPr="0058432E" w:rsidRDefault="00964AFD" w:rsidP="00387D0C">
      <w:pPr>
        <w:pStyle w:val="BodyText"/>
        <w:widowControl/>
        <w:kinsoku w:val="0"/>
        <w:overflowPunct w:val="0"/>
        <w:ind w:left="0"/>
        <w:rPr>
          <w:color w:val="000000" w:themeColor="text1"/>
        </w:rPr>
      </w:pPr>
    </w:p>
    <w:p w14:paraId="50909A4F"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Une étude de toxicité portant sur le développement embryo-fœtal et le développement périnatal a été réalisée chez des singes cynomolgus à 0, 30 et 100 mg/kg (9</w:t>
      </w:r>
      <w:r w:rsidR="005746FF" w:rsidRPr="0058432E">
        <w:rPr>
          <w:color w:val="000000" w:themeColor="text1"/>
        </w:rPr>
        <w:t> – </w:t>
      </w:r>
      <w:r w:rsidRPr="0058432E">
        <w:rPr>
          <w:color w:val="000000" w:themeColor="text1"/>
        </w:rPr>
        <w:t>17</w:t>
      </w:r>
      <w:r w:rsidR="005746FF" w:rsidRPr="0058432E">
        <w:rPr>
          <w:color w:val="000000" w:themeColor="text1"/>
        </w:rPr>
        <w:t> </w:t>
      </w:r>
      <w:r w:rsidRPr="0058432E">
        <w:rPr>
          <w:color w:val="000000" w:themeColor="text1"/>
        </w:rPr>
        <w:t>singes/groupe) ; elle n’a pas révélé de signe de fœto-toxicité de l’adalimumab. Ni une étude du pouvoir carcinogène, ni une évaluation standard sur la fertilité et la toxicité post-natale n’ont été effectuées avec l’adalimumab en raison du manque de modèles appropriés pour un anticorps présentant une réactivité croisée limitée avec le TNF de rongeur et du développement d’anticorps neutralisants chez le rongeur.</w:t>
      </w:r>
    </w:p>
    <w:p w14:paraId="567C9EA4" w14:textId="77777777" w:rsidR="00533B44" w:rsidRPr="0058432E" w:rsidRDefault="00533B44" w:rsidP="00387D0C">
      <w:pPr>
        <w:rPr>
          <w:color w:val="000000" w:themeColor="text1"/>
        </w:rPr>
      </w:pPr>
    </w:p>
    <w:p w14:paraId="05DEE089" w14:textId="77777777" w:rsidR="00290EEB" w:rsidRPr="0058432E" w:rsidRDefault="00290EEB" w:rsidP="00387D0C">
      <w:pPr>
        <w:rPr>
          <w:color w:val="000000" w:themeColor="text1"/>
        </w:rPr>
      </w:pPr>
    </w:p>
    <w:p w14:paraId="52588AE9" w14:textId="77777777" w:rsidR="00964AFD" w:rsidRPr="0058432E" w:rsidRDefault="00964AF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lastRenderedPageBreak/>
        <w:t>DONNÉES PHARMACEUTIQUES</w:t>
      </w:r>
    </w:p>
    <w:p w14:paraId="29D5EDC1" w14:textId="77777777" w:rsidR="00964AFD" w:rsidRPr="0058432E" w:rsidRDefault="00964AFD" w:rsidP="00ED34EF">
      <w:pPr>
        <w:pStyle w:val="BodyText"/>
        <w:keepNext/>
        <w:widowControl/>
        <w:kinsoku w:val="0"/>
        <w:overflowPunct w:val="0"/>
        <w:ind w:left="0"/>
        <w:rPr>
          <w:bCs/>
          <w:color w:val="000000" w:themeColor="text1"/>
        </w:rPr>
      </w:pPr>
    </w:p>
    <w:p w14:paraId="0F0EC82D" w14:textId="77777777" w:rsidR="00964AFD" w:rsidRPr="0058432E" w:rsidRDefault="00964AFD" w:rsidP="00ED34EF">
      <w:pPr>
        <w:pStyle w:val="BodyText"/>
        <w:keepNext/>
        <w:widowControl/>
        <w:numPr>
          <w:ilvl w:val="1"/>
          <w:numId w:val="21"/>
        </w:numPr>
        <w:tabs>
          <w:tab w:val="left" w:pos="673"/>
        </w:tabs>
        <w:kinsoku w:val="0"/>
        <w:overflowPunct w:val="0"/>
        <w:ind w:left="0" w:firstLine="0"/>
        <w:rPr>
          <w:color w:val="000000" w:themeColor="text1"/>
        </w:rPr>
      </w:pPr>
      <w:r w:rsidRPr="0058432E">
        <w:rPr>
          <w:b/>
          <w:bCs/>
          <w:color w:val="000000" w:themeColor="text1"/>
        </w:rPr>
        <w:t>Liste des excipients</w:t>
      </w:r>
    </w:p>
    <w:p w14:paraId="45222FA1" w14:textId="77777777" w:rsidR="00964AFD" w:rsidRPr="0058432E" w:rsidRDefault="00964AFD" w:rsidP="00ED34EF">
      <w:pPr>
        <w:pStyle w:val="BodyText"/>
        <w:keepNext/>
        <w:widowControl/>
        <w:kinsoku w:val="0"/>
        <w:overflowPunct w:val="0"/>
        <w:ind w:left="0"/>
        <w:rPr>
          <w:bCs/>
          <w:color w:val="000000" w:themeColor="text1"/>
          <w:szCs w:val="21"/>
        </w:rPr>
      </w:pPr>
    </w:p>
    <w:p w14:paraId="4B89FFB1" w14:textId="77777777" w:rsidR="00621663" w:rsidRPr="0058432E" w:rsidRDefault="00621663" w:rsidP="00387D0C">
      <w:pPr>
        <w:rPr>
          <w:color w:val="000000" w:themeColor="text1"/>
        </w:rPr>
      </w:pPr>
      <w:r w:rsidRPr="0058432E">
        <w:rPr>
          <w:color w:val="000000" w:themeColor="text1"/>
        </w:rPr>
        <w:t>L-histidine</w:t>
      </w:r>
    </w:p>
    <w:p w14:paraId="0822F8BA" w14:textId="77777777" w:rsidR="00621663" w:rsidRPr="0058432E" w:rsidRDefault="00621663" w:rsidP="00387D0C">
      <w:pPr>
        <w:rPr>
          <w:color w:val="000000" w:themeColor="text1"/>
        </w:rPr>
      </w:pPr>
      <w:r w:rsidRPr="0058432E">
        <w:rPr>
          <w:color w:val="000000" w:themeColor="text1"/>
        </w:rPr>
        <w:t>Chlorhydrate de L-histidine monohydraté</w:t>
      </w:r>
    </w:p>
    <w:p w14:paraId="40ACBFBA" w14:textId="77777777" w:rsidR="00621663" w:rsidRPr="0058432E" w:rsidRDefault="00621663" w:rsidP="00387D0C">
      <w:pPr>
        <w:rPr>
          <w:color w:val="000000" w:themeColor="text1"/>
        </w:rPr>
      </w:pPr>
      <w:r w:rsidRPr="0058432E">
        <w:rPr>
          <w:color w:val="000000" w:themeColor="text1"/>
        </w:rPr>
        <w:t>Saccharose</w:t>
      </w:r>
    </w:p>
    <w:p w14:paraId="3E441956" w14:textId="77777777" w:rsidR="00621663" w:rsidRPr="0058432E" w:rsidRDefault="00621663" w:rsidP="00387D0C">
      <w:pPr>
        <w:rPr>
          <w:color w:val="000000" w:themeColor="text1"/>
        </w:rPr>
      </w:pPr>
      <w:r w:rsidRPr="0058432E">
        <w:rPr>
          <w:color w:val="000000" w:themeColor="text1"/>
        </w:rPr>
        <w:t xml:space="preserve">Édétate disodique dihydraté </w:t>
      </w:r>
    </w:p>
    <w:p w14:paraId="558CDF1E" w14:textId="77777777" w:rsidR="00621663" w:rsidRPr="0058432E" w:rsidRDefault="00621663" w:rsidP="00387D0C">
      <w:pPr>
        <w:rPr>
          <w:color w:val="000000" w:themeColor="text1"/>
        </w:rPr>
      </w:pPr>
      <w:r w:rsidRPr="0058432E">
        <w:rPr>
          <w:color w:val="000000" w:themeColor="text1"/>
        </w:rPr>
        <w:t>L-méthionine</w:t>
      </w:r>
    </w:p>
    <w:p w14:paraId="18586ACD" w14:textId="77777777" w:rsidR="00621663" w:rsidRPr="0058432E" w:rsidRDefault="00621663" w:rsidP="00387D0C">
      <w:pPr>
        <w:rPr>
          <w:color w:val="000000" w:themeColor="text1"/>
        </w:rPr>
      </w:pPr>
      <w:r w:rsidRPr="0058432E">
        <w:rPr>
          <w:color w:val="000000" w:themeColor="text1"/>
        </w:rPr>
        <w:t>Polysorbate 80</w:t>
      </w:r>
    </w:p>
    <w:p w14:paraId="1305F957" w14:textId="77777777" w:rsidR="00621663" w:rsidRPr="0058432E" w:rsidRDefault="00621663" w:rsidP="00387D0C">
      <w:pPr>
        <w:rPr>
          <w:color w:val="000000" w:themeColor="text1"/>
        </w:rPr>
      </w:pPr>
      <w:r w:rsidRPr="0058432E">
        <w:rPr>
          <w:color w:val="000000" w:themeColor="text1"/>
        </w:rPr>
        <w:t>Eau pour préparations injectables</w:t>
      </w:r>
    </w:p>
    <w:p w14:paraId="673B414A" w14:textId="77777777" w:rsidR="00964AFD" w:rsidRPr="0058432E" w:rsidRDefault="00964AFD" w:rsidP="00387D0C">
      <w:pPr>
        <w:pStyle w:val="BodyText"/>
        <w:widowControl/>
        <w:kinsoku w:val="0"/>
        <w:overflowPunct w:val="0"/>
        <w:ind w:left="0"/>
        <w:rPr>
          <w:color w:val="000000" w:themeColor="text1"/>
        </w:rPr>
      </w:pPr>
    </w:p>
    <w:p w14:paraId="6744A70C" w14:textId="77777777" w:rsidR="00964AFD" w:rsidRPr="0058432E" w:rsidRDefault="00964AFD" w:rsidP="00B93DAC">
      <w:pPr>
        <w:pStyle w:val="BodyText"/>
        <w:keepNext/>
        <w:widowControl/>
        <w:numPr>
          <w:ilvl w:val="1"/>
          <w:numId w:val="21"/>
        </w:numPr>
        <w:tabs>
          <w:tab w:val="left" w:pos="673"/>
        </w:tabs>
        <w:kinsoku w:val="0"/>
        <w:overflowPunct w:val="0"/>
        <w:ind w:left="0" w:firstLine="0"/>
        <w:rPr>
          <w:b/>
          <w:bCs/>
          <w:color w:val="000000" w:themeColor="text1"/>
        </w:rPr>
      </w:pPr>
      <w:r w:rsidRPr="0058432E">
        <w:rPr>
          <w:b/>
          <w:bCs/>
          <w:color w:val="000000" w:themeColor="text1"/>
        </w:rPr>
        <w:t>Incompatibilités</w:t>
      </w:r>
    </w:p>
    <w:p w14:paraId="4FC9582B" w14:textId="77777777" w:rsidR="00964AFD" w:rsidRPr="0058432E" w:rsidRDefault="00964AFD" w:rsidP="00ED34EF">
      <w:pPr>
        <w:pStyle w:val="BodyText"/>
        <w:keepNext/>
        <w:widowControl/>
        <w:kinsoku w:val="0"/>
        <w:overflowPunct w:val="0"/>
        <w:ind w:left="0"/>
        <w:rPr>
          <w:bCs/>
          <w:color w:val="000000" w:themeColor="text1"/>
          <w:szCs w:val="21"/>
        </w:rPr>
      </w:pPr>
    </w:p>
    <w:p w14:paraId="7A48372B"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En l’absence d’études de compatibilité, ce médicament ne doit pas être mélangé avec d’autres médicaments.</w:t>
      </w:r>
    </w:p>
    <w:p w14:paraId="3F796CC0" w14:textId="77777777" w:rsidR="00964AFD" w:rsidRPr="0058432E" w:rsidRDefault="00964AFD" w:rsidP="00387D0C">
      <w:pPr>
        <w:pStyle w:val="BodyText"/>
        <w:widowControl/>
        <w:kinsoku w:val="0"/>
        <w:overflowPunct w:val="0"/>
        <w:ind w:left="0"/>
        <w:rPr>
          <w:color w:val="000000" w:themeColor="text1"/>
        </w:rPr>
      </w:pPr>
    </w:p>
    <w:p w14:paraId="304DCC9B" w14:textId="77777777" w:rsidR="00964AFD" w:rsidRPr="0058432E" w:rsidRDefault="00964AFD" w:rsidP="00B93DAC">
      <w:pPr>
        <w:pStyle w:val="BodyText"/>
        <w:keepNext/>
        <w:widowControl/>
        <w:numPr>
          <w:ilvl w:val="1"/>
          <w:numId w:val="21"/>
        </w:numPr>
        <w:tabs>
          <w:tab w:val="left" w:pos="673"/>
        </w:tabs>
        <w:kinsoku w:val="0"/>
        <w:overflowPunct w:val="0"/>
        <w:ind w:left="0" w:firstLine="0"/>
        <w:rPr>
          <w:b/>
          <w:bCs/>
          <w:color w:val="000000" w:themeColor="text1"/>
        </w:rPr>
      </w:pPr>
      <w:r w:rsidRPr="0058432E">
        <w:rPr>
          <w:b/>
          <w:bCs/>
          <w:color w:val="000000" w:themeColor="text1"/>
        </w:rPr>
        <w:t>Durée de conservation</w:t>
      </w:r>
    </w:p>
    <w:p w14:paraId="33AF1B65" w14:textId="77777777" w:rsidR="00964AFD" w:rsidRPr="0058432E" w:rsidRDefault="00964AFD" w:rsidP="00ED34EF">
      <w:pPr>
        <w:pStyle w:val="BodyText"/>
        <w:keepNext/>
        <w:widowControl/>
        <w:kinsoku w:val="0"/>
        <w:overflowPunct w:val="0"/>
        <w:ind w:left="0"/>
        <w:rPr>
          <w:b/>
          <w:bCs/>
          <w:color w:val="000000" w:themeColor="text1"/>
          <w:szCs w:val="21"/>
        </w:rPr>
      </w:pPr>
    </w:p>
    <w:p w14:paraId="5FBAB74C" w14:textId="77777777" w:rsidR="00964AFD" w:rsidRPr="0058432E" w:rsidRDefault="00621663" w:rsidP="00387D0C">
      <w:pPr>
        <w:pStyle w:val="BodyText"/>
        <w:widowControl/>
        <w:kinsoku w:val="0"/>
        <w:overflowPunct w:val="0"/>
        <w:ind w:left="0"/>
        <w:rPr>
          <w:color w:val="000000" w:themeColor="text1"/>
        </w:rPr>
      </w:pPr>
      <w:r w:rsidRPr="0058432E">
        <w:rPr>
          <w:color w:val="000000" w:themeColor="text1"/>
        </w:rPr>
        <w:t>3 ans</w:t>
      </w:r>
    </w:p>
    <w:p w14:paraId="1916D500" w14:textId="77777777" w:rsidR="00964AFD" w:rsidRPr="0058432E" w:rsidRDefault="00964AFD" w:rsidP="00387D0C">
      <w:pPr>
        <w:pStyle w:val="BodyText"/>
        <w:widowControl/>
        <w:kinsoku w:val="0"/>
        <w:overflowPunct w:val="0"/>
        <w:ind w:left="0"/>
        <w:rPr>
          <w:color w:val="000000" w:themeColor="text1"/>
        </w:rPr>
      </w:pPr>
    </w:p>
    <w:p w14:paraId="1BF6142E" w14:textId="77777777" w:rsidR="00964AFD" w:rsidRPr="0058432E" w:rsidRDefault="00964AFD" w:rsidP="00B93DAC">
      <w:pPr>
        <w:pStyle w:val="BodyText"/>
        <w:keepNext/>
        <w:widowControl/>
        <w:numPr>
          <w:ilvl w:val="1"/>
          <w:numId w:val="21"/>
        </w:numPr>
        <w:tabs>
          <w:tab w:val="left" w:pos="673"/>
        </w:tabs>
        <w:kinsoku w:val="0"/>
        <w:overflowPunct w:val="0"/>
        <w:ind w:left="0" w:firstLine="0"/>
        <w:rPr>
          <w:b/>
          <w:bCs/>
          <w:color w:val="000000" w:themeColor="text1"/>
        </w:rPr>
      </w:pPr>
      <w:r w:rsidRPr="0058432E">
        <w:rPr>
          <w:b/>
          <w:bCs/>
          <w:color w:val="000000" w:themeColor="text1"/>
        </w:rPr>
        <w:t>Précautions particulières de conservation</w:t>
      </w:r>
    </w:p>
    <w:p w14:paraId="4A70DE82" w14:textId="77777777" w:rsidR="00964AFD" w:rsidRPr="0058432E" w:rsidRDefault="00964AFD" w:rsidP="00ED34EF">
      <w:pPr>
        <w:pStyle w:val="BodyText"/>
        <w:keepNext/>
        <w:widowControl/>
        <w:kinsoku w:val="0"/>
        <w:overflowPunct w:val="0"/>
        <w:ind w:left="0"/>
        <w:rPr>
          <w:bCs/>
          <w:color w:val="000000" w:themeColor="text1"/>
        </w:rPr>
      </w:pPr>
    </w:p>
    <w:p w14:paraId="67150B19"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À conserver au réfrigérateur (entre 2 °C et 8 °C). Ne pas congeler. Conserver la seringue préremplie dans son emballage extérieur à l’abri de la lumière.</w:t>
      </w:r>
    </w:p>
    <w:p w14:paraId="2D57B12C" w14:textId="77777777" w:rsidR="00964AFD" w:rsidRPr="0058432E" w:rsidRDefault="00964AFD" w:rsidP="00387D0C">
      <w:pPr>
        <w:pStyle w:val="BodyText"/>
        <w:widowControl/>
        <w:kinsoku w:val="0"/>
        <w:overflowPunct w:val="0"/>
        <w:ind w:left="0"/>
        <w:rPr>
          <w:color w:val="000000" w:themeColor="text1"/>
        </w:rPr>
      </w:pPr>
    </w:p>
    <w:p w14:paraId="1834BED3"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Une seringue préremplie d’Amsparity peut être conservée à des températures allant jusqu’à 30 °C pendant 30 jours maximum, à l’abri de la lumière. Après cette période, le médicament doit être jeté.</w:t>
      </w:r>
    </w:p>
    <w:p w14:paraId="3A897653" w14:textId="77777777" w:rsidR="00964AFD" w:rsidRPr="0058432E" w:rsidRDefault="00964AFD" w:rsidP="00387D0C">
      <w:pPr>
        <w:pStyle w:val="BodyText"/>
        <w:widowControl/>
        <w:kinsoku w:val="0"/>
        <w:overflowPunct w:val="0"/>
        <w:ind w:left="0"/>
        <w:rPr>
          <w:color w:val="000000" w:themeColor="text1"/>
        </w:rPr>
      </w:pPr>
    </w:p>
    <w:p w14:paraId="468D278B" w14:textId="77777777" w:rsidR="00964AFD" w:rsidRPr="0058432E" w:rsidRDefault="00964AFD" w:rsidP="00B93DAC">
      <w:pPr>
        <w:pStyle w:val="BodyText"/>
        <w:keepNext/>
        <w:widowControl/>
        <w:numPr>
          <w:ilvl w:val="1"/>
          <w:numId w:val="21"/>
        </w:numPr>
        <w:tabs>
          <w:tab w:val="left" w:pos="673"/>
        </w:tabs>
        <w:kinsoku w:val="0"/>
        <w:overflowPunct w:val="0"/>
        <w:ind w:left="0" w:firstLine="0"/>
        <w:rPr>
          <w:b/>
          <w:bCs/>
          <w:color w:val="000000" w:themeColor="text1"/>
        </w:rPr>
      </w:pPr>
      <w:r w:rsidRPr="0058432E">
        <w:rPr>
          <w:b/>
          <w:bCs/>
          <w:color w:val="000000" w:themeColor="text1"/>
        </w:rPr>
        <w:t>Nature et contenu de l’emballage extérieur</w:t>
      </w:r>
    </w:p>
    <w:p w14:paraId="3032CDB9" w14:textId="77777777" w:rsidR="00964AFD" w:rsidRPr="0058432E" w:rsidRDefault="00964AFD" w:rsidP="00D459A6">
      <w:pPr>
        <w:pStyle w:val="BodyText"/>
        <w:keepNext/>
        <w:widowControl/>
        <w:kinsoku w:val="0"/>
        <w:overflowPunct w:val="0"/>
        <w:ind w:left="0"/>
        <w:rPr>
          <w:bCs/>
          <w:color w:val="000000" w:themeColor="text1"/>
          <w:szCs w:val="21"/>
        </w:rPr>
      </w:pPr>
    </w:p>
    <w:p w14:paraId="280AFDF6" w14:textId="77777777" w:rsidR="00964AFD" w:rsidRPr="0058432E" w:rsidRDefault="006A1144" w:rsidP="00387D0C">
      <w:pPr>
        <w:pStyle w:val="BodyText"/>
        <w:widowControl/>
        <w:kinsoku w:val="0"/>
        <w:overflowPunct w:val="0"/>
        <w:ind w:left="0"/>
        <w:rPr>
          <w:color w:val="000000" w:themeColor="text1"/>
        </w:rPr>
      </w:pPr>
      <w:r w:rsidRPr="0058432E">
        <w:rPr>
          <w:color w:val="000000" w:themeColor="text1"/>
        </w:rPr>
        <w:t>Amsparity 20 mg, solution injectable en seringue préremplie à usage unique (verre de type I) munie d’un bouchon-piston (caoutchouc chlorobutyle) et d’une aiguille avec un capuchon protecteur (élastomère thermoplastique).</w:t>
      </w:r>
    </w:p>
    <w:p w14:paraId="48BD9258" w14:textId="77777777" w:rsidR="00964AFD" w:rsidRPr="0058432E" w:rsidRDefault="00964AFD" w:rsidP="00387D0C">
      <w:pPr>
        <w:pStyle w:val="BodyText"/>
        <w:widowControl/>
        <w:kinsoku w:val="0"/>
        <w:overflowPunct w:val="0"/>
        <w:ind w:left="0"/>
        <w:rPr>
          <w:color w:val="000000" w:themeColor="text1"/>
          <w:szCs w:val="21"/>
        </w:rPr>
      </w:pPr>
    </w:p>
    <w:p w14:paraId="2BA41ADA"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Boîtes de :</w:t>
      </w:r>
    </w:p>
    <w:p w14:paraId="51A6F1B7" w14:textId="77777777" w:rsidR="00964AFD" w:rsidRPr="0058432E" w:rsidRDefault="00964AFD" w:rsidP="003143AF">
      <w:pPr>
        <w:pStyle w:val="BodyText"/>
        <w:widowControl/>
        <w:numPr>
          <w:ilvl w:val="0"/>
          <w:numId w:val="27"/>
        </w:numPr>
        <w:kinsoku w:val="0"/>
        <w:overflowPunct w:val="0"/>
        <w:ind w:left="562" w:hanging="562"/>
        <w:rPr>
          <w:color w:val="000000" w:themeColor="text1"/>
        </w:rPr>
      </w:pPr>
      <w:r w:rsidRPr="0058432E">
        <w:rPr>
          <w:color w:val="000000" w:themeColor="text1"/>
        </w:rPr>
        <w:t>2 seringues préremplies (0,4 ml de solution stérile) avec 2 tampons d’alcool, chaque seringue préremplie est sous plaquette.</w:t>
      </w:r>
    </w:p>
    <w:p w14:paraId="0C93CF21" w14:textId="77777777" w:rsidR="00964AFD" w:rsidRPr="0058432E" w:rsidRDefault="00964AFD" w:rsidP="00387D0C">
      <w:pPr>
        <w:pStyle w:val="BodyText"/>
        <w:widowControl/>
        <w:tabs>
          <w:tab w:val="left" w:pos="679"/>
        </w:tabs>
        <w:kinsoku w:val="0"/>
        <w:overflowPunct w:val="0"/>
        <w:ind w:left="0"/>
        <w:rPr>
          <w:color w:val="000000" w:themeColor="text1"/>
        </w:rPr>
      </w:pPr>
    </w:p>
    <w:p w14:paraId="1D7DC9B5" w14:textId="77777777" w:rsidR="00964AFD" w:rsidRPr="0058432E" w:rsidRDefault="00964AFD" w:rsidP="00B93DAC">
      <w:pPr>
        <w:pStyle w:val="BodyText"/>
        <w:keepNext/>
        <w:widowControl/>
        <w:numPr>
          <w:ilvl w:val="1"/>
          <w:numId w:val="21"/>
        </w:numPr>
        <w:tabs>
          <w:tab w:val="left" w:pos="673"/>
        </w:tabs>
        <w:kinsoku w:val="0"/>
        <w:overflowPunct w:val="0"/>
        <w:ind w:left="0" w:firstLine="0"/>
        <w:rPr>
          <w:b/>
          <w:bCs/>
          <w:color w:val="000000" w:themeColor="text1"/>
        </w:rPr>
      </w:pPr>
      <w:r w:rsidRPr="0058432E">
        <w:rPr>
          <w:b/>
          <w:bCs/>
          <w:color w:val="000000" w:themeColor="text1"/>
        </w:rPr>
        <w:t>Précautions particulières d’élimination</w:t>
      </w:r>
    </w:p>
    <w:p w14:paraId="7DAFD860" w14:textId="77777777" w:rsidR="00964AFD" w:rsidRPr="0058432E" w:rsidRDefault="00964AFD" w:rsidP="00ED34EF">
      <w:pPr>
        <w:pStyle w:val="BodyText"/>
        <w:keepNext/>
        <w:widowControl/>
        <w:kinsoku w:val="0"/>
        <w:overflowPunct w:val="0"/>
        <w:ind w:left="0"/>
        <w:rPr>
          <w:bCs/>
          <w:color w:val="000000" w:themeColor="text1"/>
          <w:szCs w:val="21"/>
        </w:rPr>
      </w:pPr>
    </w:p>
    <w:p w14:paraId="5E0CE0D8" w14:textId="77777777" w:rsidR="00964AFD" w:rsidRPr="0058432E" w:rsidRDefault="00964AFD" w:rsidP="00387D0C">
      <w:pPr>
        <w:pStyle w:val="BodyText"/>
        <w:widowControl/>
        <w:kinsoku w:val="0"/>
        <w:overflowPunct w:val="0"/>
        <w:ind w:left="0"/>
        <w:rPr>
          <w:color w:val="000000" w:themeColor="text1"/>
        </w:rPr>
      </w:pPr>
      <w:r w:rsidRPr="0058432E">
        <w:rPr>
          <w:color w:val="000000" w:themeColor="text1"/>
        </w:rPr>
        <w:t>Tout médicament non utilisé ou déchet doit être éliminé conformément à la réglementation en vigueur.</w:t>
      </w:r>
    </w:p>
    <w:p w14:paraId="2F1AB5FB" w14:textId="77777777" w:rsidR="00964AFD" w:rsidRPr="0058432E" w:rsidRDefault="00964AFD" w:rsidP="00387D0C">
      <w:pPr>
        <w:pStyle w:val="BodyText"/>
        <w:widowControl/>
        <w:kinsoku w:val="0"/>
        <w:overflowPunct w:val="0"/>
        <w:ind w:left="0"/>
        <w:rPr>
          <w:color w:val="000000" w:themeColor="text1"/>
        </w:rPr>
      </w:pPr>
    </w:p>
    <w:p w14:paraId="2EC42D29" w14:textId="77777777" w:rsidR="00964AFD" w:rsidRPr="0058432E" w:rsidRDefault="00964AFD" w:rsidP="00387D0C">
      <w:pPr>
        <w:pStyle w:val="BodyText"/>
        <w:widowControl/>
        <w:kinsoku w:val="0"/>
        <w:overflowPunct w:val="0"/>
        <w:ind w:left="0"/>
        <w:rPr>
          <w:color w:val="000000" w:themeColor="text1"/>
        </w:rPr>
      </w:pPr>
    </w:p>
    <w:p w14:paraId="3705429B" w14:textId="77777777" w:rsidR="00964AFD" w:rsidRPr="0058432E" w:rsidRDefault="00964AF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t>TITULAIRE DE L’AUTORISATION DE MISE SUR LE MARCHÉ</w:t>
      </w:r>
    </w:p>
    <w:p w14:paraId="5FD8FD70" w14:textId="77777777" w:rsidR="00964AFD" w:rsidRPr="0058432E" w:rsidRDefault="00964AFD" w:rsidP="00ED34EF">
      <w:pPr>
        <w:pStyle w:val="BodyText"/>
        <w:keepNext/>
        <w:widowControl/>
        <w:kinsoku w:val="0"/>
        <w:overflowPunct w:val="0"/>
        <w:ind w:left="0"/>
        <w:rPr>
          <w:color w:val="000000" w:themeColor="text1"/>
        </w:rPr>
      </w:pPr>
    </w:p>
    <w:p w14:paraId="227F9651" w14:textId="77777777" w:rsidR="00792CD9" w:rsidRPr="0058432E" w:rsidRDefault="00792CD9" w:rsidP="00387D0C">
      <w:pPr>
        <w:pStyle w:val="BodyText"/>
        <w:widowControl/>
        <w:kinsoku w:val="0"/>
        <w:overflowPunct w:val="0"/>
        <w:ind w:left="0"/>
        <w:rPr>
          <w:color w:val="000000" w:themeColor="text1"/>
        </w:rPr>
      </w:pPr>
      <w:r w:rsidRPr="0058432E">
        <w:rPr>
          <w:color w:val="000000" w:themeColor="text1"/>
        </w:rPr>
        <w:t>Pfizer Europe MA EEIG</w:t>
      </w:r>
    </w:p>
    <w:p w14:paraId="13B67918" w14:textId="77777777" w:rsidR="00727B93" w:rsidRPr="0058432E" w:rsidRDefault="00727B93" w:rsidP="00387D0C">
      <w:pPr>
        <w:pStyle w:val="BodyText"/>
        <w:widowControl/>
        <w:kinsoku w:val="0"/>
        <w:overflowPunct w:val="0"/>
        <w:ind w:left="0"/>
        <w:rPr>
          <w:color w:val="000000" w:themeColor="text1"/>
        </w:rPr>
      </w:pPr>
      <w:r w:rsidRPr="0058432E">
        <w:rPr>
          <w:color w:val="000000" w:themeColor="text1"/>
        </w:rPr>
        <w:t>Boulevard de la Plaine 17</w:t>
      </w:r>
    </w:p>
    <w:p w14:paraId="5A505520" w14:textId="77777777" w:rsidR="00727B93" w:rsidRPr="0058432E" w:rsidRDefault="00727B93" w:rsidP="00387D0C">
      <w:pPr>
        <w:pStyle w:val="BodyText"/>
        <w:widowControl/>
        <w:kinsoku w:val="0"/>
        <w:overflowPunct w:val="0"/>
        <w:ind w:left="0"/>
        <w:rPr>
          <w:color w:val="000000" w:themeColor="text1"/>
        </w:rPr>
      </w:pPr>
      <w:r w:rsidRPr="0058432E">
        <w:rPr>
          <w:color w:val="000000" w:themeColor="text1"/>
        </w:rPr>
        <w:t>1050 Bruxelles</w:t>
      </w:r>
    </w:p>
    <w:p w14:paraId="56DE8A6F" w14:textId="77777777" w:rsidR="00727B93" w:rsidRPr="0058432E" w:rsidRDefault="00727B93" w:rsidP="00387D0C">
      <w:pPr>
        <w:pStyle w:val="BodyText"/>
        <w:widowControl/>
        <w:kinsoku w:val="0"/>
        <w:overflowPunct w:val="0"/>
        <w:ind w:left="0"/>
        <w:rPr>
          <w:color w:val="000000" w:themeColor="text1"/>
        </w:rPr>
      </w:pPr>
      <w:r w:rsidRPr="0058432E">
        <w:rPr>
          <w:color w:val="000000" w:themeColor="text1"/>
        </w:rPr>
        <w:t>Belgique</w:t>
      </w:r>
    </w:p>
    <w:p w14:paraId="3271AE0D" w14:textId="77777777" w:rsidR="00964AFD" w:rsidRPr="0058432E" w:rsidRDefault="00964AFD" w:rsidP="00387D0C">
      <w:pPr>
        <w:pStyle w:val="BodyText"/>
        <w:widowControl/>
        <w:kinsoku w:val="0"/>
        <w:overflowPunct w:val="0"/>
        <w:ind w:left="0"/>
        <w:rPr>
          <w:color w:val="000000" w:themeColor="text1"/>
        </w:rPr>
      </w:pPr>
    </w:p>
    <w:p w14:paraId="4E2EE783" w14:textId="77777777" w:rsidR="00964AFD" w:rsidRPr="0058432E" w:rsidRDefault="00964AFD" w:rsidP="00387D0C">
      <w:pPr>
        <w:pStyle w:val="BodyText"/>
        <w:widowControl/>
        <w:kinsoku w:val="0"/>
        <w:overflowPunct w:val="0"/>
        <w:ind w:left="0"/>
        <w:rPr>
          <w:color w:val="000000" w:themeColor="text1"/>
        </w:rPr>
      </w:pPr>
    </w:p>
    <w:p w14:paraId="78746EAB" w14:textId="77777777" w:rsidR="00964AFD" w:rsidRPr="0058432E" w:rsidRDefault="00964AF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t>NUMÉRO D’AUTORISATION DE MISE SUR LE MARCHÉ</w:t>
      </w:r>
    </w:p>
    <w:p w14:paraId="25C68D69" w14:textId="77777777" w:rsidR="00964AFD" w:rsidRPr="0058432E" w:rsidRDefault="00964AFD" w:rsidP="00ED34EF">
      <w:pPr>
        <w:pStyle w:val="BodyText"/>
        <w:keepNext/>
        <w:widowControl/>
        <w:kinsoku w:val="0"/>
        <w:overflowPunct w:val="0"/>
        <w:ind w:left="0"/>
        <w:rPr>
          <w:bCs/>
          <w:color w:val="000000" w:themeColor="text1"/>
          <w:szCs w:val="21"/>
        </w:rPr>
      </w:pPr>
    </w:p>
    <w:p w14:paraId="4D2BAF37" w14:textId="77777777" w:rsidR="00964AFD" w:rsidRPr="0058432E" w:rsidRDefault="009B4AB9" w:rsidP="00387D0C">
      <w:pPr>
        <w:pStyle w:val="BodyText"/>
        <w:widowControl/>
        <w:kinsoku w:val="0"/>
        <w:overflowPunct w:val="0"/>
        <w:ind w:left="0"/>
        <w:rPr>
          <w:color w:val="000000" w:themeColor="text1"/>
        </w:rPr>
      </w:pPr>
      <w:r w:rsidRPr="0058432E">
        <w:rPr>
          <w:color w:val="000000" w:themeColor="text1"/>
        </w:rPr>
        <w:t>EU/1/19/1415/001</w:t>
      </w:r>
    </w:p>
    <w:p w14:paraId="1FEDA20E" w14:textId="77777777" w:rsidR="00C9690D" w:rsidRPr="0058432E" w:rsidRDefault="00C9690D" w:rsidP="00387D0C">
      <w:pPr>
        <w:pStyle w:val="BodyText"/>
        <w:widowControl/>
        <w:kinsoku w:val="0"/>
        <w:overflowPunct w:val="0"/>
        <w:ind w:left="0"/>
        <w:rPr>
          <w:color w:val="000000" w:themeColor="text1"/>
        </w:rPr>
      </w:pPr>
    </w:p>
    <w:p w14:paraId="7A6EBB17" w14:textId="77777777" w:rsidR="003D2782" w:rsidRPr="0058432E" w:rsidRDefault="003D2782" w:rsidP="00387D0C">
      <w:pPr>
        <w:pStyle w:val="BodyText"/>
        <w:widowControl/>
        <w:kinsoku w:val="0"/>
        <w:overflowPunct w:val="0"/>
        <w:ind w:left="0"/>
        <w:rPr>
          <w:color w:val="000000" w:themeColor="text1"/>
        </w:rPr>
      </w:pPr>
    </w:p>
    <w:p w14:paraId="050C508E" w14:textId="77777777" w:rsidR="00964AFD" w:rsidRPr="0058432E" w:rsidRDefault="00964AFD" w:rsidP="00B93DAC">
      <w:pPr>
        <w:pStyle w:val="BodyText"/>
        <w:keepNext/>
        <w:widowControl/>
        <w:numPr>
          <w:ilvl w:val="0"/>
          <w:numId w:val="21"/>
        </w:numPr>
        <w:kinsoku w:val="0"/>
        <w:overflowPunct w:val="0"/>
        <w:autoSpaceDE w:val="0"/>
        <w:autoSpaceDN w:val="0"/>
        <w:adjustRightInd w:val="0"/>
        <w:ind w:left="561" w:hanging="561"/>
        <w:rPr>
          <w:b/>
          <w:bCs/>
          <w:color w:val="000000" w:themeColor="text1"/>
        </w:rPr>
      </w:pPr>
      <w:r w:rsidRPr="0058432E">
        <w:rPr>
          <w:b/>
          <w:bCs/>
          <w:color w:val="000000" w:themeColor="text1"/>
        </w:rPr>
        <w:lastRenderedPageBreak/>
        <w:t>DATE DE PREMIÈRE AUTORISATION/DE RENOUVELLEMENT DE L’AUTORISATION</w:t>
      </w:r>
    </w:p>
    <w:p w14:paraId="447AF9FA" w14:textId="77777777" w:rsidR="00964AFD" w:rsidRPr="0058432E" w:rsidRDefault="00964AFD" w:rsidP="00ED34EF">
      <w:pPr>
        <w:pStyle w:val="BodyText"/>
        <w:keepNext/>
        <w:widowControl/>
        <w:kinsoku w:val="0"/>
        <w:overflowPunct w:val="0"/>
        <w:ind w:left="0"/>
        <w:rPr>
          <w:bCs/>
          <w:color w:val="000000" w:themeColor="text1"/>
          <w:szCs w:val="21"/>
        </w:rPr>
      </w:pPr>
    </w:p>
    <w:p w14:paraId="3CD4D3F9" w14:textId="77777777" w:rsidR="00621663" w:rsidRPr="0058432E" w:rsidRDefault="00621663" w:rsidP="00387D0C">
      <w:pPr>
        <w:rPr>
          <w:color w:val="000000" w:themeColor="text1"/>
        </w:rPr>
      </w:pPr>
      <w:r w:rsidRPr="0058432E">
        <w:rPr>
          <w:color w:val="000000" w:themeColor="text1"/>
        </w:rPr>
        <w:t xml:space="preserve">Date de première autorisation : </w:t>
      </w:r>
      <w:r w:rsidR="00CD6E04" w:rsidRPr="0058432E">
        <w:rPr>
          <w:color w:val="000000" w:themeColor="text1"/>
        </w:rPr>
        <w:t>13 février 2020</w:t>
      </w:r>
    </w:p>
    <w:p w14:paraId="0B89A401" w14:textId="20265D84" w:rsidR="001471FD" w:rsidRPr="0058432E" w:rsidRDefault="001471FD" w:rsidP="00387D0C">
      <w:pPr>
        <w:rPr>
          <w:i/>
          <w:color w:val="000000" w:themeColor="text1"/>
        </w:rPr>
      </w:pPr>
      <w:r w:rsidRPr="0058432E">
        <w:rPr>
          <w:color w:val="000000" w:themeColor="text1"/>
        </w:rPr>
        <w:t xml:space="preserve">Date du dernier renouvellement : </w:t>
      </w:r>
      <w:r w:rsidR="005C3FBC" w:rsidRPr="0058432E">
        <w:rPr>
          <w:color w:val="000000" w:themeColor="text1"/>
        </w:rPr>
        <w:t>19 septembre 2024</w:t>
      </w:r>
    </w:p>
    <w:p w14:paraId="4BD4BD5D" w14:textId="77777777" w:rsidR="00964AFD" w:rsidRPr="0058432E" w:rsidRDefault="00964AFD" w:rsidP="006B001C">
      <w:pPr>
        <w:pStyle w:val="BodyText"/>
        <w:widowControl/>
        <w:kinsoku w:val="0"/>
        <w:overflowPunct w:val="0"/>
        <w:ind w:left="0"/>
        <w:rPr>
          <w:color w:val="000000" w:themeColor="text1"/>
        </w:rPr>
      </w:pPr>
    </w:p>
    <w:p w14:paraId="3B7184AF" w14:textId="77777777" w:rsidR="00964AFD" w:rsidRPr="0058432E" w:rsidRDefault="00964AFD" w:rsidP="006B001C">
      <w:pPr>
        <w:pStyle w:val="BodyText"/>
        <w:widowControl/>
        <w:kinsoku w:val="0"/>
        <w:overflowPunct w:val="0"/>
        <w:ind w:left="0"/>
        <w:rPr>
          <w:color w:val="000000" w:themeColor="text1"/>
        </w:rPr>
      </w:pPr>
    </w:p>
    <w:p w14:paraId="0CFBF6A2" w14:textId="77777777" w:rsidR="00964AFD" w:rsidRPr="0058432E" w:rsidRDefault="00964AFD" w:rsidP="00B93DAC">
      <w:pPr>
        <w:pStyle w:val="BodyText"/>
        <w:keepNext/>
        <w:widowControl/>
        <w:numPr>
          <w:ilvl w:val="0"/>
          <w:numId w:val="21"/>
        </w:numPr>
        <w:kinsoku w:val="0"/>
        <w:overflowPunct w:val="0"/>
        <w:autoSpaceDE w:val="0"/>
        <w:autoSpaceDN w:val="0"/>
        <w:adjustRightInd w:val="0"/>
        <w:ind w:left="0" w:firstLine="0"/>
        <w:rPr>
          <w:b/>
          <w:bCs/>
          <w:color w:val="000000" w:themeColor="text1"/>
        </w:rPr>
      </w:pPr>
      <w:r w:rsidRPr="0058432E">
        <w:rPr>
          <w:b/>
          <w:bCs/>
          <w:color w:val="000000" w:themeColor="text1"/>
        </w:rPr>
        <w:t>DATE DE MISE À JOUR DU TEXTE</w:t>
      </w:r>
    </w:p>
    <w:p w14:paraId="39315C26" w14:textId="77777777" w:rsidR="00964AFD" w:rsidRPr="0058432E" w:rsidRDefault="00964AFD" w:rsidP="006B001C">
      <w:pPr>
        <w:pStyle w:val="BodyText"/>
        <w:keepNext/>
        <w:widowControl/>
        <w:kinsoku w:val="0"/>
        <w:overflowPunct w:val="0"/>
        <w:ind w:left="0"/>
        <w:rPr>
          <w:bCs/>
          <w:color w:val="000000" w:themeColor="text1"/>
          <w:szCs w:val="21"/>
        </w:rPr>
      </w:pPr>
    </w:p>
    <w:p w14:paraId="35A8F998" w14:textId="3D6E9775" w:rsidR="00533B44" w:rsidRPr="0058432E" w:rsidRDefault="00964AFD" w:rsidP="00B93DAC">
      <w:pPr>
        <w:pStyle w:val="BodyText"/>
        <w:widowControl/>
        <w:kinsoku w:val="0"/>
        <w:overflowPunct w:val="0"/>
        <w:ind w:left="0"/>
        <w:rPr>
          <w:color w:val="000000" w:themeColor="text1"/>
        </w:rPr>
      </w:pPr>
      <w:r w:rsidRPr="0058432E">
        <w:rPr>
          <w:color w:val="000000" w:themeColor="text1"/>
        </w:rPr>
        <w:t xml:space="preserve">Des informations détaillées sur ce médicament sont disponibles sur le site internet de l’Agence européenne des médicaments </w:t>
      </w:r>
      <w:hyperlink r:id="rId14" w:history="1">
        <w:r w:rsidR="00B223FD" w:rsidRPr="0058432E">
          <w:rPr>
            <w:rStyle w:val="Hyperlink"/>
          </w:rPr>
          <w:t>https://www.ema.europa.eu</w:t>
        </w:r>
      </w:hyperlink>
      <w:r w:rsidRPr="0058432E">
        <w:rPr>
          <w:color w:val="000000" w:themeColor="text1"/>
        </w:rPr>
        <w:t>.</w:t>
      </w:r>
    </w:p>
    <w:p w14:paraId="2E7C0341" w14:textId="5625B624" w:rsidR="00533B44" w:rsidRPr="0058432E" w:rsidRDefault="00964AFD" w:rsidP="00982118">
      <w:pPr>
        <w:rPr>
          <w:color w:val="000000" w:themeColor="text1"/>
        </w:rPr>
      </w:pPr>
      <w:r w:rsidRPr="0058432E">
        <w:rPr>
          <w:color w:val="000000" w:themeColor="text1"/>
        </w:rPr>
        <w:br w:type="page"/>
      </w:r>
    </w:p>
    <w:p w14:paraId="565FBEFF" w14:textId="77777777" w:rsidR="00C46587" w:rsidRPr="0058432E" w:rsidRDefault="00C46587" w:rsidP="00D459A6">
      <w:pPr>
        <w:keepNext/>
        <w:tabs>
          <w:tab w:val="left" w:pos="562"/>
        </w:tabs>
        <w:rPr>
          <w:b/>
          <w:color w:val="000000" w:themeColor="text1"/>
        </w:rPr>
      </w:pPr>
      <w:r w:rsidRPr="0058432E">
        <w:rPr>
          <w:b/>
          <w:color w:val="000000" w:themeColor="text1"/>
        </w:rPr>
        <w:lastRenderedPageBreak/>
        <w:t>1.</w:t>
      </w:r>
      <w:r w:rsidRPr="0058432E">
        <w:rPr>
          <w:b/>
          <w:color w:val="000000" w:themeColor="text1"/>
        </w:rPr>
        <w:tab/>
        <w:t>DÉNOMINATION DU MÉDICAMENT</w:t>
      </w:r>
    </w:p>
    <w:p w14:paraId="322F3054" w14:textId="77777777" w:rsidR="00C46587" w:rsidRPr="0058432E" w:rsidRDefault="00C46587" w:rsidP="00982118">
      <w:pPr>
        <w:keepNext/>
        <w:rPr>
          <w:color w:val="000000" w:themeColor="text1"/>
        </w:rPr>
      </w:pPr>
    </w:p>
    <w:p w14:paraId="575DCB60" w14:textId="77777777" w:rsidR="00C46587" w:rsidRPr="0058432E" w:rsidRDefault="006A1144" w:rsidP="00982118">
      <w:pPr>
        <w:rPr>
          <w:color w:val="000000" w:themeColor="text1"/>
        </w:rPr>
      </w:pPr>
      <w:r w:rsidRPr="0058432E">
        <w:rPr>
          <w:color w:val="000000" w:themeColor="text1"/>
        </w:rPr>
        <w:t>Amsparity 40 mg/0,8 ml, solution injectable</w:t>
      </w:r>
    </w:p>
    <w:p w14:paraId="444FF8F1" w14:textId="77777777" w:rsidR="00C46587" w:rsidRPr="0058432E" w:rsidRDefault="00C46587" w:rsidP="00982118">
      <w:pPr>
        <w:rPr>
          <w:color w:val="000000" w:themeColor="text1"/>
        </w:rPr>
      </w:pPr>
    </w:p>
    <w:p w14:paraId="4B0E11F0" w14:textId="77777777" w:rsidR="00C46587" w:rsidRPr="0058432E" w:rsidRDefault="00C46587" w:rsidP="00982118">
      <w:pPr>
        <w:rPr>
          <w:color w:val="000000" w:themeColor="text1"/>
        </w:rPr>
      </w:pPr>
    </w:p>
    <w:p w14:paraId="75D2FC9A" w14:textId="77777777" w:rsidR="00C46587" w:rsidRPr="0058432E" w:rsidRDefault="00C46587" w:rsidP="00982118">
      <w:pPr>
        <w:keepNext/>
        <w:tabs>
          <w:tab w:val="left" w:pos="562"/>
        </w:tabs>
        <w:rPr>
          <w:b/>
          <w:color w:val="000000" w:themeColor="text1"/>
        </w:rPr>
      </w:pPr>
      <w:r w:rsidRPr="0058432E">
        <w:rPr>
          <w:b/>
          <w:color w:val="000000" w:themeColor="text1"/>
        </w:rPr>
        <w:t>2.</w:t>
      </w:r>
      <w:r w:rsidRPr="0058432E">
        <w:rPr>
          <w:b/>
          <w:color w:val="000000" w:themeColor="text1"/>
        </w:rPr>
        <w:tab/>
        <w:t>COMPOSITION QUALITATIVE ET QUANTITATIVE</w:t>
      </w:r>
    </w:p>
    <w:p w14:paraId="3A3186AC" w14:textId="77777777" w:rsidR="00C46587" w:rsidRPr="0058432E" w:rsidRDefault="00C46587" w:rsidP="00982118">
      <w:pPr>
        <w:keepNext/>
        <w:rPr>
          <w:color w:val="000000" w:themeColor="text1"/>
        </w:rPr>
      </w:pPr>
    </w:p>
    <w:p w14:paraId="19084F86" w14:textId="77777777" w:rsidR="00C46587" w:rsidRPr="0058432E" w:rsidRDefault="00BE6BF8" w:rsidP="00982118">
      <w:pPr>
        <w:rPr>
          <w:color w:val="000000" w:themeColor="text1"/>
        </w:rPr>
      </w:pPr>
      <w:r w:rsidRPr="0058432E">
        <w:rPr>
          <w:color w:val="000000" w:themeColor="text1"/>
        </w:rPr>
        <w:t xml:space="preserve">Chaque </w:t>
      </w:r>
      <w:r w:rsidR="00C46587" w:rsidRPr="0058432E">
        <w:rPr>
          <w:color w:val="000000" w:themeColor="text1"/>
        </w:rPr>
        <w:t xml:space="preserve">flacon </w:t>
      </w:r>
      <w:r w:rsidRPr="0058432E">
        <w:rPr>
          <w:color w:val="000000" w:themeColor="text1"/>
        </w:rPr>
        <w:t xml:space="preserve">unidose </w:t>
      </w:r>
      <w:r w:rsidR="00C46587" w:rsidRPr="0058432E">
        <w:rPr>
          <w:color w:val="000000" w:themeColor="text1"/>
        </w:rPr>
        <w:t>de 0,8 ml contient 40 mg d’adalimumab.</w:t>
      </w:r>
    </w:p>
    <w:p w14:paraId="6EDF95C1" w14:textId="77777777" w:rsidR="00C46587" w:rsidRPr="0058432E" w:rsidRDefault="00C46587" w:rsidP="00982118">
      <w:pPr>
        <w:rPr>
          <w:color w:val="000000" w:themeColor="text1"/>
        </w:rPr>
      </w:pPr>
    </w:p>
    <w:p w14:paraId="1280F14C" w14:textId="77777777" w:rsidR="00C46587" w:rsidRPr="0058432E" w:rsidRDefault="00C46587" w:rsidP="00982118">
      <w:pPr>
        <w:rPr>
          <w:color w:val="000000" w:themeColor="text1"/>
        </w:rPr>
      </w:pPr>
      <w:r w:rsidRPr="0058432E">
        <w:rPr>
          <w:color w:val="000000" w:themeColor="text1"/>
        </w:rPr>
        <w:t>L’adalimumab est un anticorps monoclonal humain recombinant produit dans des cellules ovariennes de hamster chinois.</w:t>
      </w:r>
    </w:p>
    <w:p w14:paraId="77B59E8A" w14:textId="77777777" w:rsidR="00C46587" w:rsidRPr="0058432E" w:rsidRDefault="00C46587" w:rsidP="00982118">
      <w:pPr>
        <w:rPr>
          <w:color w:val="000000" w:themeColor="text1"/>
        </w:rPr>
      </w:pPr>
    </w:p>
    <w:p w14:paraId="5BDAD73F" w14:textId="1BE982F9" w:rsidR="002B65E3" w:rsidRPr="0058432E" w:rsidRDefault="002B65E3" w:rsidP="002B65E3">
      <w:pPr>
        <w:rPr>
          <w:color w:val="000000" w:themeColor="text1"/>
          <w:u w:val="single"/>
        </w:rPr>
      </w:pPr>
      <w:bookmarkStart w:id="3" w:name="_Hlk178161276"/>
      <w:r w:rsidRPr="0058432E">
        <w:rPr>
          <w:color w:val="000000" w:themeColor="text1"/>
          <w:u w:val="single"/>
        </w:rPr>
        <w:t>Excipient</w:t>
      </w:r>
      <w:r w:rsidR="003E30A2" w:rsidRPr="0058432E">
        <w:rPr>
          <w:color w:val="000000" w:themeColor="text1"/>
          <w:u w:val="single"/>
        </w:rPr>
        <w:t>s</w:t>
      </w:r>
      <w:r w:rsidRPr="0058432E">
        <w:rPr>
          <w:color w:val="000000" w:themeColor="text1"/>
          <w:u w:val="single"/>
        </w:rPr>
        <w:t xml:space="preserve"> à effet notoire</w:t>
      </w:r>
      <w:r w:rsidR="003E30A2" w:rsidRPr="0058432E">
        <w:rPr>
          <w:color w:val="000000" w:themeColor="text1"/>
          <w:u w:val="single"/>
        </w:rPr>
        <w:t> :</w:t>
      </w:r>
      <w:r w:rsidRPr="0058432E">
        <w:rPr>
          <w:color w:val="000000" w:themeColor="text1"/>
          <w:u w:val="single"/>
        </w:rPr>
        <w:br/>
      </w:r>
    </w:p>
    <w:p w14:paraId="22023C85" w14:textId="4B676096" w:rsidR="002B65E3" w:rsidRPr="0058432E" w:rsidRDefault="002B65E3" w:rsidP="002B65E3">
      <w:pPr>
        <w:rPr>
          <w:color w:val="000000" w:themeColor="text1"/>
        </w:rPr>
      </w:pPr>
      <w:r w:rsidRPr="0058432E">
        <w:rPr>
          <w:color w:val="000000" w:themeColor="text1"/>
        </w:rPr>
        <w:t xml:space="preserve">Amsparity 40 mg/0,8 ml, solution injectable contient 0,16 mg de polysorbate 80 </w:t>
      </w:r>
      <w:r w:rsidR="003E30A2" w:rsidRPr="0058432E">
        <w:rPr>
          <w:color w:val="000000" w:themeColor="text1"/>
        </w:rPr>
        <w:t xml:space="preserve">par </w:t>
      </w:r>
      <w:r w:rsidRPr="0058432E">
        <w:rPr>
          <w:color w:val="000000" w:themeColor="text1"/>
        </w:rPr>
        <w:t>flacon unidose de 0,8 ml, équiva</w:t>
      </w:r>
      <w:r w:rsidR="003E30A2" w:rsidRPr="0058432E">
        <w:rPr>
          <w:color w:val="000000" w:themeColor="text1"/>
        </w:rPr>
        <w:t>lant</w:t>
      </w:r>
      <w:r w:rsidRPr="0058432E">
        <w:rPr>
          <w:color w:val="000000" w:themeColor="text1"/>
        </w:rPr>
        <w:t xml:space="preserve"> à 0,2</w:t>
      </w:r>
      <w:r w:rsidR="00975B81" w:rsidRPr="0058432E">
        <w:rPr>
          <w:color w:val="000000" w:themeColor="text1"/>
        </w:rPr>
        <w:t> </w:t>
      </w:r>
      <w:r w:rsidRPr="0058432E">
        <w:rPr>
          <w:color w:val="000000" w:themeColor="text1"/>
        </w:rPr>
        <w:t>mg/ml de polysorbate 80.</w:t>
      </w:r>
    </w:p>
    <w:bookmarkEnd w:id="3"/>
    <w:p w14:paraId="418F0685" w14:textId="77777777" w:rsidR="002B65E3" w:rsidRPr="0058432E" w:rsidRDefault="002B65E3" w:rsidP="00982118">
      <w:pPr>
        <w:rPr>
          <w:color w:val="000000" w:themeColor="text1"/>
        </w:rPr>
      </w:pPr>
    </w:p>
    <w:p w14:paraId="0D8FFB3D" w14:textId="3747337D" w:rsidR="00C46587" w:rsidRPr="0058432E" w:rsidRDefault="00C46587" w:rsidP="00982118">
      <w:pPr>
        <w:rPr>
          <w:color w:val="000000" w:themeColor="text1"/>
        </w:rPr>
      </w:pPr>
      <w:r w:rsidRPr="0058432E">
        <w:rPr>
          <w:color w:val="000000" w:themeColor="text1"/>
        </w:rPr>
        <w:t>Pour la liste complète des excipients, voir rubrique 6.1.</w:t>
      </w:r>
    </w:p>
    <w:p w14:paraId="67A6043C" w14:textId="77777777" w:rsidR="00C46587" w:rsidRPr="0058432E" w:rsidRDefault="00C46587" w:rsidP="00982118">
      <w:pPr>
        <w:rPr>
          <w:color w:val="000000" w:themeColor="text1"/>
        </w:rPr>
      </w:pPr>
    </w:p>
    <w:p w14:paraId="66FD7106" w14:textId="77777777" w:rsidR="00C46587" w:rsidRPr="0058432E" w:rsidRDefault="00C46587" w:rsidP="00982118">
      <w:pPr>
        <w:rPr>
          <w:color w:val="000000" w:themeColor="text1"/>
        </w:rPr>
      </w:pPr>
    </w:p>
    <w:p w14:paraId="23E5DD5B" w14:textId="77777777" w:rsidR="00C46587" w:rsidRPr="0058432E" w:rsidRDefault="00C46587" w:rsidP="00982118">
      <w:pPr>
        <w:keepNext/>
        <w:tabs>
          <w:tab w:val="left" w:pos="562"/>
        </w:tabs>
        <w:rPr>
          <w:b/>
          <w:color w:val="000000" w:themeColor="text1"/>
        </w:rPr>
      </w:pPr>
      <w:r w:rsidRPr="0058432E">
        <w:rPr>
          <w:b/>
          <w:color w:val="000000" w:themeColor="text1"/>
        </w:rPr>
        <w:t>3.</w:t>
      </w:r>
      <w:r w:rsidRPr="0058432E">
        <w:rPr>
          <w:b/>
          <w:color w:val="000000" w:themeColor="text1"/>
        </w:rPr>
        <w:tab/>
        <w:t xml:space="preserve">FORME PHARMACEUTIQUE </w:t>
      </w:r>
    </w:p>
    <w:p w14:paraId="4469AE4C" w14:textId="77777777" w:rsidR="00C46587" w:rsidRPr="0058432E" w:rsidRDefault="00C46587" w:rsidP="00982118">
      <w:pPr>
        <w:keepNext/>
        <w:rPr>
          <w:color w:val="000000" w:themeColor="text1"/>
        </w:rPr>
      </w:pPr>
    </w:p>
    <w:p w14:paraId="255062F7" w14:textId="77777777" w:rsidR="00C46587" w:rsidRPr="0058432E" w:rsidRDefault="00C46587" w:rsidP="00982118">
      <w:pPr>
        <w:rPr>
          <w:color w:val="000000" w:themeColor="text1"/>
        </w:rPr>
      </w:pPr>
      <w:r w:rsidRPr="0058432E">
        <w:rPr>
          <w:color w:val="000000" w:themeColor="text1"/>
        </w:rPr>
        <w:t>Solution injectable. (</w:t>
      </w:r>
      <w:proofErr w:type="gramStart"/>
      <w:r w:rsidRPr="0058432E">
        <w:rPr>
          <w:color w:val="000000" w:themeColor="text1"/>
        </w:rPr>
        <w:t>injection</w:t>
      </w:r>
      <w:proofErr w:type="gramEnd"/>
      <w:r w:rsidRPr="0058432E">
        <w:rPr>
          <w:color w:val="000000" w:themeColor="text1"/>
        </w:rPr>
        <w:t>)</w:t>
      </w:r>
    </w:p>
    <w:p w14:paraId="17F170E7" w14:textId="77777777" w:rsidR="00C46587" w:rsidRPr="0058432E" w:rsidRDefault="00C46587" w:rsidP="00982118">
      <w:pPr>
        <w:rPr>
          <w:color w:val="000000" w:themeColor="text1"/>
        </w:rPr>
      </w:pPr>
    </w:p>
    <w:p w14:paraId="24851939" w14:textId="77777777" w:rsidR="00C46587" w:rsidRPr="0058432E" w:rsidRDefault="00C46587" w:rsidP="00982118">
      <w:pPr>
        <w:rPr>
          <w:color w:val="000000" w:themeColor="text1"/>
        </w:rPr>
      </w:pPr>
      <w:r w:rsidRPr="0058432E">
        <w:rPr>
          <w:color w:val="000000" w:themeColor="text1"/>
        </w:rPr>
        <w:t xml:space="preserve">Solution limpide, incolore à brun très clair. </w:t>
      </w:r>
    </w:p>
    <w:p w14:paraId="2125683D" w14:textId="77777777" w:rsidR="00C46587" w:rsidRPr="0058432E" w:rsidRDefault="00C46587" w:rsidP="00982118">
      <w:pPr>
        <w:rPr>
          <w:color w:val="000000" w:themeColor="text1"/>
        </w:rPr>
      </w:pPr>
    </w:p>
    <w:p w14:paraId="331CBF68" w14:textId="77777777" w:rsidR="007E0DEB" w:rsidRPr="0058432E" w:rsidRDefault="007E0DEB" w:rsidP="00982118">
      <w:pPr>
        <w:rPr>
          <w:color w:val="000000" w:themeColor="text1"/>
        </w:rPr>
      </w:pPr>
    </w:p>
    <w:p w14:paraId="70E7CB0D" w14:textId="77777777" w:rsidR="00C46587" w:rsidRPr="0058432E" w:rsidRDefault="00C46587" w:rsidP="00982118">
      <w:pPr>
        <w:keepNext/>
        <w:tabs>
          <w:tab w:val="left" w:pos="562"/>
        </w:tabs>
        <w:rPr>
          <w:b/>
          <w:color w:val="000000" w:themeColor="text1"/>
        </w:rPr>
      </w:pPr>
      <w:r w:rsidRPr="0058432E">
        <w:rPr>
          <w:b/>
          <w:color w:val="000000" w:themeColor="text1"/>
        </w:rPr>
        <w:t>4.</w:t>
      </w:r>
      <w:r w:rsidRPr="0058432E">
        <w:rPr>
          <w:b/>
          <w:color w:val="000000" w:themeColor="text1"/>
        </w:rPr>
        <w:tab/>
        <w:t xml:space="preserve">INFORMATIONS CLINIQUES </w:t>
      </w:r>
    </w:p>
    <w:p w14:paraId="07659C80" w14:textId="77777777" w:rsidR="00C46587" w:rsidRPr="0058432E" w:rsidRDefault="00C46587" w:rsidP="00982118">
      <w:pPr>
        <w:keepNext/>
        <w:rPr>
          <w:color w:val="000000" w:themeColor="text1"/>
        </w:rPr>
      </w:pPr>
    </w:p>
    <w:p w14:paraId="603187D4" w14:textId="77777777" w:rsidR="00C46587" w:rsidRPr="0058432E" w:rsidRDefault="00C46587" w:rsidP="00982118">
      <w:pPr>
        <w:keepNext/>
        <w:tabs>
          <w:tab w:val="left" w:pos="562"/>
        </w:tabs>
        <w:rPr>
          <w:b/>
          <w:color w:val="000000" w:themeColor="text1"/>
        </w:rPr>
      </w:pPr>
      <w:r w:rsidRPr="0058432E">
        <w:rPr>
          <w:b/>
          <w:color w:val="000000" w:themeColor="text1"/>
        </w:rPr>
        <w:t>4.1</w:t>
      </w:r>
      <w:r w:rsidRPr="0058432E">
        <w:rPr>
          <w:b/>
          <w:color w:val="000000" w:themeColor="text1"/>
        </w:rPr>
        <w:tab/>
        <w:t xml:space="preserve">Indications thérapeutiques </w:t>
      </w:r>
    </w:p>
    <w:p w14:paraId="6734CC18" w14:textId="77777777" w:rsidR="00C46587" w:rsidRPr="0058432E" w:rsidRDefault="00C46587" w:rsidP="00982118">
      <w:pPr>
        <w:keepNext/>
        <w:rPr>
          <w:color w:val="000000" w:themeColor="text1"/>
        </w:rPr>
      </w:pPr>
    </w:p>
    <w:p w14:paraId="6F86AD20" w14:textId="77777777" w:rsidR="00C46587" w:rsidRPr="0058432E" w:rsidRDefault="00C46587" w:rsidP="00982118">
      <w:pPr>
        <w:keepNext/>
        <w:rPr>
          <w:color w:val="000000" w:themeColor="text1"/>
          <w:u w:val="single"/>
        </w:rPr>
      </w:pPr>
      <w:r w:rsidRPr="0058432E">
        <w:rPr>
          <w:color w:val="000000" w:themeColor="text1"/>
          <w:u w:val="single"/>
        </w:rPr>
        <w:t>Arthrite juvénile idiopathique</w:t>
      </w:r>
    </w:p>
    <w:p w14:paraId="1CACA0DC" w14:textId="77777777" w:rsidR="00C46587" w:rsidRPr="0058432E" w:rsidRDefault="00C46587" w:rsidP="00982118">
      <w:pPr>
        <w:keepNext/>
        <w:rPr>
          <w:color w:val="000000" w:themeColor="text1"/>
        </w:rPr>
      </w:pPr>
    </w:p>
    <w:p w14:paraId="25A3D1B2" w14:textId="77777777" w:rsidR="00C46587" w:rsidRPr="0058432E" w:rsidRDefault="00C46587" w:rsidP="00982118">
      <w:pPr>
        <w:keepNext/>
        <w:rPr>
          <w:i/>
          <w:color w:val="000000" w:themeColor="text1"/>
        </w:rPr>
      </w:pPr>
      <w:r w:rsidRPr="0058432E">
        <w:rPr>
          <w:i/>
          <w:color w:val="000000" w:themeColor="text1"/>
        </w:rPr>
        <w:t>Arthrite juvénile idiopathique polyarticulaire</w:t>
      </w:r>
    </w:p>
    <w:p w14:paraId="18B04EDE" w14:textId="77777777" w:rsidR="00C46587" w:rsidRPr="0058432E" w:rsidRDefault="00C46587" w:rsidP="00982118">
      <w:pPr>
        <w:keepNext/>
        <w:rPr>
          <w:color w:val="000000" w:themeColor="text1"/>
        </w:rPr>
      </w:pPr>
    </w:p>
    <w:p w14:paraId="3ECE4CC7" w14:textId="77777777" w:rsidR="00C46587" w:rsidRPr="0058432E" w:rsidRDefault="006A1144" w:rsidP="00982118">
      <w:pPr>
        <w:rPr>
          <w:color w:val="000000" w:themeColor="text1"/>
        </w:rPr>
      </w:pPr>
      <w:r w:rsidRPr="0058432E">
        <w:rPr>
          <w:color w:val="000000" w:themeColor="text1"/>
        </w:rPr>
        <w:t xml:space="preserve">Amsparity en association au méthotrexate est indiqué pour le traitement de l’arthrite juvénile idiopathique polyarticulaire </w:t>
      </w:r>
      <w:r w:rsidR="0099068C" w:rsidRPr="0058432E">
        <w:rPr>
          <w:color w:val="000000" w:themeColor="text1"/>
        </w:rPr>
        <w:t xml:space="preserve">active </w:t>
      </w:r>
      <w:r w:rsidRPr="0058432E">
        <w:rPr>
          <w:color w:val="000000" w:themeColor="text1"/>
        </w:rPr>
        <w:t xml:space="preserve">chez les patients à partir de 2 ans en cas de réponse insuffisante à un ou plusieurs </w:t>
      </w:r>
      <w:r w:rsidR="00831E43" w:rsidRPr="0058432E">
        <w:rPr>
          <w:color w:val="000000" w:themeColor="text1"/>
        </w:rPr>
        <w:t xml:space="preserve">traitements de fond antirhumatismaux (DMARDs : </w:t>
      </w:r>
      <w:r w:rsidR="00831E43" w:rsidRPr="0058432E">
        <w:rPr>
          <w:i/>
          <w:color w:val="000000" w:themeColor="text1"/>
        </w:rPr>
        <w:t>Disease-Modifying Antirheumatic Drugs</w:t>
      </w:r>
      <w:r w:rsidR="00831E43" w:rsidRPr="0058432E">
        <w:rPr>
          <w:color w:val="000000" w:themeColor="text1"/>
        </w:rPr>
        <w:t>)</w:t>
      </w:r>
      <w:r w:rsidR="00FD6456" w:rsidRPr="0058432E">
        <w:rPr>
          <w:color w:val="000000" w:themeColor="text1"/>
        </w:rPr>
        <w:t>.</w:t>
      </w:r>
      <w:r w:rsidR="00831E43" w:rsidRPr="0058432E" w:rsidDel="00761BB3">
        <w:rPr>
          <w:color w:val="000000" w:themeColor="text1"/>
        </w:rPr>
        <w:t xml:space="preserve"> </w:t>
      </w:r>
      <w:r w:rsidRPr="0058432E">
        <w:rPr>
          <w:color w:val="000000" w:themeColor="text1"/>
        </w:rPr>
        <w:t xml:space="preserve">Amsparity peut être administré en monothérapie en cas d’intolérance au méthotrexate ou lorsque la poursuite du traitement par le méthotrexate est inadaptée (pour l’efficacité en monothérapie </w:t>
      </w:r>
      <w:proofErr w:type="gramStart"/>
      <w:r w:rsidRPr="0058432E">
        <w:rPr>
          <w:color w:val="000000" w:themeColor="text1"/>
        </w:rPr>
        <w:t>voir</w:t>
      </w:r>
      <w:proofErr w:type="gramEnd"/>
      <w:r w:rsidRPr="0058432E">
        <w:rPr>
          <w:color w:val="000000" w:themeColor="text1"/>
        </w:rPr>
        <w:t xml:space="preserve"> rubrique 5.1). L’adalimumab n’a pas été étudié chez les patients de moins de 2 ans.</w:t>
      </w:r>
    </w:p>
    <w:p w14:paraId="0B6435A1" w14:textId="77777777" w:rsidR="00C46587" w:rsidRPr="0058432E" w:rsidRDefault="00C46587" w:rsidP="00982118">
      <w:pPr>
        <w:rPr>
          <w:color w:val="000000" w:themeColor="text1"/>
        </w:rPr>
      </w:pPr>
    </w:p>
    <w:p w14:paraId="1E6A11F8" w14:textId="77777777" w:rsidR="00C46587" w:rsidRPr="0058432E" w:rsidRDefault="00C46587" w:rsidP="00982118">
      <w:pPr>
        <w:keepNext/>
        <w:rPr>
          <w:i/>
          <w:color w:val="000000" w:themeColor="text1"/>
        </w:rPr>
      </w:pPr>
      <w:r w:rsidRPr="0058432E">
        <w:rPr>
          <w:i/>
          <w:color w:val="000000" w:themeColor="text1"/>
        </w:rPr>
        <w:t>Arthrite liée à l’enthésite</w:t>
      </w:r>
    </w:p>
    <w:p w14:paraId="66401E93" w14:textId="77777777" w:rsidR="00C46587" w:rsidRPr="0058432E" w:rsidRDefault="00C46587" w:rsidP="00982118">
      <w:pPr>
        <w:keepNext/>
        <w:rPr>
          <w:color w:val="000000" w:themeColor="text1"/>
        </w:rPr>
      </w:pPr>
    </w:p>
    <w:p w14:paraId="44E1D22E" w14:textId="77777777" w:rsidR="00C46587" w:rsidRPr="0058432E" w:rsidRDefault="006A1144" w:rsidP="00982118">
      <w:pPr>
        <w:rPr>
          <w:color w:val="000000" w:themeColor="text1"/>
        </w:rPr>
      </w:pPr>
      <w:r w:rsidRPr="0058432E">
        <w:rPr>
          <w:color w:val="000000" w:themeColor="text1"/>
        </w:rPr>
        <w:t xml:space="preserve">Amsparity est indiqué pour le traitement de l’arthrite active liée à l’enthésite chez les patients à partir de 6 ans en cas de réponse insuffisante ou d’intolérance au traitement conventionnel (voir rubrique 5.1). </w:t>
      </w:r>
    </w:p>
    <w:p w14:paraId="26491451" w14:textId="77777777" w:rsidR="00C46587" w:rsidRPr="0058432E" w:rsidRDefault="00C46587" w:rsidP="00982118">
      <w:pPr>
        <w:rPr>
          <w:color w:val="000000" w:themeColor="text1"/>
        </w:rPr>
      </w:pPr>
    </w:p>
    <w:p w14:paraId="5C9D2697" w14:textId="77777777" w:rsidR="00C46587" w:rsidRPr="0058432E" w:rsidRDefault="00C46587" w:rsidP="00982118">
      <w:pPr>
        <w:keepNext/>
        <w:rPr>
          <w:color w:val="000000" w:themeColor="text1"/>
          <w:u w:val="single"/>
        </w:rPr>
      </w:pPr>
      <w:r w:rsidRPr="0058432E">
        <w:rPr>
          <w:color w:val="000000" w:themeColor="text1"/>
          <w:u w:val="single"/>
        </w:rPr>
        <w:t xml:space="preserve">Psoriasis en plaques </w:t>
      </w:r>
      <w:r w:rsidR="00761BB3" w:rsidRPr="0058432E">
        <w:rPr>
          <w:color w:val="000000" w:themeColor="text1"/>
          <w:u w:val="single"/>
        </w:rPr>
        <w:t>pédiatrique</w:t>
      </w:r>
    </w:p>
    <w:p w14:paraId="13DE4D6B" w14:textId="77777777" w:rsidR="00C46587" w:rsidRPr="0058432E" w:rsidRDefault="00C46587" w:rsidP="00982118">
      <w:pPr>
        <w:keepNext/>
        <w:rPr>
          <w:color w:val="000000" w:themeColor="text1"/>
        </w:rPr>
      </w:pPr>
    </w:p>
    <w:p w14:paraId="524CBE30" w14:textId="77777777" w:rsidR="00C46587" w:rsidRPr="0058432E" w:rsidRDefault="006A1144" w:rsidP="00982118">
      <w:pPr>
        <w:rPr>
          <w:color w:val="000000" w:themeColor="text1"/>
        </w:rPr>
      </w:pPr>
      <w:r w:rsidRPr="0058432E">
        <w:rPr>
          <w:color w:val="000000" w:themeColor="text1"/>
        </w:rPr>
        <w:t>Amsparity est indiqué dans le traitement du psoriasis en plaques chronique sévère chez les enfants à partir de 4 ans et les adolescents en cas de réponse insuffisante à un traitement topique et aux photothérapies ou lorsque ces traitements sont inappropriés.</w:t>
      </w:r>
    </w:p>
    <w:p w14:paraId="652919BE" w14:textId="77777777" w:rsidR="00C46587" w:rsidRPr="0058432E" w:rsidRDefault="00C46587" w:rsidP="00982118">
      <w:pPr>
        <w:rPr>
          <w:color w:val="000000" w:themeColor="text1"/>
        </w:rPr>
      </w:pPr>
    </w:p>
    <w:p w14:paraId="74CD73D9" w14:textId="77777777" w:rsidR="002A313A" w:rsidRPr="0058432E" w:rsidRDefault="002A313A" w:rsidP="00491257">
      <w:pPr>
        <w:keepNext/>
        <w:rPr>
          <w:color w:val="000000" w:themeColor="text1"/>
          <w:u w:val="single"/>
        </w:rPr>
      </w:pPr>
      <w:r w:rsidRPr="0058432E">
        <w:rPr>
          <w:color w:val="000000" w:themeColor="text1"/>
          <w:u w:val="single"/>
        </w:rPr>
        <w:lastRenderedPageBreak/>
        <w:t>Hidrosadénite suppurée (HS) de l’adolescent</w:t>
      </w:r>
    </w:p>
    <w:p w14:paraId="08E24645" w14:textId="77777777" w:rsidR="002A313A" w:rsidRPr="0058432E" w:rsidRDefault="002A313A" w:rsidP="00491257">
      <w:pPr>
        <w:keepNext/>
        <w:rPr>
          <w:color w:val="000000" w:themeColor="text1"/>
        </w:rPr>
      </w:pPr>
    </w:p>
    <w:p w14:paraId="6BAE710C" w14:textId="77777777" w:rsidR="002A313A" w:rsidRPr="0058432E" w:rsidRDefault="001456CD" w:rsidP="00491257">
      <w:pPr>
        <w:keepNext/>
        <w:rPr>
          <w:color w:val="000000" w:themeColor="text1"/>
        </w:rPr>
      </w:pPr>
      <w:r w:rsidRPr="0058432E">
        <w:rPr>
          <w:color w:val="000000" w:themeColor="text1"/>
        </w:rPr>
        <w:t xml:space="preserve">Amsparity </w:t>
      </w:r>
      <w:r w:rsidR="002A313A" w:rsidRPr="0058432E">
        <w:rPr>
          <w:color w:val="000000" w:themeColor="text1"/>
        </w:rPr>
        <w:t>est indiqué dans le traitement de l’hidrosadénite suppurée (maladie de Verneuil) active, modérée à sévère, chez</w:t>
      </w:r>
      <w:r w:rsidR="00FC1EF9" w:rsidRPr="0058432E">
        <w:rPr>
          <w:color w:val="000000" w:themeColor="text1"/>
        </w:rPr>
        <w:t xml:space="preserve"> les adolescents à partir de 12 </w:t>
      </w:r>
      <w:r w:rsidR="002A313A" w:rsidRPr="0058432E">
        <w:rPr>
          <w:color w:val="000000" w:themeColor="text1"/>
        </w:rPr>
        <w:t>ans en cas de réponse insuffisante au traitement systémique conventionnel de l’HS (voir rubriques</w:t>
      </w:r>
      <w:r w:rsidR="00FC1EF9" w:rsidRPr="0058432E">
        <w:rPr>
          <w:color w:val="000000" w:themeColor="text1"/>
        </w:rPr>
        <w:t> </w:t>
      </w:r>
      <w:r w:rsidR="002A313A" w:rsidRPr="0058432E">
        <w:rPr>
          <w:color w:val="000000" w:themeColor="text1"/>
        </w:rPr>
        <w:t>5.1 et 5.2).</w:t>
      </w:r>
    </w:p>
    <w:p w14:paraId="1E33CB1A" w14:textId="77777777" w:rsidR="002A313A" w:rsidRPr="0058432E" w:rsidRDefault="002A313A" w:rsidP="00982118">
      <w:pPr>
        <w:rPr>
          <w:color w:val="000000" w:themeColor="text1"/>
        </w:rPr>
      </w:pPr>
    </w:p>
    <w:p w14:paraId="44037418" w14:textId="77777777" w:rsidR="00C46587" w:rsidRPr="0058432E" w:rsidRDefault="00C46587" w:rsidP="00982118">
      <w:pPr>
        <w:keepNext/>
        <w:rPr>
          <w:color w:val="000000" w:themeColor="text1"/>
          <w:u w:val="single"/>
        </w:rPr>
      </w:pPr>
      <w:r w:rsidRPr="0058432E">
        <w:rPr>
          <w:color w:val="000000" w:themeColor="text1"/>
          <w:u w:val="single"/>
        </w:rPr>
        <w:t xml:space="preserve">Maladie de Crohn </w:t>
      </w:r>
      <w:r w:rsidR="00761BB3" w:rsidRPr="0058432E">
        <w:rPr>
          <w:color w:val="000000" w:themeColor="text1"/>
          <w:u w:val="single"/>
        </w:rPr>
        <w:t>pédiatrique</w:t>
      </w:r>
    </w:p>
    <w:p w14:paraId="538999C7" w14:textId="77777777" w:rsidR="00C46587" w:rsidRPr="0058432E" w:rsidRDefault="00C46587" w:rsidP="00982118">
      <w:pPr>
        <w:keepNext/>
        <w:rPr>
          <w:color w:val="000000" w:themeColor="text1"/>
        </w:rPr>
      </w:pPr>
    </w:p>
    <w:p w14:paraId="60DD580F" w14:textId="77777777" w:rsidR="00C46587" w:rsidRPr="0058432E" w:rsidRDefault="006A1144" w:rsidP="00982118">
      <w:pPr>
        <w:rPr>
          <w:color w:val="000000" w:themeColor="text1"/>
        </w:rPr>
      </w:pPr>
      <w:r w:rsidRPr="0058432E">
        <w:rPr>
          <w:color w:val="000000" w:themeColor="text1"/>
        </w:rPr>
        <w:t xml:space="preserve">Amsparity est indiqué dans le traitement de la maladie de Crohn active modérée à sévère, chez les enfants et les adolescents à partir de 6 ans, qui n’ont pas répondu à un traitement conventionnel comprenant un traitement nutritionnel de première intention et un corticoïde et/ou un immunomodulateur, ou chez lesquels ces traitements sont mal tolérés ou contre-indiqués. </w:t>
      </w:r>
    </w:p>
    <w:p w14:paraId="26881F74" w14:textId="77777777" w:rsidR="00AB48D1" w:rsidRPr="0058432E" w:rsidRDefault="00AB48D1" w:rsidP="00982118">
      <w:pPr>
        <w:rPr>
          <w:color w:val="000000" w:themeColor="text1"/>
        </w:rPr>
      </w:pPr>
    </w:p>
    <w:p w14:paraId="4F2B5D1D" w14:textId="77777777" w:rsidR="002A313A" w:rsidRPr="0058432E" w:rsidRDefault="002A313A" w:rsidP="002A313A">
      <w:pPr>
        <w:rPr>
          <w:color w:val="000000" w:themeColor="text1"/>
          <w:u w:val="single"/>
        </w:rPr>
      </w:pPr>
      <w:r w:rsidRPr="0058432E">
        <w:rPr>
          <w:color w:val="000000" w:themeColor="text1"/>
          <w:u w:val="single"/>
        </w:rPr>
        <w:t xml:space="preserve">Rectocolite hémorragique </w:t>
      </w:r>
      <w:r w:rsidR="00DF5639" w:rsidRPr="0058432E">
        <w:rPr>
          <w:color w:val="000000" w:themeColor="text1"/>
          <w:u w:val="single"/>
        </w:rPr>
        <w:t>pédiatrique</w:t>
      </w:r>
    </w:p>
    <w:p w14:paraId="4D9FEF4F" w14:textId="77777777" w:rsidR="002A313A" w:rsidRPr="0058432E" w:rsidRDefault="002A313A" w:rsidP="002A313A">
      <w:pPr>
        <w:rPr>
          <w:color w:val="000000" w:themeColor="text1"/>
        </w:rPr>
      </w:pPr>
    </w:p>
    <w:p w14:paraId="0BAC985F" w14:textId="77777777" w:rsidR="002A313A" w:rsidRPr="0058432E" w:rsidRDefault="00FC1EF9" w:rsidP="002A313A">
      <w:pPr>
        <w:rPr>
          <w:color w:val="000000" w:themeColor="text1"/>
        </w:rPr>
      </w:pPr>
      <w:r w:rsidRPr="0058432E">
        <w:rPr>
          <w:color w:val="000000" w:themeColor="text1"/>
        </w:rPr>
        <w:t xml:space="preserve">Amsparity </w:t>
      </w:r>
      <w:r w:rsidR="002A313A" w:rsidRPr="0058432E">
        <w:rPr>
          <w:color w:val="000000" w:themeColor="text1"/>
        </w:rPr>
        <w:t xml:space="preserve">est indiqué dans le traitement de la rectocolite hémorragique active, modérée à sévère chez les </w:t>
      </w:r>
      <w:r w:rsidR="00DF5639" w:rsidRPr="0058432E">
        <w:rPr>
          <w:color w:val="000000" w:themeColor="text1"/>
        </w:rPr>
        <w:t>patients pédiatriques (à partir de 6 </w:t>
      </w:r>
      <w:r w:rsidR="002A313A" w:rsidRPr="0058432E">
        <w:rPr>
          <w:color w:val="000000" w:themeColor="text1"/>
        </w:rPr>
        <w:t>ans</w:t>
      </w:r>
      <w:r w:rsidR="00DF5639" w:rsidRPr="0058432E">
        <w:rPr>
          <w:color w:val="000000" w:themeColor="text1"/>
        </w:rPr>
        <w:t>)</w:t>
      </w:r>
      <w:r w:rsidR="002A313A" w:rsidRPr="0058432E">
        <w:rPr>
          <w:color w:val="000000" w:themeColor="text1"/>
        </w:rPr>
        <w:t xml:space="preserve"> ayant eu une réponse inadéquate au traitement conventionnel, comprenant les corticoïdes et/ou la 6</w:t>
      </w:r>
      <w:r w:rsidR="00DF5639" w:rsidRPr="0058432E">
        <w:rPr>
          <w:color w:val="000000" w:themeColor="text1"/>
        </w:rPr>
        <w:t>-</w:t>
      </w:r>
      <w:r w:rsidR="002A313A" w:rsidRPr="0058432E">
        <w:rPr>
          <w:color w:val="000000" w:themeColor="text1"/>
        </w:rPr>
        <w:t>mercaptopurine (6-MP) ou l’azathioprine (AZA), ou chez lesquels ces traitements sont mal tolérés ou contre-indiqués.</w:t>
      </w:r>
    </w:p>
    <w:p w14:paraId="775E32D9" w14:textId="77777777" w:rsidR="002A313A" w:rsidRPr="0058432E" w:rsidRDefault="002A313A" w:rsidP="00982118">
      <w:pPr>
        <w:rPr>
          <w:color w:val="000000" w:themeColor="text1"/>
        </w:rPr>
      </w:pPr>
    </w:p>
    <w:p w14:paraId="73D1B3D4" w14:textId="77777777" w:rsidR="00803A33" w:rsidRPr="0058432E" w:rsidRDefault="00C46587" w:rsidP="00ED34EF">
      <w:pPr>
        <w:keepNext/>
        <w:rPr>
          <w:color w:val="000000" w:themeColor="text1"/>
          <w:u w:val="single"/>
        </w:rPr>
      </w:pPr>
      <w:r w:rsidRPr="0058432E">
        <w:rPr>
          <w:color w:val="000000" w:themeColor="text1"/>
          <w:u w:val="single"/>
        </w:rPr>
        <w:t xml:space="preserve">Uvéite </w:t>
      </w:r>
      <w:r w:rsidR="000D2C73" w:rsidRPr="0058432E">
        <w:rPr>
          <w:color w:val="000000" w:themeColor="text1"/>
          <w:u w:val="single"/>
        </w:rPr>
        <w:t>pédiatrique</w:t>
      </w:r>
    </w:p>
    <w:p w14:paraId="4EECB5BD" w14:textId="77777777" w:rsidR="00803A33" w:rsidRPr="0058432E" w:rsidRDefault="00803A33" w:rsidP="00ED34EF">
      <w:pPr>
        <w:keepNext/>
        <w:rPr>
          <w:color w:val="000000" w:themeColor="text1"/>
        </w:rPr>
      </w:pPr>
    </w:p>
    <w:p w14:paraId="6A04F8E3" w14:textId="77777777" w:rsidR="00803A33" w:rsidRPr="0058432E" w:rsidRDefault="006A1144" w:rsidP="00982118">
      <w:pPr>
        <w:rPr>
          <w:color w:val="000000" w:themeColor="text1"/>
        </w:rPr>
      </w:pPr>
      <w:r w:rsidRPr="0058432E">
        <w:rPr>
          <w:color w:val="000000" w:themeColor="text1"/>
        </w:rPr>
        <w:t xml:space="preserve">Amsparity est indiqué dans le traitement de l’uvéite </w:t>
      </w:r>
      <w:r w:rsidR="000D2C73" w:rsidRPr="0058432E">
        <w:rPr>
          <w:color w:val="000000" w:themeColor="text1"/>
        </w:rPr>
        <w:t xml:space="preserve">pédiatrique </w:t>
      </w:r>
      <w:r w:rsidRPr="0058432E">
        <w:rPr>
          <w:color w:val="000000" w:themeColor="text1"/>
        </w:rPr>
        <w:t xml:space="preserve">antérieure chronique non infectieuse chez les </w:t>
      </w:r>
      <w:r w:rsidR="000D2C73" w:rsidRPr="0058432E">
        <w:rPr>
          <w:color w:val="000000" w:themeColor="text1"/>
        </w:rPr>
        <w:t>patients</w:t>
      </w:r>
      <w:r w:rsidRPr="0058432E">
        <w:rPr>
          <w:color w:val="000000" w:themeColor="text1"/>
        </w:rPr>
        <w:t xml:space="preserve"> à partir de 2 ans en cas de réponse insuffisante ou d’intolérance au traitement conventionnel ou pour lesquels un traitement conventionnel est inapproprié.</w:t>
      </w:r>
    </w:p>
    <w:p w14:paraId="5BCD0583" w14:textId="77777777" w:rsidR="00C46587" w:rsidRPr="0058432E" w:rsidRDefault="00C46587" w:rsidP="00982118">
      <w:pPr>
        <w:rPr>
          <w:color w:val="000000" w:themeColor="text1"/>
        </w:rPr>
      </w:pPr>
    </w:p>
    <w:p w14:paraId="635965C1" w14:textId="77777777" w:rsidR="00C46587" w:rsidRPr="0058432E" w:rsidRDefault="00C46587" w:rsidP="00982118">
      <w:pPr>
        <w:keepNext/>
        <w:tabs>
          <w:tab w:val="left" w:pos="562"/>
        </w:tabs>
        <w:rPr>
          <w:b/>
          <w:color w:val="000000" w:themeColor="text1"/>
        </w:rPr>
      </w:pPr>
      <w:r w:rsidRPr="0058432E">
        <w:rPr>
          <w:b/>
          <w:color w:val="000000" w:themeColor="text1"/>
        </w:rPr>
        <w:t>4.2</w:t>
      </w:r>
      <w:r w:rsidRPr="0058432E">
        <w:rPr>
          <w:b/>
          <w:color w:val="000000" w:themeColor="text1"/>
        </w:rPr>
        <w:tab/>
        <w:t>Posologie et mode d’administration</w:t>
      </w:r>
    </w:p>
    <w:p w14:paraId="77A17DEB" w14:textId="77777777" w:rsidR="00C46587" w:rsidRPr="0058432E" w:rsidRDefault="00C46587" w:rsidP="00982118">
      <w:pPr>
        <w:keepNext/>
        <w:rPr>
          <w:color w:val="000000" w:themeColor="text1"/>
        </w:rPr>
      </w:pPr>
    </w:p>
    <w:p w14:paraId="0968944A" w14:textId="77777777" w:rsidR="00C46587" w:rsidRPr="0058432E" w:rsidRDefault="006A1144" w:rsidP="00982118">
      <w:pPr>
        <w:rPr>
          <w:color w:val="000000" w:themeColor="text1"/>
        </w:rPr>
      </w:pPr>
      <w:r w:rsidRPr="0058432E">
        <w:rPr>
          <w:color w:val="000000" w:themeColor="text1"/>
        </w:rPr>
        <w:t xml:space="preserve">Le traitement par Amsparity doit être instauré et supervisé par un médecin spécialiste qualifié en matière de diagnostic et de traitement des pathologies dans lesquelles Amsparity est indiqué. Il est recommandé aux ophtalmologistes de consulter un spécialiste approprié avant d’instaurer un traitement par Amsparity (voir rubrique 4.4). Une carte </w:t>
      </w:r>
      <w:r w:rsidR="000D2C73" w:rsidRPr="0058432E">
        <w:rPr>
          <w:color w:val="000000" w:themeColor="text1"/>
        </w:rPr>
        <w:t>de rappel patient</w:t>
      </w:r>
      <w:r w:rsidRPr="0058432E">
        <w:rPr>
          <w:color w:val="000000" w:themeColor="text1"/>
        </w:rPr>
        <w:t xml:space="preserve"> sera remise aux patients traités par Amsparity.</w:t>
      </w:r>
    </w:p>
    <w:p w14:paraId="0C0D8E5D" w14:textId="77777777" w:rsidR="00C46587" w:rsidRPr="0058432E" w:rsidRDefault="00C46587" w:rsidP="00982118">
      <w:pPr>
        <w:rPr>
          <w:color w:val="000000" w:themeColor="text1"/>
        </w:rPr>
      </w:pPr>
    </w:p>
    <w:p w14:paraId="7F1B3117" w14:textId="77777777" w:rsidR="00C46587" w:rsidRPr="0058432E" w:rsidRDefault="001430BA" w:rsidP="00982118">
      <w:pPr>
        <w:rPr>
          <w:color w:val="000000" w:themeColor="text1"/>
        </w:rPr>
      </w:pPr>
      <w:r w:rsidRPr="0058432E">
        <w:rPr>
          <w:color w:val="000000" w:themeColor="text1"/>
        </w:rPr>
        <w:t xml:space="preserve">Après une formation </w:t>
      </w:r>
      <w:r w:rsidR="00404065" w:rsidRPr="0058432E">
        <w:rPr>
          <w:color w:val="000000" w:themeColor="text1"/>
        </w:rPr>
        <w:t xml:space="preserve">correcte à la </w:t>
      </w:r>
      <w:r w:rsidRPr="0058432E">
        <w:rPr>
          <w:color w:val="000000" w:themeColor="text1"/>
        </w:rPr>
        <w:t>technique d'injection ; l</w:t>
      </w:r>
      <w:r w:rsidR="00F25353" w:rsidRPr="0058432E">
        <w:rPr>
          <w:color w:val="000000" w:themeColor="text1"/>
        </w:rPr>
        <w:t xml:space="preserve">es patients peuvent s’auto-injecter Amsparity, si leur médecin l’estime possible, sous le couvert d’un suivi médical approprié. </w:t>
      </w:r>
    </w:p>
    <w:p w14:paraId="51373F1C" w14:textId="77777777" w:rsidR="00AD6931" w:rsidRPr="0058432E" w:rsidRDefault="00AD6931" w:rsidP="00982118">
      <w:pPr>
        <w:rPr>
          <w:color w:val="000000" w:themeColor="text1"/>
        </w:rPr>
      </w:pPr>
    </w:p>
    <w:p w14:paraId="4F7CE379" w14:textId="77777777" w:rsidR="00AD6931" w:rsidRPr="0058432E" w:rsidRDefault="00AD6931" w:rsidP="00982118">
      <w:pPr>
        <w:rPr>
          <w:color w:val="000000" w:themeColor="text1"/>
        </w:rPr>
      </w:pPr>
      <w:r w:rsidRPr="0058432E">
        <w:rPr>
          <w:color w:val="000000" w:themeColor="text1"/>
        </w:rPr>
        <w:t>Pendant le traitement par Amsparity, les autres traitements concomitants (tels que les corticoïdes et/ou immunomodulateurs) devront être optimisés.</w:t>
      </w:r>
    </w:p>
    <w:p w14:paraId="052F6BAF" w14:textId="77777777" w:rsidR="00C46587" w:rsidRPr="0058432E" w:rsidRDefault="00C46587" w:rsidP="00982118">
      <w:pPr>
        <w:rPr>
          <w:color w:val="000000" w:themeColor="text1"/>
        </w:rPr>
      </w:pPr>
    </w:p>
    <w:p w14:paraId="0742BA12" w14:textId="77777777" w:rsidR="00C46587" w:rsidRPr="0058432E" w:rsidRDefault="00C46587" w:rsidP="00982118">
      <w:pPr>
        <w:keepNext/>
        <w:rPr>
          <w:color w:val="000000" w:themeColor="text1"/>
          <w:u w:val="single"/>
        </w:rPr>
      </w:pPr>
      <w:r w:rsidRPr="0058432E">
        <w:rPr>
          <w:color w:val="000000" w:themeColor="text1"/>
          <w:u w:val="single"/>
        </w:rPr>
        <w:t>Posologie</w:t>
      </w:r>
    </w:p>
    <w:p w14:paraId="25E8FF6F" w14:textId="77777777" w:rsidR="00C46587" w:rsidRPr="0058432E" w:rsidRDefault="00C46587" w:rsidP="00982118">
      <w:pPr>
        <w:keepNext/>
        <w:rPr>
          <w:color w:val="000000" w:themeColor="text1"/>
        </w:rPr>
      </w:pPr>
    </w:p>
    <w:p w14:paraId="769C1652" w14:textId="77777777" w:rsidR="00C46587" w:rsidRPr="0058432E" w:rsidRDefault="00C46587" w:rsidP="00982118">
      <w:pPr>
        <w:keepNext/>
        <w:rPr>
          <w:color w:val="000000" w:themeColor="text1"/>
          <w:u w:val="single"/>
        </w:rPr>
      </w:pPr>
      <w:r w:rsidRPr="0058432E">
        <w:rPr>
          <w:color w:val="000000" w:themeColor="text1"/>
          <w:u w:val="single"/>
        </w:rPr>
        <w:t>Population pédiatrique</w:t>
      </w:r>
    </w:p>
    <w:p w14:paraId="5D112F30" w14:textId="77777777" w:rsidR="00C46587" w:rsidRPr="0058432E" w:rsidRDefault="00C46587" w:rsidP="00982118">
      <w:pPr>
        <w:keepNext/>
        <w:rPr>
          <w:color w:val="000000" w:themeColor="text1"/>
        </w:rPr>
      </w:pPr>
    </w:p>
    <w:p w14:paraId="774C37C0" w14:textId="77777777" w:rsidR="00C46587" w:rsidRPr="0058432E" w:rsidRDefault="00C46587" w:rsidP="00982118">
      <w:pPr>
        <w:keepNext/>
        <w:rPr>
          <w:i/>
          <w:color w:val="000000" w:themeColor="text1"/>
        </w:rPr>
      </w:pPr>
      <w:r w:rsidRPr="0058432E">
        <w:rPr>
          <w:i/>
          <w:color w:val="000000" w:themeColor="text1"/>
        </w:rPr>
        <w:t>Arthrite juvénile idiopathique</w:t>
      </w:r>
    </w:p>
    <w:p w14:paraId="4203AF7F" w14:textId="77777777" w:rsidR="00C46587" w:rsidRPr="0058432E" w:rsidRDefault="00C46587" w:rsidP="00982118">
      <w:pPr>
        <w:keepNext/>
        <w:rPr>
          <w:color w:val="000000" w:themeColor="text1"/>
        </w:rPr>
      </w:pPr>
    </w:p>
    <w:p w14:paraId="22706099" w14:textId="77777777" w:rsidR="00C46587" w:rsidRPr="0058432E" w:rsidRDefault="00C46587" w:rsidP="00982118">
      <w:pPr>
        <w:keepNext/>
        <w:rPr>
          <w:i/>
          <w:color w:val="000000" w:themeColor="text1"/>
          <w:u w:val="single"/>
        </w:rPr>
      </w:pPr>
      <w:r w:rsidRPr="0058432E">
        <w:rPr>
          <w:i/>
          <w:color w:val="000000" w:themeColor="text1"/>
          <w:u w:val="single"/>
        </w:rPr>
        <w:t>Arthrite juvénile idiopathique polyarticulaire à partir de 2 ans</w:t>
      </w:r>
    </w:p>
    <w:p w14:paraId="4C368FAB" w14:textId="77777777" w:rsidR="00C46587" w:rsidRPr="0058432E" w:rsidRDefault="00C46587" w:rsidP="00982118">
      <w:pPr>
        <w:keepNext/>
        <w:rPr>
          <w:color w:val="000000" w:themeColor="text1"/>
        </w:rPr>
      </w:pPr>
    </w:p>
    <w:p w14:paraId="643274E7"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d’arthrite juvénile idiopathique polyarticulaire à partir de l’âge de 2 ans dépend du poids corporel (tableau 1). Amsparity est administré toutes les deux semaines en injection sous-cutanée. </w:t>
      </w:r>
    </w:p>
    <w:p w14:paraId="7EBB9D54" w14:textId="77777777" w:rsidR="00C46587" w:rsidRPr="0058432E" w:rsidRDefault="00C46587" w:rsidP="00982118">
      <w:pPr>
        <w:rPr>
          <w:color w:val="000000" w:themeColor="text1"/>
        </w:rPr>
      </w:pPr>
    </w:p>
    <w:p w14:paraId="7E8F906E" w14:textId="77777777" w:rsidR="007E0DEB" w:rsidRPr="0058432E" w:rsidRDefault="00C46587" w:rsidP="006D1A33">
      <w:pPr>
        <w:keepNext/>
        <w:keepLines/>
        <w:rPr>
          <w:b/>
          <w:color w:val="000000" w:themeColor="text1"/>
        </w:rPr>
      </w:pPr>
      <w:r w:rsidRPr="0058432E">
        <w:rPr>
          <w:b/>
          <w:color w:val="000000" w:themeColor="text1"/>
        </w:rPr>
        <w:lastRenderedPageBreak/>
        <w:t>Tableau 1</w:t>
      </w:r>
      <w:r w:rsidR="002A7CDF" w:rsidRPr="0058432E">
        <w:rPr>
          <w:b/>
          <w:color w:val="000000" w:themeColor="text1"/>
        </w:rPr>
        <w:t>.</w:t>
      </w:r>
      <w:r w:rsidRPr="0058432E">
        <w:rPr>
          <w:b/>
          <w:color w:val="000000" w:themeColor="text1"/>
        </w:rPr>
        <w:t xml:space="preserve"> </w:t>
      </w:r>
    </w:p>
    <w:p w14:paraId="64A4C1F9" w14:textId="77777777" w:rsidR="00C46587" w:rsidRPr="0058432E" w:rsidRDefault="006A1144" w:rsidP="006D1A33">
      <w:pPr>
        <w:keepNext/>
        <w:keepLines/>
        <w:rPr>
          <w:b/>
          <w:color w:val="000000" w:themeColor="text1"/>
        </w:rPr>
      </w:pPr>
      <w:r w:rsidRPr="0058432E">
        <w:rPr>
          <w:b/>
          <w:color w:val="000000" w:themeColor="text1"/>
        </w:rPr>
        <w:t xml:space="preserve">Posologie d’Amsparity chez les patients atteints d’arthrite juvénile idiopathique polyarticulaire </w:t>
      </w:r>
    </w:p>
    <w:p w14:paraId="1FB24A98" w14:textId="77777777" w:rsidR="00AD6931" w:rsidRPr="0058432E" w:rsidRDefault="00AD6931" w:rsidP="006D1A33">
      <w:pPr>
        <w:keepNext/>
        <w:keepLines/>
        <w:jc w:val="center"/>
        <w:rPr>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40"/>
      </w:tblGrid>
      <w:tr w:rsidR="00AD6931" w:rsidRPr="0058432E" w14:paraId="211DC902" w14:textId="77777777" w:rsidTr="00A53E17">
        <w:tc>
          <w:tcPr>
            <w:tcW w:w="4651" w:type="dxa"/>
            <w:shd w:val="clear" w:color="auto" w:fill="auto"/>
          </w:tcPr>
          <w:p w14:paraId="15E47A98" w14:textId="77777777" w:rsidR="00AD6931" w:rsidRPr="0058432E" w:rsidRDefault="00AD6931" w:rsidP="006D1A33">
            <w:pPr>
              <w:keepNext/>
              <w:keepLines/>
              <w:jc w:val="center"/>
              <w:rPr>
                <w:b/>
                <w:color w:val="000000" w:themeColor="text1"/>
              </w:rPr>
            </w:pPr>
            <w:r w:rsidRPr="0058432E">
              <w:rPr>
                <w:b/>
                <w:color w:val="000000" w:themeColor="text1"/>
              </w:rPr>
              <w:t>Poids du patient</w:t>
            </w:r>
          </w:p>
        </w:tc>
        <w:tc>
          <w:tcPr>
            <w:tcW w:w="4652" w:type="dxa"/>
            <w:shd w:val="clear" w:color="auto" w:fill="auto"/>
          </w:tcPr>
          <w:p w14:paraId="793FD6BB" w14:textId="77777777" w:rsidR="00AD6931" w:rsidRPr="0058432E" w:rsidRDefault="00AD6931" w:rsidP="006D1A33">
            <w:pPr>
              <w:keepNext/>
              <w:keepLines/>
              <w:jc w:val="center"/>
              <w:rPr>
                <w:b/>
                <w:color w:val="000000" w:themeColor="text1"/>
              </w:rPr>
            </w:pPr>
            <w:r w:rsidRPr="0058432E">
              <w:rPr>
                <w:b/>
                <w:color w:val="000000" w:themeColor="text1"/>
              </w:rPr>
              <w:t>Schéma posologique</w:t>
            </w:r>
          </w:p>
        </w:tc>
      </w:tr>
      <w:tr w:rsidR="00AD6931" w:rsidRPr="0058432E" w14:paraId="6036C576" w14:textId="77777777" w:rsidTr="00A53E17">
        <w:tc>
          <w:tcPr>
            <w:tcW w:w="4651" w:type="dxa"/>
            <w:shd w:val="clear" w:color="auto" w:fill="auto"/>
          </w:tcPr>
          <w:p w14:paraId="0EB51BFC" w14:textId="77777777" w:rsidR="00AD6931" w:rsidRPr="0058432E" w:rsidRDefault="00AD6931" w:rsidP="006D1A33">
            <w:pPr>
              <w:keepNext/>
              <w:keepLines/>
              <w:jc w:val="center"/>
              <w:rPr>
                <w:color w:val="000000" w:themeColor="text1"/>
              </w:rPr>
            </w:pPr>
            <w:r w:rsidRPr="0058432E">
              <w:rPr>
                <w:color w:val="000000" w:themeColor="text1"/>
              </w:rPr>
              <w:t>10 kg à &lt; 30 kg</w:t>
            </w:r>
          </w:p>
        </w:tc>
        <w:tc>
          <w:tcPr>
            <w:tcW w:w="4652" w:type="dxa"/>
            <w:shd w:val="clear" w:color="auto" w:fill="auto"/>
          </w:tcPr>
          <w:p w14:paraId="54FF463F" w14:textId="77777777" w:rsidR="00AD6931" w:rsidRPr="0058432E" w:rsidRDefault="00AD6931" w:rsidP="006D1A33">
            <w:pPr>
              <w:keepNext/>
              <w:keepLines/>
              <w:jc w:val="center"/>
              <w:rPr>
                <w:color w:val="000000" w:themeColor="text1"/>
              </w:rPr>
            </w:pPr>
            <w:r w:rsidRPr="0058432E">
              <w:rPr>
                <w:color w:val="000000" w:themeColor="text1"/>
              </w:rPr>
              <w:t>20 mg toutes les deux semaines</w:t>
            </w:r>
          </w:p>
        </w:tc>
      </w:tr>
      <w:tr w:rsidR="00AD6931" w:rsidRPr="0058432E" w14:paraId="218B69B5" w14:textId="77777777" w:rsidTr="00A53E17">
        <w:tc>
          <w:tcPr>
            <w:tcW w:w="4651" w:type="dxa"/>
            <w:shd w:val="clear" w:color="auto" w:fill="auto"/>
          </w:tcPr>
          <w:p w14:paraId="30423342" w14:textId="77777777" w:rsidR="00AD6931" w:rsidRPr="0058432E" w:rsidRDefault="00096F1B" w:rsidP="00982118">
            <w:pPr>
              <w:jc w:val="center"/>
              <w:rPr>
                <w:color w:val="000000" w:themeColor="text1"/>
              </w:rPr>
            </w:pPr>
            <w:r w:rsidRPr="0058432E">
              <w:rPr>
                <w:color w:val="000000" w:themeColor="text1"/>
              </w:rPr>
              <w:t>≥ 30 kg</w:t>
            </w:r>
          </w:p>
        </w:tc>
        <w:tc>
          <w:tcPr>
            <w:tcW w:w="4652" w:type="dxa"/>
            <w:shd w:val="clear" w:color="auto" w:fill="auto"/>
          </w:tcPr>
          <w:p w14:paraId="76B53A53" w14:textId="77777777" w:rsidR="00AD6931" w:rsidRPr="0058432E" w:rsidRDefault="002F558F" w:rsidP="00982118">
            <w:pPr>
              <w:jc w:val="center"/>
              <w:rPr>
                <w:color w:val="000000" w:themeColor="text1"/>
              </w:rPr>
            </w:pPr>
            <w:r w:rsidRPr="0058432E">
              <w:rPr>
                <w:color w:val="000000" w:themeColor="text1"/>
              </w:rPr>
              <w:t>40 mg toutes les deux semaines</w:t>
            </w:r>
          </w:p>
        </w:tc>
      </w:tr>
    </w:tbl>
    <w:p w14:paraId="7C62F96D" w14:textId="77777777" w:rsidR="004D0A56" w:rsidRPr="0058432E" w:rsidRDefault="004D0A56" w:rsidP="00982118">
      <w:pPr>
        <w:rPr>
          <w:color w:val="000000" w:themeColor="text1"/>
        </w:rPr>
      </w:pPr>
    </w:p>
    <w:p w14:paraId="7C07BF08" w14:textId="77777777" w:rsidR="00C46587" w:rsidRPr="0058432E" w:rsidRDefault="00C46587" w:rsidP="00982118">
      <w:pPr>
        <w:rPr>
          <w:color w:val="000000" w:themeColor="text1"/>
        </w:rPr>
      </w:pPr>
      <w:r w:rsidRPr="0058432E">
        <w:rPr>
          <w:color w:val="000000" w:themeColor="text1"/>
        </w:rPr>
        <w:t xml:space="preserve">Les données disponibles laissent supposer que la réponse clinique est habituellement obtenue en 12 semaines de traitement. La poursuite du traitement devra être soigneusement reconsidérée chez un patient n’ayant pas répondu dans ces délais. </w:t>
      </w:r>
    </w:p>
    <w:p w14:paraId="5038A099" w14:textId="77777777" w:rsidR="00C46587" w:rsidRPr="0058432E" w:rsidRDefault="00C46587" w:rsidP="00982118">
      <w:pPr>
        <w:rPr>
          <w:color w:val="000000" w:themeColor="text1"/>
        </w:rPr>
      </w:pPr>
    </w:p>
    <w:p w14:paraId="2775EFD1" w14:textId="77777777" w:rsidR="001809D6" w:rsidRPr="0058432E" w:rsidRDefault="00C46587" w:rsidP="00982118">
      <w:pPr>
        <w:rPr>
          <w:color w:val="000000" w:themeColor="text1"/>
        </w:rPr>
      </w:pPr>
      <w:r w:rsidRPr="0058432E">
        <w:rPr>
          <w:color w:val="000000" w:themeColor="text1"/>
        </w:rPr>
        <w:t>Il n’y a pas d’utilisation justifiée de l’adalimumab chez les patients âgés de moins de 2 ans dans cette indication.</w:t>
      </w:r>
    </w:p>
    <w:p w14:paraId="727DDD6B" w14:textId="77777777" w:rsidR="001809D6" w:rsidRPr="0058432E" w:rsidRDefault="001809D6" w:rsidP="00982118">
      <w:pPr>
        <w:rPr>
          <w:color w:val="000000" w:themeColor="text1"/>
        </w:rPr>
      </w:pPr>
    </w:p>
    <w:p w14:paraId="61A4506C" w14:textId="77777777" w:rsidR="00C46587" w:rsidRPr="0058432E" w:rsidRDefault="006A1144" w:rsidP="00982118">
      <w:pPr>
        <w:rPr>
          <w:color w:val="000000" w:themeColor="text1"/>
        </w:rPr>
      </w:pPr>
      <w:r w:rsidRPr="0058432E">
        <w:rPr>
          <w:color w:val="000000" w:themeColor="text1"/>
        </w:rPr>
        <w:t xml:space="preserve">D’autres dosages et/ou présentations d’Amsparity peuvent être disponibles en fonction des besoins thérapeutiques de chaque patient. </w:t>
      </w:r>
    </w:p>
    <w:p w14:paraId="77AE377E" w14:textId="77777777" w:rsidR="00C46587" w:rsidRPr="0058432E" w:rsidRDefault="00C46587" w:rsidP="00982118">
      <w:pPr>
        <w:rPr>
          <w:color w:val="000000" w:themeColor="text1"/>
        </w:rPr>
      </w:pPr>
    </w:p>
    <w:p w14:paraId="7193CB11" w14:textId="77777777" w:rsidR="00C46587" w:rsidRPr="0058432E" w:rsidRDefault="00C46587" w:rsidP="00982118">
      <w:pPr>
        <w:keepNext/>
        <w:rPr>
          <w:i/>
          <w:color w:val="000000" w:themeColor="text1"/>
          <w:u w:val="single"/>
        </w:rPr>
      </w:pPr>
      <w:r w:rsidRPr="0058432E">
        <w:rPr>
          <w:i/>
          <w:color w:val="000000" w:themeColor="text1"/>
          <w:u w:val="single"/>
        </w:rPr>
        <w:t xml:space="preserve">Arthrite liée à l’enthésite </w:t>
      </w:r>
    </w:p>
    <w:p w14:paraId="4DE23367" w14:textId="77777777" w:rsidR="00C46587" w:rsidRPr="0058432E" w:rsidRDefault="00C46587" w:rsidP="00982118">
      <w:pPr>
        <w:keepNext/>
        <w:rPr>
          <w:color w:val="000000" w:themeColor="text1"/>
        </w:rPr>
      </w:pPr>
    </w:p>
    <w:p w14:paraId="79DAC35E"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d’arthrite liée à l’enthésite à partir de l’âge de 6 ans dépend du poids corporel (tableau 2). Amsparity est administré toutes les deux semaines en injection sous-cutanée. </w:t>
      </w:r>
    </w:p>
    <w:p w14:paraId="5885DBE4" w14:textId="77777777" w:rsidR="00004C2C" w:rsidRPr="0058432E" w:rsidRDefault="00004C2C" w:rsidP="00982118">
      <w:pPr>
        <w:rPr>
          <w:color w:val="000000" w:themeColor="text1"/>
        </w:rPr>
      </w:pPr>
    </w:p>
    <w:p w14:paraId="2251A5A7" w14:textId="77777777" w:rsidR="007E0DEB" w:rsidRPr="0058432E" w:rsidRDefault="00004C2C" w:rsidP="00A53E17">
      <w:pPr>
        <w:rPr>
          <w:b/>
          <w:color w:val="000000" w:themeColor="text1"/>
        </w:rPr>
      </w:pPr>
      <w:r w:rsidRPr="0058432E">
        <w:rPr>
          <w:b/>
          <w:color w:val="000000" w:themeColor="text1"/>
        </w:rPr>
        <w:t>Tableau 2</w:t>
      </w:r>
      <w:r w:rsidR="002A7CDF" w:rsidRPr="0058432E">
        <w:rPr>
          <w:b/>
          <w:color w:val="000000" w:themeColor="text1"/>
        </w:rPr>
        <w:t>.</w:t>
      </w:r>
      <w:r w:rsidRPr="0058432E">
        <w:rPr>
          <w:b/>
          <w:color w:val="000000" w:themeColor="text1"/>
        </w:rPr>
        <w:t xml:space="preserve"> </w:t>
      </w:r>
    </w:p>
    <w:p w14:paraId="314CB9C2" w14:textId="77777777" w:rsidR="00004C2C" w:rsidRPr="0058432E" w:rsidRDefault="006A1144" w:rsidP="00A53E17">
      <w:pPr>
        <w:rPr>
          <w:b/>
          <w:color w:val="000000" w:themeColor="text1"/>
        </w:rPr>
      </w:pPr>
      <w:r w:rsidRPr="0058432E">
        <w:rPr>
          <w:b/>
          <w:color w:val="000000" w:themeColor="text1"/>
        </w:rPr>
        <w:t>Posologie d’Amsparity chez les patients atteints d’arthrite liée à l’enthésite</w:t>
      </w:r>
    </w:p>
    <w:p w14:paraId="677F02E5" w14:textId="77777777" w:rsidR="00004C2C" w:rsidRPr="0058432E" w:rsidRDefault="00004C2C"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40"/>
      </w:tblGrid>
      <w:tr w:rsidR="00004C2C" w:rsidRPr="0058432E" w14:paraId="346BF7DC" w14:textId="77777777" w:rsidTr="00A53E17">
        <w:tc>
          <w:tcPr>
            <w:tcW w:w="4651" w:type="dxa"/>
            <w:shd w:val="clear" w:color="auto" w:fill="auto"/>
          </w:tcPr>
          <w:p w14:paraId="0E9EE69B" w14:textId="77777777" w:rsidR="00004C2C" w:rsidRPr="0058432E" w:rsidRDefault="00004C2C" w:rsidP="00982118">
            <w:pPr>
              <w:jc w:val="center"/>
              <w:rPr>
                <w:b/>
                <w:color w:val="000000" w:themeColor="text1"/>
              </w:rPr>
            </w:pPr>
            <w:r w:rsidRPr="0058432E">
              <w:rPr>
                <w:b/>
                <w:color w:val="000000" w:themeColor="text1"/>
              </w:rPr>
              <w:t>Poids du patient</w:t>
            </w:r>
          </w:p>
        </w:tc>
        <w:tc>
          <w:tcPr>
            <w:tcW w:w="4652" w:type="dxa"/>
            <w:shd w:val="clear" w:color="auto" w:fill="auto"/>
          </w:tcPr>
          <w:p w14:paraId="010192DE" w14:textId="77777777" w:rsidR="00004C2C" w:rsidRPr="0058432E" w:rsidRDefault="00004C2C" w:rsidP="00982118">
            <w:pPr>
              <w:jc w:val="center"/>
              <w:rPr>
                <w:b/>
                <w:color w:val="000000" w:themeColor="text1"/>
              </w:rPr>
            </w:pPr>
            <w:r w:rsidRPr="0058432E">
              <w:rPr>
                <w:b/>
                <w:color w:val="000000" w:themeColor="text1"/>
              </w:rPr>
              <w:t>Schéma posologique</w:t>
            </w:r>
          </w:p>
        </w:tc>
      </w:tr>
      <w:tr w:rsidR="00004C2C" w:rsidRPr="0058432E" w14:paraId="3C349698" w14:textId="77777777" w:rsidTr="00A53E17">
        <w:tc>
          <w:tcPr>
            <w:tcW w:w="4651" w:type="dxa"/>
            <w:shd w:val="clear" w:color="auto" w:fill="auto"/>
          </w:tcPr>
          <w:p w14:paraId="2D108904" w14:textId="77777777" w:rsidR="00004C2C" w:rsidRPr="0058432E" w:rsidRDefault="00004C2C" w:rsidP="00982118">
            <w:pPr>
              <w:jc w:val="center"/>
              <w:rPr>
                <w:color w:val="000000" w:themeColor="text1"/>
              </w:rPr>
            </w:pPr>
            <w:r w:rsidRPr="0058432E">
              <w:rPr>
                <w:color w:val="000000" w:themeColor="text1"/>
              </w:rPr>
              <w:t>15 kg à &lt; 30 kg</w:t>
            </w:r>
          </w:p>
        </w:tc>
        <w:tc>
          <w:tcPr>
            <w:tcW w:w="4652" w:type="dxa"/>
            <w:shd w:val="clear" w:color="auto" w:fill="auto"/>
          </w:tcPr>
          <w:p w14:paraId="6E65387A" w14:textId="77777777" w:rsidR="00004C2C" w:rsidRPr="0058432E" w:rsidRDefault="00004C2C" w:rsidP="00982118">
            <w:pPr>
              <w:jc w:val="center"/>
              <w:rPr>
                <w:color w:val="000000" w:themeColor="text1"/>
              </w:rPr>
            </w:pPr>
            <w:r w:rsidRPr="0058432E">
              <w:rPr>
                <w:color w:val="000000" w:themeColor="text1"/>
              </w:rPr>
              <w:t>20 mg toutes les deux semaines</w:t>
            </w:r>
          </w:p>
        </w:tc>
      </w:tr>
      <w:tr w:rsidR="00004C2C" w:rsidRPr="0058432E" w14:paraId="67792A2F" w14:textId="77777777" w:rsidTr="00A53E17">
        <w:tc>
          <w:tcPr>
            <w:tcW w:w="4651" w:type="dxa"/>
            <w:shd w:val="clear" w:color="auto" w:fill="auto"/>
          </w:tcPr>
          <w:p w14:paraId="48822799" w14:textId="77777777" w:rsidR="00004C2C" w:rsidRPr="0058432E" w:rsidRDefault="00004C2C" w:rsidP="00982118">
            <w:pPr>
              <w:jc w:val="center"/>
              <w:rPr>
                <w:color w:val="000000" w:themeColor="text1"/>
              </w:rPr>
            </w:pPr>
            <w:r w:rsidRPr="0058432E">
              <w:rPr>
                <w:color w:val="000000" w:themeColor="text1"/>
              </w:rPr>
              <w:t>≥ 30 kg</w:t>
            </w:r>
          </w:p>
        </w:tc>
        <w:tc>
          <w:tcPr>
            <w:tcW w:w="4652" w:type="dxa"/>
            <w:shd w:val="clear" w:color="auto" w:fill="auto"/>
          </w:tcPr>
          <w:p w14:paraId="44360561" w14:textId="77777777" w:rsidR="00004C2C" w:rsidRPr="0058432E" w:rsidRDefault="00004C2C" w:rsidP="00982118">
            <w:pPr>
              <w:jc w:val="center"/>
              <w:rPr>
                <w:color w:val="000000" w:themeColor="text1"/>
              </w:rPr>
            </w:pPr>
            <w:r w:rsidRPr="0058432E">
              <w:rPr>
                <w:color w:val="000000" w:themeColor="text1"/>
              </w:rPr>
              <w:t>40 mg toutes les deux semaines</w:t>
            </w:r>
          </w:p>
        </w:tc>
      </w:tr>
    </w:tbl>
    <w:p w14:paraId="2E544603" w14:textId="77777777" w:rsidR="00C46587" w:rsidRPr="0058432E" w:rsidRDefault="00C46587" w:rsidP="00982118">
      <w:pPr>
        <w:rPr>
          <w:color w:val="000000" w:themeColor="text1"/>
        </w:rPr>
      </w:pPr>
    </w:p>
    <w:p w14:paraId="720E9B02" w14:textId="77777777" w:rsidR="002807AF" w:rsidRPr="0058432E" w:rsidRDefault="005A4709" w:rsidP="00982118">
      <w:pPr>
        <w:rPr>
          <w:color w:val="000000" w:themeColor="text1"/>
        </w:rPr>
      </w:pPr>
      <w:r w:rsidRPr="0058432E">
        <w:rPr>
          <w:color w:val="000000" w:themeColor="text1"/>
        </w:rPr>
        <w:t>L’adalimumab n’a pas été étudié chez les patients de moins de 6 ans atteints d’arthrite liée à l’enthésite.</w:t>
      </w:r>
    </w:p>
    <w:p w14:paraId="355D853A" w14:textId="77777777" w:rsidR="002807AF" w:rsidRPr="0058432E" w:rsidRDefault="002807AF" w:rsidP="00982118">
      <w:pPr>
        <w:rPr>
          <w:color w:val="000000" w:themeColor="text1"/>
        </w:rPr>
      </w:pPr>
    </w:p>
    <w:p w14:paraId="5FCCD251" w14:textId="77777777" w:rsidR="00C46587" w:rsidRPr="0058432E" w:rsidRDefault="006A1144" w:rsidP="00982118">
      <w:pPr>
        <w:rPr>
          <w:color w:val="000000" w:themeColor="text1"/>
        </w:rPr>
      </w:pPr>
      <w:r w:rsidRPr="0058432E">
        <w:rPr>
          <w:color w:val="000000" w:themeColor="text1"/>
        </w:rPr>
        <w:t xml:space="preserve">D’autres dosages et/ou présentations d’Amsparity peuvent être disponibles en fonction des besoins thérapeutiques de chaque patient. </w:t>
      </w:r>
    </w:p>
    <w:p w14:paraId="4FAD5BDF" w14:textId="77777777" w:rsidR="00C46587" w:rsidRPr="0058432E" w:rsidRDefault="00C46587" w:rsidP="00982118">
      <w:pPr>
        <w:rPr>
          <w:color w:val="000000" w:themeColor="text1"/>
        </w:rPr>
      </w:pPr>
    </w:p>
    <w:p w14:paraId="48AA49CF" w14:textId="77777777" w:rsidR="00C46587" w:rsidRPr="0058432E" w:rsidRDefault="00C46587" w:rsidP="00982118">
      <w:pPr>
        <w:keepNext/>
        <w:rPr>
          <w:i/>
          <w:color w:val="000000" w:themeColor="text1"/>
        </w:rPr>
      </w:pPr>
      <w:r w:rsidRPr="0058432E">
        <w:rPr>
          <w:i/>
          <w:color w:val="000000" w:themeColor="text1"/>
        </w:rPr>
        <w:t xml:space="preserve">Psoriasis en plaques </w:t>
      </w:r>
      <w:r w:rsidR="001749A3" w:rsidRPr="0058432E">
        <w:rPr>
          <w:i/>
          <w:color w:val="000000" w:themeColor="text1"/>
        </w:rPr>
        <w:t>pédiatrique</w:t>
      </w:r>
    </w:p>
    <w:p w14:paraId="47DE7532" w14:textId="77777777" w:rsidR="00C46587" w:rsidRPr="0058432E" w:rsidRDefault="00C46587" w:rsidP="00982118">
      <w:pPr>
        <w:keepNext/>
        <w:rPr>
          <w:color w:val="000000" w:themeColor="text1"/>
        </w:rPr>
      </w:pPr>
    </w:p>
    <w:p w14:paraId="3C42E7B1"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de psoriasis en plaques âgés de 4 à 17 ans dépend du poids corporel (tableau 3). Amsparity est administré en injection sous-cutanée. </w:t>
      </w:r>
    </w:p>
    <w:p w14:paraId="6DBF33AF" w14:textId="77777777" w:rsidR="00E57231" w:rsidRPr="0058432E" w:rsidRDefault="00E57231" w:rsidP="00982118">
      <w:pPr>
        <w:rPr>
          <w:color w:val="000000" w:themeColor="text1"/>
        </w:rPr>
      </w:pPr>
    </w:p>
    <w:p w14:paraId="5B2EBE3A" w14:textId="77777777" w:rsidR="007E0DEB" w:rsidRPr="0058432E" w:rsidRDefault="00E57231" w:rsidP="00A53E17">
      <w:pPr>
        <w:rPr>
          <w:b/>
          <w:color w:val="000000" w:themeColor="text1"/>
        </w:rPr>
      </w:pPr>
      <w:r w:rsidRPr="0058432E">
        <w:rPr>
          <w:b/>
          <w:color w:val="000000" w:themeColor="text1"/>
        </w:rPr>
        <w:t>Tableau 3</w:t>
      </w:r>
      <w:r w:rsidR="00456A4F" w:rsidRPr="0058432E">
        <w:rPr>
          <w:b/>
          <w:color w:val="000000" w:themeColor="text1"/>
        </w:rPr>
        <w:t>.</w:t>
      </w:r>
      <w:r w:rsidRPr="0058432E">
        <w:rPr>
          <w:b/>
          <w:color w:val="000000" w:themeColor="text1"/>
        </w:rPr>
        <w:t xml:space="preserve"> </w:t>
      </w:r>
    </w:p>
    <w:p w14:paraId="2B44A870" w14:textId="77777777" w:rsidR="00E57231" w:rsidRPr="0058432E" w:rsidRDefault="006A1144" w:rsidP="00A53E17">
      <w:pPr>
        <w:rPr>
          <w:b/>
          <w:color w:val="000000" w:themeColor="text1"/>
        </w:rPr>
      </w:pPr>
      <w:r w:rsidRPr="0058432E">
        <w:rPr>
          <w:b/>
          <w:color w:val="000000" w:themeColor="text1"/>
        </w:rPr>
        <w:t>Posologie d’Amsparity chez les enfants et les adolescents atteints de psoriasis en plaques</w:t>
      </w:r>
    </w:p>
    <w:p w14:paraId="03FEA3B6" w14:textId="77777777" w:rsidR="00E57231" w:rsidRPr="0058432E" w:rsidRDefault="00E57231" w:rsidP="00982118">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546"/>
      </w:tblGrid>
      <w:tr w:rsidR="00E57231" w:rsidRPr="0058432E" w14:paraId="148485CA" w14:textId="77777777" w:rsidTr="00A53E17">
        <w:tc>
          <w:tcPr>
            <w:tcW w:w="4651" w:type="dxa"/>
            <w:shd w:val="clear" w:color="auto" w:fill="auto"/>
          </w:tcPr>
          <w:p w14:paraId="5ADB3A7B" w14:textId="77777777" w:rsidR="00E57231" w:rsidRPr="0058432E" w:rsidRDefault="00E57231" w:rsidP="00982118">
            <w:pPr>
              <w:jc w:val="center"/>
              <w:rPr>
                <w:b/>
                <w:color w:val="000000" w:themeColor="text1"/>
              </w:rPr>
            </w:pPr>
            <w:r w:rsidRPr="0058432E">
              <w:rPr>
                <w:b/>
                <w:color w:val="000000" w:themeColor="text1"/>
              </w:rPr>
              <w:t>Poids du patient</w:t>
            </w:r>
          </w:p>
        </w:tc>
        <w:tc>
          <w:tcPr>
            <w:tcW w:w="4652" w:type="dxa"/>
            <w:shd w:val="clear" w:color="auto" w:fill="auto"/>
          </w:tcPr>
          <w:p w14:paraId="275F77D2" w14:textId="77777777" w:rsidR="00E57231" w:rsidRPr="0058432E" w:rsidRDefault="00E57231" w:rsidP="00982118">
            <w:pPr>
              <w:jc w:val="center"/>
              <w:rPr>
                <w:b/>
                <w:color w:val="000000" w:themeColor="text1"/>
              </w:rPr>
            </w:pPr>
            <w:r w:rsidRPr="0058432E">
              <w:rPr>
                <w:b/>
                <w:color w:val="000000" w:themeColor="text1"/>
              </w:rPr>
              <w:t>Schéma posologique</w:t>
            </w:r>
          </w:p>
        </w:tc>
      </w:tr>
      <w:tr w:rsidR="00E57231" w:rsidRPr="0058432E" w14:paraId="6602115F" w14:textId="77777777" w:rsidTr="00A53E17">
        <w:tc>
          <w:tcPr>
            <w:tcW w:w="4651" w:type="dxa"/>
            <w:shd w:val="clear" w:color="auto" w:fill="auto"/>
          </w:tcPr>
          <w:p w14:paraId="3B0D4956" w14:textId="77777777" w:rsidR="00E57231" w:rsidRPr="0058432E" w:rsidRDefault="00E57231" w:rsidP="00982118">
            <w:pPr>
              <w:jc w:val="center"/>
              <w:rPr>
                <w:color w:val="000000" w:themeColor="text1"/>
              </w:rPr>
            </w:pPr>
            <w:r w:rsidRPr="0058432E">
              <w:rPr>
                <w:color w:val="000000" w:themeColor="text1"/>
              </w:rPr>
              <w:t>15 kg à &lt; 30 kg</w:t>
            </w:r>
          </w:p>
        </w:tc>
        <w:tc>
          <w:tcPr>
            <w:tcW w:w="4652" w:type="dxa"/>
            <w:shd w:val="clear" w:color="auto" w:fill="auto"/>
          </w:tcPr>
          <w:p w14:paraId="07C32F81" w14:textId="77777777" w:rsidR="00E57231" w:rsidRPr="0058432E" w:rsidRDefault="00E57231" w:rsidP="00B56A49">
            <w:pPr>
              <w:rPr>
                <w:color w:val="000000" w:themeColor="text1"/>
              </w:rPr>
            </w:pPr>
            <w:r w:rsidRPr="0058432E">
              <w:rPr>
                <w:color w:val="000000" w:themeColor="text1"/>
              </w:rPr>
              <w:t>Dose initiale de 20 mg puis 20 mg toutes les deux semaines en commençant une semaine après l’administration de la dose initiale.</w:t>
            </w:r>
          </w:p>
        </w:tc>
      </w:tr>
      <w:tr w:rsidR="007C5B83" w:rsidRPr="0058432E" w14:paraId="5FA31154" w14:textId="77777777" w:rsidTr="00A53E17">
        <w:tc>
          <w:tcPr>
            <w:tcW w:w="4651" w:type="dxa"/>
            <w:shd w:val="clear" w:color="auto" w:fill="auto"/>
          </w:tcPr>
          <w:p w14:paraId="78615B79" w14:textId="77777777" w:rsidR="007C5B83" w:rsidRPr="0058432E" w:rsidRDefault="007C5B83" w:rsidP="00982118">
            <w:pPr>
              <w:jc w:val="center"/>
              <w:rPr>
                <w:color w:val="000000" w:themeColor="text1"/>
              </w:rPr>
            </w:pPr>
            <w:r w:rsidRPr="0058432E">
              <w:rPr>
                <w:color w:val="000000" w:themeColor="text1"/>
              </w:rPr>
              <w:t>≥ 30 kg</w:t>
            </w:r>
          </w:p>
        </w:tc>
        <w:tc>
          <w:tcPr>
            <w:tcW w:w="4652" w:type="dxa"/>
            <w:shd w:val="clear" w:color="auto" w:fill="auto"/>
          </w:tcPr>
          <w:p w14:paraId="49FF3BB9" w14:textId="77777777" w:rsidR="007C5B83" w:rsidRPr="0058432E" w:rsidRDefault="007C5B83" w:rsidP="00B56A49">
            <w:pPr>
              <w:rPr>
                <w:color w:val="000000" w:themeColor="text1"/>
              </w:rPr>
            </w:pPr>
            <w:r w:rsidRPr="0058432E">
              <w:rPr>
                <w:color w:val="000000" w:themeColor="text1"/>
              </w:rPr>
              <w:t>Dose initiale de 40 mg puis 40 mg toutes les deux semaines en commençant une semaine après l’administration de la dose initiale.</w:t>
            </w:r>
          </w:p>
        </w:tc>
      </w:tr>
    </w:tbl>
    <w:p w14:paraId="0DDCBDA7" w14:textId="77777777" w:rsidR="00E57231" w:rsidRPr="0058432E" w:rsidRDefault="00E57231" w:rsidP="00982118">
      <w:pPr>
        <w:rPr>
          <w:color w:val="000000" w:themeColor="text1"/>
        </w:rPr>
      </w:pPr>
    </w:p>
    <w:p w14:paraId="686465FD" w14:textId="77777777" w:rsidR="00C46587" w:rsidRPr="0058432E" w:rsidRDefault="00C46587" w:rsidP="00982118">
      <w:pPr>
        <w:rPr>
          <w:color w:val="000000" w:themeColor="text1"/>
        </w:rPr>
      </w:pPr>
      <w:r w:rsidRPr="0058432E">
        <w:rPr>
          <w:color w:val="000000" w:themeColor="text1"/>
        </w:rPr>
        <w:t>La poursuite du traitement au-delà de 16 semaines doit être soigneusement reconsidérée chez un patient n’ayant pas répondu dans ces délais.</w:t>
      </w:r>
    </w:p>
    <w:p w14:paraId="6EA98F32" w14:textId="77777777" w:rsidR="00C46587" w:rsidRPr="0058432E" w:rsidRDefault="00C46587" w:rsidP="00982118">
      <w:pPr>
        <w:rPr>
          <w:color w:val="000000" w:themeColor="text1"/>
        </w:rPr>
      </w:pPr>
    </w:p>
    <w:p w14:paraId="79E76DC4" w14:textId="77777777" w:rsidR="00C46587" w:rsidRPr="0058432E" w:rsidRDefault="00C46587" w:rsidP="00982118">
      <w:pPr>
        <w:rPr>
          <w:color w:val="000000" w:themeColor="text1"/>
        </w:rPr>
      </w:pPr>
      <w:r w:rsidRPr="0058432E">
        <w:rPr>
          <w:color w:val="000000" w:themeColor="text1"/>
        </w:rPr>
        <w:t>Si un retraitement par Amsparity est indiqué, les recommandations ci-dessus pour la posologie et la durée de traitement doivent être suivies.</w:t>
      </w:r>
    </w:p>
    <w:p w14:paraId="3E6AFB1A" w14:textId="77777777" w:rsidR="00C46587" w:rsidRPr="0058432E" w:rsidRDefault="00C46587" w:rsidP="00982118">
      <w:pPr>
        <w:rPr>
          <w:color w:val="000000" w:themeColor="text1"/>
        </w:rPr>
      </w:pPr>
    </w:p>
    <w:p w14:paraId="292FFAE0" w14:textId="77777777" w:rsidR="00C46587" w:rsidRPr="0058432E" w:rsidRDefault="00C46587" w:rsidP="00982118">
      <w:pPr>
        <w:rPr>
          <w:color w:val="000000" w:themeColor="text1"/>
        </w:rPr>
      </w:pPr>
      <w:r w:rsidRPr="0058432E">
        <w:rPr>
          <w:color w:val="000000" w:themeColor="text1"/>
        </w:rPr>
        <w:t xml:space="preserve">La </w:t>
      </w:r>
      <w:r w:rsidR="002D3129" w:rsidRPr="0058432E">
        <w:rPr>
          <w:color w:val="000000" w:themeColor="text1"/>
        </w:rPr>
        <w:t>tolérance</w:t>
      </w:r>
      <w:r w:rsidRPr="0058432E">
        <w:rPr>
          <w:color w:val="000000" w:themeColor="text1"/>
        </w:rPr>
        <w:t xml:space="preserve"> de l’adalimumab chez l’enfant et l’adolescent présentant un psoriasis en plaques a été évaluée sur une durée moyenne de 13 mois.</w:t>
      </w:r>
    </w:p>
    <w:p w14:paraId="30B82277" w14:textId="77777777" w:rsidR="00C46587" w:rsidRPr="0058432E" w:rsidRDefault="00C46587" w:rsidP="00982118">
      <w:pPr>
        <w:rPr>
          <w:color w:val="000000" w:themeColor="text1"/>
        </w:rPr>
      </w:pPr>
    </w:p>
    <w:p w14:paraId="230F06D3" w14:textId="77777777" w:rsidR="00C46587" w:rsidRPr="0058432E" w:rsidRDefault="00C46587" w:rsidP="00982118">
      <w:pPr>
        <w:rPr>
          <w:color w:val="000000" w:themeColor="text1"/>
        </w:rPr>
      </w:pPr>
      <w:r w:rsidRPr="0058432E">
        <w:rPr>
          <w:color w:val="000000" w:themeColor="text1"/>
        </w:rPr>
        <w:t>Il n’y a pas d’utilisation justifiée de l’adalimumab chez les enfants âgés de moins de 4 ans dans cette indication.</w:t>
      </w:r>
    </w:p>
    <w:p w14:paraId="12858D18" w14:textId="77777777" w:rsidR="00F770EC" w:rsidRPr="0058432E" w:rsidRDefault="00F770EC" w:rsidP="00982118">
      <w:pPr>
        <w:rPr>
          <w:color w:val="000000" w:themeColor="text1"/>
        </w:rPr>
      </w:pPr>
    </w:p>
    <w:p w14:paraId="28828D4A" w14:textId="77777777" w:rsidR="00F770EC"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337312DF" w14:textId="77777777" w:rsidR="00C46587" w:rsidRPr="0058432E" w:rsidRDefault="00C46587" w:rsidP="00982118">
      <w:pPr>
        <w:rPr>
          <w:color w:val="000000" w:themeColor="text1"/>
        </w:rPr>
      </w:pPr>
    </w:p>
    <w:p w14:paraId="60A7B752" w14:textId="77777777" w:rsidR="00C46587" w:rsidRPr="0058432E" w:rsidRDefault="00C46587" w:rsidP="00982118">
      <w:pPr>
        <w:keepNext/>
        <w:rPr>
          <w:i/>
          <w:color w:val="000000" w:themeColor="text1"/>
        </w:rPr>
      </w:pPr>
      <w:r w:rsidRPr="0058432E">
        <w:rPr>
          <w:i/>
          <w:color w:val="000000" w:themeColor="text1"/>
        </w:rPr>
        <w:t>Hidrosadénite suppurée de l’adolescent (à partir de 12 ans, pesant au moins 30 kg)</w:t>
      </w:r>
    </w:p>
    <w:p w14:paraId="1D30BB7A" w14:textId="77777777" w:rsidR="00C46587" w:rsidRPr="0058432E" w:rsidRDefault="00C46587" w:rsidP="00982118">
      <w:pPr>
        <w:keepNext/>
        <w:rPr>
          <w:color w:val="000000" w:themeColor="text1"/>
        </w:rPr>
      </w:pPr>
    </w:p>
    <w:p w14:paraId="7195065E" w14:textId="77777777" w:rsidR="007C5B83" w:rsidRPr="0058432E" w:rsidRDefault="00C46587" w:rsidP="00982118">
      <w:pPr>
        <w:rPr>
          <w:color w:val="000000" w:themeColor="text1"/>
        </w:rPr>
      </w:pPr>
      <w:r w:rsidRPr="0058432E">
        <w:rPr>
          <w:color w:val="000000" w:themeColor="text1"/>
        </w:rPr>
        <w:t xml:space="preserve">Il n’existe pas d’essai clinique conduit avec l’adalimumab chez des adolescents atteints d’HS. </w:t>
      </w:r>
    </w:p>
    <w:p w14:paraId="7D223630" w14:textId="77777777" w:rsidR="007C5B83" w:rsidRPr="0058432E" w:rsidRDefault="007C5B83" w:rsidP="00982118">
      <w:pPr>
        <w:rPr>
          <w:color w:val="000000" w:themeColor="text1"/>
        </w:rPr>
      </w:pPr>
    </w:p>
    <w:p w14:paraId="2485BAF6" w14:textId="77777777" w:rsidR="00C46587" w:rsidRPr="0058432E" w:rsidRDefault="00C46587" w:rsidP="00982118">
      <w:pPr>
        <w:rPr>
          <w:color w:val="000000" w:themeColor="text1"/>
        </w:rPr>
      </w:pPr>
      <w:r w:rsidRPr="0058432E">
        <w:rPr>
          <w:color w:val="000000" w:themeColor="text1"/>
        </w:rPr>
        <w:t>La posologie de l’adalimumab chez ces patients a été déterminée à partir d’une modélisation pharmacocinétique et d’une simulation (voir rubrique 5.2).</w:t>
      </w:r>
    </w:p>
    <w:p w14:paraId="39623C05" w14:textId="77777777" w:rsidR="00C46587" w:rsidRPr="0058432E" w:rsidRDefault="00C46587" w:rsidP="00982118">
      <w:pPr>
        <w:rPr>
          <w:color w:val="000000" w:themeColor="text1"/>
        </w:rPr>
      </w:pPr>
    </w:p>
    <w:p w14:paraId="08A55EB1" w14:textId="77777777" w:rsidR="00C46587" w:rsidRPr="0058432E" w:rsidRDefault="00C46587" w:rsidP="00982118">
      <w:pPr>
        <w:rPr>
          <w:color w:val="000000" w:themeColor="text1"/>
        </w:rPr>
      </w:pPr>
      <w:r w:rsidRPr="0058432E">
        <w:rPr>
          <w:color w:val="000000" w:themeColor="text1"/>
        </w:rPr>
        <w:t>La posologie recommandée d’Amsparity est de 80 mg à la semaine 0 suivie de 40 mg toutes les deux semaines à partir de la semaine 1 en injection sous-cutanée.</w:t>
      </w:r>
    </w:p>
    <w:p w14:paraId="4B2E5BBB" w14:textId="77777777" w:rsidR="007C5B83" w:rsidRPr="0058432E" w:rsidRDefault="007C5B83" w:rsidP="00982118">
      <w:pPr>
        <w:rPr>
          <w:color w:val="000000" w:themeColor="text1"/>
        </w:rPr>
      </w:pPr>
    </w:p>
    <w:p w14:paraId="4C81EDF3" w14:textId="77777777" w:rsidR="00C46587" w:rsidRPr="0058432E" w:rsidRDefault="00C46587" w:rsidP="00982118">
      <w:pPr>
        <w:rPr>
          <w:color w:val="000000" w:themeColor="text1"/>
        </w:rPr>
      </w:pPr>
      <w:r w:rsidRPr="0058432E">
        <w:rPr>
          <w:color w:val="000000" w:themeColor="text1"/>
        </w:rPr>
        <w:t>Chez les adolescents avec une réponse insuffisante à Amsparity 40 mg toutes les deux semaines, une augmentation de la posologie à 40 mg toutes les semaines ou 80 mg toutes les deux semaines peut être envisagée.</w:t>
      </w:r>
    </w:p>
    <w:p w14:paraId="2F925507" w14:textId="77777777" w:rsidR="00C46587" w:rsidRPr="0058432E" w:rsidRDefault="00C46587" w:rsidP="00982118">
      <w:pPr>
        <w:rPr>
          <w:color w:val="000000" w:themeColor="text1"/>
        </w:rPr>
      </w:pPr>
    </w:p>
    <w:p w14:paraId="1BD4A78A" w14:textId="77777777" w:rsidR="00C46587" w:rsidRPr="0058432E" w:rsidRDefault="00C46587" w:rsidP="00982118">
      <w:pPr>
        <w:rPr>
          <w:color w:val="000000" w:themeColor="text1"/>
        </w:rPr>
      </w:pPr>
      <w:r w:rsidRPr="0058432E">
        <w:rPr>
          <w:color w:val="000000" w:themeColor="text1"/>
        </w:rPr>
        <w:t>Si nécessaire, les antibiotiques peuvent être poursuivis au cours du traitement par Amsparity. Au cours du traitement par Amsparity, il est recommandé au patient de nettoyer quotidiennement ses lésions</w:t>
      </w:r>
      <w:r w:rsidR="001749A3" w:rsidRPr="0058432E">
        <w:rPr>
          <w:color w:val="000000" w:themeColor="text1"/>
        </w:rPr>
        <w:t xml:space="preserve"> d’HS</w:t>
      </w:r>
      <w:r w:rsidRPr="0058432E">
        <w:rPr>
          <w:color w:val="000000" w:themeColor="text1"/>
        </w:rPr>
        <w:t xml:space="preserve"> avec un antiseptique topique.</w:t>
      </w:r>
    </w:p>
    <w:p w14:paraId="482C233D" w14:textId="77777777" w:rsidR="00C46587" w:rsidRPr="0058432E" w:rsidRDefault="00C46587" w:rsidP="00982118">
      <w:pPr>
        <w:rPr>
          <w:color w:val="000000" w:themeColor="text1"/>
        </w:rPr>
      </w:pPr>
    </w:p>
    <w:p w14:paraId="6050A749" w14:textId="77777777" w:rsidR="00C46587" w:rsidRPr="0058432E" w:rsidRDefault="00C46587" w:rsidP="00982118">
      <w:pPr>
        <w:rPr>
          <w:color w:val="000000" w:themeColor="text1"/>
        </w:rPr>
      </w:pPr>
      <w:r w:rsidRPr="0058432E">
        <w:rPr>
          <w:color w:val="000000" w:themeColor="text1"/>
        </w:rPr>
        <w:t>La poursuite du traitement au-delà de 12 semaines doit être soigneusement reconsidérée chez les patients ne présentant pas d’amélioration pendant cette période.</w:t>
      </w:r>
    </w:p>
    <w:p w14:paraId="112E8A57" w14:textId="77777777" w:rsidR="00C46587" w:rsidRPr="0058432E" w:rsidRDefault="00C46587" w:rsidP="00982118">
      <w:pPr>
        <w:rPr>
          <w:color w:val="000000" w:themeColor="text1"/>
        </w:rPr>
      </w:pPr>
    </w:p>
    <w:p w14:paraId="417DF7E2" w14:textId="77777777" w:rsidR="00C46587" w:rsidRPr="0058432E" w:rsidRDefault="00C46587" w:rsidP="00982118">
      <w:pPr>
        <w:rPr>
          <w:color w:val="000000" w:themeColor="text1"/>
        </w:rPr>
      </w:pPr>
      <w:r w:rsidRPr="0058432E">
        <w:rPr>
          <w:color w:val="000000" w:themeColor="text1"/>
        </w:rPr>
        <w:t>Si le traitement est interrompu, Amsparity pourrait être réintroduit si nécessaire.</w:t>
      </w:r>
    </w:p>
    <w:p w14:paraId="189B6F7F" w14:textId="77777777" w:rsidR="00C46587" w:rsidRPr="0058432E" w:rsidRDefault="00C46587" w:rsidP="00982118">
      <w:pPr>
        <w:rPr>
          <w:color w:val="000000" w:themeColor="text1"/>
        </w:rPr>
      </w:pPr>
    </w:p>
    <w:p w14:paraId="1E111F2D" w14:textId="77777777" w:rsidR="00C46587" w:rsidRPr="0058432E" w:rsidRDefault="00C46587" w:rsidP="00982118">
      <w:pPr>
        <w:rPr>
          <w:color w:val="000000" w:themeColor="text1"/>
        </w:rPr>
      </w:pPr>
      <w:r w:rsidRPr="0058432E">
        <w:rPr>
          <w:color w:val="000000" w:themeColor="text1"/>
        </w:rPr>
        <w:t>Le bénéfice et le risque d’un traitement continu à long terme doivent faire l’objet d’une évaluation régulière (voir les données chez les adultes à la rubrique 5.1).</w:t>
      </w:r>
    </w:p>
    <w:p w14:paraId="11E5B221" w14:textId="77777777" w:rsidR="00C46587" w:rsidRPr="0058432E" w:rsidRDefault="00C46587" w:rsidP="00982118">
      <w:pPr>
        <w:rPr>
          <w:color w:val="000000" w:themeColor="text1"/>
        </w:rPr>
      </w:pPr>
    </w:p>
    <w:p w14:paraId="33EF58FB"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enfants âgés de moins de 12 ans dans cette indication. </w:t>
      </w:r>
    </w:p>
    <w:p w14:paraId="0035697B" w14:textId="77777777" w:rsidR="003D4368" w:rsidRPr="0058432E" w:rsidRDefault="003D4368" w:rsidP="00982118">
      <w:pPr>
        <w:rPr>
          <w:color w:val="000000" w:themeColor="text1"/>
        </w:rPr>
      </w:pPr>
    </w:p>
    <w:p w14:paraId="1C1C546D" w14:textId="77777777" w:rsidR="003D4368"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05DF8AAE" w14:textId="77777777" w:rsidR="00C46587" w:rsidRPr="0058432E" w:rsidRDefault="00C46587" w:rsidP="00982118">
      <w:pPr>
        <w:rPr>
          <w:color w:val="000000" w:themeColor="text1"/>
        </w:rPr>
      </w:pPr>
    </w:p>
    <w:p w14:paraId="6BD7F619" w14:textId="77777777" w:rsidR="00C46587" w:rsidRPr="0058432E" w:rsidRDefault="00C46587" w:rsidP="00982118">
      <w:pPr>
        <w:keepNext/>
        <w:rPr>
          <w:i/>
          <w:color w:val="000000" w:themeColor="text1"/>
        </w:rPr>
      </w:pPr>
      <w:r w:rsidRPr="0058432E">
        <w:rPr>
          <w:i/>
          <w:color w:val="000000" w:themeColor="text1"/>
        </w:rPr>
        <w:t xml:space="preserve">Maladie de Crohn </w:t>
      </w:r>
      <w:r w:rsidR="001749A3" w:rsidRPr="0058432E">
        <w:rPr>
          <w:i/>
          <w:color w:val="000000" w:themeColor="text1"/>
        </w:rPr>
        <w:t>pédiatrique</w:t>
      </w:r>
    </w:p>
    <w:p w14:paraId="57090275" w14:textId="77777777" w:rsidR="00C46587" w:rsidRPr="0058432E" w:rsidRDefault="00C46587" w:rsidP="00982118">
      <w:pPr>
        <w:keepNext/>
        <w:rPr>
          <w:color w:val="000000" w:themeColor="text1"/>
        </w:rPr>
      </w:pPr>
    </w:p>
    <w:p w14:paraId="0FB03991" w14:textId="77777777" w:rsidR="007C5B83" w:rsidRPr="0058432E" w:rsidRDefault="00C46587" w:rsidP="00982118">
      <w:pPr>
        <w:rPr>
          <w:color w:val="000000" w:themeColor="text1"/>
        </w:rPr>
      </w:pPr>
      <w:r w:rsidRPr="0058432E">
        <w:rPr>
          <w:color w:val="000000" w:themeColor="text1"/>
        </w:rPr>
        <w:t xml:space="preserve">La posologie recommandée d’Amsparity pour les patients atteints de la maladie de Crohn âgés de 6 à 17 ans dépend du poids corporel (tableau 4). Amsparity est administré en injection sous-cutanée. </w:t>
      </w:r>
    </w:p>
    <w:p w14:paraId="769D3B33" w14:textId="77777777" w:rsidR="007C5B83" w:rsidRPr="0058432E" w:rsidRDefault="007C5B83" w:rsidP="00982118">
      <w:pPr>
        <w:rPr>
          <w:color w:val="000000" w:themeColor="text1"/>
        </w:rPr>
      </w:pPr>
    </w:p>
    <w:p w14:paraId="08F51754" w14:textId="77777777" w:rsidR="007E0DEB" w:rsidRPr="0058432E" w:rsidRDefault="007C5B83" w:rsidP="00A53E17">
      <w:pPr>
        <w:rPr>
          <w:b/>
          <w:color w:val="000000" w:themeColor="text1"/>
        </w:rPr>
      </w:pPr>
      <w:r w:rsidRPr="0058432E">
        <w:rPr>
          <w:b/>
          <w:color w:val="000000" w:themeColor="text1"/>
        </w:rPr>
        <w:t>Tableau 4</w:t>
      </w:r>
      <w:r w:rsidR="00456A4F" w:rsidRPr="0058432E">
        <w:rPr>
          <w:b/>
          <w:color w:val="000000" w:themeColor="text1"/>
        </w:rPr>
        <w:t>.</w:t>
      </w:r>
      <w:r w:rsidRPr="0058432E">
        <w:rPr>
          <w:b/>
          <w:color w:val="000000" w:themeColor="text1"/>
        </w:rPr>
        <w:t xml:space="preserve"> </w:t>
      </w:r>
    </w:p>
    <w:p w14:paraId="3D8CB879" w14:textId="77777777" w:rsidR="007C5B83" w:rsidRPr="0058432E" w:rsidRDefault="006A1144" w:rsidP="00A53E17">
      <w:pPr>
        <w:rPr>
          <w:color w:val="000000" w:themeColor="text1"/>
        </w:rPr>
      </w:pPr>
      <w:r w:rsidRPr="0058432E">
        <w:rPr>
          <w:b/>
          <w:color w:val="000000" w:themeColor="text1"/>
        </w:rPr>
        <w:t>Posologie d’Amsparity chez les enfants et les adolescents atteints de la maladie de Crohn</w:t>
      </w:r>
    </w:p>
    <w:p w14:paraId="5A8DD452" w14:textId="77777777" w:rsidR="007C5B83" w:rsidRPr="0058432E" w:rsidRDefault="007C5B83" w:rsidP="00982118">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5839"/>
        <w:gridCol w:w="1964"/>
      </w:tblGrid>
      <w:tr w:rsidR="007C5B83" w:rsidRPr="0058432E" w14:paraId="4C3B2FD4" w14:textId="77777777" w:rsidTr="00C70A31">
        <w:trPr>
          <w:tblHeader/>
        </w:trPr>
        <w:tc>
          <w:tcPr>
            <w:tcW w:w="1278" w:type="dxa"/>
            <w:shd w:val="clear" w:color="auto" w:fill="auto"/>
          </w:tcPr>
          <w:p w14:paraId="0E1729E1" w14:textId="77777777" w:rsidR="007C5B83" w:rsidRPr="0058432E" w:rsidRDefault="007C5B83" w:rsidP="00982118">
            <w:pPr>
              <w:jc w:val="center"/>
              <w:rPr>
                <w:b/>
                <w:color w:val="000000" w:themeColor="text1"/>
              </w:rPr>
            </w:pPr>
            <w:r w:rsidRPr="0058432E">
              <w:rPr>
                <w:b/>
                <w:color w:val="000000" w:themeColor="text1"/>
              </w:rPr>
              <w:t>Poids du patient</w:t>
            </w:r>
          </w:p>
        </w:tc>
        <w:tc>
          <w:tcPr>
            <w:tcW w:w="6030" w:type="dxa"/>
            <w:shd w:val="clear" w:color="auto" w:fill="auto"/>
          </w:tcPr>
          <w:p w14:paraId="29AE5948" w14:textId="77777777" w:rsidR="007C5B83" w:rsidRPr="0058432E" w:rsidRDefault="007C5B83" w:rsidP="00982118">
            <w:pPr>
              <w:jc w:val="center"/>
              <w:rPr>
                <w:b/>
                <w:color w:val="000000" w:themeColor="text1"/>
              </w:rPr>
            </w:pPr>
            <w:r w:rsidRPr="0058432E">
              <w:rPr>
                <w:b/>
                <w:color w:val="000000" w:themeColor="text1"/>
              </w:rPr>
              <w:t>Dose d’induction</w:t>
            </w:r>
          </w:p>
        </w:tc>
        <w:tc>
          <w:tcPr>
            <w:tcW w:w="1995" w:type="dxa"/>
            <w:shd w:val="clear" w:color="auto" w:fill="auto"/>
          </w:tcPr>
          <w:p w14:paraId="20A3F002" w14:textId="77777777" w:rsidR="007C5B83" w:rsidRPr="0058432E" w:rsidRDefault="007C5B83" w:rsidP="00982118">
            <w:pPr>
              <w:jc w:val="center"/>
              <w:rPr>
                <w:b/>
                <w:color w:val="000000" w:themeColor="text1"/>
              </w:rPr>
            </w:pPr>
            <w:r w:rsidRPr="0058432E">
              <w:rPr>
                <w:b/>
                <w:color w:val="000000" w:themeColor="text1"/>
              </w:rPr>
              <w:t>Dose d’entretien à partir de la semaine 4</w:t>
            </w:r>
          </w:p>
        </w:tc>
      </w:tr>
      <w:tr w:rsidR="007C5B83" w:rsidRPr="0058432E" w14:paraId="555CCD0E" w14:textId="77777777" w:rsidTr="00054A92">
        <w:tc>
          <w:tcPr>
            <w:tcW w:w="1278" w:type="dxa"/>
            <w:shd w:val="clear" w:color="auto" w:fill="auto"/>
          </w:tcPr>
          <w:p w14:paraId="15A6AD36" w14:textId="77777777" w:rsidR="007C5B83" w:rsidRPr="0058432E" w:rsidRDefault="007C5B83" w:rsidP="00982118">
            <w:pPr>
              <w:jc w:val="center"/>
              <w:rPr>
                <w:color w:val="000000" w:themeColor="text1"/>
              </w:rPr>
            </w:pPr>
            <w:r w:rsidRPr="0058432E">
              <w:rPr>
                <w:color w:val="000000" w:themeColor="text1"/>
              </w:rPr>
              <w:t>&lt; 40 kg</w:t>
            </w:r>
          </w:p>
        </w:tc>
        <w:tc>
          <w:tcPr>
            <w:tcW w:w="6030" w:type="dxa"/>
            <w:shd w:val="clear" w:color="auto" w:fill="auto"/>
          </w:tcPr>
          <w:p w14:paraId="364FB840" w14:textId="77777777" w:rsidR="007C5B83" w:rsidRPr="0058432E" w:rsidRDefault="00885CBA" w:rsidP="00982118">
            <w:pPr>
              <w:numPr>
                <w:ilvl w:val="0"/>
                <w:numId w:val="17"/>
              </w:numPr>
              <w:rPr>
                <w:color w:val="000000" w:themeColor="text1"/>
              </w:rPr>
            </w:pPr>
            <w:r w:rsidRPr="0058432E">
              <w:rPr>
                <w:color w:val="000000" w:themeColor="text1"/>
              </w:rPr>
              <w:t xml:space="preserve">40 mg </w:t>
            </w:r>
            <w:r w:rsidR="002D3129" w:rsidRPr="0058432E">
              <w:rPr>
                <w:color w:val="000000" w:themeColor="text1"/>
              </w:rPr>
              <w:t>à la</w:t>
            </w:r>
            <w:r w:rsidRPr="0058432E">
              <w:rPr>
                <w:color w:val="000000" w:themeColor="text1"/>
              </w:rPr>
              <w:t xml:space="preserve"> semaine 0 et 20 mg </w:t>
            </w:r>
            <w:r w:rsidR="002D3129" w:rsidRPr="0058432E">
              <w:rPr>
                <w:color w:val="000000" w:themeColor="text1"/>
              </w:rPr>
              <w:t>à la</w:t>
            </w:r>
            <w:r w:rsidRPr="0058432E">
              <w:rPr>
                <w:color w:val="000000" w:themeColor="text1"/>
              </w:rPr>
              <w:t xml:space="preserve"> semaine 2</w:t>
            </w:r>
          </w:p>
          <w:p w14:paraId="2B5C3B9B" w14:textId="77777777" w:rsidR="007C5B83" w:rsidRPr="0058432E" w:rsidRDefault="007C5B83" w:rsidP="00982118">
            <w:pPr>
              <w:rPr>
                <w:color w:val="000000" w:themeColor="text1"/>
              </w:rPr>
            </w:pPr>
          </w:p>
          <w:p w14:paraId="0C67604F" w14:textId="77777777" w:rsidR="00DB320E" w:rsidRPr="0058432E" w:rsidRDefault="002D3129" w:rsidP="00982118">
            <w:pPr>
              <w:rPr>
                <w:color w:val="000000" w:themeColor="text1"/>
              </w:rPr>
            </w:pPr>
            <w:r w:rsidRPr="0058432E">
              <w:rPr>
                <w:color w:val="000000" w:themeColor="text1"/>
              </w:rPr>
              <w:t xml:space="preserve">S’il est nécessaire d’obtenir </w:t>
            </w:r>
            <w:r w:rsidR="007C5B83" w:rsidRPr="0058432E">
              <w:rPr>
                <w:color w:val="000000" w:themeColor="text1"/>
              </w:rPr>
              <w:t xml:space="preserve">une réponse </w:t>
            </w:r>
            <w:r w:rsidRPr="0058432E">
              <w:rPr>
                <w:color w:val="000000" w:themeColor="text1"/>
              </w:rPr>
              <w:t xml:space="preserve">plus rapide </w:t>
            </w:r>
            <w:r w:rsidR="007C5B83" w:rsidRPr="0058432E">
              <w:rPr>
                <w:color w:val="000000" w:themeColor="text1"/>
              </w:rPr>
              <w:t xml:space="preserve">au traitement, </w:t>
            </w:r>
            <w:r w:rsidRPr="0058432E">
              <w:rPr>
                <w:color w:val="000000" w:themeColor="text1"/>
              </w:rPr>
              <w:t xml:space="preserve">et sachant </w:t>
            </w:r>
            <w:r w:rsidR="007C5B83" w:rsidRPr="0058432E">
              <w:rPr>
                <w:color w:val="000000" w:themeColor="text1"/>
              </w:rPr>
              <w:t>que le risque d’événements indésirables</w:t>
            </w:r>
            <w:r w:rsidRPr="0058432E">
              <w:rPr>
                <w:color w:val="000000" w:themeColor="text1"/>
              </w:rPr>
              <w:t xml:space="preserve"> </w:t>
            </w:r>
            <w:r w:rsidRPr="0058432E">
              <w:rPr>
                <w:color w:val="000000" w:themeColor="text1"/>
              </w:rPr>
              <w:lastRenderedPageBreak/>
              <w:t>peut être plus important avec</w:t>
            </w:r>
            <w:r w:rsidR="007C5B83" w:rsidRPr="0058432E">
              <w:rPr>
                <w:color w:val="000000" w:themeColor="text1"/>
              </w:rPr>
              <w:t xml:space="preserve"> une dose d’induction plus élevée, la posologie suivante peut être utilisée : </w:t>
            </w:r>
          </w:p>
          <w:p w14:paraId="74E6769C" w14:textId="77777777" w:rsidR="007C5B83" w:rsidRPr="0058432E" w:rsidRDefault="00885CBA" w:rsidP="00982118">
            <w:pPr>
              <w:numPr>
                <w:ilvl w:val="0"/>
                <w:numId w:val="17"/>
              </w:numPr>
              <w:rPr>
                <w:color w:val="000000" w:themeColor="text1"/>
              </w:rPr>
            </w:pPr>
            <w:r w:rsidRPr="0058432E">
              <w:rPr>
                <w:color w:val="000000" w:themeColor="text1"/>
              </w:rPr>
              <w:t xml:space="preserve">80 mg </w:t>
            </w:r>
            <w:r w:rsidR="002D3129" w:rsidRPr="0058432E">
              <w:rPr>
                <w:color w:val="000000" w:themeColor="text1"/>
              </w:rPr>
              <w:t>à la</w:t>
            </w:r>
            <w:r w:rsidRPr="0058432E">
              <w:rPr>
                <w:color w:val="000000" w:themeColor="text1"/>
              </w:rPr>
              <w:t xml:space="preserve"> semaine 0 et 40 mg </w:t>
            </w:r>
            <w:r w:rsidR="002D3129" w:rsidRPr="0058432E">
              <w:rPr>
                <w:color w:val="000000" w:themeColor="text1"/>
              </w:rPr>
              <w:t>à la</w:t>
            </w:r>
            <w:r w:rsidRPr="0058432E">
              <w:rPr>
                <w:color w:val="000000" w:themeColor="text1"/>
              </w:rPr>
              <w:t xml:space="preserve"> semaine 2</w:t>
            </w:r>
          </w:p>
        </w:tc>
        <w:tc>
          <w:tcPr>
            <w:tcW w:w="1995" w:type="dxa"/>
            <w:shd w:val="clear" w:color="auto" w:fill="auto"/>
          </w:tcPr>
          <w:p w14:paraId="48613C8D" w14:textId="77777777" w:rsidR="007C5B83" w:rsidRPr="0058432E" w:rsidRDefault="00DB320E" w:rsidP="00982118">
            <w:pPr>
              <w:jc w:val="center"/>
              <w:rPr>
                <w:color w:val="000000" w:themeColor="text1"/>
              </w:rPr>
            </w:pPr>
            <w:r w:rsidRPr="0058432E">
              <w:rPr>
                <w:color w:val="000000" w:themeColor="text1"/>
              </w:rPr>
              <w:lastRenderedPageBreak/>
              <w:t>20 mg toutes les deux semaines</w:t>
            </w:r>
          </w:p>
        </w:tc>
      </w:tr>
      <w:tr w:rsidR="00DB320E" w:rsidRPr="0058432E" w14:paraId="08E07B93" w14:textId="77777777" w:rsidTr="00054A92">
        <w:tc>
          <w:tcPr>
            <w:tcW w:w="1278" w:type="dxa"/>
            <w:shd w:val="clear" w:color="auto" w:fill="auto"/>
          </w:tcPr>
          <w:p w14:paraId="64337823" w14:textId="77777777" w:rsidR="00DB320E" w:rsidRPr="0058432E" w:rsidRDefault="00DB320E" w:rsidP="00982118">
            <w:pPr>
              <w:jc w:val="center"/>
              <w:rPr>
                <w:color w:val="000000" w:themeColor="text1"/>
              </w:rPr>
            </w:pPr>
            <w:r w:rsidRPr="0058432E">
              <w:rPr>
                <w:color w:val="000000" w:themeColor="text1"/>
              </w:rPr>
              <w:t>≥ 40 kg</w:t>
            </w:r>
          </w:p>
        </w:tc>
        <w:tc>
          <w:tcPr>
            <w:tcW w:w="6030" w:type="dxa"/>
            <w:shd w:val="clear" w:color="auto" w:fill="auto"/>
          </w:tcPr>
          <w:p w14:paraId="2594BFB1" w14:textId="77777777" w:rsidR="00DB320E" w:rsidRPr="0058432E" w:rsidRDefault="00885CBA" w:rsidP="00982118">
            <w:pPr>
              <w:numPr>
                <w:ilvl w:val="0"/>
                <w:numId w:val="17"/>
              </w:numPr>
              <w:rPr>
                <w:color w:val="000000" w:themeColor="text1"/>
              </w:rPr>
            </w:pPr>
            <w:r w:rsidRPr="0058432E">
              <w:rPr>
                <w:color w:val="000000" w:themeColor="text1"/>
              </w:rPr>
              <w:t xml:space="preserve">80 mg </w:t>
            </w:r>
            <w:r w:rsidR="00AB0BCA" w:rsidRPr="0058432E">
              <w:rPr>
                <w:color w:val="000000" w:themeColor="text1"/>
              </w:rPr>
              <w:t xml:space="preserve">à la </w:t>
            </w:r>
            <w:r w:rsidRPr="0058432E">
              <w:rPr>
                <w:color w:val="000000" w:themeColor="text1"/>
              </w:rPr>
              <w:t xml:space="preserve">semaine 0 et 40 mg </w:t>
            </w:r>
            <w:r w:rsidR="00AB0BCA" w:rsidRPr="0058432E">
              <w:rPr>
                <w:color w:val="000000" w:themeColor="text1"/>
              </w:rPr>
              <w:t xml:space="preserve">à la </w:t>
            </w:r>
            <w:r w:rsidRPr="0058432E">
              <w:rPr>
                <w:color w:val="000000" w:themeColor="text1"/>
              </w:rPr>
              <w:t>semaine 2</w:t>
            </w:r>
          </w:p>
          <w:p w14:paraId="568AAF22" w14:textId="77777777" w:rsidR="00DB320E" w:rsidRPr="0058432E" w:rsidRDefault="00DB320E" w:rsidP="00982118">
            <w:pPr>
              <w:rPr>
                <w:color w:val="000000" w:themeColor="text1"/>
              </w:rPr>
            </w:pPr>
          </w:p>
          <w:p w14:paraId="216D9048" w14:textId="77777777" w:rsidR="00DB320E" w:rsidRPr="0058432E" w:rsidRDefault="002D3129" w:rsidP="00982118">
            <w:pPr>
              <w:rPr>
                <w:color w:val="000000" w:themeColor="text1"/>
              </w:rPr>
            </w:pPr>
            <w:r w:rsidRPr="0058432E">
              <w:rPr>
                <w:color w:val="000000" w:themeColor="text1"/>
              </w:rPr>
              <w:t>S’il est nécessaire d’obtenir</w:t>
            </w:r>
            <w:r w:rsidR="00B50756" w:rsidRPr="0058432E">
              <w:rPr>
                <w:color w:val="000000" w:themeColor="text1"/>
              </w:rPr>
              <w:t xml:space="preserve"> </w:t>
            </w:r>
            <w:r w:rsidR="00DB320E" w:rsidRPr="0058432E">
              <w:rPr>
                <w:color w:val="000000" w:themeColor="text1"/>
              </w:rPr>
              <w:t xml:space="preserve">une réponse </w:t>
            </w:r>
            <w:r w:rsidRPr="0058432E">
              <w:rPr>
                <w:color w:val="000000" w:themeColor="text1"/>
              </w:rPr>
              <w:t xml:space="preserve">plus rapide </w:t>
            </w:r>
            <w:r w:rsidR="00DB320E" w:rsidRPr="0058432E">
              <w:rPr>
                <w:color w:val="000000" w:themeColor="text1"/>
              </w:rPr>
              <w:t xml:space="preserve">au traitement, </w:t>
            </w:r>
            <w:r w:rsidRPr="0058432E">
              <w:rPr>
                <w:color w:val="000000" w:themeColor="text1"/>
              </w:rPr>
              <w:t>et</w:t>
            </w:r>
            <w:r w:rsidR="00DB320E" w:rsidRPr="0058432E">
              <w:rPr>
                <w:color w:val="000000" w:themeColor="text1"/>
              </w:rPr>
              <w:t xml:space="preserve"> </w:t>
            </w:r>
            <w:r w:rsidR="00AB0BCA" w:rsidRPr="0058432E">
              <w:rPr>
                <w:color w:val="000000" w:themeColor="text1"/>
              </w:rPr>
              <w:t xml:space="preserve">sachant </w:t>
            </w:r>
            <w:r w:rsidR="00DB320E" w:rsidRPr="0058432E">
              <w:rPr>
                <w:color w:val="000000" w:themeColor="text1"/>
              </w:rPr>
              <w:t xml:space="preserve">que le risque d’événements indésirables </w:t>
            </w:r>
            <w:r w:rsidRPr="0058432E">
              <w:rPr>
                <w:color w:val="000000" w:themeColor="text1"/>
              </w:rPr>
              <w:t xml:space="preserve">peut être plus important avec </w:t>
            </w:r>
            <w:r w:rsidR="00DB320E" w:rsidRPr="0058432E">
              <w:rPr>
                <w:color w:val="000000" w:themeColor="text1"/>
              </w:rPr>
              <w:t xml:space="preserve">une dose d’induction plus élevée, la posologie suivante peut être utilisée : </w:t>
            </w:r>
          </w:p>
          <w:p w14:paraId="0344E756" w14:textId="77777777" w:rsidR="00DB320E" w:rsidRPr="0058432E" w:rsidRDefault="00885CBA" w:rsidP="00982118">
            <w:pPr>
              <w:numPr>
                <w:ilvl w:val="0"/>
                <w:numId w:val="17"/>
              </w:numPr>
              <w:rPr>
                <w:color w:val="000000" w:themeColor="text1"/>
              </w:rPr>
            </w:pPr>
            <w:r w:rsidRPr="0058432E">
              <w:rPr>
                <w:color w:val="000000" w:themeColor="text1"/>
              </w:rPr>
              <w:t xml:space="preserve">160 mg </w:t>
            </w:r>
            <w:r w:rsidR="002D3129" w:rsidRPr="0058432E">
              <w:rPr>
                <w:color w:val="000000" w:themeColor="text1"/>
              </w:rPr>
              <w:t>à la</w:t>
            </w:r>
            <w:r w:rsidRPr="0058432E">
              <w:rPr>
                <w:color w:val="000000" w:themeColor="text1"/>
              </w:rPr>
              <w:t xml:space="preserve"> semaine 0 et 80 mg </w:t>
            </w:r>
            <w:r w:rsidR="002D3129" w:rsidRPr="0058432E">
              <w:rPr>
                <w:color w:val="000000" w:themeColor="text1"/>
              </w:rPr>
              <w:t>à la</w:t>
            </w:r>
            <w:r w:rsidRPr="0058432E">
              <w:rPr>
                <w:color w:val="000000" w:themeColor="text1"/>
              </w:rPr>
              <w:t xml:space="preserve"> semaine 2</w:t>
            </w:r>
          </w:p>
        </w:tc>
        <w:tc>
          <w:tcPr>
            <w:tcW w:w="1995" w:type="dxa"/>
            <w:shd w:val="clear" w:color="auto" w:fill="auto"/>
          </w:tcPr>
          <w:p w14:paraId="056B852B" w14:textId="77777777" w:rsidR="00DB320E" w:rsidRPr="0058432E" w:rsidRDefault="00DB320E" w:rsidP="00982118">
            <w:pPr>
              <w:jc w:val="center"/>
              <w:rPr>
                <w:color w:val="000000" w:themeColor="text1"/>
              </w:rPr>
            </w:pPr>
            <w:r w:rsidRPr="0058432E">
              <w:rPr>
                <w:color w:val="000000" w:themeColor="text1"/>
              </w:rPr>
              <w:t>40 mg toutes les deux semaines</w:t>
            </w:r>
          </w:p>
        </w:tc>
      </w:tr>
    </w:tbl>
    <w:p w14:paraId="26F15C4F" w14:textId="77777777" w:rsidR="007C5B83" w:rsidRPr="0058432E" w:rsidRDefault="007C5B83" w:rsidP="00982118">
      <w:pPr>
        <w:rPr>
          <w:color w:val="000000" w:themeColor="text1"/>
        </w:rPr>
      </w:pPr>
    </w:p>
    <w:p w14:paraId="146F09D6" w14:textId="77777777" w:rsidR="00C46587" w:rsidRPr="0058432E" w:rsidRDefault="00DB320E" w:rsidP="007E0DEB">
      <w:pPr>
        <w:keepNext/>
        <w:rPr>
          <w:color w:val="000000" w:themeColor="text1"/>
        </w:rPr>
      </w:pPr>
      <w:r w:rsidRPr="0058432E">
        <w:rPr>
          <w:color w:val="000000" w:themeColor="text1"/>
        </w:rPr>
        <w:t>Les patients chez qui une réponse insuffisante au traitement est observée peuvent bénéficier d’une augmentation de la posologie :</w:t>
      </w:r>
    </w:p>
    <w:p w14:paraId="02D9201A" w14:textId="77777777" w:rsidR="00DB320E" w:rsidRPr="0058432E" w:rsidRDefault="00DB320E" w:rsidP="007E0DEB">
      <w:pPr>
        <w:numPr>
          <w:ilvl w:val="0"/>
          <w:numId w:val="17"/>
        </w:numPr>
        <w:ind w:left="562" w:hanging="562"/>
        <w:rPr>
          <w:color w:val="000000" w:themeColor="text1"/>
        </w:rPr>
      </w:pPr>
      <w:r w:rsidRPr="0058432E">
        <w:rPr>
          <w:color w:val="000000" w:themeColor="text1"/>
        </w:rPr>
        <w:t>&lt; 40 kg : 20 mg toutes les semaines</w:t>
      </w:r>
    </w:p>
    <w:p w14:paraId="5EB13240" w14:textId="77777777" w:rsidR="00DB320E" w:rsidRPr="0058432E" w:rsidRDefault="00DB320E" w:rsidP="007E0DEB">
      <w:pPr>
        <w:numPr>
          <w:ilvl w:val="0"/>
          <w:numId w:val="17"/>
        </w:numPr>
        <w:ind w:left="562" w:hanging="562"/>
        <w:rPr>
          <w:color w:val="000000" w:themeColor="text1"/>
        </w:rPr>
      </w:pPr>
      <w:r w:rsidRPr="0058432E">
        <w:rPr>
          <w:color w:val="000000" w:themeColor="text1"/>
        </w:rPr>
        <w:t>≥ 40 kg : 40 mg toutes les semaines ou 80 mg toutes les deux semaines</w:t>
      </w:r>
    </w:p>
    <w:p w14:paraId="4EE1B2EB" w14:textId="77777777" w:rsidR="00DB320E" w:rsidRPr="0058432E" w:rsidRDefault="00DB320E" w:rsidP="00982118">
      <w:pPr>
        <w:rPr>
          <w:color w:val="000000" w:themeColor="text1"/>
        </w:rPr>
      </w:pPr>
    </w:p>
    <w:p w14:paraId="4399C0E8" w14:textId="77777777" w:rsidR="00C46587" w:rsidRPr="0058432E" w:rsidRDefault="00C46587" w:rsidP="00982118">
      <w:pPr>
        <w:rPr>
          <w:color w:val="000000" w:themeColor="text1"/>
        </w:rPr>
      </w:pPr>
      <w:r w:rsidRPr="0058432E">
        <w:rPr>
          <w:color w:val="000000" w:themeColor="text1"/>
        </w:rPr>
        <w:t xml:space="preserve">La poursuite du traitement devra être soigneusement reconsidérée chez un patient n’ayant pas répondu à la semaine 12. </w:t>
      </w:r>
    </w:p>
    <w:p w14:paraId="7C8A4E75" w14:textId="77777777" w:rsidR="00C46587" w:rsidRPr="0058432E" w:rsidRDefault="00C46587" w:rsidP="00982118">
      <w:pPr>
        <w:rPr>
          <w:color w:val="000000" w:themeColor="text1"/>
        </w:rPr>
      </w:pPr>
    </w:p>
    <w:p w14:paraId="60F0D7F6"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enfants âgés de moins de 6 ans dans cette indication. </w:t>
      </w:r>
    </w:p>
    <w:p w14:paraId="1299E325" w14:textId="77777777" w:rsidR="00A30CDD" w:rsidRPr="0058432E" w:rsidRDefault="00A30CDD" w:rsidP="00982118">
      <w:pPr>
        <w:rPr>
          <w:color w:val="000000" w:themeColor="text1"/>
        </w:rPr>
      </w:pPr>
    </w:p>
    <w:p w14:paraId="34ABAFB3" w14:textId="77777777" w:rsidR="00A30CDD"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398034C7" w14:textId="77777777" w:rsidR="00C46587" w:rsidRPr="0058432E" w:rsidRDefault="00C46587" w:rsidP="00982118">
      <w:pPr>
        <w:rPr>
          <w:color w:val="000000" w:themeColor="text1"/>
        </w:rPr>
      </w:pPr>
    </w:p>
    <w:p w14:paraId="06758C77" w14:textId="77777777" w:rsidR="002A313A" w:rsidRPr="0058432E" w:rsidRDefault="002A313A" w:rsidP="002A313A">
      <w:pPr>
        <w:autoSpaceDE w:val="0"/>
        <w:autoSpaceDN w:val="0"/>
        <w:adjustRightInd w:val="0"/>
        <w:rPr>
          <w:i/>
          <w:iCs/>
          <w:color w:val="000000" w:themeColor="text1"/>
        </w:rPr>
      </w:pPr>
      <w:r w:rsidRPr="0058432E">
        <w:rPr>
          <w:i/>
          <w:iCs/>
          <w:color w:val="000000" w:themeColor="text1"/>
        </w:rPr>
        <w:t>Rectocolite hémorragique pédiatrique</w:t>
      </w:r>
    </w:p>
    <w:p w14:paraId="669A605C" w14:textId="77777777" w:rsidR="002A313A" w:rsidRPr="0058432E" w:rsidRDefault="002A313A" w:rsidP="002A313A">
      <w:pPr>
        <w:autoSpaceDE w:val="0"/>
        <w:autoSpaceDN w:val="0"/>
        <w:adjustRightInd w:val="0"/>
        <w:rPr>
          <w:i/>
          <w:iCs/>
          <w:color w:val="000000" w:themeColor="text1"/>
        </w:rPr>
      </w:pPr>
    </w:p>
    <w:p w14:paraId="4B6F8CED" w14:textId="77777777" w:rsidR="002A313A" w:rsidRPr="0058432E" w:rsidRDefault="002A313A" w:rsidP="002A313A">
      <w:pPr>
        <w:autoSpaceDE w:val="0"/>
        <w:autoSpaceDN w:val="0"/>
        <w:adjustRightInd w:val="0"/>
        <w:rPr>
          <w:color w:val="000000" w:themeColor="text1"/>
        </w:rPr>
      </w:pPr>
      <w:r w:rsidRPr="0058432E">
        <w:rPr>
          <w:color w:val="000000" w:themeColor="text1"/>
        </w:rPr>
        <w:t xml:space="preserve">La posologie recommandée </w:t>
      </w:r>
      <w:r w:rsidR="00103490" w:rsidRPr="0058432E">
        <w:rPr>
          <w:color w:val="000000" w:themeColor="text1"/>
        </w:rPr>
        <w:t xml:space="preserve">d’Amsparity </w:t>
      </w:r>
      <w:r w:rsidRPr="0058432E">
        <w:rPr>
          <w:color w:val="000000" w:themeColor="text1"/>
        </w:rPr>
        <w:t>pour les patients âgés de 6 à 17</w:t>
      </w:r>
      <w:r w:rsidR="00103490" w:rsidRPr="0058432E">
        <w:rPr>
          <w:color w:val="000000" w:themeColor="text1"/>
        </w:rPr>
        <w:t> </w:t>
      </w:r>
      <w:r w:rsidRPr="0058432E">
        <w:rPr>
          <w:color w:val="000000" w:themeColor="text1"/>
        </w:rPr>
        <w:t>ans et atteints de rectocolite hémorragique dé</w:t>
      </w:r>
      <w:r w:rsidR="00103490" w:rsidRPr="0058432E">
        <w:rPr>
          <w:color w:val="000000" w:themeColor="text1"/>
        </w:rPr>
        <w:t>pend du poids corporel (tableau </w:t>
      </w:r>
      <w:r w:rsidRPr="0058432E">
        <w:rPr>
          <w:color w:val="000000" w:themeColor="text1"/>
        </w:rPr>
        <w:t xml:space="preserve">5). </w:t>
      </w:r>
      <w:r w:rsidR="00103490" w:rsidRPr="0058432E">
        <w:rPr>
          <w:color w:val="000000" w:themeColor="text1"/>
        </w:rPr>
        <w:t xml:space="preserve">Amsparity </w:t>
      </w:r>
      <w:r w:rsidRPr="0058432E">
        <w:rPr>
          <w:color w:val="000000" w:themeColor="text1"/>
        </w:rPr>
        <w:t>est administré par injection sous-cutanée.</w:t>
      </w:r>
    </w:p>
    <w:p w14:paraId="117E4255" w14:textId="77777777" w:rsidR="002A313A" w:rsidRPr="0058432E" w:rsidRDefault="002A313A" w:rsidP="002A313A">
      <w:pPr>
        <w:keepNext/>
        <w:rPr>
          <w:rFonts w:ascii="TimesNewRomanPSMT" w:hAnsi="TimesNewRomanPSMT" w:cs="TimesNewRomanPSMT"/>
          <w:color w:val="000000" w:themeColor="text1"/>
          <w:sz w:val="21"/>
          <w:szCs w:val="21"/>
        </w:rPr>
      </w:pPr>
    </w:p>
    <w:p w14:paraId="33C36F60" w14:textId="77777777" w:rsidR="00B766F9" w:rsidRPr="0058432E" w:rsidRDefault="002A313A" w:rsidP="002A313A">
      <w:pPr>
        <w:keepNext/>
        <w:rPr>
          <w:b/>
          <w:color w:val="000000" w:themeColor="text1"/>
        </w:rPr>
      </w:pPr>
      <w:r w:rsidRPr="0058432E">
        <w:rPr>
          <w:b/>
          <w:color w:val="000000" w:themeColor="text1"/>
        </w:rPr>
        <w:t>Tableau 5.</w:t>
      </w:r>
    </w:p>
    <w:p w14:paraId="6B948E10" w14:textId="77777777" w:rsidR="002A313A" w:rsidRPr="0058432E" w:rsidRDefault="002A313A" w:rsidP="002A313A">
      <w:pPr>
        <w:keepNext/>
        <w:rPr>
          <w:b/>
          <w:color w:val="000000" w:themeColor="text1"/>
        </w:rPr>
      </w:pPr>
      <w:r w:rsidRPr="0058432E">
        <w:rPr>
          <w:b/>
          <w:color w:val="000000" w:themeColor="text1"/>
        </w:rPr>
        <w:t xml:space="preserve">Posologie </w:t>
      </w:r>
      <w:r w:rsidR="009D7DF1" w:rsidRPr="0058432E">
        <w:rPr>
          <w:b/>
          <w:color w:val="000000" w:themeColor="text1"/>
        </w:rPr>
        <w:t xml:space="preserve">d’Amsparity </w:t>
      </w:r>
      <w:r w:rsidRPr="0058432E">
        <w:rPr>
          <w:b/>
          <w:color w:val="000000" w:themeColor="text1"/>
        </w:rPr>
        <w:t xml:space="preserve">chez les </w:t>
      </w:r>
      <w:r w:rsidR="009D7DF1" w:rsidRPr="0058432E">
        <w:rPr>
          <w:b/>
          <w:color w:val="000000" w:themeColor="text1"/>
        </w:rPr>
        <w:t>patients pédiatriques</w:t>
      </w:r>
      <w:r w:rsidRPr="0058432E">
        <w:rPr>
          <w:b/>
          <w:color w:val="000000" w:themeColor="text1"/>
        </w:rPr>
        <w:t xml:space="preserve"> atteints de rectocolite hémorragique</w:t>
      </w:r>
    </w:p>
    <w:p w14:paraId="3D1AF3FF" w14:textId="77777777" w:rsidR="002A313A" w:rsidRPr="0058432E" w:rsidRDefault="002A313A" w:rsidP="002A313A">
      <w:pPr>
        <w:keepNext/>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4118"/>
        <w:gridCol w:w="2911"/>
      </w:tblGrid>
      <w:tr w:rsidR="002A313A" w:rsidRPr="0058432E" w14:paraId="7C07A57A" w14:textId="77777777" w:rsidTr="008F4E17">
        <w:tc>
          <w:tcPr>
            <w:tcW w:w="2088" w:type="dxa"/>
            <w:shd w:val="clear" w:color="auto" w:fill="auto"/>
          </w:tcPr>
          <w:p w14:paraId="4E0F64F6" w14:textId="77777777" w:rsidR="002A313A" w:rsidRPr="0058432E" w:rsidRDefault="002C597C" w:rsidP="008F4E17">
            <w:pPr>
              <w:keepNext/>
              <w:jc w:val="center"/>
              <w:rPr>
                <w:color w:val="000000" w:themeColor="text1"/>
              </w:rPr>
            </w:pPr>
            <w:r w:rsidRPr="0058432E">
              <w:rPr>
                <w:b/>
                <w:color w:val="000000" w:themeColor="text1"/>
              </w:rPr>
              <w:t>Poids du patient</w:t>
            </w:r>
          </w:p>
        </w:tc>
        <w:tc>
          <w:tcPr>
            <w:tcW w:w="4230" w:type="dxa"/>
            <w:shd w:val="clear" w:color="auto" w:fill="auto"/>
          </w:tcPr>
          <w:p w14:paraId="3FA11DB7" w14:textId="77777777" w:rsidR="002A313A" w:rsidRPr="0058432E" w:rsidRDefault="002C597C" w:rsidP="008F4E17">
            <w:pPr>
              <w:keepNext/>
              <w:jc w:val="center"/>
              <w:rPr>
                <w:color w:val="000000" w:themeColor="text1"/>
              </w:rPr>
            </w:pPr>
            <w:r w:rsidRPr="0058432E">
              <w:rPr>
                <w:b/>
                <w:color w:val="000000" w:themeColor="text1"/>
              </w:rPr>
              <w:t>D</w:t>
            </w:r>
            <w:r w:rsidR="002A313A" w:rsidRPr="0058432E">
              <w:rPr>
                <w:b/>
                <w:color w:val="000000" w:themeColor="text1"/>
              </w:rPr>
              <w:t>ose</w:t>
            </w:r>
            <w:r w:rsidRPr="0058432E">
              <w:rPr>
                <w:b/>
                <w:color w:val="000000" w:themeColor="text1"/>
              </w:rPr>
              <w:t xml:space="preserve"> d’induction</w:t>
            </w:r>
          </w:p>
        </w:tc>
        <w:tc>
          <w:tcPr>
            <w:tcW w:w="2985" w:type="dxa"/>
          </w:tcPr>
          <w:p w14:paraId="22FDC1FC" w14:textId="77777777" w:rsidR="002A313A" w:rsidRPr="0058432E" w:rsidRDefault="002C597C" w:rsidP="002C597C">
            <w:pPr>
              <w:keepNext/>
              <w:jc w:val="center"/>
              <w:rPr>
                <w:b/>
                <w:color w:val="000000" w:themeColor="text1"/>
              </w:rPr>
            </w:pPr>
            <w:r w:rsidRPr="0058432E">
              <w:rPr>
                <w:b/>
                <w:color w:val="000000" w:themeColor="text1"/>
              </w:rPr>
              <w:t>Dose d’entretien à partir de la semaine</w:t>
            </w:r>
            <w:r w:rsidR="002A313A" w:rsidRPr="0058432E">
              <w:rPr>
                <w:color w:val="000000" w:themeColor="text1"/>
              </w:rPr>
              <w:t> </w:t>
            </w:r>
            <w:r w:rsidR="002A313A" w:rsidRPr="0058432E">
              <w:rPr>
                <w:b/>
                <w:color w:val="000000" w:themeColor="text1"/>
              </w:rPr>
              <w:t>4*</w:t>
            </w:r>
          </w:p>
        </w:tc>
      </w:tr>
      <w:tr w:rsidR="002A313A" w:rsidRPr="0058432E" w14:paraId="4B879C0A" w14:textId="77777777" w:rsidTr="008F4E17">
        <w:tc>
          <w:tcPr>
            <w:tcW w:w="2088" w:type="dxa"/>
            <w:shd w:val="clear" w:color="auto" w:fill="auto"/>
          </w:tcPr>
          <w:p w14:paraId="4C643DB8" w14:textId="77777777" w:rsidR="002A313A" w:rsidRPr="0058432E" w:rsidRDefault="002A313A" w:rsidP="008F4E17">
            <w:pPr>
              <w:jc w:val="center"/>
              <w:rPr>
                <w:color w:val="000000" w:themeColor="text1"/>
              </w:rPr>
            </w:pPr>
            <w:r w:rsidRPr="0058432E">
              <w:rPr>
                <w:color w:val="000000" w:themeColor="text1"/>
              </w:rPr>
              <w:t>&lt; 40 kg</w:t>
            </w:r>
          </w:p>
        </w:tc>
        <w:tc>
          <w:tcPr>
            <w:tcW w:w="4230" w:type="dxa"/>
            <w:shd w:val="clear" w:color="auto" w:fill="auto"/>
          </w:tcPr>
          <w:p w14:paraId="3CA0942F" w14:textId="77777777" w:rsidR="002A313A" w:rsidRPr="0058432E" w:rsidRDefault="002A313A" w:rsidP="002A313A">
            <w:pPr>
              <w:numPr>
                <w:ilvl w:val="0"/>
                <w:numId w:val="64"/>
              </w:numPr>
              <w:autoSpaceDE w:val="0"/>
              <w:autoSpaceDN w:val="0"/>
              <w:adjustRightInd w:val="0"/>
              <w:ind w:left="360"/>
              <w:rPr>
                <w:color w:val="000000" w:themeColor="text1"/>
              </w:rPr>
            </w:pPr>
            <w:r w:rsidRPr="0058432E">
              <w:rPr>
                <w:color w:val="000000" w:themeColor="text1"/>
              </w:rPr>
              <w:t xml:space="preserve">80 mg </w:t>
            </w:r>
            <w:r w:rsidR="002C597C" w:rsidRPr="0058432E">
              <w:rPr>
                <w:color w:val="000000" w:themeColor="text1"/>
              </w:rPr>
              <w:t>à la semaine</w:t>
            </w:r>
            <w:r w:rsidRPr="0058432E">
              <w:rPr>
                <w:color w:val="000000" w:themeColor="text1"/>
              </w:rPr>
              <w:t> 0 (</w:t>
            </w:r>
            <w:r w:rsidR="002C597C" w:rsidRPr="0058432E">
              <w:rPr>
                <w:color w:val="000000" w:themeColor="text1"/>
              </w:rPr>
              <w:t>deux injections de 40 mg le jour de l’induction</w:t>
            </w:r>
            <w:r w:rsidRPr="0058432E">
              <w:rPr>
                <w:color w:val="000000" w:themeColor="text1"/>
              </w:rPr>
              <w:t xml:space="preserve">) </w:t>
            </w:r>
            <w:r w:rsidR="002C597C" w:rsidRPr="0058432E">
              <w:rPr>
                <w:color w:val="000000" w:themeColor="text1"/>
              </w:rPr>
              <w:t>et</w:t>
            </w:r>
          </w:p>
          <w:p w14:paraId="7761AED4" w14:textId="77777777" w:rsidR="002A313A" w:rsidRPr="0058432E" w:rsidRDefault="002A313A" w:rsidP="00491257">
            <w:pPr>
              <w:numPr>
                <w:ilvl w:val="0"/>
                <w:numId w:val="64"/>
              </w:numPr>
              <w:autoSpaceDE w:val="0"/>
              <w:autoSpaceDN w:val="0"/>
              <w:adjustRightInd w:val="0"/>
              <w:ind w:left="360"/>
              <w:rPr>
                <w:color w:val="000000" w:themeColor="text1"/>
              </w:rPr>
            </w:pPr>
            <w:r w:rsidRPr="0058432E">
              <w:rPr>
                <w:color w:val="000000" w:themeColor="text1"/>
              </w:rPr>
              <w:t xml:space="preserve">40 mg </w:t>
            </w:r>
            <w:r w:rsidR="002C597C" w:rsidRPr="0058432E">
              <w:rPr>
                <w:color w:val="000000" w:themeColor="text1"/>
              </w:rPr>
              <w:t>à la semaine</w:t>
            </w:r>
            <w:r w:rsidRPr="0058432E">
              <w:rPr>
                <w:color w:val="000000" w:themeColor="text1"/>
              </w:rPr>
              <w:t> 2 (</w:t>
            </w:r>
            <w:r w:rsidR="002C597C" w:rsidRPr="0058432E">
              <w:rPr>
                <w:color w:val="000000" w:themeColor="text1"/>
              </w:rPr>
              <w:t>une seule injection de 40 mg</w:t>
            </w:r>
            <w:r w:rsidRPr="0058432E">
              <w:rPr>
                <w:color w:val="000000" w:themeColor="text1"/>
              </w:rPr>
              <w:t>)</w:t>
            </w:r>
          </w:p>
        </w:tc>
        <w:tc>
          <w:tcPr>
            <w:tcW w:w="2985" w:type="dxa"/>
          </w:tcPr>
          <w:p w14:paraId="797D0076" w14:textId="77777777" w:rsidR="002A313A" w:rsidRPr="0058432E" w:rsidRDefault="002A313A" w:rsidP="002C597C">
            <w:pPr>
              <w:jc w:val="center"/>
              <w:rPr>
                <w:color w:val="000000" w:themeColor="text1"/>
              </w:rPr>
            </w:pPr>
            <w:r w:rsidRPr="0058432E">
              <w:rPr>
                <w:color w:val="000000" w:themeColor="text1"/>
              </w:rPr>
              <w:t xml:space="preserve">40 mg </w:t>
            </w:r>
            <w:r w:rsidR="002C597C" w:rsidRPr="0058432E">
              <w:rPr>
                <w:color w:val="000000" w:themeColor="text1"/>
              </w:rPr>
              <w:t>toutes les deux semaines</w:t>
            </w:r>
          </w:p>
        </w:tc>
      </w:tr>
      <w:tr w:rsidR="002A313A" w:rsidRPr="0058432E" w14:paraId="2FF0B5CE" w14:textId="77777777" w:rsidTr="008F4E17">
        <w:tc>
          <w:tcPr>
            <w:tcW w:w="2088" w:type="dxa"/>
            <w:shd w:val="clear" w:color="auto" w:fill="auto"/>
          </w:tcPr>
          <w:p w14:paraId="2C79F823" w14:textId="77777777" w:rsidR="002A313A" w:rsidRPr="0058432E" w:rsidRDefault="002A313A" w:rsidP="008F4E17">
            <w:pPr>
              <w:jc w:val="center"/>
              <w:rPr>
                <w:color w:val="000000" w:themeColor="text1"/>
              </w:rPr>
            </w:pPr>
            <w:r w:rsidRPr="0058432E">
              <w:rPr>
                <w:color w:val="000000" w:themeColor="text1"/>
              </w:rPr>
              <w:t>≥ 40 kg</w:t>
            </w:r>
          </w:p>
        </w:tc>
        <w:tc>
          <w:tcPr>
            <w:tcW w:w="4230" w:type="dxa"/>
            <w:shd w:val="clear" w:color="auto" w:fill="auto"/>
          </w:tcPr>
          <w:p w14:paraId="5E311BA6" w14:textId="77777777" w:rsidR="002A313A" w:rsidRPr="0058432E" w:rsidRDefault="002A313A" w:rsidP="002A313A">
            <w:pPr>
              <w:numPr>
                <w:ilvl w:val="0"/>
                <w:numId w:val="65"/>
              </w:numPr>
              <w:autoSpaceDE w:val="0"/>
              <w:autoSpaceDN w:val="0"/>
              <w:adjustRightInd w:val="0"/>
              <w:ind w:left="360"/>
              <w:rPr>
                <w:color w:val="000000" w:themeColor="text1"/>
              </w:rPr>
            </w:pPr>
            <w:r w:rsidRPr="0058432E">
              <w:rPr>
                <w:color w:val="000000" w:themeColor="text1"/>
              </w:rPr>
              <w:t xml:space="preserve">160 mg </w:t>
            </w:r>
            <w:r w:rsidR="002C597C" w:rsidRPr="0058432E">
              <w:rPr>
                <w:color w:val="000000" w:themeColor="text1"/>
              </w:rPr>
              <w:t>à la semaine </w:t>
            </w:r>
            <w:r w:rsidRPr="0058432E">
              <w:rPr>
                <w:color w:val="000000" w:themeColor="text1"/>
              </w:rPr>
              <w:t>0 (</w:t>
            </w:r>
            <w:r w:rsidR="002C597C" w:rsidRPr="0058432E">
              <w:rPr>
                <w:color w:val="000000" w:themeColor="text1"/>
              </w:rPr>
              <w:t>quatre injections de 40 mg le jour de l’induction ou deux injections de 40 mg par jour pendant deux jours</w:t>
            </w:r>
            <w:r w:rsidRPr="0058432E">
              <w:rPr>
                <w:color w:val="000000" w:themeColor="text1"/>
              </w:rPr>
              <w:t xml:space="preserve">) </w:t>
            </w:r>
            <w:r w:rsidR="002C597C" w:rsidRPr="0058432E">
              <w:rPr>
                <w:color w:val="000000" w:themeColor="text1"/>
              </w:rPr>
              <w:t>et</w:t>
            </w:r>
          </w:p>
          <w:p w14:paraId="1CFE8D58" w14:textId="77777777" w:rsidR="002A313A" w:rsidRPr="0058432E" w:rsidRDefault="002A313A" w:rsidP="00491257">
            <w:pPr>
              <w:numPr>
                <w:ilvl w:val="0"/>
                <w:numId w:val="66"/>
              </w:numPr>
              <w:autoSpaceDE w:val="0"/>
              <w:autoSpaceDN w:val="0"/>
              <w:adjustRightInd w:val="0"/>
              <w:ind w:left="360"/>
              <w:rPr>
                <w:color w:val="000000" w:themeColor="text1"/>
              </w:rPr>
            </w:pPr>
            <w:r w:rsidRPr="0058432E">
              <w:rPr>
                <w:color w:val="000000" w:themeColor="text1"/>
              </w:rPr>
              <w:t xml:space="preserve">80 mg </w:t>
            </w:r>
            <w:r w:rsidR="002C597C" w:rsidRPr="0058432E">
              <w:rPr>
                <w:color w:val="000000" w:themeColor="text1"/>
              </w:rPr>
              <w:t>à la semaine </w:t>
            </w:r>
            <w:r w:rsidRPr="0058432E">
              <w:rPr>
                <w:color w:val="000000" w:themeColor="text1"/>
              </w:rPr>
              <w:t>2 (</w:t>
            </w:r>
            <w:r w:rsidR="002C597C" w:rsidRPr="0058432E">
              <w:rPr>
                <w:color w:val="000000" w:themeColor="text1"/>
              </w:rPr>
              <w:t>deux injections de 40 mg le jour de l’injection</w:t>
            </w:r>
            <w:r w:rsidRPr="0058432E">
              <w:rPr>
                <w:color w:val="000000" w:themeColor="text1"/>
              </w:rPr>
              <w:t>)</w:t>
            </w:r>
          </w:p>
        </w:tc>
        <w:tc>
          <w:tcPr>
            <w:tcW w:w="2985" w:type="dxa"/>
          </w:tcPr>
          <w:p w14:paraId="6C811ADE" w14:textId="77777777" w:rsidR="002A313A" w:rsidRPr="0058432E" w:rsidRDefault="002A313A" w:rsidP="008F4E17">
            <w:pPr>
              <w:jc w:val="center"/>
              <w:rPr>
                <w:color w:val="000000" w:themeColor="text1"/>
              </w:rPr>
            </w:pPr>
            <w:r w:rsidRPr="0058432E">
              <w:rPr>
                <w:color w:val="000000" w:themeColor="text1"/>
              </w:rPr>
              <w:t xml:space="preserve">80 mg </w:t>
            </w:r>
            <w:r w:rsidR="002C597C" w:rsidRPr="0058432E">
              <w:rPr>
                <w:color w:val="000000" w:themeColor="text1"/>
              </w:rPr>
              <w:t>toutes les deux semaines</w:t>
            </w:r>
          </w:p>
        </w:tc>
      </w:tr>
    </w:tbl>
    <w:p w14:paraId="407B5CC1" w14:textId="77777777" w:rsidR="002A313A" w:rsidRPr="0058432E" w:rsidRDefault="002A313A" w:rsidP="002C597C">
      <w:pPr>
        <w:autoSpaceDE w:val="0"/>
        <w:autoSpaceDN w:val="0"/>
        <w:adjustRightInd w:val="0"/>
        <w:ind w:left="270" w:hanging="270"/>
        <w:rPr>
          <w:color w:val="000000" w:themeColor="text1"/>
          <w:sz w:val="20"/>
          <w:szCs w:val="20"/>
        </w:rPr>
      </w:pPr>
      <w:r w:rsidRPr="0058432E">
        <w:rPr>
          <w:color w:val="000000" w:themeColor="text1"/>
          <w:sz w:val="20"/>
          <w:szCs w:val="20"/>
        </w:rPr>
        <w:t xml:space="preserve">* </w:t>
      </w:r>
      <w:r w:rsidRPr="0058432E">
        <w:rPr>
          <w:color w:val="000000" w:themeColor="text1"/>
          <w:sz w:val="20"/>
          <w:szCs w:val="20"/>
        </w:rPr>
        <w:tab/>
      </w:r>
      <w:r w:rsidR="002C597C" w:rsidRPr="0058432E">
        <w:rPr>
          <w:color w:val="000000" w:themeColor="text1"/>
          <w:sz w:val="20"/>
          <w:szCs w:val="20"/>
        </w:rPr>
        <w:t xml:space="preserve">Pour les patients pédiatriques </w:t>
      </w:r>
      <w:r w:rsidR="00F2096C" w:rsidRPr="0058432E">
        <w:rPr>
          <w:color w:val="000000" w:themeColor="text1"/>
          <w:sz w:val="20"/>
          <w:szCs w:val="20"/>
        </w:rPr>
        <w:t>atteignant l’âge de 18 </w:t>
      </w:r>
      <w:r w:rsidR="002C597C" w:rsidRPr="0058432E">
        <w:rPr>
          <w:color w:val="000000" w:themeColor="text1"/>
          <w:sz w:val="20"/>
          <w:szCs w:val="20"/>
        </w:rPr>
        <w:t xml:space="preserve">ans pendant le traitement par </w:t>
      </w:r>
      <w:r w:rsidR="00F2096C" w:rsidRPr="0058432E">
        <w:rPr>
          <w:color w:val="000000" w:themeColor="text1"/>
          <w:sz w:val="20"/>
          <w:szCs w:val="20"/>
        </w:rPr>
        <w:t>Amsparity</w:t>
      </w:r>
      <w:r w:rsidR="002C597C" w:rsidRPr="0058432E">
        <w:rPr>
          <w:color w:val="000000" w:themeColor="text1"/>
          <w:sz w:val="20"/>
          <w:szCs w:val="20"/>
        </w:rPr>
        <w:t>, la dose d’entretien prescrite doit être maintenue</w:t>
      </w:r>
      <w:r w:rsidRPr="0058432E">
        <w:rPr>
          <w:color w:val="000000" w:themeColor="text1"/>
          <w:sz w:val="20"/>
          <w:szCs w:val="20"/>
        </w:rPr>
        <w:t>.</w:t>
      </w:r>
    </w:p>
    <w:p w14:paraId="57A22570" w14:textId="77777777" w:rsidR="002A313A" w:rsidRPr="0058432E" w:rsidRDefault="002A313A" w:rsidP="002A313A">
      <w:pPr>
        <w:rPr>
          <w:iCs/>
          <w:color w:val="000000" w:themeColor="text1"/>
        </w:rPr>
      </w:pPr>
    </w:p>
    <w:p w14:paraId="028324EA" w14:textId="77777777" w:rsidR="002A313A" w:rsidRPr="0058432E" w:rsidRDefault="002C597C" w:rsidP="002C597C">
      <w:pPr>
        <w:autoSpaceDE w:val="0"/>
        <w:autoSpaceDN w:val="0"/>
        <w:adjustRightInd w:val="0"/>
        <w:rPr>
          <w:color w:val="000000" w:themeColor="text1"/>
        </w:rPr>
      </w:pPr>
      <w:r w:rsidRPr="0058432E">
        <w:rPr>
          <w:color w:val="000000" w:themeColor="text1"/>
        </w:rPr>
        <w:t>La pours</w:t>
      </w:r>
      <w:r w:rsidR="00565FC2" w:rsidRPr="0058432E">
        <w:rPr>
          <w:color w:val="000000" w:themeColor="text1"/>
        </w:rPr>
        <w:t>uite du traitement au-delà de 8 </w:t>
      </w:r>
      <w:r w:rsidRPr="0058432E">
        <w:rPr>
          <w:color w:val="000000" w:themeColor="text1"/>
        </w:rPr>
        <w:t>semaines doit être soigneusement reconsidérée chez les patients n’ayant pas répondu pendant cette période</w:t>
      </w:r>
      <w:r w:rsidR="002A313A" w:rsidRPr="0058432E">
        <w:rPr>
          <w:color w:val="000000" w:themeColor="text1"/>
        </w:rPr>
        <w:t>.</w:t>
      </w:r>
    </w:p>
    <w:p w14:paraId="7C2BD5B5" w14:textId="77777777" w:rsidR="002A313A" w:rsidRPr="0058432E" w:rsidRDefault="002A313A" w:rsidP="002A313A">
      <w:pPr>
        <w:autoSpaceDE w:val="0"/>
        <w:autoSpaceDN w:val="0"/>
        <w:adjustRightInd w:val="0"/>
        <w:rPr>
          <w:color w:val="000000" w:themeColor="text1"/>
        </w:rPr>
      </w:pPr>
    </w:p>
    <w:p w14:paraId="38B28382" w14:textId="77777777" w:rsidR="002A313A" w:rsidRPr="0058432E" w:rsidRDefault="002C597C" w:rsidP="002C597C">
      <w:pPr>
        <w:autoSpaceDE w:val="0"/>
        <w:autoSpaceDN w:val="0"/>
        <w:adjustRightInd w:val="0"/>
        <w:rPr>
          <w:color w:val="000000" w:themeColor="text1"/>
        </w:rPr>
      </w:pPr>
      <w:r w:rsidRPr="0058432E">
        <w:rPr>
          <w:color w:val="000000" w:themeColor="text1"/>
        </w:rPr>
        <w:t xml:space="preserve">Il n’y a pas d’utilisation justifiée </w:t>
      </w:r>
      <w:r w:rsidR="00565FC2" w:rsidRPr="0058432E">
        <w:rPr>
          <w:color w:val="000000" w:themeColor="text1"/>
        </w:rPr>
        <w:t>de l’adalimumab</w:t>
      </w:r>
      <w:r w:rsidRPr="0058432E">
        <w:rPr>
          <w:color w:val="000000" w:themeColor="text1"/>
        </w:rPr>
        <w:t xml:space="preserve"> chez</w:t>
      </w:r>
      <w:r w:rsidR="00565FC2" w:rsidRPr="0058432E">
        <w:rPr>
          <w:color w:val="000000" w:themeColor="text1"/>
        </w:rPr>
        <w:t xml:space="preserve"> les enfants âgés de moins de 6 </w:t>
      </w:r>
      <w:r w:rsidRPr="0058432E">
        <w:rPr>
          <w:color w:val="000000" w:themeColor="text1"/>
        </w:rPr>
        <w:t>ans dans cette indication</w:t>
      </w:r>
      <w:r w:rsidR="002A313A" w:rsidRPr="0058432E">
        <w:rPr>
          <w:color w:val="000000" w:themeColor="text1"/>
        </w:rPr>
        <w:t>.</w:t>
      </w:r>
    </w:p>
    <w:p w14:paraId="336BDB48" w14:textId="77777777" w:rsidR="002A313A" w:rsidRPr="0058432E" w:rsidRDefault="002A313A" w:rsidP="002A313A">
      <w:pPr>
        <w:autoSpaceDE w:val="0"/>
        <w:autoSpaceDN w:val="0"/>
        <w:adjustRightInd w:val="0"/>
        <w:rPr>
          <w:color w:val="000000" w:themeColor="text1"/>
        </w:rPr>
      </w:pPr>
    </w:p>
    <w:p w14:paraId="4BC836D1" w14:textId="77777777" w:rsidR="002A313A" w:rsidRPr="0058432E" w:rsidRDefault="002C597C" w:rsidP="002C597C">
      <w:pPr>
        <w:autoSpaceDE w:val="0"/>
        <w:autoSpaceDN w:val="0"/>
        <w:adjustRightInd w:val="0"/>
        <w:rPr>
          <w:color w:val="000000" w:themeColor="text1"/>
        </w:rPr>
      </w:pPr>
      <w:r w:rsidRPr="0058432E">
        <w:rPr>
          <w:color w:val="000000" w:themeColor="text1"/>
        </w:rPr>
        <w:t xml:space="preserve">Différents dosages et/ou présentations </w:t>
      </w:r>
      <w:r w:rsidR="00565FC2" w:rsidRPr="0058432E">
        <w:rPr>
          <w:color w:val="000000" w:themeColor="text1"/>
        </w:rPr>
        <w:t xml:space="preserve">d’Amsparity </w:t>
      </w:r>
      <w:r w:rsidRPr="0058432E">
        <w:rPr>
          <w:color w:val="000000" w:themeColor="text1"/>
        </w:rPr>
        <w:t>peuvent être disponibles en fonction des besoins thérapeutiques de chaque patient</w:t>
      </w:r>
      <w:r w:rsidR="002A313A" w:rsidRPr="0058432E">
        <w:rPr>
          <w:color w:val="000000" w:themeColor="text1"/>
        </w:rPr>
        <w:t>.</w:t>
      </w:r>
    </w:p>
    <w:p w14:paraId="5AEBCBB6" w14:textId="77777777" w:rsidR="002A313A" w:rsidRPr="0058432E" w:rsidRDefault="002A313A" w:rsidP="00982118">
      <w:pPr>
        <w:rPr>
          <w:color w:val="000000" w:themeColor="text1"/>
        </w:rPr>
      </w:pPr>
    </w:p>
    <w:p w14:paraId="22F2F284" w14:textId="77777777" w:rsidR="00803A33" w:rsidRPr="0058432E" w:rsidRDefault="00C46587" w:rsidP="00982118">
      <w:pPr>
        <w:keepNext/>
        <w:rPr>
          <w:color w:val="000000" w:themeColor="text1"/>
        </w:rPr>
      </w:pPr>
      <w:r w:rsidRPr="0058432E">
        <w:rPr>
          <w:i/>
          <w:color w:val="000000" w:themeColor="text1"/>
        </w:rPr>
        <w:t xml:space="preserve">Uvéite </w:t>
      </w:r>
      <w:r w:rsidR="003A7F0A" w:rsidRPr="0058432E">
        <w:rPr>
          <w:i/>
          <w:color w:val="000000" w:themeColor="text1"/>
        </w:rPr>
        <w:t>pédiatrique</w:t>
      </w:r>
    </w:p>
    <w:p w14:paraId="5D4E6CEC" w14:textId="77777777" w:rsidR="00803A33" w:rsidRPr="0058432E" w:rsidRDefault="00803A33" w:rsidP="00982118">
      <w:pPr>
        <w:keepNext/>
        <w:rPr>
          <w:color w:val="000000" w:themeColor="text1"/>
        </w:rPr>
      </w:pPr>
    </w:p>
    <w:p w14:paraId="24B571B4" w14:textId="77777777" w:rsidR="00DB320E" w:rsidRPr="0058432E" w:rsidRDefault="00DB320E" w:rsidP="00982118">
      <w:pPr>
        <w:rPr>
          <w:color w:val="000000" w:themeColor="text1"/>
        </w:rPr>
      </w:pPr>
      <w:r w:rsidRPr="0058432E">
        <w:rPr>
          <w:color w:val="000000" w:themeColor="text1"/>
        </w:rPr>
        <w:t>La posologie recommandée d’Amsparity pour les enfants et les adolescents atteints d’uvéite à partir de l’âge de 2 ans dépend du poids corporel (tableau </w:t>
      </w:r>
      <w:r w:rsidR="002C597C" w:rsidRPr="0058432E">
        <w:rPr>
          <w:color w:val="000000" w:themeColor="text1"/>
        </w:rPr>
        <w:t>6</w:t>
      </w:r>
      <w:r w:rsidRPr="0058432E">
        <w:rPr>
          <w:color w:val="000000" w:themeColor="text1"/>
        </w:rPr>
        <w:t xml:space="preserve">). Amsparity est administré en injection sous-cutanée. </w:t>
      </w:r>
    </w:p>
    <w:p w14:paraId="5FD7C34E" w14:textId="77777777" w:rsidR="00DB320E" w:rsidRPr="0058432E" w:rsidRDefault="00DB320E" w:rsidP="00982118">
      <w:pPr>
        <w:rPr>
          <w:color w:val="000000" w:themeColor="text1"/>
        </w:rPr>
      </w:pPr>
    </w:p>
    <w:p w14:paraId="736C7B06" w14:textId="77777777" w:rsidR="00803A33" w:rsidRPr="0058432E" w:rsidRDefault="00803A33" w:rsidP="00982118">
      <w:pPr>
        <w:rPr>
          <w:color w:val="000000" w:themeColor="text1"/>
        </w:rPr>
      </w:pPr>
      <w:r w:rsidRPr="0058432E">
        <w:rPr>
          <w:color w:val="000000" w:themeColor="text1"/>
        </w:rPr>
        <w:t xml:space="preserve">Dans l’uvéite </w:t>
      </w:r>
      <w:r w:rsidR="003A7F0A" w:rsidRPr="0058432E">
        <w:rPr>
          <w:color w:val="000000" w:themeColor="text1"/>
        </w:rPr>
        <w:t>pédiatrique</w:t>
      </w:r>
      <w:r w:rsidRPr="0058432E">
        <w:rPr>
          <w:color w:val="000000" w:themeColor="text1"/>
        </w:rPr>
        <w:t>, aucun essai clinique n’a été conduit avec l’adalimumab sans traitement concomitant par le méthotrexate.</w:t>
      </w:r>
    </w:p>
    <w:p w14:paraId="23B88067" w14:textId="77777777" w:rsidR="00C46587" w:rsidRPr="0058432E" w:rsidRDefault="00C46587" w:rsidP="00982118">
      <w:pPr>
        <w:rPr>
          <w:color w:val="000000" w:themeColor="text1"/>
          <w:u w:val="single"/>
        </w:rPr>
      </w:pPr>
    </w:p>
    <w:p w14:paraId="7822C68E" w14:textId="77777777" w:rsidR="007E0DEB" w:rsidRPr="0058432E" w:rsidRDefault="00DB320E" w:rsidP="00A53E17">
      <w:pPr>
        <w:rPr>
          <w:b/>
          <w:color w:val="000000" w:themeColor="text1"/>
        </w:rPr>
      </w:pPr>
      <w:r w:rsidRPr="0058432E">
        <w:rPr>
          <w:b/>
          <w:color w:val="000000" w:themeColor="text1"/>
        </w:rPr>
        <w:t>Tableau </w:t>
      </w:r>
      <w:r w:rsidR="002C597C" w:rsidRPr="0058432E">
        <w:rPr>
          <w:b/>
          <w:color w:val="000000" w:themeColor="text1"/>
        </w:rPr>
        <w:t>6</w:t>
      </w:r>
      <w:r w:rsidR="00456A4F" w:rsidRPr="0058432E">
        <w:rPr>
          <w:b/>
          <w:color w:val="000000" w:themeColor="text1"/>
        </w:rPr>
        <w:t>.</w:t>
      </w:r>
      <w:r w:rsidRPr="0058432E">
        <w:rPr>
          <w:b/>
          <w:color w:val="000000" w:themeColor="text1"/>
        </w:rPr>
        <w:t xml:space="preserve"> </w:t>
      </w:r>
    </w:p>
    <w:p w14:paraId="69283F4D" w14:textId="77777777" w:rsidR="00DB320E" w:rsidRPr="0058432E" w:rsidRDefault="006A1144" w:rsidP="00A53E17">
      <w:pPr>
        <w:rPr>
          <w:b/>
          <w:color w:val="000000" w:themeColor="text1"/>
        </w:rPr>
      </w:pPr>
      <w:r w:rsidRPr="0058432E">
        <w:rPr>
          <w:b/>
          <w:color w:val="000000" w:themeColor="text1"/>
        </w:rPr>
        <w:t>Posologie d’Amsparity chez les enfants et les adolescents atteints d’uvéite</w:t>
      </w:r>
    </w:p>
    <w:p w14:paraId="481167C8" w14:textId="77777777" w:rsidR="00DB320E" w:rsidRPr="0058432E" w:rsidRDefault="00DB320E" w:rsidP="00982118">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41"/>
      </w:tblGrid>
      <w:tr w:rsidR="00DB320E" w:rsidRPr="0058432E" w14:paraId="066FF6E2" w14:textId="77777777" w:rsidTr="00A53E17">
        <w:trPr>
          <w:cantSplit/>
          <w:tblHeader/>
        </w:trPr>
        <w:tc>
          <w:tcPr>
            <w:tcW w:w="4651" w:type="dxa"/>
            <w:shd w:val="clear" w:color="auto" w:fill="auto"/>
          </w:tcPr>
          <w:p w14:paraId="5EC73254" w14:textId="77777777" w:rsidR="00DB320E" w:rsidRPr="0058432E" w:rsidRDefault="00DB320E" w:rsidP="00982118">
            <w:pPr>
              <w:jc w:val="center"/>
              <w:rPr>
                <w:color w:val="000000" w:themeColor="text1"/>
              </w:rPr>
            </w:pPr>
            <w:r w:rsidRPr="0058432E">
              <w:rPr>
                <w:b/>
                <w:color w:val="000000" w:themeColor="text1"/>
              </w:rPr>
              <w:t>Poids du patient</w:t>
            </w:r>
          </w:p>
        </w:tc>
        <w:tc>
          <w:tcPr>
            <w:tcW w:w="4652" w:type="dxa"/>
            <w:shd w:val="clear" w:color="auto" w:fill="auto"/>
          </w:tcPr>
          <w:p w14:paraId="1AE2B615" w14:textId="77777777" w:rsidR="00DB320E" w:rsidRPr="0058432E" w:rsidRDefault="00DB320E" w:rsidP="00982118">
            <w:pPr>
              <w:jc w:val="center"/>
              <w:rPr>
                <w:color w:val="000000" w:themeColor="text1"/>
              </w:rPr>
            </w:pPr>
            <w:r w:rsidRPr="0058432E">
              <w:rPr>
                <w:b/>
                <w:color w:val="000000" w:themeColor="text1"/>
              </w:rPr>
              <w:t>Schéma posologique</w:t>
            </w:r>
          </w:p>
        </w:tc>
      </w:tr>
      <w:tr w:rsidR="00DB320E" w:rsidRPr="0058432E" w14:paraId="54C63685" w14:textId="77777777" w:rsidTr="00A53E17">
        <w:trPr>
          <w:cantSplit/>
        </w:trPr>
        <w:tc>
          <w:tcPr>
            <w:tcW w:w="4651" w:type="dxa"/>
            <w:shd w:val="clear" w:color="auto" w:fill="auto"/>
          </w:tcPr>
          <w:p w14:paraId="105EF8DF" w14:textId="77777777" w:rsidR="00DB320E" w:rsidRPr="0058432E" w:rsidRDefault="00DB320E" w:rsidP="00982118">
            <w:pPr>
              <w:jc w:val="center"/>
              <w:rPr>
                <w:color w:val="000000" w:themeColor="text1"/>
              </w:rPr>
            </w:pPr>
            <w:r w:rsidRPr="0058432E">
              <w:rPr>
                <w:color w:val="000000" w:themeColor="text1"/>
              </w:rPr>
              <w:t>&lt; 30 kg</w:t>
            </w:r>
          </w:p>
        </w:tc>
        <w:tc>
          <w:tcPr>
            <w:tcW w:w="4652" w:type="dxa"/>
            <w:shd w:val="clear" w:color="auto" w:fill="auto"/>
          </w:tcPr>
          <w:p w14:paraId="267E4267" w14:textId="77777777" w:rsidR="00DB320E" w:rsidRPr="0058432E" w:rsidRDefault="00DB320E" w:rsidP="00150D33">
            <w:pPr>
              <w:rPr>
                <w:color w:val="000000" w:themeColor="text1"/>
              </w:rPr>
            </w:pPr>
            <w:r w:rsidRPr="0058432E">
              <w:rPr>
                <w:color w:val="000000" w:themeColor="text1"/>
              </w:rPr>
              <w:t>20 mg toutes les deux semaines en association avec du méthotrexate</w:t>
            </w:r>
          </w:p>
        </w:tc>
      </w:tr>
      <w:tr w:rsidR="005E268C" w:rsidRPr="0058432E" w14:paraId="3950D96B" w14:textId="77777777" w:rsidTr="00A53E17">
        <w:trPr>
          <w:cantSplit/>
        </w:trPr>
        <w:tc>
          <w:tcPr>
            <w:tcW w:w="4651" w:type="dxa"/>
            <w:shd w:val="clear" w:color="auto" w:fill="auto"/>
          </w:tcPr>
          <w:p w14:paraId="532662A2" w14:textId="77777777" w:rsidR="005E268C" w:rsidRPr="0058432E" w:rsidRDefault="005E268C" w:rsidP="00982118">
            <w:pPr>
              <w:jc w:val="center"/>
              <w:rPr>
                <w:color w:val="000000" w:themeColor="text1"/>
              </w:rPr>
            </w:pPr>
            <w:r w:rsidRPr="0058432E">
              <w:rPr>
                <w:color w:val="000000" w:themeColor="text1"/>
              </w:rPr>
              <w:t>≥ 30 kg</w:t>
            </w:r>
          </w:p>
        </w:tc>
        <w:tc>
          <w:tcPr>
            <w:tcW w:w="4652" w:type="dxa"/>
            <w:shd w:val="clear" w:color="auto" w:fill="auto"/>
          </w:tcPr>
          <w:p w14:paraId="02A2C449" w14:textId="77777777" w:rsidR="005E268C" w:rsidRPr="0058432E" w:rsidRDefault="005E268C" w:rsidP="00150D33">
            <w:pPr>
              <w:rPr>
                <w:color w:val="000000" w:themeColor="text1"/>
              </w:rPr>
            </w:pPr>
            <w:r w:rsidRPr="0058432E">
              <w:rPr>
                <w:color w:val="000000" w:themeColor="text1"/>
              </w:rPr>
              <w:t>40 mg toutes les deux semaines en association avec du méthotrexate</w:t>
            </w:r>
          </w:p>
        </w:tc>
      </w:tr>
    </w:tbl>
    <w:p w14:paraId="6DB1C0DA" w14:textId="77777777" w:rsidR="00DB320E" w:rsidRPr="0058432E" w:rsidRDefault="00DB320E" w:rsidP="00982118">
      <w:pPr>
        <w:rPr>
          <w:color w:val="000000" w:themeColor="text1"/>
        </w:rPr>
      </w:pPr>
    </w:p>
    <w:p w14:paraId="57405A03" w14:textId="77777777" w:rsidR="00803A33" w:rsidRPr="0058432E" w:rsidRDefault="00803A33" w:rsidP="00982118">
      <w:pPr>
        <w:rPr>
          <w:color w:val="000000" w:themeColor="text1"/>
        </w:rPr>
      </w:pPr>
      <w:r w:rsidRPr="0058432E">
        <w:rPr>
          <w:color w:val="000000" w:themeColor="text1"/>
        </w:rPr>
        <w:t xml:space="preserve">Lors de l’instauration du traitement par Amsparity, une dose de charge de 40 mg pour les patients </w:t>
      </w:r>
      <w:r w:rsidR="004E573C" w:rsidRPr="0058432E">
        <w:rPr>
          <w:color w:val="000000" w:themeColor="text1"/>
        </w:rPr>
        <w:t xml:space="preserve">ayant un poids </w:t>
      </w:r>
      <w:r w:rsidRPr="0058432E">
        <w:rPr>
          <w:color w:val="000000" w:themeColor="text1"/>
        </w:rPr>
        <w:t xml:space="preserve">&lt; 30 kg ou de 80 mg pour </w:t>
      </w:r>
      <w:r w:rsidR="004E573C" w:rsidRPr="0058432E">
        <w:rPr>
          <w:color w:val="000000" w:themeColor="text1"/>
        </w:rPr>
        <w:t>ceux ayant un poids</w:t>
      </w:r>
      <w:r w:rsidRPr="0058432E">
        <w:rPr>
          <w:color w:val="000000" w:themeColor="text1"/>
        </w:rPr>
        <w:t xml:space="preserve"> ≥ 30 kg peut être administrée une semaine avant le début du traitement d’entretien. Aucune donnée clinique n’est disponible sur l’utilisation d’une dose de charge d’Amsparity chez les enfants âgés de moins de 6 ans (voir rubrique 5.2).</w:t>
      </w:r>
    </w:p>
    <w:p w14:paraId="5ACA17CE" w14:textId="77777777" w:rsidR="00C46587" w:rsidRPr="0058432E" w:rsidRDefault="00C46587" w:rsidP="00982118">
      <w:pPr>
        <w:rPr>
          <w:i/>
          <w:color w:val="000000" w:themeColor="text1"/>
          <w:u w:val="single"/>
        </w:rPr>
      </w:pPr>
    </w:p>
    <w:p w14:paraId="16001733" w14:textId="77777777" w:rsidR="00803A33" w:rsidRPr="0058432E" w:rsidRDefault="00803A33" w:rsidP="00982118">
      <w:pPr>
        <w:rPr>
          <w:color w:val="000000" w:themeColor="text1"/>
        </w:rPr>
      </w:pPr>
      <w:r w:rsidRPr="0058432E">
        <w:rPr>
          <w:color w:val="000000" w:themeColor="text1"/>
        </w:rPr>
        <w:t>Il n’y a pas d’utilisation justifiée de l’adalimumab chez les enfants âgés de moins de 2 ans dans cette indication.</w:t>
      </w:r>
    </w:p>
    <w:p w14:paraId="1C86BF72" w14:textId="77777777" w:rsidR="00803A33" w:rsidRPr="0058432E" w:rsidRDefault="00803A33" w:rsidP="00982118">
      <w:pPr>
        <w:rPr>
          <w:color w:val="000000" w:themeColor="text1"/>
        </w:rPr>
      </w:pPr>
    </w:p>
    <w:p w14:paraId="786B2990" w14:textId="77777777" w:rsidR="00803A33" w:rsidRPr="0058432E" w:rsidRDefault="00803A33" w:rsidP="00982118">
      <w:pPr>
        <w:rPr>
          <w:color w:val="000000" w:themeColor="text1"/>
        </w:rPr>
      </w:pPr>
      <w:r w:rsidRPr="0058432E">
        <w:rPr>
          <w:color w:val="000000" w:themeColor="text1"/>
        </w:rPr>
        <w:t>Une réévaluation annuelle des bénéfices et des risques associés au traitement continu à long terme est recommandée (voir rubrique 5.1).</w:t>
      </w:r>
    </w:p>
    <w:p w14:paraId="42267F82" w14:textId="77777777" w:rsidR="00721CB0" w:rsidRPr="0058432E" w:rsidRDefault="00721CB0" w:rsidP="00982118">
      <w:pPr>
        <w:rPr>
          <w:color w:val="000000" w:themeColor="text1"/>
        </w:rPr>
      </w:pPr>
    </w:p>
    <w:p w14:paraId="59F6845A" w14:textId="77777777" w:rsidR="00721CB0"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614060A3" w14:textId="77777777" w:rsidR="000C1171" w:rsidRPr="0058432E" w:rsidRDefault="000C1171" w:rsidP="00982118">
      <w:pPr>
        <w:rPr>
          <w:color w:val="000000" w:themeColor="text1"/>
        </w:rPr>
      </w:pPr>
    </w:p>
    <w:p w14:paraId="7DC83549" w14:textId="77777777" w:rsidR="00C46587" w:rsidRPr="0058432E" w:rsidRDefault="00C46587" w:rsidP="00982118">
      <w:pPr>
        <w:keepNext/>
        <w:rPr>
          <w:color w:val="000000" w:themeColor="text1"/>
          <w:u w:val="single"/>
        </w:rPr>
      </w:pPr>
      <w:r w:rsidRPr="0058432E">
        <w:rPr>
          <w:color w:val="000000" w:themeColor="text1"/>
          <w:u w:val="single"/>
        </w:rPr>
        <w:t>Insuffisants rénaux et/ou hépatiques</w:t>
      </w:r>
    </w:p>
    <w:p w14:paraId="04B13D31" w14:textId="77777777" w:rsidR="00C46587" w:rsidRPr="0058432E" w:rsidRDefault="00C46587" w:rsidP="00982118">
      <w:pPr>
        <w:keepNext/>
        <w:rPr>
          <w:color w:val="000000" w:themeColor="text1"/>
        </w:rPr>
      </w:pPr>
    </w:p>
    <w:p w14:paraId="1E852418" w14:textId="77777777" w:rsidR="00C46587" w:rsidRPr="0058432E" w:rsidRDefault="005A4709" w:rsidP="00982118">
      <w:pPr>
        <w:rPr>
          <w:color w:val="000000" w:themeColor="text1"/>
        </w:rPr>
      </w:pPr>
      <w:r w:rsidRPr="0058432E">
        <w:rPr>
          <w:color w:val="000000" w:themeColor="text1"/>
        </w:rPr>
        <w:t xml:space="preserve">L’adalimumab n’a pas été étudié dans ces populations de patients. Il n’est pas possible de recommander des posologies. </w:t>
      </w:r>
    </w:p>
    <w:p w14:paraId="74C67565" w14:textId="77777777" w:rsidR="00C46587" w:rsidRPr="0058432E" w:rsidRDefault="00C46587" w:rsidP="00982118">
      <w:pPr>
        <w:rPr>
          <w:color w:val="000000" w:themeColor="text1"/>
        </w:rPr>
      </w:pPr>
    </w:p>
    <w:p w14:paraId="7C92AB3C" w14:textId="77777777" w:rsidR="00C46587" w:rsidRPr="0058432E" w:rsidRDefault="00C46587" w:rsidP="00982118">
      <w:pPr>
        <w:keepNext/>
        <w:rPr>
          <w:color w:val="000000" w:themeColor="text1"/>
          <w:u w:val="single"/>
        </w:rPr>
      </w:pPr>
      <w:r w:rsidRPr="0058432E">
        <w:rPr>
          <w:color w:val="000000" w:themeColor="text1"/>
          <w:u w:val="single"/>
        </w:rPr>
        <w:t>Mode d’administration</w:t>
      </w:r>
    </w:p>
    <w:p w14:paraId="21C00D44" w14:textId="77777777" w:rsidR="00C46587" w:rsidRPr="0058432E" w:rsidRDefault="00C46587" w:rsidP="00982118">
      <w:pPr>
        <w:keepNext/>
        <w:rPr>
          <w:color w:val="000000" w:themeColor="text1"/>
          <w:u w:val="single"/>
        </w:rPr>
      </w:pPr>
    </w:p>
    <w:p w14:paraId="5FC9B5E7" w14:textId="77777777" w:rsidR="00C46587" w:rsidRPr="0058432E" w:rsidRDefault="006A1144" w:rsidP="00982118">
      <w:pPr>
        <w:rPr>
          <w:color w:val="000000" w:themeColor="text1"/>
        </w:rPr>
      </w:pPr>
      <w:r w:rsidRPr="0058432E">
        <w:rPr>
          <w:color w:val="000000" w:themeColor="text1"/>
        </w:rPr>
        <w:t xml:space="preserve">Amsparity est administré en injection sous-cutanée. Les instructions complètes d’utilisation sont fournies dans la notice. </w:t>
      </w:r>
    </w:p>
    <w:p w14:paraId="585454B4" w14:textId="77777777" w:rsidR="00C46587" w:rsidRPr="0058432E" w:rsidRDefault="00C46587" w:rsidP="00982118">
      <w:pPr>
        <w:rPr>
          <w:color w:val="000000" w:themeColor="text1"/>
        </w:rPr>
      </w:pPr>
    </w:p>
    <w:p w14:paraId="36426BE9" w14:textId="77777777" w:rsidR="00955F88" w:rsidRPr="0058432E" w:rsidRDefault="006A1144" w:rsidP="00982118">
      <w:pPr>
        <w:rPr>
          <w:color w:val="000000" w:themeColor="text1"/>
        </w:rPr>
      </w:pPr>
      <w:r w:rsidRPr="0058432E">
        <w:rPr>
          <w:color w:val="000000" w:themeColor="text1"/>
        </w:rPr>
        <w:t xml:space="preserve">D’autres dosages et présentations d’Amsparity sont disponibles. </w:t>
      </w:r>
    </w:p>
    <w:p w14:paraId="2D32A06A" w14:textId="77777777" w:rsidR="002327BB" w:rsidRPr="0058432E" w:rsidRDefault="002327BB" w:rsidP="00982118">
      <w:pPr>
        <w:rPr>
          <w:color w:val="000000" w:themeColor="text1"/>
        </w:rPr>
      </w:pPr>
    </w:p>
    <w:p w14:paraId="0A40C306" w14:textId="77777777" w:rsidR="00C46587" w:rsidRPr="0058432E" w:rsidRDefault="00C46587" w:rsidP="00982118">
      <w:pPr>
        <w:keepNext/>
        <w:tabs>
          <w:tab w:val="left" w:pos="562"/>
        </w:tabs>
        <w:rPr>
          <w:b/>
          <w:color w:val="000000" w:themeColor="text1"/>
        </w:rPr>
      </w:pPr>
      <w:r w:rsidRPr="0058432E">
        <w:rPr>
          <w:b/>
          <w:color w:val="000000" w:themeColor="text1"/>
        </w:rPr>
        <w:t>4.3</w:t>
      </w:r>
      <w:r w:rsidRPr="0058432E">
        <w:rPr>
          <w:b/>
          <w:color w:val="000000" w:themeColor="text1"/>
        </w:rPr>
        <w:tab/>
        <w:t xml:space="preserve">Contre-indications </w:t>
      </w:r>
    </w:p>
    <w:p w14:paraId="71867FB7" w14:textId="77777777" w:rsidR="00C46587" w:rsidRPr="0058432E" w:rsidRDefault="00C46587" w:rsidP="00982118">
      <w:pPr>
        <w:keepNext/>
        <w:rPr>
          <w:color w:val="000000" w:themeColor="text1"/>
        </w:rPr>
      </w:pPr>
    </w:p>
    <w:p w14:paraId="4FDE74B5" w14:textId="77777777" w:rsidR="00C46587" w:rsidRPr="0058432E" w:rsidRDefault="00C46587" w:rsidP="00982118">
      <w:pPr>
        <w:rPr>
          <w:color w:val="000000" w:themeColor="text1"/>
        </w:rPr>
      </w:pPr>
      <w:r w:rsidRPr="0058432E">
        <w:rPr>
          <w:color w:val="000000" w:themeColor="text1"/>
        </w:rPr>
        <w:t xml:space="preserve">Hypersensibilité à la substance active ou à l’un des excipients mentionnés à la rubrique 6.1. </w:t>
      </w:r>
    </w:p>
    <w:p w14:paraId="24302CE1" w14:textId="77777777" w:rsidR="00C46587" w:rsidRPr="0058432E" w:rsidRDefault="00C46587" w:rsidP="00982118">
      <w:pPr>
        <w:rPr>
          <w:color w:val="000000" w:themeColor="text1"/>
        </w:rPr>
      </w:pPr>
    </w:p>
    <w:p w14:paraId="67368782" w14:textId="77777777" w:rsidR="00C46587" w:rsidRPr="0058432E" w:rsidRDefault="00C46587" w:rsidP="00982118">
      <w:pPr>
        <w:rPr>
          <w:color w:val="000000" w:themeColor="text1"/>
        </w:rPr>
      </w:pPr>
      <w:r w:rsidRPr="0058432E">
        <w:rPr>
          <w:color w:val="000000" w:themeColor="text1"/>
        </w:rPr>
        <w:t xml:space="preserve">Tuberculose </w:t>
      </w:r>
      <w:r w:rsidR="003A7F0A" w:rsidRPr="0058432E">
        <w:rPr>
          <w:color w:val="000000" w:themeColor="text1"/>
        </w:rPr>
        <w:t xml:space="preserve">active </w:t>
      </w:r>
      <w:r w:rsidRPr="0058432E">
        <w:rPr>
          <w:color w:val="000000" w:themeColor="text1"/>
        </w:rPr>
        <w:t xml:space="preserve">ou autres infections sévères telles que </w:t>
      </w:r>
      <w:r w:rsidR="00C564BD" w:rsidRPr="0058432E">
        <w:rPr>
          <w:color w:val="000000" w:themeColor="text1"/>
        </w:rPr>
        <w:t>septicémie</w:t>
      </w:r>
      <w:r w:rsidRPr="0058432E">
        <w:rPr>
          <w:color w:val="000000" w:themeColor="text1"/>
        </w:rPr>
        <w:t xml:space="preserve"> et infections opportunistes (voir rubrique 4.4). </w:t>
      </w:r>
    </w:p>
    <w:p w14:paraId="31F962EA" w14:textId="77777777" w:rsidR="00C46587" w:rsidRPr="0058432E" w:rsidRDefault="00C46587" w:rsidP="00982118">
      <w:pPr>
        <w:rPr>
          <w:color w:val="000000" w:themeColor="text1"/>
        </w:rPr>
      </w:pPr>
    </w:p>
    <w:p w14:paraId="475478EF" w14:textId="77777777" w:rsidR="00C46587" w:rsidRPr="0058432E" w:rsidRDefault="00C46587" w:rsidP="00982118">
      <w:pPr>
        <w:rPr>
          <w:color w:val="000000" w:themeColor="text1"/>
        </w:rPr>
      </w:pPr>
      <w:r w:rsidRPr="0058432E">
        <w:rPr>
          <w:color w:val="000000" w:themeColor="text1"/>
        </w:rPr>
        <w:t>Insuffisance cardiaque modérée à sévère (NYHA classes III/IV) (voir rubrique 4.4).</w:t>
      </w:r>
    </w:p>
    <w:p w14:paraId="0EB03F12" w14:textId="77777777" w:rsidR="00C46587" w:rsidRPr="0058432E" w:rsidRDefault="00C46587" w:rsidP="00982118">
      <w:pPr>
        <w:rPr>
          <w:color w:val="000000" w:themeColor="text1"/>
        </w:rPr>
      </w:pPr>
      <w:r w:rsidRPr="0058432E">
        <w:rPr>
          <w:color w:val="000000" w:themeColor="text1"/>
        </w:rPr>
        <w:lastRenderedPageBreak/>
        <w:t xml:space="preserve"> </w:t>
      </w:r>
    </w:p>
    <w:p w14:paraId="1A704BA4" w14:textId="77777777" w:rsidR="00C46587" w:rsidRPr="0058432E" w:rsidRDefault="00C46587" w:rsidP="00982118">
      <w:pPr>
        <w:keepNext/>
        <w:tabs>
          <w:tab w:val="left" w:pos="562"/>
        </w:tabs>
        <w:rPr>
          <w:b/>
          <w:color w:val="000000" w:themeColor="text1"/>
        </w:rPr>
      </w:pPr>
      <w:r w:rsidRPr="0058432E">
        <w:rPr>
          <w:b/>
          <w:color w:val="000000" w:themeColor="text1"/>
        </w:rPr>
        <w:t>4.4</w:t>
      </w:r>
      <w:r w:rsidRPr="0058432E">
        <w:rPr>
          <w:b/>
          <w:color w:val="000000" w:themeColor="text1"/>
        </w:rPr>
        <w:tab/>
        <w:t xml:space="preserve">Mises en garde spéciales et précautions d’emploi </w:t>
      </w:r>
    </w:p>
    <w:p w14:paraId="61128B99" w14:textId="77777777" w:rsidR="00C46587" w:rsidRPr="0058432E" w:rsidRDefault="00C46587" w:rsidP="00982118">
      <w:pPr>
        <w:keepNext/>
        <w:tabs>
          <w:tab w:val="left" w:pos="562"/>
        </w:tabs>
        <w:rPr>
          <w:b/>
          <w:color w:val="000000" w:themeColor="text1"/>
        </w:rPr>
      </w:pPr>
    </w:p>
    <w:p w14:paraId="1F824F31" w14:textId="77777777" w:rsidR="00955F88" w:rsidRPr="0058432E" w:rsidRDefault="00955F88" w:rsidP="00982118">
      <w:pPr>
        <w:rPr>
          <w:color w:val="000000" w:themeColor="text1"/>
          <w:u w:val="single"/>
        </w:rPr>
      </w:pPr>
      <w:r w:rsidRPr="0058432E">
        <w:rPr>
          <w:color w:val="000000" w:themeColor="text1"/>
          <w:u w:val="single"/>
        </w:rPr>
        <w:t>Traçabilité</w:t>
      </w:r>
    </w:p>
    <w:p w14:paraId="6524BFC6" w14:textId="77777777" w:rsidR="00955F88" w:rsidRPr="0058432E" w:rsidRDefault="00955F88" w:rsidP="00982118">
      <w:pPr>
        <w:rPr>
          <w:color w:val="000000" w:themeColor="text1"/>
        </w:rPr>
      </w:pPr>
    </w:p>
    <w:p w14:paraId="4DDDF8E1" w14:textId="77777777" w:rsidR="00C46587" w:rsidRPr="0058432E" w:rsidRDefault="00C46587" w:rsidP="00982118">
      <w:pPr>
        <w:rPr>
          <w:color w:val="000000" w:themeColor="text1"/>
        </w:rPr>
      </w:pPr>
      <w:r w:rsidRPr="0058432E">
        <w:rPr>
          <w:color w:val="000000" w:themeColor="text1"/>
        </w:rPr>
        <w:t>Afin d’améliorer la traçabilité des médicaments biologiques, l</w:t>
      </w:r>
      <w:r w:rsidR="005B6343" w:rsidRPr="0058432E">
        <w:rPr>
          <w:color w:val="000000" w:themeColor="text1"/>
        </w:rPr>
        <w:t>a dénomination</w:t>
      </w:r>
      <w:r w:rsidRPr="0058432E">
        <w:rPr>
          <w:color w:val="000000" w:themeColor="text1"/>
        </w:rPr>
        <w:t xml:space="preserve"> et le numéro de lot du produit administré doivent être clairement enregistrés. </w:t>
      </w:r>
    </w:p>
    <w:p w14:paraId="57A1A36F" w14:textId="77777777" w:rsidR="00C46587" w:rsidRPr="0058432E" w:rsidRDefault="00C46587" w:rsidP="00982118">
      <w:pPr>
        <w:rPr>
          <w:color w:val="000000" w:themeColor="text1"/>
        </w:rPr>
      </w:pPr>
    </w:p>
    <w:p w14:paraId="6F07AF0A" w14:textId="77777777" w:rsidR="00C46587" w:rsidRPr="0058432E" w:rsidRDefault="00C46587" w:rsidP="00982118">
      <w:pPr>
        <w:keepNext/>
        <w:rPr>
          <w:color w:val="000000" w:themeColor="text1"/>
          <w:u w:val="single"/>
        </w:rPr>
      </w:pPr>
      <w:r w:rsidRPr="0058432E">
        <w:rPr>
          <w:color w:val="000000" w:themeColor="text1"/>
          <w:u w:val="single"/>
        </w:rPr>
        <w:t>Infections</w:t>
      </w:r>
    </w:p>
    <w:p w14:paraId="14D30B0C" w14:textId="77777777" w:rsidR="00C46587" w:rsidRPr="0058432E" w:rsidRDefault="00C46587" w:rsidP="00982118">
      <w:pPr>
        <w:keepNext/>
        <w:rPr>
          <w:color w:val="000000" w:themeColor="text1"/>
        </w:rPr>
      </w:pPr>
    </w:p>
    <w:p w14:paraId="7F5B7AEF" w14:textId="77777777" w:rsidR="00C46587" w:rsidRPr="0058432E" w:rsidRDefault="00C46587" w:rsidP="00982118">
      <w:pPr>
        <w:rPr>
          <w:color w:val="000000" w:themeColor="text1"/>
        </w:rPr>
      </w:pPr>
      <w:r w:rsidRPr="0058432E">
        <w:rPr>
          <w:color w:val="000000" w:themeColor="text1"/>
        </w:rPr>
        <w:t>Les patients recevant des antagonistes du TNF sont plus prédisposés aux infections graves. Une fonction pulmonaire altérée peut augmenter le risque de développer des infections. Les patients doivent donc être surveillés étroitement afin de dépister des infections (y compris la tuberculose) avant, pendant et après le traitement par Amsparity. La durée d’élimination de l’adalimumab pouvant aller jusqu’à quatre mois, la surveillance devra être poursuivie pendant toute cette période.</w:t>
      </w:r>
    </w:p>
    <w:p w14:paraId="73883023" w14:textId="77777777" w:rsidR="00C46587" w:rsidRPr="0058432E" w:rsidRDefault="00C46587" w:rsidP="00982118">
      <w:pPr>
        <w:rPr>
          <w:color w:val="000000" w:themeColor="text1"/>
        </w:rPr>
      </w:pPr>
    </w:p>
    <w:p w14:paraId="4AAB9EBB" w14:textId="77777777" w:rsidR="00C46587" w:rsidRPr="0058432E" w:rsidRDefault="00C46587" w:rsidP="00982118">
      <w:pPr>
        <w:rPr>
          <w:color w:val="000000" w:themeColor="text1"/>
        </w:rPr>
      </w:pPr>
      <w:r w:rsidRPr="0058432E">
        <w:rPr>
          <w:color w:val="000000" w:themeColor="text1"/>
        </w:rPr>
        <w:t xml:space="preserve">Le traitement par Amsparity ne doit pas être instauré </w:t>
      </w:r>
      <w:r w:rsidR="003A7F0A" w:rsidRPr="0058432E">
        <w:rPr>
          <w:color w:val="000000" w:themeColor="text1"/>
        </w:rPr>
        <w:t>chez les patients présen</w:t>
      </w:r>
      <w:r w:rsidRPr="0058432E">
        <w:rPr>
          <w:color w:val="000000" w:themeColor="text1"/>
        </w:rPr>
        <w:t xml:space="preserve">tant </w:t>
      </w:r>
      <w:r w:rsidR="003A7F0A" w:rsidRPr="0058432E">
        <w:rPr>
          <w:color w:val="000000" w:themeColor="text1"/>
        </w:rPr>
        <w:t>des</w:t>
      </w:r>
      <w:r w:rsidRPr="0058432E">
        <w:rPr>
          <w:color w:val="000000" w:themeColor="text1"/>
        </w:rPr>
        <w:t xml:space="preserve"> infections </w:t>
      </w:r>
      <w:r w:rsidR="003A7F0A" w:rsidRPr="0058432E">
        <w:rPr>
          <w:color w:val="000000" w:themeColor="text1"/>
        </w:rPr>
        <w:t>actives</w:t>
      </w:r>
      <w:r w:rsidRPr="0058432E">
        <w:rPr>
          <w:color w:val="000000" w:themeColor="text1"/>
        </w:rPr>
        <w:t xml:space="preserve">, y compris les infections chroniques ou localisées, </w:t>
      </w:r>
      <w:r w:rsidR="003A7F0A" w:rsidRPr="0058432E">
        <w:rPr>
          <w:color w:val="000000" w:themeColor="text1"/>
        </w:rPr>
        <w:t xml:space="preserve">tant que les infections </w:t>
      </w:r>
      <w:r w:rsidRPr="0058432E">
        <w:rPr>
          <w:color w:val="000000" w:themeColor="text1"/>
        </w:rPr>
        <w:t xml:space="preserve">ne sont pas contrôlées. Chez les patients ayant été exposés à la tuberculose ou ayant voyagé dans des régions à haut risque de tuberculose ou de mycoses endémiques, </w:t>
      </w:r>
      <w:r w:rsidR="003A7F0A" w:rsidRPr="0058432E">
        <w:rPr>
          <w:color w:val="000000" w:themeColor="text1"/>
        </w:rPr>
        <w:t xml:space="preserve">telles </w:t>
      </w:r>
      <w:proofErr w:type="gramStart"/>
      <w:r w:rsidR="003A7F0A" w:rsidRPr="0058432E">
        <w:rPr>
          <w:color w:val="000000" w:themeColor="text1"/>
        </w:rPr>
        <w:t>que</w:t>
      </w:r>
      <w:r w:rsidRPr="0058432E">
        <w:rPr>
          <w:color w:val="000000" w:themeColor="text1"/>
        </w:rPr>
        <w:t xml:space="preserve"> histoplasmose</w:t>
      </w:r>
      <w:proofErr w:type="gramEnd"/>
      <w:r w:rsidRPr="0058432E">
        <w:rPr>
          <w:color w:val="000000" w:themeColor="text1"/>
        </w:rPr>
        <w:t xml:space="preserve">, coccidioïdomycose ou blastomycose, les risques et bénéfices du traitement par Amsparity doivent être pris en considération avant l’instauration du traitement (voir </w:t>
      </w:r>
      <w:r w:rsidRPr="0058432E">
        <w:rPr>
          <w:i/>
          <w:color w:val="000000" w:themeColor="text1"/>
        </w:rPr>
        <w:t>Autres infections opportunistes</w:t>
      </w:r>
      <w:r w:rsidRPr="0058432E">
        <w:rPr>
          <w:color w:val="000000" w:themeColor="text1"/>
        </w:rPr>
        <w:t>).</w:t>
      </w:r>
    </w:p>
    <w:p w14:paraId="34F55B0E" w14:textId="77777777" w:rsidR="00C46587" w:rsidRPr="0058432E" w:rsidRDefault="00C46587" w:rsidP="00982118">
      <w:pPr>
        <w:rPr>
          <w:color w:val="000000" w:themeColor="text1"/>
        </w:rPr>
      </w:pPr>
    </w:p>
    <w:p w14:paraId="43B2E9E0" w14:textId="77777777" w:rsidR="00C46587" w:rsidRPr="0058432E" w:rsidRDefault="00C46587" w:rsidP="00982118">
      <w:pPr>
        <w:rPr>
          <w:color w:val="000000" w:themeColor="text1"/>
        </w:rPr>
      </w:pPr>
      <w:r w:rsidRPr="0058432E">
        <w:rPr>
          <w:color w:val="000000" w:themeColor="text1"/>
        </w:rPr>
        <w:t xml:space="preserve">Les patients qui </w:t>
      </w:r>
      <w:r w:rsidR="003A7F0A" w:rsidRPr="0058432E">
        <w:rPr>
          <w:color w:val="000000" w:themeColor="text1"/>
        </w:rPr>
        <w:t xml:space="preserve">développent </w:t>
      </w:r>
      <w:r w:rsidRPr="0058432E">
        <w:rPr>
          <w:color w:val="000000" w:themeColor="text1"/>
        </w:rPr>
        <w:t xml:space="preserve">une nouvelle infection </w:t>
      </w:r>
      <w:r w:rsidR="003A7F0A" w:rsidRPr="0058432E">
        <w:rPr>
          <w:color w:val="000000" w:themeColor="text1"/>
        </w:rPr>
        <w:t xml:space="preserve">au </w:t>
      </w:r>
      <w:r w:rsidRPr="0058432E">
        <w:rPr>
          <w:color w:val="000000" w:themeColor="text1"/>
        </w:rPr>
        <w:t>cours d</w:t>
      </w:r>
      <w:r w:rsidR="003A7F0A" w:rsidRPr="0058432E">
        <w:rPr>
          <w:color w:val="000000" w:themeColor="text1"/>
        </w:rPr>
        <w:t>u</w:t>
      </w:r>
      <w:r w:rsidRPr="0058432E">
        <w:rPr>
          <w:color w:val="000000" w:themeColor="text1"/>
        </w:rPr>
        <w:t xml:space="preserve"> traitement par Amsparity doivent faire l’objet d’une surveillance soigneuse et un bilan diagnostique complet doit être pratiqué. </w:t>
      </w:r>
      <w:r w:rsidR="003A7F0A" w:rsidRPr="0058432E">
        <w:rPr>
          <w:color w:val="000000" w:themeColor="text1"/>
        </w:rPr>
        <w:t xml:space="preserve">Lorsqu’un patient développe </w:t>
      </w:r>
      <w:r w:rsidRPr="0058432E">
        <w:rPr>
          <w:color w:val="000000" w:themeColor="text1"/>
        </w:rPr>
        <w:t xml:space="preserve">une nouvelle infection grave ou une septicémie, l’administration d’Amsparity doit être interrompue et un traitement antimicrobien ou antifongique approprié doit être instauré jusqu’à ce que l’infection soit contrôlée. Le médecin doit faire preuve de prudence avant d’utiliser Amsparity chez des patients ayant des antécédents d’infection récidivante ou des conditions sous-jacentes susceptibles de les prédisposer aux infections, y compris un traitement concomitant par des médicaments immunosuppresseurs. </w:t>
      </w:r>
    </w:p>
    <w:p w14:paraId="41C2FC49" w14:textId="77777777" w:rsidR="00C46587" w:rsidRPr="0058432E" w:rsidRDefault="00C46587" w:rsidP="00982118">
      <w:pPr>
        <w:rPr>
          <w:color w:val="000000" w:themeColor="text1"/>
        </w:rPr>
      </w:pPr>
    </w:p>
    <w:p w14:paraId="7055420D" w14:textId="77777777" w:rsidR="00C46587" w:rsidRPr="0058432E" w:rsidRDefault="00C46587" w:rsidP="00982118">
      <w:pPr>
        <w:keepNext/>
        <w:rPr>
          <w:i/>
          <w:color w:val="000000" w:themeColor="text1"/>
        </w:rPr>
      </w:pPr>
      <w:r w:rsidRPr="0058432E">
        <w:rPr>
          <w:i/>
          <w:color w:val="000000" w:themeColor="text1"/>
        </w:rPr>
        <w:t>Infections graves</w:t>
      </w:r>
    </w:p>
    <w:p w14:paraId="11D3DC25" w14:textId="77777777" w:rsidR="00C46587" w:rsidRPr="0058432E" w:rsidRDefault="00C46587" w:rsidP="00982118">
      <w:pPr>
        <w:keepNext/>
        <w:rPr>
          <w:color w:val="000000" w:themeColor="text1"/>
        </w:rPr>
      </w:pPr>
    </w:p>
    <w:p w14:paraId="07B12ED1" w14:textId="77777777" w:rsidR="00C46587" w:rsidRPr="0058432E" w:rsidRDefault="00C46587" w:rsidP="00982118">
      <w:pPr>
        <w:rPr>
          <w:color w:val="000000" w:themeColor="text1"/>
        </w:rPr>
      </w:pPr>
      <w:r w:rsidRPr="0058432E">
        <w:rPr>
          <w:color w:val="000000" w:themeColor="text1"/>
        </w:rPr>
        <w:t>Des infections graves, incluant des septicémies dues à des infections bactériennes, mycobactériennes, fongiques invasives, parasitaires, virales ou à d’autres infections opportunistes, telles que listériose, légionellose et pneumocystose ont été rapportées chez des patients traités par adalimumab.</w:t>
      </w:r>
    </w:p>
    <w:p w14:paraId="335DC452" w14:textId="77777777" w:rsidR="00C46587" w:rsidRPr="0058432E" w:rsidRDefault="00C46587" w:rsidP="00982118">
      <w:pPr>
        <w:rPr>
          <w:color w:val="000000" w:themeColor="text1"/>
        </w:rPr>
      </w:pPr>
    </w:p>
    <w:p w14:paraId="2F4140B4" w14:textId="77777777" w:rsidR="00C46587" w:rsidRPr="0058432E" w:rsidRDefault="00C46587" w:rsidP="00982118">
      <w:pPr>
        <w:rPr>
          <w:color w:val="000000" w:themeColor="text1"/>
        </w:rPr>
      </w:pPr>
      <w:r w:rsidRPr="0058432E">
        <w:rPr>
          <w:color w:val="000000" w:themeColor="text1"/>
        </w:rPr>
        <w:t xml:space="preserve">Les autres infections graves observées dans les essais cliniques sont : pneumonie, pyélonéphrite, arthrite septique et septicémie. Des cas d’infections nécessitant une hospitalisation ou ayant une issue fatale ont été rapportés. </w:t>
      </w:r>
    </w:p>
    <w:p w14:paraId="755BF4BB" w14:textId="77777777" w:rsidR="00C46587" w:rsidRPr="0058432E" w:rsidRDefault="00C46587" w:rsidP="00982118">
      <w:pPr>
        <w:rPr>
          <w:color w:val="000000" w:themeColor="text1"/>
        </w:rPr>
      </w:pPr>
    </w:p>
    <w:p w14:paraId="63C8A4BD" w14:textId="77777777" w:rsidR="00C46587" w:rsidRPr="0058432E" w:rsidRDefault="00C46587" w:rsidP="00982118">
      <w:pPr>
        <w:keepNext/>
        <w:rPr>
          <w:i/>
          <w:color w:val="000000" w:themeColor="text1"/>
        </w:rPr>
      </w:pPr>
      <w:r w:rsidRPr="0058432E">
        <w:rPr>
          <w:i/>
          <w:color w:val="000000" w:themeColor="text1"/>
        </w:rPr>
        <w:t xml:space="preserve">Tuberculose </w:t>
      </w:r>
    </w:p>
    <w:p w14:paraId="2364DBC6" w14:textId="77777777" w:rsidR="00C46587" w:rsidRPr="0058432E" w:rsidRDefault="00C46587" w:rsidP="00982118">
      <w:pPr>
        <w:keepNext/>
        <w:rPr>
          <w:i/>
          <w:color w:val="000000" w:themeColor="text1"/>
        </w:rPr>
      </w:pPr>
    </w:p>
    <w:p w14:paraId="6F501118" w14:textId="77777777" w:rsidR="00C46587" w:rsidRPr="0058432E" w:rsidRDefault="00C46587" w:rsidP="00982118">
      <w:pPr>
        <w:rPr>
          <w:color w:val="000000" w:themeColor="text1"/>
        </w:rPr>
      </w:pPr>
      <w:r w:rsidRPr="0058432E">
        <w:rPr>
          <w:color w:val="000000" w:themeColor="text1"/>
        </w:rPr>
        <w:t>Des cas de tuberculose, incluant des cas de réactivation de la tuberculose et de primo-infection tuberculeuse, ont été rapportés pour des patients recevant l’adalimumab. Des cas de tuberculoses pulmonaire et extra-pulmonaire (c’est-à-dire disséminée) ont été rapportés.</w:t>
      </w:r>
    </w:p>
    <w:p w14:paraId="6DACC193" w14:textId="77777777" w:rsidR="00C46587" w:rsidRPr="0058432E" w:rsidRDefault="00C46587" w:rsidP="00982118">
      <w:pPr>
        <w:rPr>
          <w:color w:val="000000" w:themeColor="text1"/>
        </w:rPr>
      </w:pPr>
    </w:p>
    <w:p w14:paraId="178B07FC" w14:textId="77777777" w:rsidR="00C46587" w:rsidRPr="0058432E" w:rsidRDefault="00C46587" w:rsidP="00982118">
      <w:pPr>
        <w:rPr>
          <w:color w:val="000000" w:themeColor="text1"/>
        </w:rPr>
      </w:pPr>
      <w:r w:rsidRPr="0058432E">
        <w:rPr>
          <w:color w:val="000000" w:themeColor="text1"/>
        </w:rPr>
        <w:t xml:space="preserve">Avant l’instauration du traitement par Amsparity, tous les patients doivent faire l’objet d’une recherche d’infection tuberculeuse active ou non (« latente »). Ce bilan doit comprendre une évaluation médicale détaillée chez les patients ayant des antécédents de tuberculose ou d’exposition antérieure possible à des patients atteints de tuberculose active et/ou d’un traitement immunosuppresseur actuel ou ancien. Des tests de dépistage appropriés (par </w:t>
      </w:r>
      <w:r w:rsidR="001946D2" w:rsidRPr="0058432E">
        <w:rPr>
          <w:color w:val="000000" w:themeColor="text1"/>
        </w:rPr>
        <w:t>ex</w:t>
      </w:r>
      <w:r w:rsidR="00A01FDD" w:rsidRPr="0058432E">
        <w:rPr>
          <w:color w:val="000000" w:themeColor="text1"/>
        </w:rPr>
        <w:t>emple</w:t>
      </w:r>
      <w:r w:rsidRPr="0058432E">
        <w:rPr>
          <w:color w:val="000000" w:themeColor="text1"/>
        </w:rPr>
        <w:t xml:space="preserve"> test dermique à la tuberculine et radiographie pulmonaire) doivent être effectués chez tous les patients (conformément aux recommandations locales). Il est conseillé de noter la réalisation et les résultats de ces tests dans la carte de </w:t>
      </w:r>
      <w:r w:rsidR="003A7F0A" w:rsidRPr="0058432E">
        <w:rPr>
          <w:color w:val="000000" w:themeColor="text1"/>
        </w:rPr>
        <w:t>rappel</w:t>
      </w:r>
      <w:r w:rsidRPr="0058432E">
        <w:rPr>
          <w:color w:val="000000" w:themeColor="text1"/>
        </w:rPr>
        <w:t xml:space="preserve"> patient. Il est rappelé aux prescripteurs que le test dermique à la tuberculine peut </w:t>
      </w:r>
      <w:r w:rsidRPr="0058432E">
        <w:rPr>
          <w:color w:val="000000" w:themeColor="text1"/>
        </w:rPr>
        <w:lastRenderedPageBreak/>
        <w:t xml:space="preserve">donner des </w:t>
      </w:r>
      <w:r w:rsidR="003A7F0A" w:rsidRPr="0058432E">
        <w:rPr>
          <w:color w:val="000000" w:themeColor="text1"/>
        </w:rPr>
        <w:t xml:space="preserve">résultats </w:t>
      </w:r>
      <w:r w:rsidRPr="0058432E">
        <w:rPr>
          <w:color w:val="000000" w:themeColor="text1"/>
        </w:rPr>
        <w:t>faux-négatifs notamment chez les patients gravement malades ou immuno</w:t>
      </w:r>
      <w:r w:rsidR="005B6343" w:rsidRPr="0058432E">
        <w:rPr>
          <w:color w:val="000000" w:themeColor="text1"/>
        </w:rPr>
        <w:t>-</w:t>
      </w:r>
      <w:r w:rsidRPr="0058432E">
        <w:rPr>
          <w:color w:val="000000" w:themeColor="text1"/>
        </w:rPr>
        <w:t>déprimés.</w:t>
      </w:r>
    </w:p>
    <w:p w14:paraId="4BBE1175" w14:textId="77777777" w:rsidR="00C46587" w:rsidRPr="0058432E" w:rsidRDefault="00C46587" w:rsidP="00982118">
      <w:pPr>
        <w:rPr>
          <w:color w:val="000000" w:themeColor="text1"/>
        </w:rPr>
      </w:pPr>
    </w:p>
    <w:p w14:paraId="55B09736" w14:textId="77777777" w:rsidR="00C46587" w:rsidRPr="0058432E" w:rsidRDefault="00C46587" w:rsidP="00982118">
      <w:pPr>
        <w:rPr>
          <w:color w:val="000000" w:themeColor="text1"/>
        </w:rPr>
      </w:pPr>
      <w:r w:rsidRPr="0058432E">
        <w:rPr>
          <w:color w:val="000000" w:themeColor="text1"/>
        </w:rPr>
        <w:t xml:space="preserve">En cas de diagnostic d’une tuberculose active, le traitement par Amsparity ne doit pas être instauré (voir rubrique 4.3). </w:t>
      </w:r>
    </w:p>
    <w:p w14:paraId="72A5C70F" w14:textId="77777777" w:rsidR="00C46587" w:rsidRPr="0058432E" w:rsidRDefault="00C46587" w:rsidP="00982118">
      <w:pPr>
        <w:rPr>
          <w:color w:val="000000" w:themeColor="text1"/>
        </w:rPr>
      </w:pPr>
    </w:p>
    <w:p w14:paraId="5CD27F7C" w14:textId="77777777" w:rsidR="00C46587" w:rsidRPr="0058432E" w:rsidRDefault="00C46587" w:rsidP="00982118">
      <w:pPr>
        <w:rPr>
          <w:color w:val="000000" w:themeColor="text1"/>
        </w:rPr>
      </w:pPr>
      <w:r w:rsidRPr="0058432E">
        <w:rPr>
          <w:color w:val="000000" w:themeColor="text1"/>
        </w:rPr>
        <w:t>Dans toutes les situations décrites ci-dessous, il convient d’évaluer très attentivement le rapport bénéfice/risque du traitement.</w:t>
      </w:r>
    </w:p>
    <w:p w14:paraId="1271ADC3" w14:textId="77777777" w:rsidR="00C46587" w:rsidRPr="0058432E" w:rsidRDefault="00C46587" w:rsidP="00982118">
      <w:pPr>
        <w:rPr>
          <w:color w:val="000000" w:themeColor="text1"/>
        </w:rPr>
      </w:pPr>
    </w:p>
    <w:p w14:paraId="2E23D307" w14:textId="77777777" w:rsidR="00C46587" w:rsidRPr="0058432E" w:rsidRDefault="00C46587" w:rsidP="00982118">
      <w:pPr>
        <w:rPr>
          <w:color w:val="000000" w:themeColor="text1"/>
        </w:rPr>
      </w:pPr>
      <w:r w:rsidRPr="0058432E">
        <w:rPr>
          <w:color w:val="000000" w:themeColor="text1"/>
        </w:rPr>
        <w:t xml:space="preserve">En cas de suspicion d’une tuberculose latente, la consultation d’un médecin, qualifié dans le traitement de la tuberculose, doit être envisagée. </w:t>
      </w:r>
    </w:p>
    <w:p w14:paraId="2F638E6F" w14:textId="77777777" w:rsidR="00C46587" w:rsidRPr="0058432E" w:rsidRDefault="00C46587" w:rsidP="00982118">
      <w:pPr>
        <w:rPr>
          <w:color w:val="000000" w:themeColor="text1"/>
        </w:rPr>
      </w:pPr>
    </w:p>
    <w:p w14:paraId="195BF877" w14:textId="77777777" w:rsidR="00C46587" w:rsidRPr="0058432E" w:rsidRDefault="00C46587" w:rsidP="00982118">
      <w:pPr>
        <w:rPr>
          <w:color w:val="000000" w:themeColor="text1"/>
        </w:rPr>
      </w:pPr>
      <w:r w:rsidRPr="0058432E">
        <w:rPr>
          <w:color w:val="000000" w:themeColor="text1"/>
        </w:rPr>
        <w:t xml:space="preserve">En cas de diagnostic d’une tuberculose latente, une prophylaxie antituberculeuse appropriée et conforme aux recommandations locales doit être mise en œuvre avant le début du traitement par Amsparity. </w:t>
      </w:r>
    </w:p>
    <w:p w14:paraId="7857B349" w14:textId="77777777" w:rsidR="00C46587" w:rsidRPr="0058432E" w:rsidRDefault="00C46587" w:rsidP="00982118">
      <w:pPr>
        <w:rPr>
          <w:color w:val="000000" w:themeColor="text1"/>
        </w:rPr>
      </w:pPr>
    </w:p>
    <w:p w14:paraId="5785F15A" w14:textId="77777777" w:rsidR="00C46587" w:rsidRPr="0058432E" w:rsidRDefault="00C46587" w:rsidP="00982118">
      <w:pPr>
        <w:rPr>
          <w:color w:val="000000" w:themeColor="text1"/>
        </w:rPr>
      </w:pPr>
      <w:r w:rsidRPr="0058432E">
        <w:rPr>
          <w:color w:val="000000" w:themeColor="text1"/>
        </w:rPr>
        <w:t>Une prophylaxie antituberculeuse doit également être envisagée avant l’instauration d’Amsparity chez les patients ayant des facteurs de risque multiples ou significatifs de tuberculose malgré un test de dépistage de la tuberculose négatif et chez les patients ayant des antécédents de tuberculose latente ou active, chez qui l’administration d’un traitement antituberculeux approprié ne peut être confirmée.</w:t>
      </w:r>
    </w:p>
    <w:p w14:paraId="4888F105" w14:textId="77777777" w:rsidR="00C46587" w:rsidRPr="0058432E" w:rsidRDefault="00C46587" w:rsidP="00982118">
      <w:pPr>
        <w:rPr>
          <w:color w:val="000000" w:themeColor="text1"/>
        </w:rPr>
      </w:pPr>
    </w:p>
    <w:p w14:paraId="4893392A" w14:textId="77777777" w:rsidR="00C46587" w:rsidRPr="0058432E" w:rsidRDefault="00C46587" w:rsidP="00982118">
      <w:pPr>
        <w:rPr>
          <w:color w:val="000000" w:themeColor="text1"/>
        </w:rPr>
      </w:pPr>
      <w:r w:rsidRPr="0058432E">
        <w:rPr>
          <w:color w:val="000000" w:themeColor="text1"/>
        </w:rPr>
        <w:t xml:space="preserve">Des cas de réactivation d’une tuberculose malgré un traitement prophylactique sont survenus chez des patients traités par adalimumab. Certains patients qui avaient été traités avec succès pour une tuberculose active ont développé à nouveau la maladie pendant le traitement par adalimumab. </w:t>
      </w:r>
    </w:p>
    <w:p w14:paraId="5304CCC2" w14:textId="77777777" w:rsidR="00C46587" w:rsidRPr="0058432E" w:rsidRDefault="00C46587" w:rsidP="00982118">
      <w:pPr>
        <w:rPr>
          <w:color w:val="000000" w:themeColor="text1"/>
        </w:rPr>
      </w:pPr>
    </w:p>
    <w:p w14:paraId="7A3019C5" w14:textId="77777777" w:rsidR="00C46587" w:rsidRPr="0058432E" w:rsidRDefault="00C46587" w:rsidP="00982118">
      <w:pPr>
        <w:rPr>
          <w:color w:val="000000" w:themeColor="text1"/>
        </w:rPr>
      </w:pPr>
      <w:r w:rsidRPr="0058432E">
        <w:rPr>
          <w:color w:val="000000" w:themeColor="text1"/>
        </w:rPr>
        <w:t xml:space="preserve">Les patients devront être informés qu’il leur faudra consulter leur médecin en cas de survenue de signes ou symptômes évocateurs d’une infection tuberculeuse (par </w:t>
      </w:r>
      <w:r w:rsidR="001946D2" w:rsidRPr="0058432E">
        <w:rPr>
          <w:color w:val="000000" w:themeColor="text1"/>
        </w:rPr>
        <w:t>ex</w:t>
      </w:r>
      <w:r w:rsidR="00A01FDD" w:rsidRPr="0058432E">
        <w:rPr>
          <w:color w:val="000000" w:themeColor="text1"/>
        </w:rPr>
        <w:t>emple</w:t>
      </w:r>
      <w:r w:rsidRPr="0058432E">
        <w:rPr>
          <w:color w:val="000000" w:themeColor="text1"/>
        </w:rPr>
        <w:t xml:space="preserve">, toux persistante, amaigrissement/perte de poids, fébricule, apathie), pendant ou après le traitement par Amsparity. </w:t>
      </w:r>
    </w:p>
    <w:p w14:paraId="22599EF8" w14:textId="77777777" w:rsidR="00C46587" w:rsidRPr="0058432E" w:rsidRDefault="00C46587" w:rsidP="00982118">
      <w:pPr>
        <w:rPr>
          <w:color w:val="000000" w:themeColor="text1"/>
        </w:rPr>
      </w:pPr>
    </w:p>
    <w:p w14:paraId="63344212" w14:textId="77777777" w:rsidR="00C46587" w:rsidRPr="0058432E" w:rsidRDefault="00C46587" w:rsidP="00982118">
      <w:pPr>
        <w:keepNext/>
        <w:rPr>
          <w:i/>
          <w:color w:val="000000" w:themeColor="text1"/>
        </w:rPr>
      </w:pPr>
      <w:r w:rsidRPr="0058432E">
        <w:rPr>
          <w:i/>
          <w:color w:val="000000" w:themeColor="text1"/>
        </w:rPr>
        <w:t>Autres infections opportunistes</w:t>
      </w:r>
    </w:p>
    <w:p w14:paraId="66D78C4C" w14:textId="77777777" w:rsidR="00C46587" w:rsidRPr="0058432E" w:rsidRDefault="00C46587" w:rsidP="00982118">
      <w:pPr>
        <w:keepNext/>
        <w:rPr>
          <w:color w:val="000000" w:themeColor="text1"/>
        </w:rPr>
      </w:pPr>
    </w:p>
    <w:p w14:paraId="762E1EB1" w14:textId="77777777" w:rsidR="00C46587" w:rsidRPr="0058432E" w:rsidRDefault="00C46587" w:rsidP="00982118">
      <w:pPr>
        <w:rPr>
          <w:color w:val="000000" w:themeColor="text1"/>
        </w:rPr>
      </w:pPr>
      <w:r w:rsidRPr="0058432E">
        <w:rPr>
          <w:color w:val="000000" w:themeColor="text1"/>
        </w:rPr>
        <w:t>Des infections opportunistes, incluant des infections fongiques invasives, ont été observées chez des patients traités par adalimumab. Ces infections n’ont pas toujours été détectées chez les patients recevant des antagonistes du TNF, ce qui a retardé l’instauration d’un traitement approprié, avec parfois une issue fatale.</w:t>
      </w:r>
    </w:p>
    <w:p w14:paraId="625C5965" w14:textId="77777777" w:rsidR="00C46587" w:rsidRPr="0058432E" w:rsidRDefault="00C46587" w:rsidP="00982118">
      <w:pPr>
        <w:rPr>
          <w:color w:val="000000" w:themeColor="text1"/>
        </w:rPr>
      </w:pPr>
    </w:p>
    <w:p w14:paraId="0BDE6384" w14:textId="77777777" w:rsidR="00C46587" w:rsidRPr="0058432E" w:rsidRDefault="00C46587" w:rsidP="00982118">
      <w:pPr>
        <w:rPr>
          <w:color w:val="000000" w:themeColor="text1"/>
        </w:rPr>
      </w:pPr>
      <w:r w:rsidRPr="0058432E">
        <w:rPr>
          <w:color w:val="000000" w:themeColor="text1"/>
        </w:rPr>
        <w:t xml:space="preserve">Chez les patients qui présentent des signes et symptômes tels que fièvre, malaise, perte de poids, sueurs, toux, dyspnée et/ou infiltrats pulmonaires ou une autre maladie systémique grave avec ou sans choc concomitant, une infection fongique invasive doit être suspectée ; dans ce cas, il convient d’arrêter immédiatement l’administration d’Amsparity. Le diagnostic et la mise en place d’un traitement antifongique empirique chez ces patients doivent être effectués en accord avec un médecin ayant l’expérience de la prise en charge des patients ayant des infections fongiques invasives. </w:t>
      </w:r>
    </w:p>
    <w:p w14:paraId="6D9C810A" w14:textId="77777777" w:rsidR="00C46587" w:rsidRPr="0058432E" w:rsidRDefault="00C46587" w:rsidP="00982118">
      <w:pPr>
        <w:rPr>
          <w:color w:val="000000" w:themeColor="text1"/>
        </w:rPr>
      </w:pPr>
    </w:p>
    <w:p w14:paraId="280F3E6B" w14:textId="77777777" w:rsidR="00C46587" w:rsidRPr="0058432E" w:rsidRDefault="00C46587" w:rsidP="00982118">
      <w:pPr>
        <w:keepNext/>
        <w:rPr>
          <w:color w:val="000000" w:themeColor="text1"/>
          <w:u w:val="single"/>
        </w:rPr>
      </w:pPr>
      <w:r w:rsidRPr="0058432E">
        <w:rPr>
          <w:color w:val="000000" w:themeColor="text1"/>
          <w:u w:val="single"/>
        </w:rPr>
        <w:t>Réactivation d’hépatite B</w:t>
      </w:r>
    </w:p>
    <w:p w14:paraId="6BDA43FE" w14:textId="77777777" w:rsidR="00C46587" w:rsidRPr="0058432E" w:rsidRDefault="00C46587" w:rsidP="00982118">
      <w:pPr>
        <w:keepNext/>
        <w:rPr>
          <w:color w:val="000000" w:themeColor="text1"/>
        </w:rPr>
      </w:pPr>
    </w:p>
    <w:p w14:paraId="2F6F5F29" w14:textId="77777777" w:rsidR="00C46587" w:rsidRPr="0058432E" w:rsidRDefault="00C46587" w:rsidP="00982118">
      <w:pPr>
        <w:rPr>
          <w:color w:val="000000" w:themeColor="text1"/>
        </w:rPr>
      </w:pPr>
      <w:r w:rsidRPr="0058432E">
        <w:rPr>
          <w:color w:val="000000" w:themeColor="text1"/>
        </w:rPr>
        <w:t xml:space="preserve">Une réactivation d’hépatite B s’est produite chez des patients qui ont reçu un </w:t>
      </w:r>
      <w:r w:rsidR="005B6343" w:rsidRPr="0058432E">
        <w:rPr>
          <w:color w:val="000000" w:themeColor="text1"/>
        </w:rPr>
        <w:t xml:space="preserve">antagoniste du </w:t>
      </w:r>
      <w:r w:rsidRPr="0058432E">
        <w:rPr>
          <w:color w:val="000000" w:themeColor="text1"/>
        </w:rPr>
        <w:t>TNF y compris l’adalimumab et qui étaient porteurs chroniques de ce virus (c’est-à-dire antigène de surface positif). Certains cas ont eu une issue fatale. Les patients doivent faire l’objet d’un dépistage d’infection à VHB avant l’initiation d’un traitement par Amsparity. Pour les patients pour lesquels le test de dépistage de l’hépatite B est positif, il est recommandé de consulter un médecin spécialisé dans le traitement de l’hépatite B.</w:t>
      </w:r>
    </w:p>
    <w:p w14:paraId="5EA27359" w14:textId="77777777" w:rsidR="00C46587" w:rsidRPr="0058432E" w:rsidRDefault="00C46587" w:rsidP="00982118">
      <w:pPr>
        <w:rPr>
          <w:color w:val="000000" w:themeColor="text1"/>
        </w:rPr>
      </w:pPr>
    </w:p>
    <w:p w14:paraId="192FF3CD" w14:textId="77777777" w:rsidR="00C46587" w:rsidRPr="0058432E" w:rsidRDefault="00C46587" w:rsidP="00982118">
      <w:pPr>
        <w:rPr>
          <w:color w:val="000000" w:themeColor="text1"/>
        </w:rPr>
      </w:pPr>
      <w:r w:rsidRPr="0058432E">
        <w:rPr>
          <w:color w:val="000000" w:themeColor="text1"/>
        </w:rPr>
        <w:t xml:space="preserve">Chez les porteurs du VHB qui nécessitent un traitement par Amsparity, il faut surveiller attentivement les signes et les symptômes d’infection active par le VHB tout au long du traitement et pendant plusieurs mois après son arrêt. Il n’y a pas de données disponibles suffisantes concernant le traitement de patients porteurs du VHB traités par antiviral </w:t>
      </w:r>
      <w:r w:rsidR="00FF4F2D" w:rsidRPr="0058432E">
        <w:rPr>
          <w:color w:val="000000" w:themeColor="text1"/>
        </w:rPr>
        <w:t xml:space="preserve">associé à antagoniste du TNF </w:t>
      </w:r>
      <w:r w:rsidRPr="0058432E">
        <w:rPr>
          <w:color w:val="000000" w:themeColor="text1"/>
        </w:rPr>
        <w:t xml:space="preserve">pour prévenir une réactivation du VHB. Chez les patients qui développent une réactivation du VHB, Amsparity doit être </w:t>
      </w:r>
      <w:r w:rsidRPr="0058432E">
        <w:rPr>
          <w:color w:val="000000" w:themeColor="text1"/>
        </w:rPr>
        <w:lastRenderedPageBreak/>
        <w:t xml:space="preserve">arrêté et un traitement antiviral efficace ainsi qu’un traitement </w:t>
      </w:r>
      <w:r w:rsidR="00FF4F2D" w:rsidRPr="0058432E">
        <w:rPr>
          <w:color w:val="000000" w:themeColor="text1"/>
        </w:rPr>
        <w:t>de support approprié</w:t>
      </w:r>
      <w:r w:rsidRPr="0058432E">
        <w:rPr>
          <w:color w:val="000000" w:themeColor="text1"/>
        </w:rPr>
        <w:t xml:space="preserve"> doi</w:t>
      </w:r>
      <w:r w:rsidR="00396513" w:rsidRPr="0058432E">
        <w:rPr>
          <w:color w:val="000000" w:themeColor="text1"/>
        </w:rPr>
        <w:t>ven</w:t>
      </w:r>
      <w:r w:rsidRPr="0058432E">
        <w:rPr>
          <w:color w:val="000000" w:themeColor="text1"/>
        </w:rPr>
        <w:t>t être initié</w:t>
      </w:r>
      <w:r w:rsidR="00396513" w:rsidRPr="0058432E">
        <w:rPr>
          <w:color w:val="000000" w:themeColor="text1"/>
        </w:rPr>
        <w:t>s</w:t>
      </w:r>
      <w:r w:rsidRPr="0058432E">
        <w:rPr>
          <w:color w:val="000000" w:themeColor="text1"/>
        </w:rPr>
        <w:t xml:space="preserve">. </w:t>
      </w:r>
    </w:p>
    <w:p w14:paraId="5FA8CA79" w14:textId="77777777" w:rsidR="00C46587" w:rsidRPr="0058432E" w:rsidRDefault="00C46587" w:rsidP="00982118">
      <w:pPr>
        <w:rPr>
          <w:color w:val="000000" w:themeColor="text1"/>
        </w:rPr>
      </w:pPr>
    </w:p>
    <w:p w14:paraId="696C7D57" w14:textId="77777777" w:rsidR="00C46587" w:rsidRPr="0058432E" w:rsidRDefault="00C46587" w:rsidP="00982118">
      <w:pPr>
        <w:keepNext/>
        <w:rPr>
          <w:color w:val="000000" w:themeColor="text1"/>
          <w:u w:val="single"/>
        </w:rPr>
      </w:pPr>
      <w:r w:rsidRPr="0058432E">
        <w:rPr>
          <w:color w:val="000000" w:themeColor="text1"/>
          <w:u w:val="single"/>
        </w:rPr>
        <w:t>Événements neurologiques</w:t>
      </w:r>
    </w:p>
    <w:p w14:paraId="02115657" w14:textId="77777777" w:rsidR="00C46587" w:rsidRPr="0058432E" w:rsidRDefault="00C46587" w:rsidP="00982118">
      <w:pPr>
        <w:keepNext/>
        <w:rPr>
          <w:color w:val="000000" w:themeColor="text1"/>
        </w:rPr>
      </w:pPr>
    </w:p>
    <w:p w14:paraId="6E29F203" w14:textId="77777777" w:rsidR="00C46587" w:rsidRPr="0058432E" w:rsidRDefault="00C46587" w:rsidP="00982118">
      <w:pPr>
        <w:rPr>
          <w:color w:val="000000" w:themeColor="text1"/>
        </w:rPr>
      </w:pPr>
      <w:r w:rsidRPr="0058432E">
        <w:rPr>
          <w:color w:val="000000" w:themeColor="text1"/>
        </w:rPr>
        <w:t>Les ant</w:t>
      </w:r>
      <w:r w:rsidR="00A16217" w:rsidRPr="0058432E">
        <w:rPr>
          <w:color w:val="000000" w:themeColor="text1"/>
        </w:rPr>
        <w:t>i-</w:t>
      </w:r>
      <w:r w:rsidRPr="0058432E">
        <w:rPr>
          <w:color w:val="000000" w:themeColor="text1"/>
        </w:rPr>
        <w:t xml:space="preserve">TNF, dont l’adalimumab, ont été associés dans de rares circonstances à l’apparition ou à l’exacerbation des symptômes cliniques et/ou des signes </w:t>
      </w:r>
      <w:r w:rsidR="00FF4F2D" w:rsidRPr="0058432E">
        <w:rPr>
          <w:color w:val="000000" w:themeColor="text1"/>
        </w:rPr>
        <w:t xml:space="preserve">radiographiques </w:t>
      </w:r>
      <w:r w:rsidRPr="0058432E">
        <w:rPr>
          <w:color w:val="000000" w:themeColor="text1"/>
        </w:rPr>
        <w:t>de maladie démyélinisante du système nerveux central y compris de sclérose en plaques, de névrite optique et de maladie démyélinisante périphérique, y compris syndrome de Guillain-Barré. La prudence est recommandée aux prescripteurs avant de traiter avec Amsparity les patients atteints d'une maladie démyélinisante du système nerveux central ou périphérique, préexistante ou de survenue récente</w:t>
      </w:r>
      <w:r w:rsidR="00DA6C93" w:rsidRPr="0058432E">
        <w:rPr>
          <w:color w:val="000000" w:themeColor="text1"/>
        </w:rPr>
        <w:t> </w:t>
      </w:r>
      <w:r w:rsidRPr="0058432E">
        <w:rPr>
          <w:color w:val="000000" w:themeColor="text1"/>
        </w:rPr>
        <w:t xml:space="preserve">; l’arrêt du traitement </w:t>
      </w:r>
      <w:r w:rsidR="00FF4F2D" w:rsidRPr="0058432E">
        <w:rPr>
          <w:color w:val="000000" w:themeColor="text1"/>
        </w:rPr>
        <w:t xml:space="preserve">par Amsparity </w:t>
      </w:r>
      <w:r w:rsidRPr="0058432E">
        <w:rPr>
          <w:color w:val="000000" w:themeColor="text1"/>
        </w:rPr>
        <w:t>doit être envisagé en cas d’apparition de l’un</w:t>
      </w:r>
      <w:r w:rsidR="00FF4F2D" w:rsidRPr="0058432E">
        <w:rPr>
          <w:color w:val="000000" w:themeColor="text1"/>
        </w:rPr>
        <w:t>e</w:t>
      </w:r>
      <w:r w:rsidRPr="0058432E">
        <w:rPr>
          <w:color w:val="000000" w:themeColor="text1"/>
        </w:rPr>
        <w:t xml:space="preserve"> de ces </w:t>
      </w:r>
      <w:r w:rsidR="00FF4F2D" w:rsidRPr="0058432E">
        <w:rPr>
          <w:color w:val="000000" w:themeColor="text1"/>
        </w:rPr>
        <w:t>affections</w:t>
      </w:r>
      <w:r w:rsidRPr="0058432E">
        <w:rPr>
          <w:color w:val="000000" w:themeColor="text1"/>
        </w:rPr>
        <w:t>. L’association entre l’uvéite intermédiaire et les maladies démyélinisantes du système nerveux central est connue. Une évaluation neurologique doit être réalisée chez les patients présentant une uvéite intermédiaire non infectieuse avant l’instauration du traitement par Amsparity, et répétée régulièrement au cours du traitement afin de rechercher toute maladie démyélinisante du système nerveux central préexistante ou évolutive.</w:t>
      </w:r>
    </w:p>
    <w:p w14:paraId="5A3655F3" w14:textId="77777777" w:rsidR="00C46587" w:rsidRPr="0058432E" w:rsidRDefault="00C46587" w:rsidP="00982118">
      <w:pPr>
        <w:rPr>
          <w:color w:val="000000" w:themeColor="text1"/>
        </w:rPr>
      </w:pPr>
    </w:p>
    <w:p w14:paraId="718C3B98" w14:textId="77777777" w:rsidR="00C46587" w:rsidRPr="0058432E" w:rsidRDefault="00C46587" w:rsidP="00982118">
      <w:pPr>
        <w:keepNext/>
        <w:rPr>
          <w:color w:val="000000" w:themeColor="text1"/>
          <w:u w:val="single"/>
        </w:rPr>
      </w:pPr>
      <w:r w:rsidRPr="0058432E">
        <w:rPr>
          <w:color w:val="000000" w:themeColor="text1"/>
          <w:u w:val="single"/>
        </w:rPr>
        <w:t>Réactions allergiques</w:t>
      </w:r>
    </w:p>
    <w:p w14:paraId="2BD71AC6" w14:textId="77777777" w:rsidR="00C46587" w:rsidRPr="0058432E" w:rsidRDefault="00C46587" w:rsidP="00982118">
      <w:pPr>
        <w:keepNext/>
        <w:rPr>
          <w:color w:val="000000" w:themeColor="text1"/>
          <w:u w:val="single"/>
        </w:rPr>
      </w:pPr>
    </w:p>
    <w:p w14:paraId="762AEEC6" w14:textId="77777777" w:rsidR="00C46587" w:rsidRPr="0058432E" w:rsidRDefault="00C46587" w:rsidP="00982118">
      <w:pPr>
        <w:rPr>
          <w:color w:val="000000" w:themeColor="text1"/>
        </w:rPr>
      </w:pPr>
      <w:r w:rsidRPr="0058432E">
        <w:rPr>
          <w:color w:val="000000" w:themeColor="text1"/>
        </w:rPr>
        <w:t xml:space="preserve">Au cours des essais cliniques, des réactions allergiques graves associées à l’adalimumab ont rarement été rapportées et des réactions allergiques non graves </w:t>
      </w:r>
      <w:r w:rsidR="00E57860" w:rsidRPr="0058432E">
        <w:rPr>
          <w:color w:val="000000" w:themeColor="text1"/>
        </w:rPr>
        <w:t xml:space="preserve">associées </w:t>
      </w:r>
      <w:r w:rsidRPr="0058432E">
        <w:rPr>
          <w:color w:val="000000" w:themeColor="text1"/>
        </w:rPr>
        <w:t xml:space="preserve">à l’adalimumab ont été peu fréquentes. Des cas de réactions allergiques graves, incluant de </w:t>
      </w:r>
      <w:r w:rsidR="00E57860" w:rsidRPr="0058432E">
        <w:rPr>
          <w:color w:val="000000" w:themeColor="text1"/>
        </w:rPr>
        <w:t>l’</w:t>
      </w:r>
      <w:r w:rsidRPr="0058432E">
        <w:rPr>
          <w:color w:val="000000" w:themeColor="text1"/>
        </w:rPr>
        <w:t>anaphyla</w:t>
      </w:r>
      <w:r w:rsidR="00E57860" w:rsidRPr="0058432E">
        <w:rPr>
          <w:color w:val="000000" w:themeColor="text1"/>
        </w:rPr>
        <w:t>xie,</w:t>
      </w:r>
      <w:r w:rsidRPr="0058432E">
        <w:rPr>
          <w:color w:val="000000" w:themeColor="text1"/>
        </w:rPr>
        <w:t xml:space="preserve"> ont été rapportés, après administration de l’adalimumab. En cas de survenue d’une réaction anaphylactique ou d’une autre réaction allergique grave, l’administration d’Amsparity doit être immédiatement interrompue et un traitement approprié mis en œuvre. </w:t>
      </w:r>
    </w:p>
    <w:p w14:paraId="681721C1" w14:textId="77777777" w:rsidR="00C46587" w:rsidRPr="0058432E" w:rsidRDefault="00C46587" w:rsidP="00982118">
      <w:pPr>
        <w:rPr>
          <w:color w:val="000000" w:themeColor="text1"/>
        </w:rPr>
      </w:pPr>
    </w:p>
    <w:p w14:paraId="5A76E4D2" w14:textId="77777777" w:rsidR="00C46587" w:rsidRPr="0058432E" w:rsidRDefault="00C46587" w:rsidP="00982118">
      <w:pPr>
        <w:keepNext/>
        <w:rPr>
          <w:color w:val="000000" w:themeColor="text1"/>
          <w:u w:val="single"/>
        </w:rPr>
      </w:pPr>
      <w:r w:rsidRPr="0058432E">
        <w:rPr>
          <w:color w:val="000000" w:themeColor="text1"/>
          <w:u w:val="single"/>
        </w:rPr>
        <w:t>Immunosuppression</w:t>
      </w:r>
    </w:p>
    <w:p w14:paraId="1E3521DC" w14:textId="77777777" w:rsidR="00C46587" w:rsidRPr="0058432E" w:rsidRDefault="00C46587" w:rsidP="00982118">
      <w:pPr>
        <w:keepNext/>
        <w:rPr>
          <w:color w:val="000000" w:themeColor="text1"/>
          <w:u w:val="single"/>
        </w:rPr>
      </w:pPr>
    </w:p>
    <w:p w14:paraId="7760B907" w14:textId="77777777" w:rsidR="00C46587" w:rsidRPr="0058432E" w:rsidRDefault="00C46587" w:rsidP="00982118">
      <w:pPr>
        <w:rPr>
          <w:color w:val="000000" w:themeColor="text1"/>
        </w:rPr>
      </w:pPr>
      <w:r w:rsidRPr="0058432E">
        <w:rPr>
          <w:color w:val="000000" w:themeColor="text1"/>
        </w:rPr>
        <w:t>Au cours d’une étude portant sur 64 patients atteints de polyarthrite rhumatoïde et traités par adalimumab, on n’a enregistré aucun élément évocateur d’une dépression de l’hypersensibilité de type retardé, d’une diminution des taux d’immunoglobulines ou d’une modification de la numération des lymphocytes effecteurs T</w:t>
      </w:r>
      <w:r w:rsidR="00E57860" w:rsidRPr="0058432E">
        <w:rPr>
          <w:color w:val="000000" w:themeColor="text1"/>
        </w:rPr>
        <w:t>,</w:t>
      </w:r>
      <w:r w:rsidRPr="0058432E">
        <w:rPr>
          <w:color w:val="000000" w:themeColor="text1"/>
        </w:rPr>
        <w:t xml:space="preserve"> B</w:t>
      </w:r>
      <w:r w:rsidR="00E57860" w:rsidRPr="0058432E">
        <w:rPr>
          <w:color w:val="000000" w:themeColor="text1"/>
        </w:rPr>
        <w:t xml:space="preserve"> et</w:t>
      </w:r>
      <w:r w:rsidRPr="0058432E">
        <w:rPr>
          <w:color w:val="000000" w:themeColor="text1"/>
        </w:rPr>
        <w:t xml:space="preserve"> NK, des monocytes/macrophages et des granulocytes neutrophiles. </w:t>
      </w:r>
    </w:p>
    <w:p w14:paraId="54A74604" w14:textId="77777777" w:rsidR="00C46587" w:rsidRPr="0058432E" w:rsidRDefault="00C46587" w:rsidP="00982118">
      <w:pPr>
        <w:rPr>
          <w:color w:val="000000" w:themeColor="text1"/>
        </w:rPr>
      </w:pPr>
    </w:p>
    <w:p w14:paraId="3035E6B0" w14:textId="77777777" w:rsidR="00C46587" w:rsidRPr="0058432E" w:rsidRDefault="00C46587" w:rsidP="00982118">
      <w:pPr>
        <w:keepNext/>
        <w:rPr>
          <w:color w:val="000000" w:themeColor="text1"/>
          <w:u w:val="single"/>
        </w:rPr>
      </w:pPr>
      <w:r w:rsidRPr="0058432E">
        <w:rPr>
          <w:color w:val="000000" w:themeColor="text1"/>
          <w:u w:val="single"/>
        </w:rPr>
        <w:t>Tumeurs malignes et troubles lymphoprolifératifs</w:t>
      </w:r>
    </w:p>
    <w:p w14:paraId="1EDFC29C" w14:textId="77777777" w:rsidR="00C46587" w:rsidRPr="0058432E" w:rsidRDefault="00C46587" w:rsidP="00982118">
      <w:pPr>
        <w:keepNext/>
        <w:rPr>
          <w:color w:val="000000" w:themeColor="text1"/>
          <w:u w:val="single"/>
        </w:rPr>
      </w:pPr>
    </w:p>
    <w:p w14:paraId="093997E4" w14:textId="77777777" w:rsidR="00C46587" w:rsidRPr="0058432E" w:rsidRDefault="00C46587" w:rsidP="00982118">
      <w:pPr>
        <w:rPr>
          <w:color w:val="000000" w:themeColor="text1"/>
        </w:rPr>
      </w:pPr>
      <w:r w:rsidRPr="0058432E">
        <w:rPr>
          <w:color w:val="000000" w:themeColor="text1"/>
        </w:rPr>
        <w:t>Dans la partie contrôlée des essais cliniques avec des ant</w:t>
      </w:r>
      <w:r w:rsidR="007729A9" w:rsidRPr="0058432E">
        <w:rPr>
          <w:color w:val="000000" w:themeColor="text1"/>
        </w:rPr>
        <w:t xml:space="preserve">agonistes du </w:t>
      </w:r>
      <w:r w:rsidRPr="0058432E">
        <w:rPr>
          <w:color w:val="000000" w:themeColor="text1"/>
        </w:rPr>
        <w:t xml:space="preserve">TNF, il a été observé plus de cas de </w:t>
      </w:r>
      <w:r w:rsidR="007729A9" w:rsidRPr="0058432E">
        <w:rPr>
          <w:color w:val="000000" w:themeColor="text1"/>
        </w:rPr>
        <w:t xml:space="preserve">tumeurs malignes, </w:t>
      </w:r>
      <w:r w:rsidRPr="0058432E">
        <w:rPr>
          <w:color w:val="000000" w:themeColor="text1"/>
        </w:rPr>
        <w:t xml:space="preserve">y compris des lymphomes chez les patients traités par un </w:t>
      </w:r>
      <w:r w:rsidR="00533435" w:rsidRPr="0058432E">
        <w:rPr>
          <w:color w:val="000000" w:themeColor="text1"/>
        </w:rPr>
        <w:t>antagoniste du TNF</w:t>
      </w:r>
      <w:r w:rsidR="007729A9" w:rsidRPr="0058432E">
        <w:rPr>
          <w:color w:val="000000" w:themeColor="text1"/>
        </w:rPr>
        <w:t xml:space="preserve"> </w:t>
      </w:r>
      <w:r w:rsidRPr="0058432E">
        <w:rPr>
          <w:color w:val="000000" w:themeColor="text1"/>
        </w:rPr>
        <w:t xml:space="preserve">que chez les patients du groupe contrôle. Cependant, l’incidence a été rare. Au cours de la surveillance post-marketing, des cas de leucémie ont été rapportés chez des patients traités par </w:t>
      </w:r>
      <w:r w:rsidR="007729A9" w:rsidRPr="0058432E">
        <w:rPr>
          <w:color w:val="000000" w:themeColor="text1"/>
        </w:rPr>
        <w:t xml:space="preserve">un antagoniste du </w:t>
      </w:r>
      <w:r w:rsidRPr="0058432E">
        <w:rPr>
          <w:color w:val="000000" w:themeColor="text1"/>
        </w:rPr>
        <w:t xml:space="preserve">TNF. De plus, il existe un contexte de risque accru de lymphome et de leucémie chez les patients atteints d’une polyarthrite rhumatoïde ancienne, </w:t>
      </w:r>
      <w:r w:rsidR="007E1954" w:rsidRPr="0058432E">
        <w:rPr>
          <w:color w:val="000000" w:themeColor="text1"/>
        </w:rPr>
        <w:t>et avec une activité inflammatoire importante</w:t>
      </w:r>
      <w:r w:rsidRPr="0058432E">
        <w:rPr>
          <w:color w:val="000000" w:themeColor="text1"/>
        </w:rPr>
        <w:t xml:space="preserve">, ce qui complique l’estimation du risque. Dans l’état actuel des connaissances, la possibilité d’un risque de développer des lymphomes, des leucémies ou d’autres </w:t>
      </w:r>
      <w:r w:rsidR="003D4DB8" w:rsidRPr="0058432E">
        <w:rPr>
          <w:color w:val="000000" w:themeColor="text1"/>
        </w:rPr>
        <w:t xml:space="preserve">tumeurs </w:t>
      </w:r>
      <w:r w:rsidRPr="0058432E">
        <w:rPr>
          <w:color w:val="000000" w:themeColor="text1"/>
        </w:rPr>
        <w:t xml:space="preserve">malignes chez les patients traités par </w:t>
      </w:r>
      <w:r w:rsidR="003D4DB8" w:rsidRPr="0058432E">
        <w:rPr>
          <w:color w:val="000000" w:themeColor="text1"/>
        </w:rPr>
        <w:t xml:space="preserve">un </w:t>
      </w:r>
      <w:r w:rsidR="00533435" w:rsidRPr="0058432E">
        <w:rPr>
          <w:color w:val="000000" w:themeColor="text1"/>
        </w:rPr>
        <w:t>antagoniste du TNF</w:t>
      </w:r>
      <w:r w:rsidR="003D4DB8" w:rsidRPr="0058432E">
        <w:rPr>
          <w:color w:val="000000" w:themeColor="text1"/>
        </w:rPr>
        <w:t xml:space="preserve"> </w:t>
      </w:r>
      <w:r w:rsidRPr="0058432E">
        <w:rPr>
          <w:color w:val="000000" w:themeColor="text1"/>
        </w:rPr>
        <w:t>ne peut être exclue.</w:t>
      </w:r>
    </w:p>
    <w:p w14:paraId="0184C8AB" w14:textId="77777777" w:rsidR="00C46587" w:rsidRPr="0058432E" w:rsidRDefault="00C46587" w:rsidP="00982118">
      <w:pPr>
        <w:rPr>
          <w:color w:val="000000" w:themeColor="text1"/>
        </w:rPr>
      </w:pPr>
    </w:p>
    <w:p w14:paraId="5E12FC7F" w14:textId="77777777" w:rsidR="00C46587" w:rsidRPr="0058432E" w:rsidRDefault="00C46587" w:rsidP="00982118">
      <w:pPr>
        <w:rPr>
          <w:color w:val="000000" w:themeColor="text1"/>
        </w:rPr>
      </w:pPr>
      <w:r w:rsidRPr="0058432E">
        <w:rPr>
          <w:color w:val="000000" w:themeColor="text1"/>
        </w:rPr>
        <w:t xml:space="preserve">Des tumeurs malignes, dont certaines d’issue fatale, ont été rapportées après la commercialisation chez des enfants, des adolescents et des adultes jeunes (jusqu’à l’âge de 22 ans) traités par des </w:t>
      </w:r>
      <w:r w:rsidR="00533435" w:rsidRPr="0058432E">
        <w:rPr>
          <w:color w:val="000000" w:themeColor="text1"/>
        </w:rPr>
        <w:t>antagoniste</w:t>
      </w:r>
      <w:r w:rsidR="00CD473C" w:rsidRPr="0058432E">
        <w:rPr>
          <w:color w:val="000000" w:themeColor="text1"/>
        </w:rPr>
        <w:t>s</w:t>
      </w:r>
      <w:r w:rsidR="00533435" w:rsidRPr="0058432E">
        <w:rPr>
          <w:color w:val="000000" w:themeColor="text1"/>
        </w:rPr>
        <w:t xml:space="preserve"> du TNF</w:t>
      </w:r>
      <w:r w:rsidR="00CD473C" w:rsidRPr="0058432E">
        <w:rPr>
          <w:color w:val="000000" w:themeColor="text1"/>
        </w:rPr>
        <w:t xml:space="preserve"> </w:t>
      </w:r>
      <w:r w:rsidRPr="0058432E">
        <w:rPr>
          <w:color w:val="000000" w:themeColor="text1"/>
        </w:rPr>
        <w:t xml:space="preserve">(initiation du traitement </w:t>
      </w:r>
      <w:r w:rsidR="00CD473C" w:rsidRPr="0058432E">
        <w:rPr>
          <w:color w:val="000000" w:themeColor="text1"/>
        </w:rPr>
        <w:t xml:space="preserve">à ou </w:t>
      </w:r>
      <w:r w:rsidRPr="0058432E">
        <w:rPr>
          <w:color w:val="000000" w:themeColor="text1"/>
        </w:rPr>
        <w:t xml:space="preserve">avant l’âge de 18 ans), y compris l’adalimumab. La moitié de ces cas environ étaient des lymphomes. Les autres cas correspondaient à d’autres types de tumeurs malignes parmi lesquels des </w:t>
      </w:r>
      <w:r w:rsidR="00CD473C" w:rsidRPr="0058432E">
        <w:rPr>
          <w:color w:val="000000" w:themeColor="text1"/>
        </w:rPr>
        <w:t xml:space="preserve">tumeurs malignes </w:t>
      </w:r>
      <w:r w:rsidRPr="0058432E">
        <w:rPr>
          <w:color w:val="000000" w:themeColor="text1"/>
        </w:rPr>
        <w:t>rares généralement associés à un</w:t>
      </w:r>
      <w:r w:rsidR="00CD473C" w:rsidRPr="0058432E">
        <w:rPr>
          <w:color w:val="000000" w:themeColor="text1"/>
        </w:rPr>
        <w:t>e</w:t>
      </w:r>
      <w:r w:rsidRPr="0058432E">
        <w:rPr>
          <w:color w:val="000000" w:themeColor="text1"/>
        </w:rPr>
        <w:t xml:space="preserve"> immunosuppression. Le risque de développer des tumeurs malignes ne peut être exclu chez l’enfant et l’adolescent traités par </w:t>
      </w:r>
      <w:r w:rsidR="00CD473C" w:rsidRPr="0058432E">
        <w:rPr>
          <w:color w:val="000000" w:themeColor="text1"/>
        </w:rPr>
        <w:t xml:space="preserve">des antagonistes du </w:t>
      </w:r>
      <w:r w:rsidRPr="0058432E">
        <w:rPr>
          <w:color w:val="000000" w:themeColor="text1"/>
        </w:rPr>
        <w:t xml:space="preserve">TNF. </w:t>
      </w:r>
    </w:p>
    <w:p w14:paraId="196D6CB5" w14:textId="77777777" w:rsidR="00C46587" w:rsidRPr="0058432E" w:rsidRDefault="00C46587" w:rsidP="00982118">
      <w:pPr>
        <w:rPr>
          <w:color w:val="000000" w:themeColor="text1"/>
        </w:rPr>
      </w:pPr>
    </w:p>
    <w:p w14:paraId="15F00F28" w14:textId="77777777" w:rsidR="00C46587" w:rsidRPr="0058432E" w:rsidRDefault="00C46587" w:rsidP="00982118">
      <w:pPr>
        <w:rPr>
          <w:color w:val="000000" w:themeColor="text1"/>
        </w:rPr>
      </w:pPr>
      <w:r w:rsidRPr="0058432E">
        <w:rPr>
          <w:color w:val="000000" w:themeColor="text1"/>
        </w:rPr>
        <w:t xml:space="preserve">Au cours de la surveillance post-marketing, de rares cas de lymphomes hépatospléniques à lymphocytes T ont été identifiés chez des patients traités </w:t>
      </w:r>
      <w:r w:rsidR="008E7545" w:rsidRPr="0058432E">
        <w:rPr>
          <w:color w:val="000000" w:themeColor="text1"/>
        </w:rPr>
        <w:t>par adalimumab</w:t>
      </w:r>
      <w:r w:rsidRPr="0058432E">
        <w:rPr>
          <w:color w:val="000000" w:themeColor="text1"/>
        </w:rPr>
        <w:t xml:space="preserve">. Cette forme rare de lymphome à lymphocytes T a une évolution </w:t>
      </w:r>
      <w:r w:rsidR="00CD473C" w:rsidRPr="0058432E">
        <w:rPr>
          <w:color w:val="000000" w:themeColor="text1"/>
        </w:rPr>
        <w:t xml:space="preserve">pathologique </w:t>
      </w:r>
      <w:r w:rsidRPr="0058432E">
        <w:rPr>
          <w:color w:val="000000" w:themeColor="text1"/>
        </w:rPr>
        <w:t xml:space="preserve">très agressive et est souvent fatale. Certains </w:t>
      </w:r>
      <w:r w:rsidRPr="0058432E">
        <w:rPr>
          <w:color w:val="000000" w:themeColor="text1"/>
        </w:rPr>
        <w:lastRenderedPageBreak/>
        <w:t xml:space="preserve">de ces lymphomes hépatospléniques à lymphocytes T observés avec l’adalimumab sont survenus chez des adultes jeunes ayant un traitement concomitant par azathioprine ou par 6-mercaptopurine utilisé dans les maladies inflammatoires de l’intestin. Le </w:t>
      </w:r>
      <w:proofErr w:type="gramStart"/>
      <w:r w:rsidRPr="0058432E">
        <w:rPr>
          <w:color w:val="000000" w:themeColor="text1"/>
        </w:rPr>
        <w:t>risque potentiel</w:t>
      </w:r>
      <w:proofErr w:type="gramEnd"/>
      <w:r w:rsidRPr="0058432E">
        <w:rPr>
          <w:color w:val="000000" w:themeColor="text1"/>
        </w:rPr>
        <w:t xml:space="preserve"> de l’association de l’azathioprine ou de la 6</w:t>
      </w:r>
      <w:r w:rsidR="00885870" w:rsidRPr="0058432E">
        <w:rPr>
          <w:color w:val="000000" w:themeColor="text1"/>
        </w:rPr>
        <w:t>-</w:t>
      </w:r>
      <w:r w:rsidRPr="0058432E">
        <w:rPr>
          <w:color w:val="000000" w:themeColor="text1"/>
        </w:rPr>
        <w:t>mercaptopurine avec l’adalimumab doit être soigneusement pris en considération. Un risque de développement de lymphome hépatosplénique à lymphocytes T chez des patients traités par Amsparity ne peut pas être exclu (voir rubrique 4.8).</w:t>
      </w:r>
    </w:p>
    <w:p w14:paraId="35823C3C" w14:textId="77777777" w:rsidR="00C46587" w:rsidRPr="0058432E" w:rsidRDefault="00C46587" w:rsidP="00982118">
      <w:pPr>
        <w:rPr>
          <w:color w:val="000000" w:themeColor="text1"/>
        </w:rPr>
      </w:pPr>
    </w:p>
    <w:p w14:paraId="604DA74E" w14:textId="77777777" w:rsidR="00C46587" w:rsidRPr="0058432E" w:rsidRDefault="00C46587" w:rsidP="00982118">
      <w:pPr>
        <w:rPr>
          <w:color w:val="000000" w:themeColor="text1"/>
        </w:rPr>
      </w:pPr>
      <w:r w:rsidRPr="0058432E">
        <w:rPr>
          <w:color w:val="000000" w:themeColor="text1"/>
        </w:rPr>
        <w:t>Il n’existe pas d’études chez des patients avec antécédents de tumeurs malignes ou chez lesquels le traitement par adalimumab est poursuivi après le développement d’un</w:t>
      </w:r>
      <w:r w:rsidR="00CD473C" w:rsidRPr="0058432E">
        <w:rPr>
          <w:color w:val="000000" w:themeColor="text1"/>
        </w:rPr>
        <w:t>e</w:t>
      </w:r>
      <w:r w:rsidRPr="0058432E">
        <w:rPr>
          <w:color w:val="000000" w:themeColor="text1"/>
        </w:rPr>
        <w:t xml:space="preserve"> </w:t>
      </w:r>
      <w:r w:rsidR="00CD473C" w:rsidRPr="0058432E">
        <w:rPr>
          <w:color w:val="000000" w:themeColor="text1"/>
        </w:rPr>
        <w:t>tumeur maligne</w:t>
      </w:r>
      <w:r w:rsidRPr="0058432E">
        <w:rPr>
          <w:color w:val="000000" w:themeColor="text1"/>
        </w:rPr>
        <w:t xml:space="preserve">. En conséquence, une prudence accrue devra être observée lorsqu’on envisage un traitement de ces patients par adalimumab (voir rubrique 4.8). </w:t>
      </w:r>
    </w:p>
    <w:p w14:paraId="1E184F8D" w14:textId="77777777" w:rsidR="00C46587" w:rsidRPr="0058432E" w:rsidRDefault="00C46587" w:rsidP="00982118">
      <w:pPr>
        <w:rPr>
          <w:color w:val="000000" w:themeColor="text1"/>
        </w:rPr>
      </w:pPr>
    </w:p>
    <w:p w14:paraId="25B0A380" w14:textId="77777777" w:rsidR="00C46587" w:rsidRPr="0058432E" w:rsidRDefault="00C46587" w:rsidP="00982118">
      <w:pPr>
        <w:rPr>
          <w:color w:val="000000" w:themeColor="text1"/>
        </w:rPr>
      </w:pPr>
      <w:r w:rsidRPr="0058432E">
        <w:rPr>
          <w:color w:val="000000" w:themeColor="text1"/>
        </w:rPr>
        <w:t xml:space="preserve">Tous les patients, notamment ceux ayant des antécédents de traitement immunosuppresseur intense ou atteints de psoriasis et ayant des antécédents de puvathérapie, devront être examinés à la recherche d’un cancer cutané autre que mélanome avant et pendant le traitement par Amsparity. Des cas de mélanome et de carcinome à cellules de Merkel ont été également rapportés chez les patients traités par </w:t>
      </w:r>
      <w:r w:rsidR="00533435" w:rsidRPr="0058432E">
        <w:rPr>
          <w:color w:val="000000" w:themeColor="text1"/>
        </w:rPr>
        <w:t>antagoniste</w:t>
      </w:r>
      <w:r w:rsidR="00CD473C" w:rsidRPr="0058432E">
        <w:rPr>
          <w:color w:val="000000" w:themeColor="text1"/>
        </w:rPr>
        <w:t>s</w:t>
      </w:r>
      <w:r w:rsidR="00533435" w:rsidRPr="0058432E">
        <w:rPr>
          <w:color w:val="000000" w:themeColor="text1"/>
        </w:rPr>
        <w:t xml:space="preserve"> du TNF</w:t>
      </w:r>
      <w:r w:rsidR="00CD473C" w:rsidRPr="0058432E">
        <w:rPr>
          <w:color w:val="000000" w:themeColor="text1"/>
        </w:rPr>
        <w:t xml:space="preserve">, </w:t>
      </w:r>
      <w:r w:rsidRPr="0058432E">
        <w:rPr>
          <w:color w:val="000000" w:themeColor="text1"/>
        </w:rPr>
        <w:t xml:space="preserve">y compris l’adalimumab (voir rubrique 4.8). </w:t>
      </w:r>
    </w:p>
    <w:p w14:paraId="047D1FB9" w14:textId="77777777" w:rsidR="00C46587" w:rsidRPr="0058432E" w:rsidRDefault="00C46587" w:rsidP="00982118">
      <w:pPr>
        <w:rPr>
          <w:color w:val="000000" w:themeColor="text1"/>
        </w:rPr>
      </w:pPr>
    </w:p>
    <w:p w14:paraId="4F36B4DA" w14:textId="77777777" w:rsidR="00C46587" w:rsidRPr="0058432E" w:rsidRDefault="00C46587" w:rsidP="00982118">
      <w:pPr>
        <w:rPr>
          <w:color w:val="000000" w:themeColor="text1"/>
        </w:rPr>
      </w:pPr>
      <w:r w:rsidRPr="0058432E">
        <w:rPr>
          <w:color w:val="000000" w:themeColor="text1"/>
        </w:rPr>
        <w:t xml:space="preserve">Dans une étude clinique prospective évaluant l’emploi d’un autre </w:t>
      </w:r>
      <w:r w:rsidR="00CD473C" w:rsidRPr="0058432E">
        <w:rPr>
          <w:color w:val="000000" w:themeColor="text1"/>
        </w:rPr>
        <w:t xml:space="preserve">antagoniste du </w:t>
      </w:r>
      <w:r w:rsidRPr="0058432E">
        <w:rPr>
          <w:color w:val="000000" w:themeColor="text1"/>
        </w:rPr>
        <w:t xml:space="preserve">TNF, l’infliximab, chez des patients </w:t>
      </w:r>
      <w:r w:rsidR="00D546C9" w:rsidRPr="0058432E">
        <w:rPr>
          <w:color w:val="000000" w:themeColor="text1"/>
        </w:rPr>
        <w:t>atteints</w:t>
      </w:r>
      <w:r w:rsidRPr="0058432E">
        <w:rPr>
          <w:color w:val="000000" w:themeColor="text1"/>
        </w:rPr>
        <w:t xml:space="preserve"> de broncho-pneumopathie chronique obstructive (BPCO), modérée à sévère, on rapporte plus de cancers, surtout du poumon, de la tête et du cou, parmi les patients traités par infliximab comparativement aux patients du groupe contrôle. Tous les patients avaient des antécédents de tabagisme important. Pour cette raison, des précautions doivent être prises dans l’emploi d’un </w:t>
      </w:r>
      <w:r w:rsidR="00533435" w:rsidRPr="0058432E">
        <w:rPr>
          <w:color w:val="000000" w:themeColor="text1"/>
        </w:rPr>
        <w:t>antagoniste du TNF</w:t>
      </w:r>
      <w:r w:rsidR="00CD473C" w:rsidRPr="0058432E">
        <w:rPr>
          <w:color w:val="000000" w:themeColor="text1"/>
        </w:rPr>
        <w:t xml:space="preserve"> </w:t>
      </w:r>
      <w:r w:rsidRPr="0058432E">
        <w:rPr>
          <w:color w:val="000000" w:themeColor="text1"/>
        </w:rPr>
        <w:t xml:space="preserve">chez des patients </w:t>
      </w:r>
      <w:r w:rsidR="00D546C9" w:rsidRPr="0058432E">
        <w:rPr>
          <w:color w:val="000000" w:themeColor="text1"/>
        </w:rPr>
        <w:t>atteints</w:t>
      </w:r>
      <w:r w:rsidRPr="0058432E">
        <w:rPr>
          <w:color w:val="000000" w:themeColor="text1"/>
        </w:rPr>
        <w:t xml:space="preserve"> de BPCO, et aussi chez des patients à risque de cancer à cause d’un tabagisme important. </w:t>
      </w:r>
    </w:p>
    <w:p w14:paraId="00C4F554" w14:textId="77777777" w:rsidR="00C46587" w:rsidRPr="0058432E" w:rsidRDefault="00C46587" w:rsidP="00982118">
      <w:pPr>
        <w:rPr>
          <w:color w:val="000000" w:themeColor="text1"/>
        </w:rPr>
      </w:pPr>
    </w:p>
    <w:p w14:paraId="1F043ABC" w14:textId="77777777" w:rsidR="00C46587" w:rsidRPr="0058432E" w:rsidRDefault="00C46587" w:rsidP="00982118">
      <w:pPr>
        <w:rPr>
          <w:color w:val="000000" w:themeColor="text1"/>
        </w:rPr>
      </w:pPr>
      <w:r w:rsidRPr="0058432E">
        <w:rPr>
          <w:color w:val="000000" w:themeColor="text1"/>
        </w:rPr>
        <w:t xml:space="preserve">Sur la base des données actuelles, on ne sait pas si le traitement </w:t>
      </w:r>
      <w:r w:rsidR="008E7545" w:rsidRPr="0058432E">
        <w:rPr>
          <w:color w:val="000000" w:themeColor="text1"/>
        </w:rPr>
        <w:t>par adalimumab</w:t>
      </w:r>
      <w:r w:rsidRPr="0058432E">
        <w:rPr>
          <w:color w:val="000000" w:themeColor="text1"/>
        </w:rPr>
        <w:t xml:space="preserve"> influence le risque de développer une dysplasie ou un cancer du côlon. Tous les patients atteints de rectocolite hémorragique qui présentent un risque élevé de dysplasie ou de cancer du côlon (par </w:t>
      </w:r>
      <w:r w:rsidR="001946D2" w:rsidRPr="0058432E">
        <w:rPr>
          <w:color w:val="000000" w:themeColor="text1"/>
        </w:rPr>
        <w:t>ex</w:t>
      </w:r>
      <w:r w:rsidR="00A67736" w:rsidRPr="0058432E">
        <w:rPr>
          <w:color w:val="000000" w:themeColor="text1"/>
        </w:rPr>
        <w:t>emple</w:t>
      </w:r>
      <w:r w:rsidRPr="0058432E">
        <w:rPr>
          <w:color w:val="000000" w:themeColor="text1"/>
        </w:rPr>
        <w:t xml:space="preserve">, les patients atteints de rectocolite hémorragique ancienne ou de cholangite sclérosante primitive) ou qui ont un antécédent de dysplasie ou de cancer du côlon doivent faire l’objet d’un dépistage régulier à la recherche d’une dysplasie avant le traitement et pendant toute l’évolution de leur maladie. Cette évaluation doit inclure une coloscopie et des biopsies conformément aux recommandations locales. </w:t>
      </w:r>
    </w:p>
    <w:p w14:paraId="004E0004" w14:textId="77777777" w:rsidR="00C46587" w:rsidRPr="0058432E" w:rsidRDefault="00C46587" w:rsidP="00982118">
      <w:pPr>
        <w:rPr>
          <w:color w:val="000000" w:themeColor="text1"/>
        </w:rPr>
      </w:pPr>
    </w:p>
    <w:p w14:paraId="4B633D88" w14:textId="77777777" w:rsidR="00C46587" w:rsidRPr="0058432E" w:rsidRDefault="00C46587" w:rsidP="00982118">
      <w:pPr>
        <w:keepNext/>
        <w:rPr>
          <w:color w:val="000000" w:themeColor="text1"/>
          <w:u w:val="single"/>
        </w:rPr>
      </w:pPr>
      <w:r w:rsidRPr="0058432E">
        <w:rPr>
          <w:color w:val="000000" w:themeColor="text1"/>
          <w:u w:val="single"/>
        </w:rPr>
        <w:t>Réactions hématologiques</w:t>
      </w:r>
    </w:p>
    <w:p w14:paraId="393C62B6" w14:textId="77777777" w:rsidR="00C46587" w:rsidRPr="0058432E" w:rsidRDefault="00C46587" w:rsidP="00982118">
      <w:pPr>
        <w:keepNext/>
        <w:rPr>
          <w:color w:val="000000" w:themeColor="text1"/>
        </w:rPr>
      </w:pPr>
    </w:p>
    <w:p w14:paraId="5CA3B78F" w14:textId="77777777" w:rsidR="00C46587" w:rsidRPr="0058432E" w:rsidRDefault="00C46587" w:rsidP="00982118">
      <w:pPr>
        <w:rPr>
          <w:color w:val="000000" w:themeColor="text1"/>
        </w:rPr>
      </w:pPr>
      <w:r w:rsidRPr="0058432E">
        <w:rPr>
          <w:color w:val="000000" w:themeColor="text1"/>
        </w:rPr>
        <w:t xml:space="preserve">De rares cas de pancytopénie, y compris d’anémie aplasique, ont été rapportés avec les </w:t>
      </w:r>
      <w:r w:rsidR="002F7F02" w:rsidRPr="0058432E">
        <w:rPr>
          <w:color w:val="000000" w:themeColor="text1"/>
        </w:rPr>
        <w:t>antagonistes</w:t>
      </w:r>
      <w:r w:rsidR="00F87E7C" w:rsidRPr="0058432E">
        <w:rPr>
          <w:color w:val="000000" w:themeColor="text1"/>
        </w:rPr>
        <w:t xml:space="preserve"> du </w:t>
      </w:r>
      <w:r w:rsidRPr="0058432E">
        <w:rPr>
          <w:color w:val="000000" w:themeColor="text1"/>
        </w:rPr>
        <w:t xml:space="preserve">TNF. Des </w:t>
      </w:r>
      <w:r w:rsidR="00F87E7C" w:rsidRPr="0058432E">
        <w:rPr>
          <w:color w:val="000000" w:themeColor="text1"/>
        </w:rPr>
        <w:t xml:space="preserve">événements </w:t>
      </w:r>
      <w:r w:rsidRPr="0058432E">
        <w:rPr>
          <w:color w:val="000000" w:themeColor="text1"/>
        </w:rPr>
        <w:t xml:space="preserve">indésirables du système </w:t>
      </w:r>
      <w:r w:rsidR="00F87E7C" w:rsidRPr="0058432E">
        <w:rPr>
          <w:color w:val="000000" w:themeColor="text1"/>
        </w:rPr>
        <w:t xml:space="preserve">hématologique </w:t>
      </w:r>
      <w:r w:rsidRPr="0058432E">
        <w:rPr>
          <w:color w:val="000000" w:themeColor="text1"/>
        </w:rPr>
        <w:t xml:space="preserve">comprenant des cytopénies médicalement significatives (par ex : thrombocytopénie, leucopénie) ont été observés avec l’adalimumab. Il doit être conseillé à tous les patients de demander immédiatement un avis médical s’ils </w:t>
      </w:r>
      <w:r w:rsidR="00F87E7C" w:rsidRPr="0058432E">
        <w:rPr>
          <w:color w:val="000000" w:themeColor="text1"/>
        </w:rPr>
        <w:t xml:space="preserve">développent </w:t>
      </w:r>
      <w:r w:rsidRPr="0058432E">
        <w:rPr>
          <w:color w:val="000000" w:themeColor="text1"/>
        </w:rPr>
        <w:t xml:space="preserve">des signes ou des symptômes suggérant des </w:t>
      </w:r>
      <w:r w:rsidR="00F87E7C" w:rsidRPr="0058432E">
        <w:rPr>
          <w:color w:val="000000" w:themeColor="text1"/>
        </w:rPr>
        <w:t xml:space="preserve">dyscrasies </w:t>
      </w:r>
      <w:r w:rsidRPr="0058432E">
        <w:rPr>
          <w:color w:val="000000" w:themeColor="text1"/>
        </w:rPr>
        <w:t>sanguin</w:t>
      </w:r>
      <w:r w:rsidR="00F87E7C" w:rsidRPr="0058432E">
        <w:rPr>
          <w:color w:val="000000" w:themeColor="text1"/>
        </w:rPr>
        <w:t>e</w:t>
      </w:r>
      <w:r w:rsidRPr="0058432E">
        <w:rPr>
          <w:color w:val="000000" w:themeColor="text1"/>
        </w:rPr>
        <w:t>s (par ex</w:t>
      </w:r>
      <w:r w:rsidR="00A67736" w:rsidRPr="0058432E">
        <w:rPr>
          <w:color w:val="000000" w:themeColor="text1"/>
        </w:rPr>
        <w:t>emple</w:t>
      </w:r>
      <w:r w:rsidR="00F87E7C" w:rsidRPr="0058432E">
        <w:rPr>
          <w:color w:val="000000" w:themeColor="text1"/>
        </w:rPr>
        <w:t>,</w:t>
      </w:r>
      <w:r w:rsidRPr="0058432E">
        <w:rPr>
          <w:color w:val="000000" w:themeColor="text1"/>
        </w:rPr>
        <w:t xml:space="preserve"> fièvre persistante, ecchymoses, saignements, pâleur) sous Amsparity. L’arrêt du traitement par Amsparity devra être envisagé </w:t>
      </w:r>
      <w:r w:rsidR="00F87E7C" w:rsidRPr="0058432E">
        <w:rPr>
          <w:color w:val="000000" w:themeColor="text1"/>
        </w:rPr>
        <w:t xml:space="preserve">chez </w:t>
      </w:r>
      <w:r w:rsidRPr="0058432E">
        <w:rPr>
          <w:color w:val="000000" w:themeColor="text1"/>
        </w:rPr>
        <w:t xml:space="preserve">les patients </w:t>
      </w:r>
      <w:r w:rsidR="00F87E7C" w:rsidRPr="0058432E">
        <w:rPr>
          <w:color w:val="000000" w:themeColor="text1"/>
        </w:rPr>
        <w:t>ayant</w:t>
      </w:r>
      <w:r w:rsidRPr="0058432E">
        <w:rPr>
          <w:color w:val="000000" w:themeColor="text1"/>
        </w:rPr>
        <w:t xml:space="preserve"> des anomalies </w:t>
      </w:r>
      <w:r w:rsidR="004B147A" w:rsidRPr="0058432E">
        <w:rPr>
          <w:color w:val="000000" w:themeColor="text1"/>
        </w:rPr>
        <w:t xml:space="preserve">hématologiques </w:t>
      </w:r>
      <w:r w:rsidRPr="0058432E">
        <w:rPr>
          <w:color w:val="000000" w:themeColor="text1"/>
        </w:rPr>
        <w:t xml:space="preserve">significatives confirmées. </w:t>
      </w:r>
    </w:p>
    <w:p w14:paraId="0FC5C1D1" w14:textId="77777777" w:rsidR="00C46587" w:rsidRPr="0058432E" w:rsidRDefault="00C46587" w:rsidP="00982118">
      <w:pPr>
        <w:rPr>
          <w:color w:val="000000" w:themeColor="text1"/>
        </w:rPr>
      </w:pPr>
    </w:p>
    <w:p w14:paraId="30A932BD" w14:textId="77777777" w:rsidR="00C46587" w:rsidRPr="0058432E" w:rsidRDefault="00C46587" w:rsidP="00982118">
      <w:pPr>
        <w:keepNext/>
        <w:rPr>
          <w:color w:val="000000" w:themeColor="text1"/>
          <w:u w:val="single"/>
        </w:rPr>
      </w:pPr>
      <w:r w:rsidRPr="0058432E">
        <w:rPr>
          <w:color w:val="000000" w:themeColor="text1"/>
          <w:u w:val="single"/>
        </w:rPr>
        <w:t>Vaccinations</w:t>
      </w:r>
    </w:p>
    <w:p w14:paraId="660C3EE5" w14:textId="77777777" w:rsidR="00C46587" w:rsidRPr="0058432E" w:rsidRDefault="00C46587" w:rsidP="00982118">
      <w:pPr>
        <w:keepNext/>
        <w:rPr>
          <w:color w:val="000000" w:themeColor="text1"/>
          <w:u w:val="single"/>
        </w:rPr>
      </w:pPr>
    </w:p>
    <w:p w14:paraId="7ED5C6E8" w14:textId="77777777" w:rsidR="00C46587" w:rsidRPr="0058432E" w:rsidRDefault="00C46587" w:rsidP="00982118">
      <w:pPr>
        <w:rPr>
          <w:color w:val="000000" w:themeColor="text1"/>
        </w:rPr>
      </w:pPr>
      <w:r w:rsidRPr="0058432E">
        <w:rPr>
          <w:color w:val="000000" w:themeColor="text1"/>
        </w:rPr>
        <w:t xml:space="preserve">Des réponses anticorps similaires au vaccin pneumococcique </w:t>
      </w:r>
      <w:r w:rsidR="00965D9F" w:rsidRPr="0058432E">
        <w:rPr>
          <w:color w:val="000000" w:themeColor="text1"/>
        </w:rPr>
        <w:t>23-</w:t>
      </w:r>
      <w:r w:rsidRPr="0058432E">
        <w:rPr>
          <w:color w:val="000000" w:themeColor="text1"/>
        </w:rPr>
        <w:t>valen</w:t>
      </w:r>
      <w:r w:rsidR="00965D9F" w:rsidRPr="0058432E">
        <w:rPr>
          <w:color w:val="000000" w:themeColor="text1"/>
        </w:rPr>
        <w:t>t</w:t>
      </w:r>
      <w:r w:rsidRPr="0058432E">
        <w:rPr>
          <w:color w:val="000000" w:themeColor="text1"/>
        </w:rPr>
        <w:t xml:space="preserve"> standard et à la vaccination contre le virus trivalent de la grippe ont été observées dans une étude chez 226 adultes </w:t>
      </w:r>
      <w:r w:rsidR="00D546C9" w:rsidRPr="0058432E">
        <w:rPr>
          <w:color w:val="000000" w:themeColor="text1"/>
        </w:rPr>
        <w:t>atteints</w:t>
      </w:r>
      <w:r w:rsidRPr="0058432E">
        <w:rPr>
          <w:color w:val="000000" w:themeColor="text1"/>
        </w:rPr>
        <w:t xml:space="preserve"> de polyarthrite rhumatoïde traités </w:t>
      </w:r>
      <w:r w:rsidR="008E7545" w:rsidRPr="0058432E">
        <w:rPr>
          <w:color w:val="000000" w:themeColor="text1"/>
        </w:rPr>
        <w:t>par adalimumab</w:t>
      </w:r>
      <w:r w:rsidRPr="0058432E">
        <w:rPr>
          <w:color w:val="000000" w:themeColor="text1"/>
        </w:rPr>
        <w:t xml:space="preserve"> ou un placebo. Il n’y a pas de données disponibles sur la transmission secondaire d’infection par des vaccins vivants chez les patients recevant l’adalimumab. </w:t>
      </w:r>
    </w:p>
    <w:p w14:paraId="6A3CABD0" w14:textId="77777777" w:rsidR="00C46587" w:rsidRPr="0058432E" w:rsidRDefault="00C46587" w:rsidP="00982118">
      <w:pPr>
        <w:rPr>
          <w:color w:val="000000" w:themeColor="text1"/>
        </w:rPr>
      </w:pPr>
    </w:p>
    <w:p w14:paraId="34983C61" w14:textId="77777777" w:rsidR="00C46587" w:rsidRPr="0058432E" w:rsidRDefault="00C46587" w:rsidP="00982118">
      <w:pPr>
        <w:rPr>
          <w:color w:val="000000" w:themeColor="text1"/>
        </w:rPr>
      </w:pPr>
      <w:r w:rsidRPr="0058432E">
        <w:rPr>
          <w:color w:val="000000" w:themeColor="text1"/>
        </w:rPr>
        <w:t xml:space="preserve">Chez les enfants et les adolescents, il est recommandé, si possible, que toutes les vaccinations soient à jour conformément aux recommandations vaccinales en vigueur avant l’instauration du traitement par adalimumab. </w:t>
      </w:r>
    </w:p>
    <w:p w14:paraId="4F512BB4" w14:textId="77777777" w:rsidR="00C46587" w:rsidRPr="0058432E" w:rsidRDefault="00C46587" w:rsidP="00982118">
      <w:pPr>
        <w:rPr>
          <w:color w:val="000000" w:themeColor="text1"/>
        </w:rPr>
      </w:pPr>
    </w:p>
    <w:p w14:paraId="780689C1" w14:textId="77777777" w:rsidR="00C46587" w:rsidRPr="0058432E" w:rsidRDefault="00C46587" w:rsidP="00982118">
      <w:pPr>
        <w:rPr>
          <w:color w:val="000000" w:themeColor="text1"/>
        </w:rPr>
      </w:pPr>
      <w:r w:rsidRPr="0058432E">
        <w:rPr>
          <w:color w:val="000000" w:themeColor="text1"/>
        </w:rPr>
        <w:lastRenderedPageBreak/>
        <w:t xml:space="preserve">Les patients sous adalimumab peuvent recevoir </w:t>
      </w:r>
      <w:r w:rsidR="006C365F" w:rsidRPr="0058432E">
        <w:rPr>
          <w:color w:val="000000" w:themeColor="text1"/>
        </w:rPr>
        <w:t>simultanément des</w:t>
      </w:r>
      <w:r w:rsidRPr="0058432E">
        <w:rPr>
          <w:color w:val="000000" w:themeColor="text1"/>
        </w:rPr>
        <w:t xml:space="preserve"> vaccins, </w:t>
      </w:r>
      <w:r w:rsidR="006C365F" w:rsidRPr="0058432E">
        <w:rPr>
          <w:color w:val="000000" w:themeColor="text1"/>
        </w:rPr>
        <w:t>à l’</w:t>
      </w:r>
      <w:r w:rsidRPr="0058432E">
        <w:rPr>
          <w:color w:val="000000" w:themeColor="text1"/>
        </w:rPr>
        <w:t>except</w:t>
      </w:r>
      <w:r w:rsidR="006C365F" w:rsidRPr="0058432E">
        <w:rPr>
          <w:color w:val="000000" w:themeColor="text1"/>
        </w:rPr>
        <w:t>ion</w:t>
      </w:r>
      <w:r w:rsidRPr="0058432E">
        <w:rPr>
          <w:color w:val="000000" w:themeColor="text1"/>
        </w:rPr>
        <w:t xml:space="preserve"> des vaccins vivants. L’administration de vaccins vivants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vaccin BCG) à des </w:t>
      </w:r>
      <w:r w:rsidR="008F50C9" w:rsidRPr="0058432E">
        <w:rPr>
          <w:color w:val="000000" w:themeColor="text1"/>
        </w:rPr>
        <w:t xml:space="preserve">nourrissons </w:t>
      </w:r>
      <w:r w:rsidRPr="0058432E">
        <w:rPr>
          <w:color w:val="000000" w:themeColor="text1"/>
        </w:rPr>
        <w:t xml:space="preserve">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w:t>
      </w:r>
      <w:r w:rsidR="005B6343" w:rsidRPr="0058432E">
        <w:rPr>
          <w:color w:val="000000" w:themeColor="text1"/>
        </w:rPr>
        <w:t xml:space="preserve"> d’adalimumab chez</w:t>
      </w:r>
      <w:r w:rsidR="000A042E" w:rsidRPr="0058432E">
        <w:rPr>
          <w:color w:val="000000" w:themeColor="text1"/>
        </w:rPr>
        <w:t xml:space="preserve"> </w:t>
      </w:r>
      <w:r w:rsidRPr="0058432E">
        <w:rPr>
          <w:color w:val="000000" w:themeColor="text1"/>
        </w:rPr>
        <w:t xml:space="preserve">la mère </w:t>
      </w:r>
      <w:r w:rsidR="005B6343" w:rsidRPr="0058432E">
        <w:rPr>
          <w:color w:val="000000" w:themeColor="text1"/>
        </w:rPr>
        <w:t xml:space="preserve">pendant </w:t>
      </w:r>
      <w:r w:rsidRPr="0058432E">
        <w:rPr>
          <w:color w:val="000000" w:themeColor="text1"/>
        </w:rPr>
        <w:t xml:space="preserve">la grossesse. </w:t>
      </w:r>
    </w:p>
    <w:p w14:paraId="2DDFAA80" w14:textId="77777777" w:rsidR="00C46587" w:rsidRPr="0058432E" w:rsidRDefault="00C46587" w:rsidP="00982118">
      <w:pPr>
        <w:rPr>
          <w:color w:val="000000" w:themeColor="text1"/>
        </w:rPr>
      </w:pPr>
    </w:p>
    <w:p w14:paraId="789CADDD" w14:textId="77777777" w:rsidR="00C46587" w:rsidRPr="0058432E" w:rsidRDefault="00C46587" w:rsidP="00982118">
      <w:pPr>
        <w:keepNext/>
        <w:rPr>
          <w:color w:val="000000" w:themeColor="text1"/>
          <w:u w:val="single"/>
        </w:rPr>
      </w:pPr>
      <w:r w:rsidRPr="0058432E">
        <w:rPr>
          <w:color w:val="000000" w:themeColor="text1"/>
          <w:u w:val="single"/>
        </w:rPr>
        <w:t>Insuffisance cardiaque congestive</w:t>
      </w:r>
    </w:p>
    <w:p w14:paraId="2DC6EE6C" w14:textId="77777777" w:rsidR="00C46587" w:rsidRPr="0058432E" w:rsidRDefault="00C46587" w:rsidP="00982118">
      <w:pPr>
        <w:keepNext/>
        <w:rPr>
          <w:color w:val="000000" w:themeColor="text1"/>
          <w:u w:val="single"/>
        </w:rPr>
      </w:pPr>
    </w:p>
    <w:p w14:paraId="43B577E1" w14:textId="77777777" w:rsidR="00C46587" w:rsidRPr="0058432E" w:rsidRDefault="00C46587" w:rsidP="00982118">
      <w:pPr>
        <w:rPr>
          <w:color w:val="000000" w:themeColor="text1"/>
        </w:rPr>
      </w:pPr>
      <w:r w:rsidRPr="0058432E">
        <w:rPr>
          <w:color w:val="000000" w:themeColor="text1"/>
        </w:rPr>
        <w:t xml:space="preserve">Dans un essai clinique mené avec un autre </w:t>
      </w:r>
      <w:r w:rsidR="005B6343" w:rsidRPr="0058432E">
        <w:rPr>
          <w:color w:val="000000" w:themeColor="text1"/>
        </w:rPr>
        <w:t>antagoniste du</w:t>
      </w:r>
      <w:r w:rsidRPr="0058432E">
        <w:rPr>
          <w:color w:val="000000" w:themeColor="text1"/>
        </w:rPr>
        <w:t>TNF, on a observé une aggravation de l’insuffisance cardiaque congestive et une augmentation de la mortalité par insuffisance cardiaque congestive. Des cas d’aggravation d’insuffisance cardiaque congestive ont aussi été rapportés chez des patients sous adalimumab. Amsparity doit être utilisé avec prudence chez les patients atteints d’insuffisance cardiaque légère (NYHA classes</w:t>
      </w:r>
      <w:r w:rsidR="006D68D8" w:rsidRPr="0058432E">
        <w:rPr>
          <w:color w:val="000000" w:themeColor="text1"/>
        </w:rPr>
        <w:t> </w:t>
      </w:r>
      <w:r w:rsidRPr="0058432E">
        <w:rPr>
          <w:color w:val="000000" w:themeColor="text1"/>
        </w:rPr>
        <w:t>I/II). Amsparity est contre-indiqué dans l’insuffisance cardiaque modérée à sévère (voir rubrique 4.3). Le traitement par Amsparity doit être arrêté chez les patients présentant de nouveaux symptômes ou une aggravation de leurs symptômes d’insuffisance cardiaque congestive.</w:t>
      </w:r>
    </w:p>
    <w:p w14:paraId="23C4D9FE" w14:textId="77777777" w:rsidR="00C46587" w:rsidRPr="0058432E" w:rsidRDefault="00C46587" w:rsidP="00982118">
      <w:pPr>
        <w:rPr>
          <w:color w:val="000000" w:themeColor="text1"/>
        </w:rPr>
      </w:pPr>
    </w:p>
    <w:p w14:paraId="51EBA44A" w14:textId="77777777" w:rsidR="00C46587" w:rsidRPr="0058432E" w:rsidRDefault="00C46587" w:rsidP="00982118">
      <w:pPr>
        <w:keepNext/>
        <w:rPr>
          <w:color w:val="000000" w:themeColor="text1"/>
          <w:u w:val="single"/>
        </w:rPr>
      </w:pPr>
      <w:r w:rsidRPr="0058432E">
        <w:rPr>
          <w:color w:val="000000" w:themeColor="text1"/>
          <w:u w:val="single"/>
        </w:rPr>
        <w:t>Processus auto-immuns</w:t>
      </w:r>
    </w:p>
    <w:p w14:paraId="580A7B81" w14:textId="77777777" w:rsidR="00C46587" w:rsidRPr="0058432E" w:rsidRDefault="00C46587" w:rsidP="00982118">
      <w:pPr>
        <w:keepNext/>
        <w:rPr>
          <w:color w:val="000000" w:themeColor="text1"/>
          <w:u w:val="single"/>
        </w:rPr>
      </w:pPr>
    </w:p>
    <w:p w14:paraId="2530EECA" w14:textId="77777777" w:rsidR="00C46587" w:rsidRPr="0058432E" w:rsidRDefault="00C46587" w:rsidP="00982118">
      <w:pPr>
        <w:rPr>
          <w:color w:val="000000" w:themeColor="text1"/>
        </w:rPr>
      </w:pPr>
      <w:r w:rsidRPr="0058432E">
        <w:rPr>
          <w:color w:val="000000" w:themeColor="text1"/>
        </w:rPr>
        <w:t xml:space="preserve">Le traitement par Amsparity peut entraîner la formation d’anticorps auto-immuns. L’impact d’un traitement à long terme par adalimumab sur le développement de maladies auto-immunes est inconnu. Si un patient développe des symptômes </w:t>
      </w:r>
      <w:r w:rsidR="006C365F" w:rsidRPr="0058432E">
        <w:rPr>
          <w:color w:val="000000" w:themeColor="text1"/>
        </w:rPr>
        <w:t xml:space="preserve">suggérant </w:t>
      </w:r>
      <w:r w:rsidRPr="0058432E">
        <w:rPr>
          <w:color w:val="000000" w:themeColor="text1"/>
        </w:rPr>
        <w:t xml:space="preserve">un syndrome de type lupus à la suite d’un traitement par Amsparity et présente une réaction positive </w:t>
      </w:r>
      <w:r w:rsidR="006C365F" w:rsidRPr="0058432E">
        <w:rPr>
          <w:color w:val="000000" w:themeColor="text1"/>
        </w:rPr>
        <w:t xml:space="preserve">aux anticorps </w:t>
      </w:r>
      <w:r w:rsidRPr="0058432E">
        <w:rPr>
          <w:color w:val="000000" w:themeColor="text1"/>
        </w:rPr>
        <w:t>anti</w:t>
      </w:r>
      <w:r w:rsidRPr="0058432E">
        <w:rPr>
          <w:color w:val="000000" w:themeColor="text1"/>
        </w:rPr>
        <w:noBreakHyphen/>
        <w:t>ADN double brin, le traitement par Amsparity ne devra pas être poursuivi (voir rubrique 4.8).</w:t>
      </w:r>
    </w:p>
    <w:p w14:paraId="61457693" w14:textId="77777777" w:rsidR="00C46587" w:rsidRPr="0058432E" w:rsidRDefault="00C46587" w:rsidP="00982118">
      <w:pPr>
        <w:rPr>
          <w:color w:val="000000" w:themeColor="text1"/>
        </w:rPr>
      </w:pPr>
    </w:p>
    <w:p w14:paraId="40E2D246" w14:textId="77777777" w:rsidR="00C46587" w:rsidRPr="0058432E" w:rsidRDefault="00C46587" w:rsidP="00982118">
      <w:pPr>
        <w:keepNext/>
        <w:rPr>
          <w:color w:val="000000" w:themeColor="text1"/>
          <w:u w:val="single"/>
        </w:rPr>
      </w:pPr>
      <w:r w:rsidRPr="0058432E">
        <w:rPr>
          <w:color w:val="000000" w:themeColor="text1"/>
          <w:u w:val="single"/>
        </w:rPr>
        <w:t>Administration simultanée de traitements de fond (DMARD</w:t>
      </w:r>
      <w:r w:rsidR="00FE50EF" w:rsidRPr="0058432E">
        <w:rPr>
          <w:color w:val="000000" w:themeColor="text1"/>
          <w:u w:val="single"/>
        </w:rPr>
        <w:t>s</w:t>
      </w:r>
      <w:r w:rsidRPr="0058432E">
        <w:rPr>
          <w:color w:val="000000" w:themeColor="text1"/>
          <w:u w:val="single"/>
        </w:rPr>
        <w:t xml:space="preserve">) biologiques ou </w:t>
      </w:r>
      <w:r w:rsidR="006C365F" w:rsidRPr="0058432E">
        <w:rPr>
          <w:color w:val="000000" w:themeColor="text1"/>
          <w:u w:val="single"/>
        </w:rPr>
        <w:t xml:space="preserve">antagonistes du </w:t>
      </w:r>
      <w:r w:rsidRPr="0058432E">
        <w:rPr>
          <w:color w:val="000000" w:themeColor="text1"/>
          <w:u w:val="single"/>
        </w:rPr>
        <w:t>TNF</w:t>
      </w:r>
    </w:p>
    <w:p w14:paraId="58A99E58" w14:textId="77777777" w:rsidR="00C46587" w:rsidRPr="0058432E" w:rsidRDefault="00C46587" w:rsidP="00982118">
      <w:pPr>
        <w:keepNext/>
        <w:rPr>
          <w:color w:val="000000" w:themeColor="text1"/>
          <w:u w:val="single"/>
        </w:rPr>
      </w:pPr>
    </w:p>
    <w:p w14:paraId="7E2C8AC7" w14:textId="77777777" w:rsidR="00C46587" w:rsidRPr="0058432E" w:rsidRDefault="00C46587" w:rsidP="00982118">
      <w:pPr>
        <w:rPr>
          <w:color w:val="000000" w:themeColor="text1"/>
        </w:rPr>
      </w:pPr>
      <w:r w:rsidRPr="0058432E">
        <w:rPr>
          <w:color w:val="000000" w:themeColor="text1"/>
        </w:rPr>
        <w:t xml:space="preserve">Des infections graves ont été observées dans des études cliniques lors de l’administration simultanée d’anakinra et d’un autre </w:t>
      </w:r>
      <w:r w:rsidR="006C365F" w:rsidRPr="0058432E">
        <w:rPr>
          <w:color w:val="000000" w:themeColor="text1"/>
        </w:rPr>
        <w:t xml:space="preserve">antagoniste du </w:t>
      </w:r>
      <w:r w:rsidRPr="0058432E">
        <w:rPr>
          <w:color w:val="000000" w:themeColor="text1"/>
        </w:rPr>
        <w:t xml:space="preserve">TNF, l’étanercept, sans bénéfice clinique supplémentaire comparé à l’étanercept seul. En raison de la nature des </w:t>
      </w:r>
      <w:r w:rsidR="006C365F" w:rsidRPr="0058432E">
        <w:rPr>
          <w:color w:val="000000" w:themeColor="text1"/>
        </w:rPr>
        <w:t xml:space="preserve">événements </w:t>
      </w:r>
      <w:r w:rsidRPr="0058432E">
        <w:rPr>
          <w:color w:val="000000" w:themeColor="text1"/>
        </w:rPr>
        <w:t xml:space="preserve">indésirables observés avec le traitement par l’association étanercept et anakinra, des effets néfastes similaires peuvent aussi résulter de l’association d’anakinra et d’autres </w:t>
      </w:r>
      <w:r w:rsidR="006C365F" w:rsidRPr="0058432E">
        <w:rPr>
          <w:color w:val="000000" w:themeColor="text1"/>
        </w:rPr>
        <w:t xml:space="preserve">antagonistes du </w:t>
      </w:r>
      <w:r w:rsidRPr="0058432E">
        <w:rPr>
          <w:color w:val="000000" w:themeColor="text1"/>
        </w:rPr>
        <w:t xml:space="preserve">TNF. Par conséquent, l’association d’adalimumab et d’anakinra n’est pas recommandée (voir rubrique 4.5). </w:t>
      </w:r>
    </w:p>
    <w:p w14:paraId="0DD4FB51" w14:textId="77777777" w:rsidR="00C46587" w:rsidRPr="0058432E" w:rsidRDefault="00C46587" w:rsidP="00982118">
      <w:pPr>
        <w:rPr>
          <w:color w:val="000000" w:themeColor="text1"/>
        </w:rPr>
      </w:pPr>
    </w:p>
    <w:p w14:paraId="3EBA1231" w14:textId="77777777" w:rsidR="00C46587" w:rsidRPr="0058432E" w:rsidRDefault="00C46587" w:rsidP="00982118">
      <w:pPr>
        <w:rPr>
          <w:color w:val="000000" w:themeColor="text1"/>
        </w:rPr>
      </w:pPr>
      <w:r w:rsidRPr="0058432E">
        <w:rPr>
          <w:color w:val="000000" w:themeColor="text1"/>
        </w:rPr>
        <w:t xml:space="preserve">L’administration concomitante d’adalimumab avec d’autres </w:t>
      </w:r>
      <w:r w:rsidR="003D045A" w:rsidRPr="0058432E">
        <w:rPr>
          <w:color w:val="000000" w:themeColor="text1"/>
        </w:rPr>
        <w:t>DMARDs</w:t>
      </w:r>
      <w:r w:rsidRPr="0058432E">
        <w:rPr>
          <w:color w:val="000000" w:themeColor="text1"/>
        </w:rPr>
        <w:t xml:space="preserve"> (par </w:t>
      </w:r>
      <w:r w:rsidR="001946D2" w:rsidRPr="0058432E">
        <w:rPr>
          <w:color w:val="000000" w:themeColor="text1"/>
        </w:rPr>
        <w:t>ex</w:t>
      </w:r>
      <w:r w:rsidR="000663D0" w:rsidRPr="0058432E">
        <w:rPr>
          <w:color w:val="000000" w:themeColor="text1"/>
        </w:rPr>
        <w:t>emple,</w:t>
      </w:r>
      <w:r w:rsidRPr="0058432E">
        <w:rPr>
          <w:color w:val="000000" w:themeColor="text1"/>
        </w:rPr>
        <w:t xml:space="preserve"> anakinra et abatacept) ou avec d’autres </w:t>
      </w:r>
      <w:r w:rsidR="00533435" w:rsidRPr="0058432E">
        <w:rPr>
          <w:color w:val="000000" w:themeColor="text1"/>
        </w:rPr>
        <w:t>antagoniste</w:t>
      </w:r>
      <w:r w:rsidR="006C365F" w:rsidRPr="0058432E">
        <w:rPr>
          <w:color w:val="000000" w:themeColor="text1"/>
        </w:rPr>
        <w:t>s</w:t>
      </w:r>
      <w:r w:rsidR="00533435" w:rsidRPr="0058432E">
        <w:rPr>
          <w:color w:val="000000" w:themeColor="text1"/>
        </w:rPr>
        <w:t xml:space="preserve"> du TNF</w:t>
      </w:r>
      <w:r w:rsidR="006C365F" w:rsidRPr="0058432E">
        <w:rPr>
          <w:color w:val="000000" w:themeColor="text1"/>
        </w:rPr>
        <w:t xml:space="preserve"> </w:t>
      </w:r>
      <w:r w:rsidRPr="0058432E">
        <w:rPr>
          <w:color w:val="000000" w:themeColor="text1"/>
        </w:rPr>
        <w:t xml:space="preserve">n’est pas recommandée en raison de l’augmentation possible du risque d’infections, y compris d’infections graves, et d’autres interactions pharmacologiques potentielles (voir rubrique 4.5). </w:t>
      </w:r>
    </w:p>
    <w:p w14:paraId="0358AB62" w14:textId="77777777" w:rsidR="00C46587" w:rsidRPr="0058432E" w:rsidRDefault="00C46587" w:rsidP="00982118">
      <w:pPr>
        <w:rPr>
          <w:color w:val="000000" w:themeColor="text1"/>
        </w:rPr>
      </w:pPr>
    </w:p>
    <w:p w14:paraId="7BB3904F" w14:textId="77777777" w:rsidR="00C46587" w:rsidRPr="0058432E" w:rsidRDefault="00C46587" w:rsidP="00982118">
      <w:pPr>
        <w:keepNext/>
        <w:rPr>
          <w:color w:val="000000" w:themeColor="text1"/>
          <w:u w:val="single"/>
        </w:rPr>
      </w:pPr>
      <w:r w:rsidRPr="0058432E">
        <w:rPr>
          <w:color w:val="000000" w:themeColor="text1"/>
          <w:u w:val="single"/>
        </w:rPr>
        <w:t>Chirurgie</w:t>
      </w:r>
    </w:p>
    <w:p w14:paraId="32B4325E" w14:textId="77777777" w:rsidR="00C46587" w:rsidRPr="0058432E" w:rsidRDefault="00C46587" w:rsidP="00982118">
      <w:pPr>
        <w:keepNext/>
        <w:rPr>
          <w:color w:val="000000" w:themeColor="text1"/>
          <w:u w:val="single"/>
        </w:rPr>
      </w:pPr>
    </w:p>
    <w:p w14:paraId="45FD09CE" w14:textId="77777777" w:rsidR="00C46587" w:rsidRPr="0058432E" w:rsidRDefault="00C46587" w:rsidP="00982118">
      <w:pPr>
        <w:rPr>
          <w:color w:val="000000" w:themeColor="text1"/>
        </w:rPr>
      </w:pPr>
      <w:r w:rsidRPr="0058432E">
        <w:rPr>
          <w:color w:val="000000" w:themeColor="text1"/>
        </w:rPr>
        <w:t>L’expérience concernant la tolérance au cours d’interventions chirurgicales chez les patients traités par adalimumab est limitée. La longue demi</w:t>
      </w:r>
      <w:r w:rsidRPr="0058432E">
        <w:rPr>
          <w:color w:val="000000" w:themeColor="text1"/>
        </w:rPr>
        <w:noBreakHyphen/>
        <w:t xml:space="preserve">vie de l’adalimumab doit être prise en compte si une intervention chirurgicale est prévue. Un patient traité par Amsparity nécessitant une intervention chirurgicale doit être attentivement surveillé afin de dépister des infections et des actions appropriées doivent être entreprises. L’expérience concernant la tolérance de l’adalimumab chez les patients opérés pour arthroplastie est limitée. </w:t>
      </w:r>
    </w:p>
    <w:p w14:paraId="176DEC85" w14:textId="77777777" w:rsidR="00C46587" w:rsidRPr="0058432E" w:rsidRDefault="00C46587" w:rsidP="00982118">
      <w:pPr>
        <w:rPr>
          <w:color w:val="000000" w:themeColor="text1"/>
        </w:rPr>
      </w:pPr>
    </w:p>
    <w:p w14:paraId="6F176522" w14:textId="77777777" w:rsidR="00C46587" w:rsidRPr="0058432E" w:rsidRDefault="00C46587" w:rsidP="00982118">
      <w:pPr>
        <w:keepNext/>
        <w:rPr>
          <w:color w:val="000000" w:themeColor="text1"/>
          <w:u w:val="single"/>
        </w:rPr>
      </w:pPr>
      <w:r w:rsidRPr="0058432E">
        <w:rPr>
          <w:color w:val="000000" w:themeColor="text1"/>
          <w:u w:val="single"/>
        </w:rPr>
        <w:t xml:space="preserve">Occlusion </w:t>
      </w:r>
      <w:proofErr w:type="gramStart"/>
      <w:r w:rsidRPr="0058432E">
        <w:rPr>
          <w:color w:val="000000" w:themeColor="text1"/>
          <w:u w:val="single"/>
        </w:rPr>
        <w:t>du grêle</w:t>
      </w:r>
      <w:proofErr w:type="gramEnd"/>
      <w:r w:rsidRPr="0058432E">
        <w:rPr>
          <w:color w:val="000000" w:themeColor="text1"/>
          <w:u w:val="single"/>
        </w:rPr>
        <w:t xml:space="preserve"> </w:t>
      </w:r>
    </w:p>
    <w:p w14:paraId="6F8FB9BE" w14:textId="77777777" w:rsidR="00C46587" w:rsidRPr="0058432E" w:rsidRDefault="00C46587" w:rsidP="00982118">
      <w:pPr>
        <w:keepNext/>
        <w:rPr>
          <w:color w:val="000000" w:themeColor="text1"/>
        </w:rPr>
      </w:pPr>
    </w:p>
    <w:p w14:paraId="77D5998B" w14:textId="77777777" w:rsidR="00C46587" w:rsidRPr="0058432E" w:rsidRDefault="00C46587" w:rsidP="00982118">
      <w:pPr>
        <w:rPr>
          <w:color w:val="000000" w:themeColor="text1"/>
        </w:rPr>
      </w:pPr>
      <w:r w:rsidRPr="0058432E">
        <w:rPr>
          <w:color w:val="000000" w:themeColor="text1"/>
        </w:rPr>
        <w:t xml:space="preserve">Dans la maladie de Crohn, l’échec au traitement peut indiquer la présence de sténoses fibreuses fixes pouvant nécessiter un traitement chirurgical. Les données disponibles suggèrent que l’adalimumab n’aggrave pas ou ne provoque pas de sténoses. </w:t>
      </w:r>
    </w:p>
    <w:p w14:paraId="58705C83" w14:textId="77777777" w:rsidR="00C46587" w:rsidRPr="0058432E" w:rsidRDefault="00C46587" w:rsidP="00982118">
      <w:pPr>
        <w:rPr>
          <w:color w:val="000000" w:themeColor="text1"/>
        </w:rPr>
      </w:pPr>
    </w:p>
    <w:p w14:paraId="6999E089" w14:textId="77777777" w:rsidR="00C46587" w:rsidRPr="0058432E" w:rsidRDefault="00C46587" w:rsidP="00982118">
      <w:pPr>
        <w:keepNext/>
        <w:rPr>
          <w:color w:val="000000" w:themeColor="text1"/>
          <w:u w:val="single"/>
        </w:rPr>
      </w:pPr>
      <w:r w:rsidRPr="0058432E">
        <w:rPr>
          <w:color w:val="000000" w:themeColor="text1"/>
          <w:u w:val="single"/>
        </w:rPr>
        <w:t>Sujets âgés</w:t>
      </w:r>
    </w:p>
    <w:p w14:paraId="4F47C488" w14:textId="77777777" w:rsidR="00C46587" w:rsidRPr="0058432E" w:rsidRDefault="00C46587" w:rsidP="00982118">
      <w:pPr>
        <w:keepNext/>
        <w:rPr>
          <w:color w:val="000000" w:themeColor="text1"/>
          <w:u w:val="single"/>
        </w:rPr>
      </w:pPr>
    </w:p>
    <w:p w14:paraId="0F4B6A4E" w14:textId="77777777" w:rsidR="00C46587" w:rsidRPr="0058432E" w:rsidRDefault="00C46587" w:rsidP="00982118">
      <w:pPr>
        <w:rPr>
          <w:color w:val="000000" w:themeColor="text1"/>
        </w:rPr>
      </w:pPr>
      <w:r w:rsidRPr="0058432E">
        <w:rPr>
          <w:color w:val="000000" w:themeColor="text1"/>
        </w:rPr>
        <w:t xml:space="preserve">La fréquence des infections graves chez les sujets traités par adalimumab âgés de plus de 65 ans (3,7 %) est plus élevée que chez les patients de moins de 65 ans (1,5 %). Certains cas ont eu une issue </w:t>
      </w:r>
      <w:r w:rsidRPr="0058432E">
        <w:rPr>
          <w:color w:val="000000" w:themeColor="text1"/>
        </w:rPr>
        <w:lastRenderedPageBreak/>
        <w:t>fatale. Une attention particulière concernant le risque d’infection doit être apportée lors du traitement des sujets âgés.</w:t>
      </w:r>
    </w:p>
    <w:p w14:paraId="5B39DE18" w14:textId="77777777" w:rsidR="00C46587" w:rsidRPr="0058432E" w:rsidRDefault="00C46587" w:rsidP="00982118">
      <w:pPr>
        <w:rPr>
          <w:color w:val="000000" w:themeColor="text1"/>
        </w:rPr>
      </w:pPr>
    </w:p>
    <w:p w14:paraId="560A1B8E" w14:textId="77777777" w:rsidR="00C46587" w:rsidRPr="0058432E" w:rsidRDefault="00150D33" w:rsidP="00982118">
      <w:pPr>
        <w:keepNext/>
        <w:rPr>
          <w:color w:val="000000" w:themeColor="text1"/>
          <w:u w:val="single"/>
        </w:rPr>
      </w:pPr>
      <w:r w:rsidRPr="0058432E">
        <w:rPr>
          <w:color w:val="000000" w:themeColor="text1"/>
          <w:u w:val="single"/>
        </w:rPr>
        <w:t>Population pédiatrique</w:t>
      </w:r>
    </w:p>
    <w:p w14:paraId="5CCFF272" w14:textId="77777777" w:rsidR="00C46587" w:rsidRPr="0058432E" w:rsidRDefault="00C46587" w:rsidP="00982118">
      <w:pPr>
        <w:keepNext/>
        <w:rPr>
          <w:color w:val="000000" w:themeColor="text1"/>
          <w:u w:val="single"/>
        </w:rPr>
      </w:pPr>
    </w:p>
    <w:p w14:paraId="3094F3C7" w14:textId="77777777" w:rsidR="00C46587" w:rsidRPr="0058432E" w:rsidRDefault="00C46587" w:rsidP="00982118">
      <w:pPr>
        <w:rPr>
          <w:color w:val="000000" w:themeColor="text1"/>
        </w:rPr>
      </w:pPr>
      <w:r w:rsidRPr="0058432E">
        <w:rPr>
          <w:color w:val="000000" w:themeColor="text1"/>
        </w:rPr>
        <w:t xml:space="preserve">Voir </w:t>
      </w:r>
      <w:r w:rsidR="001430BA" w:rsidRPr="0058432E">
        <w:rPr>
          <w:color w:val="000000" w:themeColor="text1"/>
        </w:rPr>
        <w:t>v</w:t>
      </w:r>
      <w:r w:rsidRPr="0058432E">
        <w:rPr>
          <w:color w:val="000000" w:themeColor="text1"/>
        </w:rPr>
        <w:t xml:space="preserve">accinations ci-dessus. </w:t>
      </w:r>
    </w:p>
    <w:p w14:paraId="5D58F681" w14:textId="77777777" w:rsidR="00955F88" w:rsidRPr="0058432E" w:rsidRDefault="00955F88" w:rsidP="00982118">
      <w:pPr>
        <w:rPr>
          <w:color w:val="000000" w:themeColor="text1"/>
        </w:rPr>
      </w:pPr>
    </w:p>
    <w:p w14:paraId="38F58B34" w14:textId="53B6101A" w:rsidR="00955F88" w:rsidRPr="0058432E" w:rsidRDefault="00955F88" w:rsidP="00982118">
      <w:pPr>
        <w:rPr>
          <w:color w:val="000000" w:themeColor="text1"/>
          <w:u w:val="single"/>
        </w:rPr>
      </w:pPr>
      <w:r w:rsidRPr="0058432E">
        <w:rPr>
          <w:color w:val="000000" w:themeColor="text1"/>
          <w:u w:val="single"/>
        </w:rPr>
        <w:t>Excipient</w:t>
      </w:r>
      <w:r w:rsidR="00975B81" w:rsidRPr="0058432E">
        <w:rPr>
          <w:color w:val="000000" w:themeColor="text1"/>
          <w:u w:val="single"/>
        </w:rPr>
        <w:t>s</w:t>
      </w:r>
      <w:r w:rsidR="00947BA0">
        <w:rPr>
          <w:color w:val="000000" w:themeColor="text1"/>
          <w:u w:val="single"/>
        </w:rPr>
        <w:t xml:space="preserve"> à effet notoire</w:t>
      </w:r>
    </w:p>
    <w:p w14:paraId="3EEA29A6" w14:textId="77777777" w:rsidR="00955F88" w:rsidRPr="0058432E" w:rsidRDefault="00955F88" w:rsidP="00982118">
      <w:pPr>
        <w:rPr>
          <w:color w:val="000000" w:themeColor="text1"/>
        </w:rPr>
      </w:pPr>
    </w:p>
    <w:p w14:paraId="50BE7253" w14:textId="77777777" w:rsidR="00975B81" w:rsidRPr="0058432E" w:rsidRDefault="00975B81" w:rsidP="00975B81">
      <w:pPr>
        <w:rPr>
          <w:i/>
          <w:iCs/>
          <w:color w:val="000000" w:themeColor="text1"/>
        </w:rPr>
      </w:pPr>
      <w:r w:rsidRPr="0058432E">
        <w:rPr>
          <w:i/>
          <w:iCs/>
          <w:color w:val="000000" w:themeColor="text1"/>
        </w:rPr>
        <w:t>Polysorbate</w:t>
      </w:r>
    </w:p>
    <w:p w14:paraId="3534AC46" w14:textId="77777777" w:rsidR="00975B81" w:rsidRPr="0058432E" w:rsidRDefault="00975B81" w:rsidP="00975B81">
      <w:pPr>
        <w:rPr>
          <w:color w:val="000000" w:themeColor="text1"/>
        </w:rPr>
      </w:pPr>
    </w:p>
    <w:p w14:paraId="40C1D644" w14:textId="329C40A5" w:rsidR="00975B81" w:rsidRPr="0058432E" w:rsidRDefault="00975B81" w:rsidP="00975B81">
      <w:pPr>
        <w:rPr>
          <w:color w:val="000000" w:themeColor="text1"/>
        </w:rPr>
      </w:pPr>
      <w:r w:rsidRPr="0058432E">
        <w:rPr>
          <w:color w:val="000000" w:themeColor="text1"/>
        </w:rPr>
        <w:t xml:space="preserve">Ce médicament contient du </w:t>
      </w:r>
      <w:proofErr w:type="spellStart"/>
      <w:r w:rsidRPr="0058432E">
        <w:rPr>
          <w:color w:val="000000" w:themeColor="text1"/>
        </w:rPr>
        <w:t>polysorbate</w:t>
      </w:r>
      <w:proofErr w:type="spellEnd"/>
      <w:r w:rsidRPr="0058432E">
        <w:rPr>
          <w:color w:val="000000" w:themeColor="text1"/>
        </w:rPr>
        <w:t> 80.</w:t>
      </w:r>
      <w:r w:rsidR="00227D30">
        <w:rPr>
          <w:color w:val="000000" w:themeColor="text1"/>
        </w:rPr>
        <w:t xml:space="preserve"> </w:t>
      </w:r>
      <w:proofErr w:type="spellStart"/>
      <w:r w:rsidR="00227D30" w:rsidRPr="0058432E">
        <w:rPr>
          <w:color w:val="000000" w:themeColor="text1"/>
        </w:rPr>
        <w:t>Amsparity</w:t>
      </w:r>
      <w:proofErr w:type="spellEnd"/>
      <w:r w:rsidR="00227D30" w:rsidRPr="0058432E">
        <w:rPr>
          <w:color w:val="000000" w:themeColor="text1"/>
        </w:rPr>
        <w:t xml:space="preserve"> 40 mg/0,8 ml, solution injectable contient 0,16 mg de </w:t>
      </w:r>
      <w:proofErr w:type="spellStart"/>
      <w:r w:rsidR="00227D30" w:rsidRPr="0058432E">
        <w:rPr>
          <w:color w:val="000000" w:themeColor="text1"/>
        </w:rPr>
        <w:t>polysorbate</w:t>
      </w:r>
      <w:proofErr w:type="spellEnd"/>
      <w:r w:rsidR="00227D30" w:rsidRPr="0058432E">
        <w:rPr>
          <w:color w:val="000000" w:themeColor="text1"/>
        </w:rPr>
        <w:t xml:space="preserve"> 80 par flacon unidose de 0,8 ml, équivalant à 0,2 mg/ml de </w:t>
      </w:r>
      <w:proofErr w:type="spellStart"/>
      <w:r w:rsidR="00227D30" w:rsidRPr="0058432E">
        <w:rPr>
          <w:color w:val="000000" w:themeColor="text1"/>
        </w:rPr>
        <w:t>polysorbate</w:t>
      </w:r>
      <w:proofErr w:type="spellEnd"/>
      <w:r w:rsidR="00227D30" w:rsidRPr="0058432E">
        <w:rPr>
          <w:color w:val="000000" w:themeColor="text1"/>
        </w:rPr>
        <w:t> 80.</w:t>
      </w:r>
      <w:r w:rsidRPr="0058432E">
        <w:rPr>
          <w:color w:val="000000" w:themeColor="text1"/>
        </w:rPr>
        <w:t xml:space="preserve"> Le polysorbate 80 peut provoquer des réactions </w:t>
      </w:r>
      <w:r w:rsidR="003E30A2" w:rsidRPr="0058432E">
        <w:rPr>
          <w:color w:val="000000" w:themeColor="text1"/>
        </w:rPr>
        <w:t>d’hypersensibilité</w:t>
      </w:r>
      <w:r w:rsidRPr="0058432E">
        <w:rPr>
          <w:color w:val="000000" w:themeColor="text1"/>
        </w:rPr>
        <w:t>.</w:t>
      </w:r>
    </w:p>
    <w:p w14:paraId="6745CA90" w14:textId="77777777" w:rsidR="00975B81" w:rsidRPr="0058432E" w:rsidRDefault="00975B81" w:rsidP="00975B81">
      <w:pPr>
        <w:rPr>
          <w:color w:val="000000" w:themeColor="text1"/>
        </w:rPr>
      </w:pPr>
    </w:p>
    <w:p w14:paraId="7B78EAAC" w14:textId="77777777" w:rsidR="00975B81" w:rsidRPr="0058432E" w:rsidRDefault="00975B81" w:rsidP="00975B81">
      <w:pPr>
        <w:rPr>
          <w:i/>
          <w:iCs/>
          <w:color w:val="000000" w:themeColor="text1"/>
        </w:rPr>
      </w:pPr>
      <w:r w:rsidRPr="0058432E">
        <w:rPr>
          <w:i/>
          <w:iCs/>
          <w:color w:val="000000" w:themeColor="text1"/>
        </w:rPr>
        <w:t>Sodium</w:t>
      </w:r>
    </w:p>
    <w:p w14:paraId="0696D779" w14:textId="77777777" w:rsidR="00975B81" w:rsidRPr="0058432E" w:rsidRDefault="00975B81" w:rsidP="00982118">
      <w:pPr>
        <w:rPr>
          <w:color w:val="000000" w:themeColor="text1"/>
        </w:rPr>
      </w:pPr>
    </w:p>
    <w:p w14:paraId="384CA464" w14:textId="29F712BE" w:rsidR="00955F88" w:rsidRPr="0058432E" w:rsidRDefault="00955F88" w:rsidP="00982118">
      <w:pPr>
        <w:rPr>
          <w:color w:val="000000" w:themeColor="text1"/>
        </w:rPr>
      </w:pPr>
      <w:r w:rsidRPr="0058432E">
        <w:rPr>
          <w:color w:val="000000" w:themeColor="text1"/>
        </w:rPr>
        <w:t>Ce médicament contient moins de 1 mmol (23 mg) de sodium par dose de 0,8 ml, c.-à-d. qu’il est essentiellement « sans sodium ».</w:t>
      </w:r>
    </w:p>
    <w:p w14:paraId="6F4B570F" w14:textId="77777777" w:rsidR="00C46587" w:rsidRPr="0058432E" w:rsidRDefault="00C46587" w:rsidP="00982118">
      <w:pPr>
        <w:rPr>
          <w:color w:val="000000" w:themeColor="text1"/>
        </w:rPr>
      </w:pPr>
    </w:p>
    <w:p w14:paraId="3857C646" w14:textId="77777777" w:rsidR="00C46587" w:rsidRPr="0058432E" w:rsidRDefault="00C46587" w:rsidP="00982118">
      <w:pPr>
        <w:tabs>
          <w:tab w:val="left" w:pos="562"/>
        </w:tabs>
        <w:rPr>
          <w:b/>
          <w:color w:val="000000" w:themeColor="text1"/>
        </w:rPr>
      </w:pPr>
      <w:r w:rsidRPr="0058432E">
        <w:rPr>
          <w:b/>
          <w:color w:val="000000" w:themeColor="text1"/>
        </w:rPr>
        <w:t>4.5</w:t>
      </w:r>
      <w:r w:rsidRPr="0058432E">
        <w:rPr>
          <w:b/>
          <w:color w:val="000000" w:themeColor="text1"/>
        </w:rPr>
        <w:tab/>
        <w:t>Interactions avec d’autres médicaments et autres formes d’interactions</w:t>
      </w:r>
    </w:p>
    <w:p w14:paraId="1A5E2D98" w14:textId="77777777" w:rsidR="00C46587" w:rsidRPr="0058432E" w:rsidRDefault="00C46587" w:rsidP="00982118">
      <w:pPr>
        <w:rPr>
          <w:color w:val="000000" w:themeColor="text1"/>
        </w:rPr>
      </w:pPr>
    </w:p>
    <w:p w14:paraId="2A07E29B" w14:textId="77777777" w:rsidR="00C46587" w:rsidRPr="0058432E" w:rsidRDefault="005A4709" w:rsidP="00982118">
      <w:pPr>
        <w:rPr>
          <w:color w:val="000000" w:themeColor="text1"/>
        </w:rPr>
      </w:pPr>
      <w:r w:rsidRPr="0058432E">
        <w:rPr>
          <w:color w:val="000000" w:themeColor="text1"/>
        </w:rPr>
        <w:t xml:space="preserve">L’adalimumab a été étudié chez des patients atteints de polyarthrite rhumatoïde, d’arthrite juvénile idiopathique polyarticulaire et de rhumatisme psoriasique prenant l’adalimumab en monothérapie et chez ceux prenant simultanément du méthotrexate. La formation d’anticorps était plus faible lorsque l’adalimumab était administré en même temps que du méthotrexate par comparaison avec son utilisation en monothérapie. L’administration d’adalimumab sans méthotrexate a entraîné une augmentation de la formation d’anticorps, une augmentation de la clairance et une réduction de l’efficacité de l’adalimumab (voir rubrique 5.1). </w:t>
      </w:r>
    </w:p>
    <w:p w14:paraId="0B8D2B9B" w14:textId="77777777" w:rsidR="00C46587" w:rsidRPr="0058432E" w:rsidRDefault="00C46587" w:rsidP="00982118">
      <w:pPr>
        <w:rPr>
          <w:color w:val="000000" w:themeColor="text1"/>
        </w:rPr>
      </w:pPr>
    </w:p>
    <w:p w14:paraId="41CE7DE0" w14:textId="77777777" w:rsidR="00C46587" w:rsidRPr="0058432E" w:rsidRDefault="00C46587" w:rsidP="00982118">
      <w:pPr>
        <w:rPr>
          <w:color w:val="000000" w:themeColor="text1"/>
        </w:rPr>
      </w:pPr>
      <w:r w:rsidRPr="0058432E">
        <w:rPr>
          <w:color w:val="000000" w:themeColor="text1"/>
        </w:rPr>
        <w:t>L’association d’Amsparity et d’anakinra n’est pas recommandée (voir rubrique 4.4 « Administration simultanée de traitements de fond (DMARD</w:t>
      </w:r>
      <w:r w:rsidR="00FE50EF" w:rsidRPr="0058432E">
        <w:rPr>
          <w:color w:val="000000" w:themeColor="text1"/>
        </w:rPr>
        <w:t>s</w:t>
      </w:r>
      <w:r w:rsidRPr="0058432E">
        <w:rPr>
          <w:color w:val="000000" w:themeColor="text1"/>
        </w:rPr>
        <w:t xml:space="preserve">) biologiques </w:t>
      </w:r>
      <w:r w:rsidR="00E31D60" w:rsidRPr="0058432E">
        <w:rPr>
          <w:color w:val="000000" w:themeColor="text1"/>
        </w:rPr>
        <w:t xml:space="preserve">ou </w:t>
      </w:r>
      <w:r w:rsidRPr="0058432E">
        <w:rPr>
          <w:color w:val="000000" w:themeColor="text1"/>
        </w:rPr>
        <w:t>ant</w:t>
      </w:r>
      <w:r w:rsidR="00E31D60" w:rsidRPr="0058432E">
        <w:rPr>
          <w:color w:val="000000" w:themeColor="text1"/>
        </w:rPr>
        <w:t>agonistes du</w:t>
      </w:r>
      <w:r w:rsidRPr="0058432E">
        <w:rPr>
          <w:color w:val="000000" w:themeColor="text1"/>
        </w:rPr>
        <w:t xml:space="preserve">TNF »). </w:t>
      </w:r>
    </w:p>
    <w:p w14:paraId="29BFC66E" w14:textId="77777777" w:rsidR="00C46587" w:rsidRPr="0058432E" w:rsidRDefault="00C46587" w:rsidP="00982118">
      <w:pPr>
        <w:rPr>
          <w:color w:val="000000" w:themeColor="text1"/>
        </w:rPr>
      </w:pPr>
    </w:p>
    <w:p w14:paraId="3D2C2B73" w14:textId="77777777" w:rsidR="00C46587" w:rsidRPr="0058432E" w:rsidRDefault="00C46587" w:rsidP="00982118">
      <w:pPr>
        <w:rPr>
          <w:color w:val="000000" w:themeColor="text1"/>
        </w:rPr>
      </w:pPr>
      <w:r w:rsidRPr="0058432E">
        <w:rPr>
          <w:color w:val="000000" w:themeColor="text1"/>
        </w:rPr>
        <w:t>L’association d’Amsparity et d’abatacept n’est pas recommandée (voir rubrique 4.4 « Administration simultanée de traitements de fond (DMARD</w:t>
      </w:r>
      <w:r w:rsidR="00FE50EF" w:rsidRPr="0058432E">
        <w:rPr>
          <w:color w:val="000000" w:themeColor="text1"/>
        </w:rPr>
        <w:t>s</w:t>
      </w:r>
      <w:r w:rsidRPr="0058432E">
        <w:rPr>
          <w:color w:val="000000" w:themeColor="text1"/>
        </w:rPr>
        <w:t xml:space="preserve">) biologiques </w:t>
      </w:r>
      <w:r w:rsidR="00E31D60" w:rsidRPr="0058432E">
        <w:rPr>
          <w:color w:val="000000" w:themeColor="text1"/>
        </w:rPr>
        <w:t>ou antagon</w:t>
      </w:r>
      <w:r w:rsidR="000A042E" w:rsidRPr="0058432E">
        <w:rPr>
          <w:color w:val="000000" w:themeColor="text1"/>
        </w:rPr>
        <w:t>i</w:t>
      </w:r>
      <w:r w:rsidR="00E31D60" w:rsidRPr="0058432E">
        <w:rPr>
          <w:color w:val="000000" w:themeColor="text1"/>
        </w:rPr>
        <w:t xml:space="preserve">stes du </w:t>
      </w:r>
      <w:r w:rsidRPr="0058432E">
        <w:rPr>
          <w:color w:val="000000" w:themeColor="text1"/>
        </w:rPr>
        <w:t xml:space="preserve">TNF »). </w:t>
      </w:r>
    </w:p>
    <w:p w14:paraId="628BAB2C" w14:textId="77777777" w:rsidR="00C46587" w:rsidRPr="0058432E" w:rsidRDefault="00C46587" w:rsidP="00982118">
      <w:pPr>
        <w:rPr>
          <w:color w:val="000000" w:themeColor="text1"/>
        </w:rPr>
      </w:pPr>
    </w:p>
    <w:p w14:paraId="2332B35E" w14:textId="77777777" w:rsidR="00C46587" w:rsidRPr="0058432E" w:rsidRDefault="00C46587" w:rsidP="00982118">
      <w:pPr>
        <w:keepNext/>
        <w:tabs>
          <w:tab w:val="left" w:pos="562"/>
        </w:tabs>
        <w:rPr>
          <w:b/>
          <w:color w:val="000000" w:themeColor="text1"/>
        </w:rPr>
      </w:pPr>
      <w:r w:rsidRPr="0058432E">
        <w:rPr>
          <w:b/>
          <w:color w:val="000000" w:themeColor="text1"/>
        </w:rPr>
        <w:t>4.6</w:t>
      </w:r>
      <w:r w:rsidRPr="0058432E">
        <w:rPr>
          <w:b/>
          <w:color w:val="000000" w:themeColor="text1"/>
        </w:rPr>
        <w:tab/>
        <w:t xml:space="preserve">Fertilité, grossesse et allaitement </w:t>
      </w:r>
    </w:p>
    <w:p w14:paraId="6B17E4B4" w14:textId="77777777" w:rsidR="00C46587" w:rsidRPr="0058432E" w:rsidRDefault="00C46587" w:rsidP="00982118">
      <w:pPr>
        <w:keepNext/>
        <w:rPr>
          <w:color w:val="000000" w:themeColor="text1"/>
        </w:rPr>
      </w:pPr>
    </w:p>
    <w:p w14:paraId="0EADB924" w14:textId="77777777" w:rsidR="00664796" w:rsidRPr="0058432E" w:rsidRDefault="00664796" w:rsidP="00ED34EF">
      <w:pPr>
        <w:keepNext/>
        <w:rPr>
          <w:color w:val="000000" w:themeColor="text1"/>
          <w:u w:val="single"/>
        </w:rPr>
      </w:pPr>
      <w:r w:rsidRPr="0058432E">
        <w:rPr>
          <w:color w:val="000000" w:themeColor="text1"/>
          <w:u w:val="single"/>
        </w:rPr>
        <w:t>Femmes en âge de procréer</w:t>
      </w:r>
    </w:p>
    <w:p w14:paraId="39A45559" w14:textId="77777777" w:rsidR="00ED52A9" w:rsidRPr="0058432E" w:rsidRDefault="00ED52A9" w:rsidP="00ED34EF">
      <w:pPr>
        <w:keepNext/>
        <w:rPr>
          <w:color w:val="000000" w:themeColor="text1"/>
        </w:rPr>
      </w:pPr>
    </w:p>
    <w:p w14:paraId="706B04CE" w14:textId="77777777" w:rsidR="00664796" w:rsidRPr="0058432E" w:rsidRDefault="00664796" w:rsidP="00982118">
      <w:pPr>
        <w:rPr>
          <w:color w:val="000000" w:themeColor="text1"/>
        </w:rPr>
      </w:pPr>
      <w:r w:rsidRPr="0058432E">
        <w:rPr>
          <w:color w:val="000000" w:themeColor="text1"/>
        </w:rPr>
        <w:t>Les femmes en âge de procréer doivent envisager l’utilisation d’une contraception efficace pendant le traitement par Amsparity et la poursuivre pendant cinq mois au moins après la dernière administration d’Amsparity.</w:t>
      </w:r>
    </w:p>
    <w:p w14:paraId="54A44BFE" w14:textId="77777777" w:rsidR="00664796" w:rsidRPr="0058432E" w:rsidRDefault="00664796" w:rsidP="00982118">
      <w:pPr>
        <w:rPr>
          <w:color w:val="000000" w:themeColor="text1"/>
        </w:rPr>
      </w:pPr>
    </w:p>
    <w:p w14:paraId="3E044489" w14:textId="77777777" w:rsidR="00664796" w:rsidRPr="0058432E" w:rsidRDefault="00664796" w:rsidP="00ED34EF">
      <w:pPr>
        <w:keepNext/>
        <w:rPr>
          <w:color w:val="000000" w:themeColor="text1"/>
          <w:u w:val="single"/>
        </w:rPr>
      </w:pPr>
      <w:r w:rsidRPr="0058432E">
        <w:rPr>
          <w:color w:val="000000" w:themeColor="text1"/>
          <w:u w:val="single"/>
        </w:rPr>
        <w:t>Grossesse</w:t>
      </w:r>
    </w:p>
    <w:p w14:paraId="44C61FE0" w14:textId="77777777" w:rsidR="00ED52A9" w:rsidRPr="0058432E" w:rsidRDefault="00ED52A9" w:rsidP="00ED34EF">
      <w:pPr>
        <w:keepNext/>
        <w:rPr>
          <w:color w:val="000000" w:themeColor="text1"/>
        </w:rPr>
      </w:pPr>
    </w:p>
    <w:p w14:paraId="7FC1A19F" w14:textId="77777777" w:rsidR="00664796" w:rsidRPr="0058432E" w:rsidRDefault="00664796" w:rsidP="00982118">
      <w:pPr>
        <w:rPr>
          <w:color w:val="000000" w:themeColor="text1"/>
        </w:rPr>
      </w:pPr>
      <w:r w:rsidRPr="0058432E">
        <w:rPr>
          <w:color w:val="000000" w:themeColor="text1"/>
        </w:rPr>
        <w:t>Un grand nombre (environ 2 100) de grossesses exposées à l’adalimumab dont les données ont été recueillies prospectivement, aboutissant à une naissance vivante avec une évolution à terme connue, avec notamment plus de 1 500 grossesses exposées à l’adalimumab au cours du premier trimestre, ne révèle aucune augmentation du taux de malformations chez le nouveau-né.</w:t>
      </w:r>
    </w:p>
    <w:p w14:paraId="42625B61" w14:textId="77777777" w:rsidR="00ED52A9" w:rsidRPr="0058432E" w:rsidRDefault="00ED52A9" w:rsidP="00982118">
      <w:pPr>
        <w:rPr>
          <w:color w:val="000000" w:themeColor="text1"/>
        </w:rPr>
      </w:pPr>
    </w:p>
    <w:p w14:paraId="52587393" w14:textId="77777777" w:rsidR="00664796" w:rsidRPr="0058432E" w:rsidRDefault="00664796" w:rsidP="00982118">
      <w:pPr>
        <w:rPr>
          <w:color w:val="000000" w:themeColor="text1"/>
        </w:rPr>
      </w:pPr>
      <w:r w:rsidRPr="0058432E">
        <w:rPr>
          <w:color w:val="000000" w:themeColor="text1"/>
        </w:rPr>
        <w:t xml:space="preserve">Au cours d’une étude de cohorte prospective, 257 femmes présentant une polyarthrite rhumatoïde (PR) ou une maladie de Crohn (MC) et traitées </w:t>
      </w:r>
      <w:r w:rsidR="008E7545" w:rsidRPr="0058432E">
        <w:rPr>
          <w:color w:val="000000" w:themeColor="text1"/>
        </w:rPr>
        <w:t>par adalimumab</w:t>
      </w:r>
      <w:r w:rsidRPr="0058432E">
        <w:rPr>
          <w:color w:val="000000" w:themeColor="text1"/>
        </w:rPr>
        <w:t xml:space="preserve"> au moins pendant le premier trimestre et 120 femmes présentant une PR ou une MC non traitées </w:t>
      </w:r>
      <w:r w:rsidR="008E7545" w:rsidRPr="0058432E">
        <w:rPr>
          <w:color w:val="000000" w:themeColor="text1"/>
        </w:rPr>
        <w:t>par adalimumab</w:t>
      </w:r>
      <w:r w:rsidRPr="0058432E">
        <w:rPr>
          <w:color w:val="000000" w:themeColor="text1"/>
        </w:rPr>
        <w:t xml:space="preserve"> ont été incluses. La prévalence à la naissance des anomalies congénitales majeures constituait le critère d’évaluation principal. Le taux de grossesses aboutissant à au moins un nouveau-né en vie présentant une anomalie congénitale majeure était de 6/69 (8,7 %) chez les femmes traitées </w:t>
      </w:r>
      <w:r w:rsidR="008E7545" w:rsidRPr="0058432E">
        <w:rPr>
          <w:color w:val="000000" w:themeColor="text1"/>
        </w:rPr>
        <w:t>par adalimumab</w:t>
      </w:r>
      <w:r w:rsidRPr="0058432E">
        <w:rPr>
          <w:color w:val="000000" w:themeColor="text1"/>
        </w:rPr>
        <w:t xml:space="preserve"> présentant une PR </w:t>
      </w:r>
      <w:r w:rsidRPr="0058432E">
        <w:rPr>
          <w:color w:val="000000" w:themeColor="text1"/>
        </w:rPr>
        <w:lastRenderedPageBreak/>
        <w:t>et de 5/74 (6,8 %) chez les femmes non traitées présentant une PR (OR non ajusté 1,31, IC à 95 % 0,38</w:t>
      </w:r>
      <w:r w:rsidR="002A7B44" w:rsidRPr="0058432E">
        <w:rPr>
          <w:color w:val="000000" w:themeColor="text1"/>
        </w:rPr>
        <w:t> – </w:t>
      </w:r>
      <w:r w:rsidRPr="0058432E">
        <w:rPr>
          <w:color w:val="000000" w:themeColor="text1"/>
        </w:rPr>
        <w:t xml:space="preserve">4,52), et de 16/152 (10,5 %) chez les femmes traitées </w:t>
      </w:r>
      <w:r w:rsidR="008E7545" w:rsidRPr="0058432E">
        <w:rPr>
          <w:color w:val="000000" w:themeColor="text1"/>
        </w:rPr>
        <w:t>par adalimumab</w:t>
      </w:r>
      <w:r w:rsidRPr="0058432E">
        <w:rPr>
          <w:color w:val="000000" w:themeColor="text1"/>
        </w:rPr>
        <w:t xml:space="preserve"> présentant une MC et de 3/32 (9,4 %) chez les femmes non traitées présentant une MC (OR non ajusté 1,14, IC à 95 % 0,31</w:t>
      </w:r>
      <w:r w:rsidR="002A7B44" w:rsidRPr="0058432E">
        <w:rPr>
          <w:color w:val="000000" w:themeColor="text1"/>
        </w:rPr>
        <w:t> – </w:t>
      </w:r>
      <w:r w:rsidRPr="0058432E">
        <w:rPr>
          <w:color w:val="000000" w:themeColor="text1"/>
        </w:rPr>
        <w:t>4,16). L’OR ajusté (compte tenu des différences initiales) était de 1,10 (IC à 95 % 0,45</w:t>
      </w:r>
      <w:r w:rsidR="002A7B44" w:rsidRPr="0058432E">
        <w:rPr>
          <w:color w:val="000000" w:themeColor="text1"/>
        </w:rPr>
        <w:t> – </w:t>
      </w:r>
      <w:r w:rsidRPr="0058432E">
        <w:rPr>
          <w:color w:val="000000" w:themeColor="text1"/>
        </w:rPr>
        <w:t xml:space="preserve">2,73) pour les PR et MC combinées. Aucune différence </w:t>
      </w:r>
      <w:r w:rsidR="00E1462A" w:rsidRPr="0058432E">
        <w:rPr>
          <w:color w:val="000000" w:themeColor="text1"/>
        </w:rPr>
        <w:t xml:space="preserve">notable </w:t>
      </w:r>
      <w:r w:rsidRPr="0058432E">
        <w:rPr>
          <w:color w:val="000000" w:themeColor="text1"/>
        </w:rPr>
        <w:t xml:space="preserve">n’a été rapportée entre les femmes traitées </w:t>
      </w:r>
      <w:r w:rsidR="008E7545" w:rsidRPr="0058432E">
        <w:rPr>
          <w:color w:val="000000" w:themeColor="text1"/>
        </w:rPr>
        <w:t>par adalimumab</w:t>
      </w:r>
      <w:r w:rsidRPr="0058432E">
        <w:rPr>
          <w:color w:val="000000" w:themeColor="text1"/>
        </w:rPr>
        <w:t xml:space="preserve"> et les femmes non traitées pour les critères d’évaluation secondaires d’avortements spontanés, d’anomalies congénitales mineures, d’accouchement prématuré, de taille à la naissance et d’infections graves ou opportunistes</w:t>
      </w:r>
      <w:r w:rsidR="00E31D60" w:rsidRPr="0058432E">
        <w:rPr>
          <w:color w:val="000000" w:themeColor="text1"/>
        </w:rPr>
        <w:t>,</w:t>
      </w:r>
      <w:r w:rsidR="00002719" w:rsidRPr="0058432E">
        <w:rPr>
          <w:color w:val="000000" w:themeColor="text1"/>
        </w:rPr>
        <w:t xml:space="preserve"> </w:t>
      </w:r>
      <w:r w:rsidR="00E31D60" w:rsidRPr="0058432E">
        <w:rPr>
          <w:color w:val="000000" w:themeColor="text1"/>
        </w:rPr>
        <w:t>et a</w:t>
      </w:r>
      <w:r w:rsidR="00002719" w:rsidRPr="0058432E">
        <w:rPr>
          <w:color w:val="000000" w:themeColor="text1"/>
        </w:rPr>
        <w:t>ucune</w:t>
      </w:r>
      <w:r w:rsidRPr="0058432E">
        <w:rPr>
          <w:color w:val="000000" w:themeColor="text1"/>
        </w:rPr>
        <w:t xml:space="preserve"> mortinatalité ou </w:t>
      </w:r>
      <w:r w:rsidR="00002719" w:rsidRPr="0058432E">
        <w:rPr>
          <w:color w:val="000000" w:themeColor="text1"/>
        </w:rPr>
        <w:t xml:space="preserve">tumeur </w:t>
      </w:r>
      <w:r w:rsidRPr="0058432E">
        <w:rPr>
          <w:color w:val="000000" w:themeColor="text1"/>
        </w:rPr>
        <w:t>malign</w:t>
      </w:r>
      <w:r w:rsidR="00002719" w:rsidRPr="0058432E">
        <w:rPr>
          <w:color w:val="000000" w:themeColor="text1"/>
        </w:rPr>
        <w:t>e n’a été rapportée</w:t>
      </w:r>
      <w:r w:rsidRPr="0058432E">
        <w:rPr>
          <w:color w:val="000000" w:themeColor="text1"/>
        </w:rPr>
        <w:t>. L’interprétation des données peut être affectée en raison des limites méthodologiques de l’étude, notamment la petite taille d’échantillon et le plan d’étude non randomisé.</w:t>
      </w:r>
    </w:p>
    <w:p w14:paraId="2656B85A" w14:textId="77777777" w:rsidR="00ED52A9" w:rsidRPr="0058432E" w:rsidRDefault="00ED52A9" w:rsidP="00982118">
      <w:pPr>
        <w:rPr>
          <w:color w:val="000000" w:themeColor="text1"/>
        </w:rPr>
      </w:pPr>
    </w:p>
    <w:p w14:paraId="67EB2863" w14:textId="77777777" w:rsidR="00664796" w:rsidRPr="0058432E" w:rsidRDefault="00664796" w:rsidP="00982118">
      <w:pPr>
        <w:rPr>
          <w:color w:val="000000" w:themeColor="text1"/>
        </w:rPr>
      </w:pPr>
      <w:r w:rsidRPr="0058432E">
        <w:rPr>
          <w:color w:val="000000" w:themeColor="text1"/>
        </w:rPr>
        <w:t>Dans une étude de toxicité sur le développement réalisée chez des singes, il n’y a eu aucun signe évocateur d’une éventuelle toxicité maternelle, d’</w:t>
      </w:r>
      <w:r w:rsidR="005B6343" w:rsidRPr="0058432E">
        <w:rPr>
          <w:color w:val="000000" w:themeColor="text1"/>
        </w:rPr>
        <w:t xml:space="preserve">une </w:t>
      </w:r>
      <w:r w:rsidRPr="0058432E">
        <w:rPr>
          <w:color w:val="000000" w:themeColor="text1"/>
        </w:rPr>
        <w:t>embryotoxicité ou de potentiel tératogène. On ne dispose pas de données précliniques sur la toxicité post-natale de l’adalimumab (voir rubrique 5.3).</w:t>
      </w:r>
    </w:p>
    <w:p w14:paraId="43795A0C" w14:textId="77777777" w:rsidR="00ED52A9" w:rsidRPr="0058432E" w:rsidRDefault="00ED52A9" w:rsidP="00982118">
      <w:pPr>
        <w:rPr>
          <w:color w:val="000000" w:themeColor="text1"/>
        </w:rPr>
      </w:pPr>
    </w:p>
    <w:p w14:paraId="21805068" w14:textId="77777777" w:rsidR="00664796" w:rsidRPr="0058432E" w:rsidRDefault="00664796" w:rsidP="00982118">
      <w:pPr>
        <w:rPr>
          <w:color w:val="000000" w:themeColor="text1"/>
        </w:rPr>
      </w:pPr>
      <w:r w:rsidRPr="0058432E">
        <w:rPr>
          <w:color w:val="000000" w:themeColor="text1"/>
        </w:rPr>
        <w:t>En raison de son effet inhibiteur sur le TNFα, l’adalimumab administré pendant la grossesse pourrait affecter les réponses immunitaires normales du nouveau-né. L’adalimumab doit être utilisé pendant la grossesse seulement si nécessaire.</w:t>
      </w:r>
    </w:p>
    <w:p w14:paraId="52997BA6" w14:textId="77777777" w:rsidR="00ED52A9" w:rsidRPr="0058432E" w:rsidRDefault="00ED52A9" w:rsidP="00982118">
      <w:pPr>
        <w:rPr>
          <w:color w:val="000000" w:themeColor="text1"/>
        </w:rPr>
      </w:pPr>
    </w:p>
    <w:p w14:paraId="65296F49" w14:textId="77777777" w:rsidR="00664796" w:rsidRPr="0058432E" w:rsidRDefault="00664796" w:rsidP="00982118">
      <w:pPr>
        <w:rPr>
          <w:color w:val="000000" w:themeColor="text1"/>
        </w:rPr>
      </w:pPr>
      <w:r w:rsidRPr="0058432E">
        <w:rPr>
          <w:color w:val="000000" w:themeColor="text1"/>
        </w:rPr>
        <w:t xml:space="preserve">Chez les femmes traitées par adalimumab durant leur grossesse, l’adalimumab peut traverser le placenta et passer dans le sang de leur enfant. En conséquence, ces enfants peuvent avoir un risque accru d’infections. L’administration de vaccins vivants (par </w:t>
      </w:r>
      <w:r w:rsidR="001946D2" w:rsidRPr="0058432E">
        <w:rPr>
          <w:color w:val="000000" w:themeColor="text1"/>
        </w:rPr>
        <w:t>ex</w:t>
      </w:r>
      <w:r w:rsidR="00E31D60" w:rsidRPr="0058432E">
        <w:rPr>
          <w:color w:val="000000" w:themeColor="text1"/>
        </w:rPr>
        <w:t>emple</w:t>
      </w:r>
      <w:r w:rsidRPr="0058432E">
        <w:rPr>
          <w:color w:val="000000" w:themeColor="text1"/>
        </w:rPr>
        <w:t xml:space="preserve">, vaccin BCG) à des </w:t>
      </w:r>
      <w:r w:rsidR="005B6343" w:rsidRPr="0058432E">
        <w:rPr>
          <w:color w:val="000000" w:themeColor="text1"/>
        </w:rPr>
        <w:t>enfants</w:t>
      </w:r>
      <w:r w:rsidR="008F50C9" w:rsidRPr="0058432E">
        <w:rPr>
          <w:color w:val="000000" w:themeColor="text1"/>
        </w:rPr>
        <w:t xml:space="preserve"> </w:t>
      </w:r>
      <w:r w:rsidRPr="0058432E">
        <w:rPr>
          <w:color w:val="000000" w:themeColor="text1"/>
        </w:rPr>
        <w:t xml:space="preserve">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w:t>
      </w:r>
      <w:r w:rsidR="005B6343" w:rsidRPr="0058432E">
        <w:rPr>
          <w:color w:val="000000" w:themeColor="text1"/>
        </w:rPr>
        <w:t xml:space="preserve"> d’adalimumab chez </w:t>
      </w:r>
      <w:r w:rsidRPr="0058432E">
        <w:rPr>
          <w:color w:val="000000" w:themeColor="text1"/>
        </w:rPr>
        <w:t xml:space="preserve">la mère </w:t>
      </w:r>
      <w:r w:rsidR="005B6343" w:rsidRPr="0058432E">
        <w:rPr>
          <w:color w:val="000000" w:themeColor="text1"/>
        </w:rPr>
        <w:t xml:space="preserve">pendant </w:t>
      </w:r>
      <w:r w:rsidRPr="0058432E">
        <w:rPr>
          <w:color w:val="000000" w:themeColor="text1"/>
        </w:rPr>
        <w:t>la grossesse.</w:t>
      </w:r>
    </w:p>
    <w:p w14:paraId="019F3783" w14:textId="77777777" w:rsidR="00664796" w:rsidRPr="0058432E" w:rsidRDefault="00664796" w:rsidP="00982118">
      <w:pPr>
        <w:rPr>
          <w:color w:val="000000" w:themeColor="text1"/>
        </w:rPr>
      </w:pPr>
    </w:p>
    <w:p w14:paraId="542156F5" w14:textId="77777777" w:rsidR="00664796" w:rsidRPr="0058432E" w:rsidRDefault="00664796" w:rsidP="00ED34EF">
      <w:pPr>
        <w:keepNext/>
        <w:rPr>
          <w:color w:val="000000" w:themeColor="text1"/>
          <w:u w:val="single"/>
        </w:rPr>
      </w:pPr>
      <w:r w:rsidRPr="0058432E">
        <w:rPr>
          <w:color w:val="000000" w:themeColor="text1"/>
          <w:u w:val="single"/>
        </w:rPr>
        <w:t>Allaitement</w:t>
      </w:r>
    </w:p>
    <w:p w14:paraId="1E11E1F4" w14:textId="77777777" w:rsidR="00ED52A9" w:rsidRPr="0058432E" w:rsidRDefault="00ED52A9" w:rsidP="00ED34EF">
      <w:pPr>
        <w:keepNext/>
        <w:rPr>
          <w:color w:val="000000" w:themeColor="text1"/>
        </w:rPr>
      </w:pPr>
    </w:p>
    <w:p w14:paraId="2F1610A1" w14:textId="77777777" w:rsidR="00664796" w:rsidRPr="0058432E" w:rsidRDefault="00664796" w:rsidP="00982118">
      <w:pPr>
        <w:rPr>
          <w:color w:val="000000" w:themeColor="text1"/>
        </w:rPr>
      </w:pPr>
      <w:r w:rsidRPr="0058432E">
        <w:rPr>
          <w:color w:val="000000" w:themeColor="text1"/>
        </w:rPr>
        <w:t>Des données limitées issues de la littérature publiée indiquent que l’adalimumab est excrété dans le lait maternel à de très faibles concentrations, l’adalimumab étant présent dans le lait maternel à des concentrations équivalant à 0,1 %</w:t>
      </w:r>
      <w:r w:rsidR="00B80057" w:rsidRPr="0058432E">
        <w:rPr>
          <w:color w:val="000000" w:themeColor="text1"/>
        </w:rPr>
        <w:t> </w:t>
      </w:r>
      <w:r w:rsidRPr="0058432E">
        <w:rPr>
          <w:color w:val="000000" w:themeColor="text1"/>
        </w:rPr>
        <w:t>–</w:t>
      </w:r>
      <w:r w:rsidR="00B80057" w:rsidRPr="0058432E">
        <w:rPr>
          <w:color w:val="000000" w:themeColor="text1"/>
        </w:rPr>
        <w:t> </w:t>
      </w:r>
      <w:r w:rsidRPr="0058432E">
        <w:rPr>
          <w:color w:val="000000" w:themeColor="text1"/>
        </w:rPr>
        <w:t>1 % des taux sériques maternels. Administrées par voie orale, les protéines immunoglobulines G subissent une protéolyse intestinale et présentent une faible biodisponibilité. Aucun effet sur les nouveau-nés/nourrissons allaités n’est</w:t>
      </w:r>
      <w:r w:rsidR="005B6343" w:rsidRPr="0058432E">
        <w:rPr>
          <w:color w:val="000000" w:themeColor="text1"/>
        </w:rPr>
        <w:t xml:space="preserve"> attendu</w:t>
      </w:r>
      <w:r w:rsidRPr="0058432E">
        <w:rPr>
          <w:color w:val="000000" w:themeColor="text1"/>
        </w:rPr>
        <w:t>. Par conséquent, Amsparity peut être utilisé pendant l’allaitement.</w:t>
      </w:r>
    </w:p>
    <w:p w14:paraId="7C88B2CC" w14:textId="77777777" w:rsidR="00ED52A9" w:rsidRPr="0058432E" w:rsidRDefault="00ED52A9" w:rsidP="00982118">
      <w:pPr>
        <w:rPr>
          <w:color w:val="000000" w:themeColor="text1"/>
        </w:rPr>
      </w:pPr>
    </w:p>
    <w:p w14:paraId="234032CC" w14:textId="77777777" w:rsidR="00664796" w:rsidRPr="0058432E" w:rsidRDefault="00664796" w:rsidP="00ED34EF">
      <w:pPr>
        <w:keepNext/>
        <w:rPr>
          <w:color w:val="000000" w:themeColor="text1"/>
          <w:u w:val="single"/>
        </w:rPr>
      </w:pPr>
      <w:r w:rsidRPr="0058432E">
        <w:rPr>
          <w:color w:val="000000" w:themeColor="text1"/>
          <w:u w:val="single"/>
        </w:rPr>
        <w:t>Fertilité</w:t>
      </w:r>
    </w:p>
    <w:p w14:paraId="70E98B28" w14:textId="77777777" w:rsidR="00B56A49" w:rsidRPr="0058432E" w:rsidRDefault="00B56A49" w:rsidP="00ED34EF">
      <w:pPr>
        <w:keepNext/>
        <w:rPr>
          <w:color w:val="000000" w:themeColor="text1"/>
        </w:rPr>
      </w:pPr>
    </w:p>
    <w:p w14:paraId="4A8C6F92" w14:textId="77777777" w:rsidR="00664796" w:rsidRPr="0058432E" w:rsidRDefault="00664796" w:rsidP="00982118">
      <w:pPr>
        <w:rPr>
          <w:color w:val="000000" w:themeColor="text1"/>
        </w:rPr>
      </w:pPr>
      <w:r w:rsidRPr="0058432E">
        <w:rPr>
          <w:color w:val="000000" w:themeColor="text1"/>
        </w:rPr>
        <w:t>On ne dispose pas de données précliniques sur les effets de l’adalimumab sur la fertilité.</w:t>
      </w:r>
    </w:p>
    <w:p w14:paraId="08A11F91" w14:textId="77777777" w:rsidR="00C46587" w:rsidRPr="0058432E" w:rsidRDefault="00C46587" w:rsidP="00982118">
      <w:pPr>
        <w:rPr>
          <w:color w:val="000000" w:themeColor="text1"/>
        </w:rPr>
      </w:pPr>
    </w:p>
    <w:p w14:paraId="2844A3E4" w14:textId="77777777" w:rsidR="00C46587" w:rsidRPr="0058432E" w:rsidRDefault="00C46587" w:rsidP="00ED34EF">
      <w:pPr>
        <w:keepNext/>
        <w:tabs>
          <w:tab w:val="left" w:pos="562"/>
        </w:tabs>
        <w:rPr>
          <w:b/>
          <w:color w:val="000000" w:themeColor="text1"/>
        </w:rPr>
      </w:pPr>
      <w:r w:rsidRPr="0058432E">
        <w:rPr>
          <w:b/>
          <w:color w:val="000000" w:themeColor="text1"/>
        </w:rPr>
        <w:t>4.7</w:t>
      </w:r>
      <w:r w:rsidRPr="0058432E">
        <w:rPr>
          <w:b/>
          <w:color w:val="000000" w:themeColor="text1"/>
        </w:rPr>
        <w:tab/>
        <w:t xml:space="preserve">Effets sur l’aptitude à conduire des véhicules et à utiliser des machines </w:t>
      </w:r>
    </w:p>
    <w:p w14:paraId="6C502DBA" w14:textId="77777777" w:rsidR="00C46587" w:rsidRPr="0058432E" w:rsidRDefault="00C46587" w:rsidP="00ED34EF">
      <w:pPr>
        <w:keepNext/>
        <w:rPr>
          <w:color w:val="000000" w:themeColor="text1"/>
        </w:rPr>
      </w:pPr>
    </w:p>
    <w:p w14:paraId="5AF738D9" w14:textId="77777777" w:rsidR="00C46587" w:rsidRPr="0058432E" w:rsidRDefault="005A4709" w:rsidP="00982118">
      <w:pPr>
        <w:rPr>
          <w:color w:val="000000" w:themeColor="text1"/>
        </w:rPr>
      </w:pPr>
      <w:r w:rsidRPr="0058432E">
        <w:rPr>
          <w:color w:val="000000" w:themeColor="text1"/>
        </w:rPr>
        <w:t xml:space="preserve">L’adalimumab peut </w:t>
      </w:r>
      <w:proofErr w:type="gramStart"/>
      <w:r w:rsidRPr="0058432E">
        <w:rPr>
          <w:color w:val="000000" w:themeColor="text1"/>
        </w:rPr>
        <w:t>avoir</w:t>
      </w:r>
      <w:proofErr w:type="gramEnd"/>
      <w:r w:rsidRPr="0058432E">
        <w:rPr>
          <w:color w:val="000000" w:themeColor="text1"/>
        </w:rPr>
        <w:t xml:space="preserve"> une influence mineure sur l’aptitude à conduire des véhicules et à utiliser des machines. Des vertiges et des troubles visuels peuvent survenir après l’administration d’Amsparity (voir rubrique 4.8). </w:t>
      </w:r>
    </w:p>
    <w:p w14:paraId="594CB579" w14:textId="77777777" w:rsidR="00C46587" w:rsidRPr="0058432E" w:rsidRDefault="00C46587" w:rsidP="00982118">
      <w:pPr>
        <w:rPr>
          <w:color w:val="000000" w:themeColor="text1"/>
        </w:rPr>
      </w:pPr>
    </w:p>
    <w:p w14:paraId="6EDAB839" w14:textId="77777777" w:rsidR="00C46587" w:rsidRPr="0058432E" w:rsidRDefault="00C46587" w:rsidP="00ED34EF">
      <w:pPr>
        <w:keepNext/>
        <w:tabs>
          <w:tab w:val="left" w:pos="562"/>
        </w:tabs>
        <w:rPr>
          <w:b/>
          <w:color w:val="000000" w:themeColor="text1"/>
        </w:rPr>
      </w:pPr>
      <w:r w:rsidRPr="0058432E">
        <w:rPr>
          <w:b/>
          <w:color w:val="000000" w:themeColor="text1"/>
        </w:rPr>
        <w:t>4.8</w:t>
      </w:r>
      <w:r w:rsidRPr="0058432E">
        <w:rPr>
          <w:b/>
          <w:color w:val="000000" w:themeColor="text1"/>
        </w:rPr>
        <w:tab/>
        <w:t xml:space="preserve">Effets indésirables </w:t>
      </w:r>
    </w:p>
    <w:p w14:paraId="57DA57AB" w14:textId="77777777" w:rsidR="00C46587" w:rsidRPr="0058432E" w:rsidRDefault="00C46587" w:rsidP="00ED34EF">
      <w:pPr>
        <w:keepNext/>
        <w:rPr>
          <w:color w:val="000000" w:themeColor="text1"/>
        </w:rPr>
      </w:pPr>
    </w:p>
    <w:p w14:paraId="6E6229CA" w14:textId="77777777" w:rsidR="00C46587" w:rsidRPr="0058432E" w:rsidRDefault="00C46587" w:rsidP="00982118">
      <w:pPr>
        <w:keepNext/>
        <w:rPr>
          <w:color w:val="000000" w:themeColor="text1"/>
          <w:u w:val="single"/>
        </w:rPr>
      </w:pPr>
      <w:r w:rsidRPr="0058432E">
        <w:rPr>
          <w:color w:val="000000" w:themeColor="text1"/>
          <w:u w:val="single"/>
        </w:rPr>
        <w:t xml:space="preserve">Résumé du profil de </w:t>
      </w:r>
      <w:r w:rsidR="002D3129" w:rsidRPr="0058432E">
        <w:rPr>
          <w:color w:val="000000" w:themeColor="text1"/>
          <w:u w:val="single"/>
        </w:rPr>
        <w:t>tolérance</w:t>
      </w:r>
    </w:p>
    <w:p w14:paraId="46EA0F16" w14:textId="77777777" w:rsidR="00C46587" w:rsidRPr="0058432E" w:rsidRDefault="00C46587" w:rsidP="00982118">
      <w:pPr>
        <w:keepNext/>
        <w:rPr>
          <w:color w:val="000000" w:themeColor="text1"/>
        </w:rPr>
      </w:pPr>
    </w:p>
    <w:p w14:paraId="1C519DA1" w14:textId="77777777" w:rsidR="00C46587" w:rsidRPr="0058432E" w:rsidRDefault="005A4709" w:rsidP="00982118">
      <w:pPr>
        <w:rPr>
          <w:color w:val="000000" w:themeColor="text1"/>
        </w:rPr>
      </w:pPr>
      <w:r w:rsidRPr="0058432E">
        <w:rPr>
          <w:color w:val="000000" w:themeColor="text1"/>
        </w:rPr>
        <w:t xml:space="preserve">L’adalimumab a été étudié chez 9 506 patients dans des essais pivots contrôlés et en ouvert d’une durée de 60 mois et plus. Ces essais ont inclus des patients atteints de polyarthrite rhumatoïde récente ou ancienne, d’arthrite juvénile idiopathique (arthrite juvénile idiopathique polyarticulaire et arthrite liée à l’enthésite) </w:t>
      </w:r>
      <w:r w:rsidR="00002719" w:rsidRPr="0058432E">
        <w:rPr>
          <w:color w:val="000000" w:themeColor="text1"/>
        </w:rPr>
        <w:t xml:space="preserve">et </w:t>
      </w:r>
      <w:r w:rsidRPr="0058432E">
        <w:rPr>
          <w:color w:val="000000" w:themeColor="text1"/>
        </w:rPr>
        <w:t xml:space="preserve">des patients </w:t>
      </w:r>
      <w:r w:rsidR="00D546C9" w:rsidRPr="0058432E">
        <w:rPr>
          <w:color w:val="000000" w:themeColor="text1"/>
        </w:rPr>
        <w:t>atteints</w:t>
      </w:r>
      <w:r w:rsidRPr="0058432E">
        <w:rPr>
          <w:color w:val="000000" w:themeColor="text1"/>
        </w:rPr>
        <w:t xml:space="preserve"> de spondyl</w:t>
      </w:r>
      <w:r w:rsidR="009D048D" w:rsidRPr="0058432E">
        <w:rPr>
          <w:color w:val="000000" w:themeColor="text1"/>
        </w:rPr>
        <w:t>o</w:t>
      </w:r>
      <w:r w:rsidRPr="0058432E">
        <w:rPr>
          <w:color w:val="000000" w:themeColor="text1"/>
        </w:rPr>
        <w:t>arthrite axiale (spondylarthrite ankylosante et spondyl</w:t>
      </w:r>
      <w:r w:rsidR="009D048D" w:rsidRPr="0058432E">
        <w:rPr>
          <w:color w:val="000000" w:themeColor="text1"/>
        </w:rPr>
        <w:t>o</w:t>
      </w:r>
      <w:r w:rsidRPr="0058432E">
        <w:rPr>
          <w:color w:val="000000" w:themeColor="text1"/>
        </w:rPr>
        <w:t xml:space="preserve">arthrite axiale sans signes radiographiques de SA), de rhumatisme psoriasique, de la maladie de Crohn, de rectocolite hémorragique, de psoriasis, d’hidrosadénite suppurée et d’uvéite. Les études </w:t>
      </w:r>
      <w:r w:rsidR="00002719" w:rsidRPr="0058432E">
        <w:rPr>
          <w:color w:val="000000" w:themeColor="text1"/>
        </w:rPr>
        <w:t xml:space="preserve">pivots </w:t>
      </w:r>
      <w:r w:rsidRPr="0058432E">
        <w:rPr>
          <w:color w:val="000000" w:themeColor="text1"/>
        </w:rPr>
        <w:t xml:space="preserve">contrôlées portaient sur 6 089 patients ayant reçu l’adalimumab et 3 801 patients ayant reçu un placebo ou un comparateur actif pendant la phase contrôlée. </w:t>
      </w:r>
    </w:p>
    <w:p w14:paraId="0218ECC7" w14:textId="77777777" w:rsidR="00C46587" w:rsidRPr="0058432E" w:rsidRDefault="00C46587" w:rsidP="00982118">
      <w:pPr>
        <w:rPr>
          <w:color w:val="000000" w:themeColor="text1"/>
        </w:rPr>
      </w:pPr>
    </w:p>
    <w:p w14:paraId="1140461E" w14:textId="77777777" w:rsidR="00C46587" w:rsidRPr="0058432E" w:rsidRDefault="00C46587" w:rsidP="00982118">
      <w:pPr>
        <w:rPr>
          <w:color w:val="000000" w:themeColor="text1"/>
        </w:rPr>
      </w:pPr>
      <w:r w:rsidRPr="0058432E">
        <w:rPr>
          <w:color w:val="000000" w:themeColor="text1"/>
        </w:rPr>
        <w:lastRenderedPageBreak/>
        <w:t xml:space="preserve">Le pourcentage de patients ayant interrompu le traitement en raison </w:t>
      </w:r>
      <w:r w:rsidR="00002719" w:rsidRPr="0058432E">
        <w:rPr>
          <w:color w:val="000000" w:themeColor="text1"/>
        </w:rPr>
        <w:t xml:space="preserve">d’événements </w:t>
      </w:r>
      <w:r w:rsidRPr="0058432E">
        <w:rPr>
          <w:color w:val="000000" w:themeColor="text1"/>
        </w:rPr>
        <w:t xml:space="preserve">indésirables pendant la phase en double aveugle, contrôlée, des études pivots a été de 5,9 % chez les patients traités par adalimumab et de 5,4 % chez les patients du groupe contrôle. </w:t>
      </w:r>
    </w:p>
    <w:p w14:paraId="69CEACBD" w14:textId="77777777" w:rsidR="00C46587" w:rsidRPr="0058432E" w:rsidRDefault="00C46587" w:rsidP="00982118">
      <w:pPr>
        <w:rPr>
          <w:color w:val="000000" w:themeColor="text1"/>
        </w:rPr>
      </w:pPr>
    </w:p>
    <w:p w14:paraId="38C5B636" w14:textId="77777777" w:rsidR="00C46587" w:rsidRPr="0058432E" w:rsidRDefault="00C46587" w:rsidP="00982118">
      <w:pPr>
        <w:rPr>
          <w:color w:val="000000" w:themeColor="text1"/>
        </w:rPr>
      </w:pPr>
      <w:r w:rsidRPr="0058432E">
        <w:rPr>
          <w:color w:val="000000" w:themeColor="text1"/>
        </w:rPr>
        <w:t xml:space="preserve">Les effets indésirables les plus fréquemment rapportés sont les infections (telles que les rhinopharyngites, les infections des voies respiratoires hautes et les sinusites), les réactions au site d’injection (érythème, démangeaisons, hémorragie, douleur ou gonflement), les céphalées et les douleurs musculo-squelettiques. </w:t>
      </w:r>
    </w:p>
    <w:p w14:paraId="13EC1082" w14:textId="77777777" w:rsidR="00C46587" w:rsidRPr="0058432E" w:rsidRDefault="00C46587" w:rsidP="00982118">
      <w:pPr>
        <w:rPr>
          <w:color w:val="000000" w:themeColor="text1"/>
        </w:rPr>
      </w:pPr>
    </w:p>
    <w:p w14:paraId="62420B5D" w14:textId="77777777" w:rsidR="00C46587" w:rsidRPr="0058432E" w:rsidRDefault="00C46587" w:rsidP="00982118">
      <w:pPr>
        <w:rPr>
          <w:color w:val="000000" w:themeColor="text1"/>
        </w:rPr>
      </w:pPr>
      <w:r w:rsidRPr="0058432E">
        <w:rPr>
          <w:color w:val="000000" w:themeColor="text1"/>
        </w:rPr>
        <w:t xml:space="preserve">Des effets indésirables graves ont été rapportés avec l’adalimumab. Les antagonistes du TNF, tels que l’adalimumab affectent le système immunitaire et leur utilisation peut </w:t>
      </w:r>
      <w:proofErr w:type="gramStart"/>
      <w:r w:rsidRPr="0058432E">
        <w:rPr>
          <w:color w:val="000000" w:themeColor="text1"/>
        </w:rPr>
        <w:t>avoir</w:t>
      </w:r>
      <w:proofErr w:type="gramEnd"/>
      <w:r w:rsidRPr="0058432E">
        <w:rPr>
          <w:color w:val="000000" w:themeColor="text1"/>
        </w:rPr>
        <w:t xml:space="preserve"> des répercussions sur les défenses du corps contre les infections et le cancer. Des infections menaçant le pronostic vital et d’issue fatale (comprenant </w:t>
      </w:r>
      <w:r w:rsidR="00C564BD" w:rsidRPr="0058432E">
        <w:rPr>
          <w:color w:val="000000" w:themeColor="text1"/>
        </w:rPr>
        <w:t>septicémie</w:t>
      </w:r>
      <w:r w:rsidRPr="0058432E">
        <w:rPr>
          <w:color w:val="000000" w:themeColor="text1"/>
        </w:rPr>
        <w:t xml:space="preserve">, infections opportunistes et tuberculose), des réactivations </w:t>
      </w:r>
      <w:r w:rsidR="00002719" w:rsidRPr="0058432E">
        <w:rPr>
          <w:color w:val="000000" w:themeColor="text1"/>
        </w:rPr>
        <w:t>du VHB</w:t>
      </w:r>
      <w:r w:rsidRPr="0058432E">
        <w:rPr>
          <w:color w:val="000000" w:themeColor="text1"/>
        </w:rPr>
        <w:t xml:space="preserve"> et différents cancers (y compris leucémie, lymphome et lymphome hépatosplénique à lymphocytes</w:t>
      </w:r>
      <w:r w:rsidR="00C9690D" w:rsidRPr="0058432E">
        <w:rPr>
          <w:color w:val="000000" w:themeColor="text1"/>
        </w:rPr>
        <w:t> </w:t>
      </w:r>
      <w:r w:rsidRPr="0058432E">
        <w:rPr>
          <w:color w:val="000000" w:themeColor="text1"/>
        </w:rPr>
        <w:t xml:space="preserve">T) ont également été rapportés avec l’utilisation de l’adalimumab. </w:t>
      </w:r>
    </w:p>
    <w:p w14:paraId="1ABADB36" w14:textId="77777777" w:rsidR="00C46587" w:rsidRPr="0058432E" w:rsidRDefault="00C46587" w:rsidP="00982118">
      <w:pPr>
        <w:rPr>
          <w:color w:val="000000" w:themeColor="text1"/>
        </w:rPr>
      </w:pPr>
    </w:p>
    <w:p w14:paraId="0D7853BA" w14:textId="77777777" w:rsidR="00C46587" w:rsidRPr="0058432E" w:rsidRDefault="00C46587" w:rsidP="00982118">
      <w:pPr>
        <w:rPr>
          <w:color w:val="000000" w:themeColor="text1"/>
        </w:rPr>
      </w:pPr>
      <w:r w:rsidRPr="0058432E">
        <w:rPr>
          <w:color w:val="000000" w:themeColor="text1"/>
        </w:rPr>
        <w:t xml:space="preserve">Des </w:t>
      </w:r>
      <w:r w:rsidR="00002719" w:rsidRPr="0058432E">
        <w:rPr>
          <w:color w:val="000000" w:themeColor="text1"/>
        </w:rPr>
        <w:t xml:space="preserve">réactions </w:t>
      </w:r>
      <w:r w:rsidRPr="0058432E">
        <w:rPr>
          <w:color w:val="000000" w:themeColor="text1"/>
        </w:rPr>
        <w:t>hématologiques, neurologiques et auto</w:t>
      </w:r>
      <w:r w:rsidR="001C2C29" w:rsidRPr="0058432E">
        <w:rPr>
          <w:color w:val="000000" w:themeColor="text1"/>
        </w:rPr>
        <w:t>-</w:t>
      </w:r>
      <w:r w:rsidRPr="0058432E">
        <w:rPr>
          <w:color w:val="000000" w:themeColor="text1"/>
        </w:rPr>
        <w:t>immun</w:t>
      </w:r>
      <w:r w:rsidR="00002719" w:rsidRPr="0058432E">
        <w:rPr>
          <w:color w:val="000000" w:themeColor="text1"/>
        </w:rPr>
        <w:t>e</w:t>
      </w:r>
      <w:r w:rsidRPr="0058432E">
        <w:rPr>
          <w:color w:val="000000" w:themeColor="text1"/>
        </w:rPr>
        <w:t xml:space="preserve">s </w:t>
      </w:r>
      <w:r w:rsidR="005B6343" w:rsidRPr="0058432E">
        <w:rPr>
          <w:color w:val="000000" w:themeColor="text1"/>
        </w:rPr>
        <w:t>sévères</w:t>
      </w:r>
      <w:r w:rsidR="001C2C29" w:rsidRPr="0058432E">
        <w:rPr>
          <w:color w:val="000000" w:themeColor="text1"/>
        </w:rPr>
        <w:t xml:space="preserve"> </w:t>
      </w:r>
      <w:r w:rsidRPr="0058432E">
        <w:rPr>
          <w:color w:val="000000" w:themeColor="text1"/>
        </w:rPr>
        <w:t>ont également été rapporté</w:t>
      </w:r>
      <w:r w:rsidR="00002719" w:rsidRPr="0058432E">
        <w:rPr>
          <w:color w:val="000000" w:themeColor="text1"/>
        </w:rPr>
        <w:t>e</w:t>
      </w:r>
      <w:r w:rsidRPr="0058432E">
        <w:rPr>
          <w:color w:val="000000" w:themeColor="text1"/>
        </w:rPr>
        <w:t xml:space="preserve">s. Ceci comprend de rares cas de pancytopénie, d’anémie médullaire, des </w:t>
      </w:r>
      <w:r w:rsidR="00002719" w:rsidRPr="0058432E">
        <w:rPr>
          <w:color w:val="000000" w:themeColor="text1"/>
        </w:rPr>
        <w:t xml:space="preserve">événements </w:t>
      </w:r>
      <w:r w:rsidRPr="0058432E">
        <w:rPr>
          <w:color w:val="000000" w:themeColor="text1"/>
        </w:rPr>
        <w:t xml:space="preserve">de démyélinisation centrale et périphérique et des cas de lupus, </w:t>
      </w:r>
      <w:r w:rsidR="00002719" w:rsidRPr="0058432E">
        <w:rPr>
          <w:color w:val="000000" w:themeColor="text1"/>
        </w:rPr>
        <w:t xml:space="preserve">d’affections </w:t>
      </w:r>
      <w:r w:rsidRPr="0058432E">
        <w:rPr>
          <w:color w:val="000000" w:themeColor="text1"/>
        </w:rPr>
        <w:t>lié</w:t>
      </w:r>
      <w:r w:rsidR="00002719" w:rsidRPr="0058432E">
        <w:rPr>
          <w:color w:val="000000" w:themeColor="text1"/>
        </w:rPr>
        <w:t>e</w:t>
      </w:r>
      <w:r w:rsidRPr="0058432E">
        <w:rPr>
          <w:color w:val="000000" w:themeColor="text1"/>
        </w:rPr>
        <w:t>s au lupus et de syndrome de Stevens</w:t>
      </w:r>
      <w:r w:rsidRPr="0058432E">
        <w:rPr>
          <w:color w:val="000000" w:themeColor="text1"/>
        </w:rPr>
        <w:noBreakHyphen/>
        <w:t xml:space="preserve">Johnson. </w:t>
      </w:r>
    </w:p>
    <w:p w14:paraId="5C30C762" w14:textId="77777777" w:rsidR="00C46587" w:rsidRPr="0058432E" w:rsidRDefault="00C46587" w:rsidP="00982118">
      <w:pPr>
        <w:rPr>
          <w:color w:val="000000" w:themeColor="text1"/>
        </w:rPr>
      </w:pPr>
    </w:p>
    <w:p w14:paraId="565DD903" w14:textId="77777777" w:rsidR="00C46587" w:rsidRPr="0058432E" w:rsidRDefault="00C46587" w:rsidP="00982118">
      <w:pPr>
        <w:keepNext/>
        <w:rPr>
          <w:color w:val="000000" w:themeColor="text1"/>
          <w:u w:val="single"/>
        </w:rPr>
      </w:pPr>
      <w:r w:rsidRPr="0058432E">
        <w:rPr>
          <w:color w:val="000000" w:themeColor="text1"/>
          <w:u w:val="single"/>
        </w:rPr>
        <w:t xml:space="preserve">Population pédiatrique </w:t>
      </w:r>
    </w:p>
    <w:p w14:paraId="695B1CD5" w14:textId="77777777" w:rsidR="00C46587" w:rsidRPr="0058432E" w:rsidRDefault="00C46587" w:rsidP="00982118">
      <w:pPr>
        <w:keepNext/>
        <w:rPr>
          <w:color w:val="000000" w:themeColor="text1"/>
        </w:rPr>
      </w:pPr>
    </w:p>
    <w:p w14:paraId="676E01ED" w14:textId="77777777" w:rsidR="00C46587" w:rsidRPr="0058432E" w:rsidRDefault="00C46587" w:rsidP="00982118">
      <w:pPr>
        <w:rPr>
          <w:color w:val="000000" w:themeColor="text1"/>
        </w:rPr>
      </w:pPr>
      <w:r w:rsidRPr="0058432E">
        <w:rPr>
          <w:color w:val="000000" w:themeColor="text1"/>
        </w:rPr>
        <w:t xml:space="preserve">En général, la fréquence et le type des événements indésirables observés chez l’enfant et l’adolescent ont été comparables à ceux observés chez les patients adultes. </w:t>
      </w:r>
    </w:p>
    <w:p w14:paraId="024CC62E" w14:textId="77777777" w:rsidR="00C46587" w:rsidRPr="0058432E" w:rsidRDefault="00C46587" w:rsidP="00982118">
      <w:pPr>
        <w:rPr>
          <w:color w:val="000000" w:themeColor="text1"/>
        </w:rPr>
      </w:pPr>
    </w:p>
    <w:p w14:paraId="565B8776" w14:textId="77777777" w:rsidR="00C46587" w:rsidRPr="0058432E" w:rsidRDefault="00C46587" w:rsidP="00982118">
      <w:pPr>
        <w:keepNext/>
        <w:rPr>
          <w:color w:val="000000" w:themeColor="text1"/>
          <w:u w:val="single"/>
        </w:rPr>
      </w:pPr>
      <w:r w:rsidRPr="0058432E">
        <w:rPr>
          <w:color w:val="000000" w:themeColor="text1"/>
          <w:u w:val="single"/>
        </w:rPr>
        <w:t xml:space="preserve">Liste </w:t>
      </w:r>
      <w:r w:rsidR="00002719" w:rsidRPr="0058432E">
        <w:rPr>
          <w:color w:val="000000" w:themeColor="text1"/>
          <w:u w:val="single"/>
        </w:rPr>
        <w:t xml:space="preserve">tabulée </w:t>
      </w:r>
      <w:r w:rsidRPr="0058432E">
        <w:rPr>
          <w:color w:val="000000" w:themeColor="text1"/>
          <w:u w:val="single"/>
        </w:rPr>
        <w:t xml:space="preserve">des effets indésirables </w:t>
      </w:r>
    </w:p>
    <w:p w14:paraId="10688EEB" w14:textId="77777777" w:rsidR="00C46587" w:rsidRPr="0058432E" w:rsidRDefault="00C46587" w:rsidP="00982118">
      <w:pPr>
        <w:keepNext/>
        <w:rPr>
          <w:color w:val="000000" w:themeColor="text1"/>
        </w:rPr>
      </w:pPr>
    </w:p>
    <w:p w14:paraId="163F77B5" w14:textId="77777777" w:rsidR="00C46587" w:rsidRPr="0058432E" w:rsidRDefault="00C46587" w:rsidP="00982118">
      <w:pPr>
        <w:rPr>
          <w:color w:val="000000" w:themeColor="text1"/>
        </w:rPr>
      </w:pPr>
      <w:r w:rsidRPr="0058432E">
        <w:rPr>
          <w:color w:val="000000" w:themeColor="text1"/>
        </w:rPr>
        <w:t xml:space="preserve">La liste </w:t>
      </w:r>
      <w:r w:rsidR="00002719" w:rsidRPr="0058432E">
        <w:rPr>
          <w:color w:val="000000" w:themeColor="text1"/>
        </w:rPr>
        <w:t>suivante</w:t>
      </w:r>
      <w:r w:rsidR="00E31D60" w:rsidRPr="0058432E">
        <w:rPr>
          <w:color w:val="000000" w:themeColor="text1"/>
        </w:rPr>
        <w:t xml:space="preserve"> </w:t>
      </w:r>
      <w:r w:rsidRPr="0058432E">
        <w:rPr>
          <w:color w:val="000000" w:themeColor="text1"/>
        </w:rPr>
        <w:t>des effets indésirables est basée sur les études cliniques et sur l’expérience après commercialisation et est présentée par classe de systèmes d’organes et par fréquence dans le tableau </w:t>
      </w:r>
      <w:r w:rsidR="00757BCE" w:rsidRPr="0058432E">
        <w:rPr>
          <w:color w:val="000000" w:themeColor="text1"/>
        </w:rPr>
        <w:t>7</w:t>
      </w:r>
      <w:r w:rsidRPr="0058432E">
        <w:rPr>
          <w:color w:val="000000" w:themeColor="text1"/>
        </w:rPr>
        <w:t xml:space="preserve"> ci-dessous : très fréquent (≥ 1/10) ; fréquent (≥ 1/100, &lt; 1/10) ; peu fréquent (≥ 1/1 000, &lt; 1/100) ; rare (≥ 1/10 000, &lt; 1/1 000) et fréquence indéterminée (ne peut être estimée sur la base des données disponibles). Au sein de chaque groupe de fréquence, les effets indésirables sont présentés par ordre décroissant de gravité. La fréquence la plus élevée observée dans les diverses indications a été incluse. La présence d’un astérisque (*) dans la colonne « Classe de systèmes d’organes » indique que de plus amples informations sont disponibles aux rubriques 4.3, 4.4 et 4.8.</w:t>
      </w:r>
    </w:p>
    <w:p w14:paraId="1BE02649" w14:textId="77777777" w:rsidR="00C46587" w:rsidRPr="0058432E" w:rsidRDefault="00C46587" w:rsidP="00982118">
      <w:pPr>
        <w:rPr>
          <w:color w:val="000000" w:themeColor="text1"/>
        </w:rPr>
      </w:pPr>
    </w:p>
    <w:p w14:paraId="01297599" w14:textId="77777777" w:rsidR="00C46587" w:rsidRPr="0058432E" w:rsidRDefault="00C46587" w:rsidP="00A53E17">
      <w:pPr>
        <w:keepNext/>
        <w:rPr>
          <w:b/>
          <w:color w:val="000000" w:themeColor="text1"/>
        </w:rPr>
      </w:pPr>
      <w:r w:rsidRPr="0058432E">
        <w:rPr>
          <w:b/>
          <w:color w:val="000000" w:themeColor="text1"/>
        </w:rPr>
        <w:lastRenderedPageBreak/>
        <w:t>Tableau </w:t>
      </w:r>
      <w:r w:rsidR="002C597C" w:rsidRPr="0058432E">
        <w:rPr>
          <w:b/>
          <w:color w:val="000000" w:themeColor="text1"/>
        </w:rPr>
        <w:t>7</w:t>
      </w:r>
      <w:r w:rsidR="00BA0AD5" w:rsidRPr="0058432E">
        <w:rPr>
          <w:b/>
          <w:color w:val="000000" w:themeColor="text1"/>
        </w:rPr>
        <w:t>.</w:t>
      </w:r>
      <w:r w:rsidRPr="0058432E">
        <w:rPr>
          <w:b/>
          <w:color w:val="000000" w:themeColor="text1"/>
        </w:rPr>
        <w:t> Effets indésirables</w:t>
      </w:r>
    </w:p>
    <w:p w14:paraId="2E910F1A" w14:textId="77777777" w:rsidR="00C46587" w:rsidRPr="0058432E" w:rsidRDefault="00C46587" w:rsidP="00982118">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2246"/>
        <w:gridCol w:w="3178"/>
      </w:tblGrid>
      <w:tr w:rsidR="00C46587" w:rsidRPr="0058432E" w14:paraId="4D28CBD7" w14:textId="77777777" w:rsidTr="0095181C">
        <w:trPr>
          <w:cantSplit/>
          <w:tblHeader/>
        </w:trPr>
        <w:tc>
          <w:tcPr>
            <w:tcW w:w="2628" w:type="dxa"/>
            <w:tcBorders>
              <w:top w:val="single" w:sz="4" w:space="0" w:color="auto"/>
              <w:left w:val="single" w:sz="4" w:space="0" w:color="auto"/>
              <w:bottom w:val="single" w:sz="4" w:space="0" w:color="auto"/>
              <w:right w:val="single" w:sz="4" w:space="0" w:color="auto"/>
            </w:tcBorders>
            <w:vAlign w:val="center"/>
            <w:hideMark/>
          </w:tcPr>
          <w:p w14:paraId="0DFD2BD8" w14:textId="77777777" w:rsidR="00C46587" w:rsidRPr="0058432E" w:rsidRDefault="00C46587" w:rsidP="00982118">
            <w:pPr>
              <w:keepNext/>
              <w:jc w:val="center"/>
              <w:rPr>
                <w:b/>
                <w:color w:val="000000" w:themeColor="text1"/>
              </w:rPr>
            </w:pPr>
            <w:r w:rsidRPr="0058432E">
              <w:rPr>
                <w:b/>
                <w:color w:val="000000" w:themeColor="text1"/>
              </w:rPr>
              <w:t>Classe de systèmes d’organes</w:t>
            </w:r>
          </w:p>
        </w:tc>
        <w:tc>
          <w:tcPr>
            <w:tcW w:w="1621" w:type="dxa"/>
            <w:tcBorders>
              <w:top w:val="single" w:sz="4" w:space="0" w:color="auto"/>
              <w:left w:val="single" w:sz="4" w:space="0" w:color="auto"/>
              <w:bottom w:val="single" w:sz="4" w:space="0" w:color="auto"/>
              <w:right w:val="single" w:sz="4" w:space="0" w:color="auto"/>
            </w:tcBorders>
            <w:vAlign w:val="center"/>
            <w:hideMark/>
          </w:tcPr>
          <w:p w14:paraId="4487C2D1" w14:textId="77777777" w:rsidR="00C46587" w:rsidRPr="0058432E" w:rsidRDefault="00C46587" w:rsidP="00982118">
            <w:pPr>
              <w:keepNext/>
              <w:jc w:val="center"/>
              <w:rPr>
                <w:b/>
                <w:color w:val="000000" w:themeColor="text1"/>
              </w:rPr>
            </w:pPr>
            <w:r w:rsidRPr="0058432E">
              <w:rPr>
                <w:b/>
                <w:color w:val="000000" w:themeColor="text1"/>
              </w:rPr>
              <w:t>Fréquence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274996BE" w14:textId="77777777" w:rsidR="00C46587" w:rsidRPr="0058432E" w:rsidRDefault="00C46587" w:rsidP="00982118">
            <w:pPr>
              <w:keepNext/>
              <w:jc w:val="center"/>
              <w:rPr>
                <w:b/>
                <w:color w:val="000000" w:themeColor="text1"/>
              </w:rPr>
            </w:pPr>
            <w:r w:rsidRPr="0058432E">
              <w:rPr>
                <w:b/>
                <w:color w:val="000000" w:themeColor="text1"/>
              </w:rPr>
              <w:t>Effet indésirable</w:t>
            </w:r>
          </w:p>
        </w:tc>
      </w:tr>
      <w:tr w:rsidR="00955F88" w:rsidRPr="0058432E" w14:paraId="65FA1ADE"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120E8A0" w14:textId="77777777" w:rsidR="00955F88" w:rsidRPr="0058432E" w:rsidRDefault="00955F88" w:rsidP="00982118">
            <w:pPr>
              <w:keepNext/>
              <w:rPr>
                <w:color w:val="000000" w:themeColor="text1"/>
              </w:rPr>
            </w:pPr>
            <w:r w:rsidRPr="0058432E">
              <w:rPr>
                <w:color w:val="000000" w:themeColor="text1"/>
              </w:rPr>
              <w:t>Infections et infestations*</w:t>
            </w:r>
          </w:p>
        </w:tc>
        <w:tc>
          <w:tcPr>
            <w:tcW w:w="1621" w:type="dxa"/>
            <w:tcBorders>
              <w:top w:val="single" w:sz="4" w:space="0" w:color="auto"/>
              <w:left w:val="single" w:sz="4" w:space="0" w:color="auto"/>
              <w:right w:val="single" w:sz="4" w:space="0" w:color="auto"/>
            </w:tcBorders>
          </w:tcPr>
          <w:p w14:paraId="5688FCB8" w14:textId="77777777" w:rsidR="00955F88" w:rsidRPr="0058432E" w:rsidRDefault="00955F88" w:rsidP="00982118">
            <w:pPr>
              <w:keepNext/>
              <w:rPr>
                <w:color w:val="000000" w:themeColor="text1"/>
              </w:rPr>
            </w:pPr>
            <w:r w:rsidRPr="0058432E">
              <w:rPr>
                <w:color w:val="000000" w:themeColor="text1"/>
              </w:rPr>
              <w:t>Très fréquent</w:t>
            </w:r>
          </w:p>
          <w:p w14:paraId="6053FA54" w14:textId="77777777" w:rsidR="00955F88" w:rsidRPr="0058432E" w:rsidRDefault="00955F88" w:rsidP="00982118">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10B76067" w14:textId="77777777" w:rsidR="00437FA1" w:rsidRPr="0058432E" w:rsidRDefault="00955F88" w:rsidP="000D3575">
            <w:pPr>
              <w:keepNext/>
              <w:rPr>
                <w:color w:val="000000" w:themeColor="text1"/>
              </w:rPr>
            </w:pPr>
            <w:r w:rsidRPr="0058432E">
              <w:rPr>
                <w:color w:val="000000" w:themeColor="text1"/>
              </w:rPr>
              <w:t>Infections des voies respiratoires (y compris infection des voies respiratoires basses et infection des voies respiratoires hautes, pneumonie, sinusite, pharyngite, rhino-pharyngite et pneumonie herpétique</w:t>
            </w:r>
            <w:r w:rsidR="00002719" w:rsidRPr="0058432E">
              <w:rPr>
                <w:color w:val="000000" w:themeColor="text1"/>
              </w:rPr>
              <w:t xml:space="preserve"> virale</w:t>
            </w:r>
            <w:r w:rsidRPr="0058432E">
              <w:rPr>
                <w:color w:val="000000" w:themeColor="text1"/>
              </w:rPr>
              <w:t>)</w:t>
            </w:r>
          </w:p>
        </w:tc>
      </w:tr>
      <w:tr w:rsidR="00955F88" w:rsidRPr="0058432E" w14:paraId="0AF5F2B5" w14:textId="77777777" w:rsidTr="0095181C">
        <w:trPr>
          <w:cantSplit/>
        </w:trPr>
        <w:tc>
          <w:tcPr>
            <w:tcW w:w="2628" w:type="dxa"/>
            <w:vMerge/>
            <w:tcBorders>
              <w:left w:val="single" w:sz="4" w:space="0" w:color="auto"/>
              <w:right w:val="single" w:sz="4" w:space="0" w:color="auto"/>
            </w:tcBorders>
          </w:tcPr>
          <w:p w14:paraId="46E5B37B" w14:textId="77777777" w:rsidR="00955F88" w:rsidRPr="0058432E" w:rsidRDefault="00955F88" w:rsidP="00982118">
            <w:pPr>
              <w:keepNext/>
              <w:rPr>
                <w:color w:val="000000" w:themeColor="text1"/>
              </w:rPr>
            </w:pPr>
          </w:p>
        </w:tc>
        <w:tc>
          <w:tcPr>
            <w:tcW w:w="1621" w:type="dxa"/>
            <w:tcBorders>
              <w:left w:val="single" w:sz="4" w:space="0" w:color="auto"/>
              <w:right w:val="single" w:sz="4" w:space="0" w:color="auto"/>
            </w:tcBorders>
          </w:tcPr>
          <w:p w14:paraId="752340AF" w14:textId="77777777" w:rsidR="00955F88" w:rsidRPr="0058432E" w:rsidRDefault="00955F88" w:rsidP="00982118">
            <w:pPr>
              <w:keepNext/>
              <w:rPr>
                <w:color w:val="000000" w:themeColor="text1"/>
              </w:rPr>
            </w:pPr>
            <w:r w:rsidRPr="0058432E">
              <w:rPr>
                <w:color w:val="000000" w:themeColor="text1"/>
              </w:rPr>
              <w:t>Fréquent</w:t>
            </w:r>
          </w:p>
          <w:p w14:paraId="647572F5" w14:textId="77777777" w:rsidR="00955F88" w:rsidRPr="0058432E" w:rsidRDefault="00955F88" w:rsidP="00982118">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08C804BD" w14:textId="77777777" w:rsidR="00955F88" w:rsidRPr="0058432E" w:rsidRDefault="00437FA1" w:rsidP="00982118">
            <w:pPr>
              <w:keepNext/>
              <w:rPr>
                <w:color w:val="000000" w:themeColor="text1"/>
              </w:rPr>
            </w:pPr>
            <w:r w:rsidRPr="0058432E">
              <w:rPr>
                <w:color w:val="000000" w:themeColor="text1"/>
              </w:rPr>
              <w:t xml:space="preserve">Infections systémiques (y compris </w:t>
            </w:r>
            <w:r w:rsidR="00C564BD" w:rsidRPr="0058432E">
              <w:rPr>
                <w:color w:val="000000" w:themeColor="text1"/>
              </w:rPr>
              <w:t>septicémie</w:t>
            </w:r>
            <w:r w:rsidRPr="0058432E">
              <w:rPr>
                <w:color w:val="000000" w:themeColor="text1"/>
              </w:rPr>
              <w:t xml:space="preserve">, candidose et grippe), </w:t>
            </w:r>
          </w:p>
          <w:p w14:paraId="7C6A7111"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virale), </w:t>
            </w:r>
          </w:p>
          <w:p w14:paraId="1A80920A"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cutanées et des tissus mous (y compris panaris superficiel périunguéal, cellulite, impétigo, fasciite nécrosante et zona), </w:t>
            </w:r>
          </w:p>
          <w:p w14:paraId="516F3CA9"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de l’oreille, </w:t>
            </w:r>
          </w:p>
          <w:p w14:paraId="3376ED9F"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herpès</w:t>
            </w:r>
            <w:r w:rsidR="00002719" w:rsidRPr="0058432E">
              <w:rPr>
                <w:color w:val="000000" w:themeColor="text1"/>
              </w:rPr>
              <w:t xml:space="preserve"> simplex</w:t>
            </w:r>
            <w:r w:rsidRPr="0058432E">
              <w:rPr>
                <w:color w:val="000000" w:themeColor="text1"/>
              </w:rPr>
              <w:t xml:space="preserve">, herpès buccal et infections dentaires), </w:t>
            </w:r>
          </w:p>
          <w:p w14:paraId="7486B883"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(y compris mycose vulvo-vaginale), </w:t>
            </w:r>
          </w:p>
          <w:p w14:paraId="6F616BEE"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des voies urinaires (y compris pyélonéphrite), </w:t>
            </w:r>
          </w:p>
          <w:p w14:paraId="07766A7F" w14:textId="77777777" w:rsidR="00955F88" w:rsidRPr="0058432E" w:rsidRDefault="00955F88" w:rsidP="00982118">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fongiques, </w:t>
            </w:r>
          </w:p>
          <w:p w14:paraId="64E0464D" w14:textId="77777777" w:rsidR="00B633E5" w:rsidRPr="0058432E" w:rsidDel="00955F88" w:rsidRDefault="00955F88" w:rsidP="000D3575">
            <w:pPr>
              <w:keepNext/>
              <w:rPr>
                <w:color w:val="000000" w:themeColor="text1"/>
              </w:rPr>
            </w:pPr>
            <w:proofErr w:type="gramStart"/>
            <w:r w:rsidRPr="0058432E">
              <w:rPr>
                <w:color w:val="000000" w:themeColor="text1"/>
              </w:rPr>
              <w:t>infections</w:t>
            </w:r>
            <w:proofErr w:type="gramEnd"/>
            <w:r w:rsidRPr="0058432E">
              <w:rPr>
                <w:color w:val="000000" w:themeColor="text1"/>
              </w:rPr>
              <w:t xml:space="preserve"> articulaires</w:t>
            </w:r>
          </w:p>
        </w:tc>
      </w:tr>
      <w:tr w:rsidR="00955F88" w:rsidRPr="0058432E" w14:paraId="192853C8" w14:textId="77777777" w:rsidTr="0095181C">
        <w:trPr>
          <w:cantSplit/>
        </w:trPr>
        <w:tc>
          <w:tcPr>
            <w:tcW w:w="2628" w:type="dxa"/>
            <w:vMerge/>
            <w:tcBorders>
              <w:left w:val="single" w:sz="4" w:space="0" w:color="auto"/>
              <w:bottom w:val="single" w:sz="4" w:space="0" w:color="auto"/>
              <w:right w:val="single" w:sz="4" w:space="0" w:color="auto"/>
            </w:tcBorders>
          </w:tcPr>
          <w:p w14:paraId="186CD177" w14:textId="77777777" w:rsidR="00955F88" w:rsidRPr="0058432E" w:rsidRDefault="00955F88" w:rsidP="00982118">
            <w:pPr>
              <w:rPr>
                <w:color w:val="000000" w:themeColor="text1"/>
              </w:rPr>
            </w:pPr>
          </w:p>
        </w:tc>
        <w:tc>
          <w:tcPr>
            <w:tcW w:w="1621" w:type="dxa"/>
            <w:tcBorders>
              <w:left w:val="single" w:sz="4" w:space="0" w:color="auto"/>
              <w:bottom w:val="single" w:sz="4" w:space="0" w:color="auto"/>
              <w:right w:val="single" w:sz="4" w:space="0" w:color="auto"/>
            </w:tcBorders>
          </w:tcPr>
          <w:p w14:paraId="21AC6F31" w14:textId="77777777" w:rsidR="00955F88" w:rsidRPr="0058432E" w:rsidRDefault="00955F88"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6F325DAD" w14:textId="77777777" w:rsidR="00955F88" w:rsidRPr="0058432E" w:rsidRDefault="00437FA1" w:rsidP="00982118">
            <w:pPr>
              <w:keepNext/>
              <w:autoSpaceDE w:val="0"/>
              <w:autoSpaceDN w:val="0"/>
              <w:adjustRightInd w:val="0"/>
              <w:rPr>
                <w:color w:val="000000" w:themeColor="text1"/>
              </w:rPr>
            </w:pPr>
            <w:r w:rsidRPr="0058432E">
              <w:rPr>
                <w:color w:val="000000" w:themeColor="text1"/>
              </w:rPr>
              <w:t>Infections neurologiques (y compris méningite virale),</w:t>
            </w:r>
          </w:p>
          <w:p w14:paraId="7A409C7F" w14:textId="77777777" w:rsidR="00955F88" w:rsidRPr="0058432E" w:rsidRDefault="00955F88"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et tuberculose (y compris coccidioïdomycose, histoplasmose et infections à </w:t>
            </w:r>
            <w:r w:rsidRPr="0058432E">
              <w:rPr>
                <w:i/>
                <w:iCs/>
                <w:color w:val="000000" w:themeColor="text1"/>
              </w:rPr>
              <w:t>Mycobacterium avium complex</w:t>
            </w:r>
            <w:r w:rsidRPr="0058432E">
              <w:rPr>
                <w:color w:val="000000" w:themeColor="text1"/>
              </w:rPr>
              <w:t>),</w:t>
            </w:r>
          </w:p>
          <w:p w14:paraId="1BC0AEA6" w14:textId="77777777" w:rsidR="00955F88" w:rsidRPr="0058432E" w:rsidRDefault="00955F88"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w:t>
            </w:r>
          </w:p>
          <w:p w14:paraId="49F8C92E" w14:textId="77777777" w:rsidR="00955F88" w:rsidRPr="0058432E" w:rsidRDefault="00955F88"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oculaires,</w:t>
            </w:r>
          </w:p>
          <w:p w14:paraId="684AD05C" w14:textId="77777777" w:rsidR="00B633E5" w:rsidRPr="0058432E" w:rsidDel="00955F88" w:rsidRDefault="00955F88" w:rsidP="000D3575">
            <w:pPr>
              <w:rPr>
                <w:color w:val="000000" w:themeColor="text1"/>
              </w:rPr>
            </w:pPr>
            <w:proofErr w:type="gramStart"/>
            <w:r w:rsidRPr="0058432E">
              <w:rPr>
                <w:color w:val="000000" w:themeColor="text1"/>
              </w:rPr>
              <w:t>diverticulite</w:t>
            </w:r>
            <w:proofErr w:type="gramEnd"/>
            <w:r w:rsidRPr="0058432E">
              <w:rPr>
                <w:color w:val="000000" w:themeColor="text1"/>
                <w:vertAlign w:val="superscript"/>
              </w:rPr>
              <w:t>1</w:t>
            </w:r>
          </w:p>
        </w:tc>
      </w:tr>
      <w:tr w:rsidR="00437FA1" w:rsidRPr="0058432E" w14:paraId="79633CD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B22EAE3" w14:textId="77777777" w:rsidR="00437FA1" w:rsidRPr="0058432E" w:rsidRDefault="00437FA1" w:rsidP="00982118">
            <w:pPr>
              <w:rPr>
                <w:color w:val="000000" w:themeColor="text1"/>
              </w:rPr>
            </w:pPr>
            <w:r w:rsidRPr="0058432E">
              <w:rPr>
                <w:color w:val="000000" w:themeColor="text1"/>
              </w:rPr>
              <w:t>Tumeurs bénignes, malignes et non précisées (</w:t>
            </w:r>
            <w:r w:rsidR="00B10867" w:rsidRPr="0058432E">
              <w:rPr>
                <w:color w:val="000000" w:themeColor="text1"/>
              </w:rPr>
              <w:t>incl</w:t>
            </w:r>
            <w:r w:rsidRPr="0058432E">
              <w:rPr>
                <w:color w:val="000000" w:themeColor="text1"/>
              </w:rPr>
              <w:t xml:space="preserve"> kystes et </w:t>
            </w:r>
            <w:proofErr w:type="gramStart"/>
            <w:r w:rsidRPr="0058432E">
              <w:rPr>
                <w:color w:val="000000" w:themeColor="text1"/>
              </w:rPr>
              <w:t>polypes)*</w:t>
            </w:r>
            <w:proofErr w:type="gramEnd"/>
          </w:p>
        </w:tc>
        <w:tc>
          <w:tcPr>
            <w:tcW w:w="1621" w:type="dxa"/>
            <w:tcBorders>
              <w:top w:val="single" w:sz="4" w:space="0" w:color="auto"/>
              <w:left w:val="single" w:sz="4" w:space="0" w:color="auto"/>
              <w:bottom w:val="single" w:sz="4" w:space="0" w:color="auto"/>
              <w:right w:val="single" w:sz="4" w:space="0" w:color="auto"/>
            </w:tcBorders>
          </w:tcPr>
          <w:p w14:paraId="4599C807" w14:textId="77777777" w:rsidR="00437FA1" w:rsidRPr="0058432E" w:rsidRDefault="00437FA1" w:rsidP="00982118">
            <w:pPr>
              <w:rPr>
                <w:color w:val="000000" w:themeColor="text1"/>
              </w:rPr>
            </w:pPr>
            <w:r w:rsidRPr="0058432E">
              <w:rPr>
                <w:color w:val="000000" w:themeColor="text1"/>
              </w:rPr>
              <w:t>Fréquent</w:t>
            </w:r>
          </w:p>
          <w:p w14:paraId="379B8BE9" w14:textId="77777777" w:rsidR="00437FA1" w:rsidRPr="0058432E" w:rsidRDefault="00437FA1" w:rsidP="00982118">
            <w:pPr>
              <w:rPr>
                <w:color w:val="000000" w:themeColor="text1"/>
              </w:rPr>
            </w:pPr>
          </w:p>
        </w:tc>
        <w:tc>
          <w:tcPr>
            <w:tcW w:w="0" w:type="auto"/>
            <w:tcBorders>
              <w:top w:val="single" w:sz="4" w:space="0" w:color="auto"/>
              <w:left w:val="single" w:sz="4" w:space="0" w:color="auto"/>
              <w:right w:val="single" w:sz="4" w:space="0" w:color="auto"/>
            </w:tcBorders>
          </w:tcPr>
          <w:p w14:paraId="65533B8A" w14:textId="77777777" w:rsidR="00437FA1" w:rsidRPr="0058432E" w:rsidRDefault="00437FA1" w:rsidP="00982118">
            <w:pPr>
              <w:rPr>
                <w:color w:val="000000" w:themeColor="text1"/>
              </w:rPr>
            </w:pPr>
            <w:r w:rsidRPr="0058432E">
              <w:rPr>
                <w:color w:val="000000" w:themeColor="text1"/>
              </w:rPr>
              <w:t>Cancer de la peau à l’exclusion du mélanome (y compris carcinome basocellulaire et carcinome malpighien spino-cellulaire),</w:t>
            </w:r>
          </w:p>
          <w:p w14:paraId="45200B6D" w14:textId="77777777" w:rsidR="00437FA1" w:rsidRPr="0058432E" w:rsidRDefault="00437FA1" w:rsidP="000D3575">
            <w:pPr>
              <w:rPr>
                <w:color w:val="000000" w:themeColor="text1"/>
              </w:rPr>
            </w:pPr>
            <w:proofErr w:type="gramStart"/>
            <w:r w:rsidRPr="0058432E">
              <w:rPr>
                <w:color w:val="000000" w:themeColor="text1"/>
              </w:rPr>
              <w:t>tumeur</w:t>
            </w:r>
            <w:proofErr w:type="gramEnd"/>
            <w:r w:rsidRPr="0058432E">
              <w:rPr>
                <w:color w:val="000000" w:themeColor="text1"/>
              </w:rPr>
              <w:t xml:space="preserve"> bénigne</w:t>
            </w:r>
          </w:p>
        </w:tc>
      </w:tr>
      <w:tr w:rsidR="00437FA1" w:rsidRPr="0058432E" w14:paraId="5C8BADDA" w14:textId="77777777" w:rsidTr="0095181C">
        <w:trPr>
          <w:cantSplit/>
        </w:trPr>
        <w:tc>
          <w:tcPr>
            <w:tcW w:w="2628" w:type="dxa"/>
            <w:vMerge/>
            <w:tcBorders>
              <w:left w:val="single" w:sz="4" w:space="0" w:color="auto"/>
              <w:right w:val="single" w:sz="4" w:space="0" w:color="auto"/>
            </w:tcBorders>
          </w:tcPr>
          <w:p w14:paraId="6F213787"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85C1DF7" w14:textId="77777777" w:rsidR="00437FA1" w:rsidRPr="0058432E" w:rsidRDefault="00437FA1" w:rsidP="00982118">
            <w:pPr>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30F68A89" w14:textId="77777777" w:rsidR="00437FA1" w:rsidRPr="0058432E" w:rsidRDefault="00437FA1" w:rsidP="00982118">
            <w:pPr>
              <w:rPr>
                <w:color w:val="000000" w:themeColor="text1"/>
              </w:rPr>
            </w:pPr>
            <w:r w:rsidRPr="0058432E">
              <w:rPr>
                <w:color w:val="000000" w:themeColor="text1"/>
              </w:rPr>
              <w:t>Lymphome**,</w:t>
            </w:r>
          </w:p>
          <w:p w14:paraId="7D2D82A2" w14:textId="77777777" w:rsidR="00437FA1" w:rsidRPr="0058432E" w:rsidRDefault="00437FA1" w:rsidP="00982118">
            <w:pPr>
              <w:rPr>
                <w:color w:val="000000" w:themeColor="text1"/>
              </w:rPr>
            </w:pPr>
            <w:proofErr w:type="gramStart"/>
            <w:r w:rsidRPr="0058432E">
              <w:rPr>
                <w:color w:val="000000" w:themeColor="text1"/>
              </w:rPr>
              <w:t>tumeurs</w:t>
            </w:r>
            <w:proofErr w:type="gramEnd"/>
            <w:r w:rsidRPr="0058432E">
              <w:rPr>
                <w:color w:val="000000" w:themeColor="text1"/>
              </w:rPr>
              <w:t xml:space="preserve"> des organes solides (y compris cancer du sein, du poumon et de la thyroïde),</w:t>
            </w:r>
          </w:p>
          <w:p w14:paraId="55F96B06" w14:textId="77777777" w:rsidR="00437FA1" w:rsidRPr="0058432E" w:rsidRDefault="00437FA1" w:rsidP="000D3575">
            <w:pPr>
              <w:rPr>
                <w:color w:val="000000" w:themeColor="text1"/>
              </w:rPr>
            </w:pPr>
            <w:proofErr w:type="gramStart"/>
            <w:r w:rsidRPr="0058432E">
              <w:rPr>
                <w:color w:val="000000" w:themeColor="text1"/>
              </w:rPr>
              <w:t>mélanome</w:t>
            </w:r>
            <w:proofErr w:type="gramEnd"/>
            <w:r w:rsidRPr="0058432E">
              <w:rPr>
                <w:color w:val="000000" w:themeColor="text1"/>
              </w:rPr>
              <w:t>**</w:t>
            </w:r>
          </w:p>
        </w:tc>
      </w:tr>
      <w:tr w:rsidR="00437FA1" w:rsidRPr="0058432E" w14:paraId="56D597B6" w14:textId="77777777" w:rsidTr="0095181C">
        <w:trPr>
          <w:cantSplit/>
        </w:trPr>
        <w:tc>
          <w:tcPr>
            <w:tcW w:w="2628" w:type="dxa"/>
            <w:vMerge/>
            <w:tcBorders>
              <w:left w:val="single" w:sz="4" w:space="0" w:color="auto"/>
              <w:right w:val="single" w:sz="4" w:space="0" w:color="auto"/>
            </w:tcBorders>
          </w:tcPr>
          <w:p w14:paraId="75997AE1"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1C0BFF27" w14:textId="77777777" w:rsidR="00437FA1" w:rsidRPr="0058432E" w:rsidRDefault="00437FA1" w:rsidP="00982118">
            <w:pPr>
              <w:rPr>
                <w:color w:val="000000" w:themeColor="text1"/>
              </w:rPr>
            </w:pPr>
            <w:r w:rsidRPr="0058432E">
              <w:rPr>
                <w:color w:val="000000" w:themeColor="text1"/>
              </w:rPr>
              <w:t>Rare</w:t>
            </w:r>
          </w:p>
        </w:tc>
        <w:tc>
          <w:tcPr>
            <w:tcW w:w="0" w:type="auto"/>
            <w:tcBorders>
              <w:left w:val="single" w:sz="4" w:space="0" w:color="auto"/>
              <w:right w:val="single" w:sz="4" w:space="0" w:color="auto"/>
            </w:tcBorders>
          </w:tcPr>
          <w:p w14:paraId="134846EC" w14:textId="77777777" w:rsidR="00437FA1" w:rsidRPr="0058432E" w:rsidRDefault="00437FA1" w:rsidP="000D3575">
            <w:pPr>
              <w:rPr>
                <w:color w:val="000000" w:themeColor="text1"/>
              </w:rPr>
            </w:pPr>
            <w:r w:rsidRPr="0058432E">
              <w:rPr>
                <w:color w:val="000000" w:themeColor="text1"/>
              </w:rPr>
              <w:t>Leucémie</w:t>
            </w:r>
            <w:r w:rsidRPr="0058432E">
              <w:rPr>
                <w:color w:val="000000" w:themeColor="text1"/>
                <w:vertAlign w:val="superscript"/>
              </w:rPr>
              <w:t>1</w:t>
            </w:r>
          </w:p>
        </w:tc>
      </w:tr>
      <w:tr w:rsidR="00437FA1" w:rsidRPr="0058432E" w14:paraId="62E110DC" w14:textId="77777777" w:rsidTr="0095181C">
        <w:trPr>
          <w:cantSplit/>
        </w:trPr>
        <w:tc>
          <w:tcPr>
            <w:tcW w:w="2628" w:type="dxa"/>
            <w:vMerge/>
            <w:tcBorders>
              <w:left w:val="single" w:sz="4" w:space="0" w:color="auto"/>
              <w:bottom w:val="single" w:sz="4" w:space="0" w:color="auto"/>
              <w:right w:val="single" w:sz="4" w:space="0" w:color="auto"/>
            </w:tcBorders>
          </w:tcPr>
          <w:p w14:paraId="5B2A0200"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59B8E84" w14:textId="77777777" w:rsidR="00437FA1" w:rsidRPr="0058432E" w:rsidRDefault="00437FA1" w:rsidP="00982118">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6BB759F5" w14:textId="77777777" w:rsidR="00437FA1" w:rsidRPr="0058432E" w:rsidRDefault="00437FA1" w:rsidP="00982118">
            <w:pPr>
              <w:rPr>
                <w:color w:val="000000" w:themeColor="text1"/>
              </w:rPr>
            </w:pPr>
            <w:r w:rsidRPr="0058432E">
              <w:rPr>
                <w:color w:val="000000" w:themeColor="text1"/>
              </w:rPr>
              <w:t>Lymphome hépatosplénique à lymphocytes T</w:t>
            </w:r>
            <w:r w:rsidRPr="0058432E">
              <w:rPr>
                <w:color w:val="000000" w:themeColor="text1"/>
                <w:vertAlign w:val="superscript"/>
              </w:rPr>
              <w:t>1</w:t>
            </w:r>
            <w:r w:rsidRPr="0058432E">
              <w:rPr>
                <w:color w:val="000000" w:themeColor="text1"/>
              </w:rPr>
              <w:t>,</w:t>
            </w:r>
          </w:p>
          <w:p w14:paraId="7402FD84" w14:textId="77777777" w:rsidR="00437FA1" w:rsidRPr="0058432E" w:rsidRDefault="00437FA1" w:rsidP="000D3575">
            <w:pPr>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(carcinome neuroendocrine cutané)</w:t>
            </w:r>
            <w:r w:rsidRPr="0058432E">
              <w:rPr>
                <w:color w:val="000000" w:themeColor="text1"/>
                <w:vertAlign w:val="superscript"/>
              </w:rPr>
              <w:t>1</w:t>
            </w:r>
            <w:r w:rsidR="007B2F70" w:rsidRPr="0058432E">
              <w:rPr>
                <w:color w:val="000000" w:themeColor="text1"/>
              </w:rPr>
              <w:t>,</w:t>
            </w:r>
          </w:p>
          <w:p w14:paraId="31C4B85A" w14:textId="77777777" w:rsidR="007B2F70" w:rsidRPr="0058432E" w:rsidRDefault="007B2F70" w:rsidP="000D3575">
            <w:pPr>
              <w:rPr>
                <w:color w:val="000000" w:themeColor="text1"/>
              </w:rPr>
            </w:pPr>
            <w:proofErr w:type="gramStart"/>
            <w:r w:rsidRPr="0058432E">
              <w:rPr>
                <w:color w:val="000000" w:themeColor="text1"/>
              </w:rPr>
              <w:t>sarcome</w:t>
            </w:r>
            <w:proofErr w:type="gramEnd"/>
            <w:r w:rsidRPr="0058432E">
              <w:rPr>
                <w:color w:val="000000" w:themeColor="text1"/>
              </w:rPr>
              <w:t xml:space="preserve"> de Kaposi</w:t>
            </w:r>
          </w:p>
        </w:tc>
      </w:tr>
      <w:tr w:rsidR="00437FA1" w:rsidRPr="0058432E" w14:paraId="41FFF6AA"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6F50C2A7" w14:textId="77777777" w:rsidR="00437FA1" w:rsidRPr="0058432E" w:rsidRDefault="00437FA1" w:rsidP="00982118">
            <w:pPr>
              <w:keepNext/>
              <w:rPr>
                <w:color w:val="000000" w:themeColor="text1"/>
              </w:rPr>
            </w:pPr>
            <w:r w:rsidRPr="0058432E">
              <w:rPr>
                <w:color w:val="000000" w:themeColor="text1"/>
              </w:rPr>
              <w:t>Affections hématologiques et du système lymphatique*</w:t>
            </w:r>
          </w:p>
        </w:tc>
        <w:tc>
          <w:tcPr>
            <w:tcW w:w="1621" w:type="dxa"/>
            <w:tcBorders>
              <w:top w:val="single" w:sz="4" w:space="0" w:color="auto"/>
              <w:left w:val="single" w:sz="4" w:space="0" w:color="auto"/>
              <w:bottom w:val="single" w:sz="4" w:space="0" w:color="auto"/>
              <w:right w:val="single" w:sz="4" w:space="0" w:color="auto"/>
            </w:tcBorders>
          </w:tcPr>
          <w:p w14:paraId="08486EBE" w14:textId="77777777" w:rsidR="00437FA1" w:rsidRPr="0058432E" w:rsidRDefault="00437FA1" w:rsidP="00982118">
            <w:pPr>
              <w:keepNext/>
              <w:rPr>
                <w:color w:val="000000" w:themeColor="text1"/>
              </w:rPr>
            </w:pPr>
            <w:r w:rsidRPr="0058432E">
              <w:rPr>
                <w:color w:val="000000" w:themeColor="text1"/>
              </w:rPr>
              <w:t>Très fréquent</w:t>
            </w:r>
          </w:p>
          <w:p w14:paraId="5DCD1C0E" w14:textId="77777777" w:rsidR="00437FA1" w:rsidRPr="0058432E" w:rsidRDefault="00437FA1" w:rsidP="00982118">
            <w:pPr>
              <w:keepNext/>
              <w:rPr>
                <w:color w:val="000000" w:themeColor="text1"/>
              </w:rPr>
            </w:pPr>
          </w:p>
        </w:tc>
        <w:tc>
          <w:tcPr>
            <w:tcW w:w="0" w:type="auto"/>
            <w:tcBorders>
              <w:top w:val="single" w:sz="4" w:space="0" w:color="auto"/>
              <w:left w:val="single" w:sz="4" w:space="0" w:color="auto"/>
              <w:right w:val="single" w:sz="4" w:space="0" w:color="auto"/>
            </w:tcBorders>
          </w:tcPr>
          <w:p w14:paraId="20BA254C" w14:textId="77777777" w:rsidR="00437FA1" w:rsidRPr="0058432E" w:rsidRDefault="00437FA1" w:rsidP="00982118">
            <w:pPr>
              <w:keepNext/>
              <w:autoSpaceDE w:val="0"/>
              <w:autoSpaceDN w:val="0"/>
              <w:adjustRightInd w:val="0"/>
              <w:rPr>
                <w:color w:val="000000" w:themeColor="text1"/>
              </w:rPr>
            </w:pPr>
            <w:r w:rsidRPr="0058432E">
              <w:rPr>
                <w:color w:val="000000" w:themeColor="text1"/>
              </w:rPr>
              <w:t>Leucopénie (y compris neutropénie et agranulocytose),</w:t>
            </w:r>
          </w:p>
          <w:p w14:paraId="203590C7" w14:textId="77777777" w:rsidR="00437FA1" w:rsidRPr="0058432E" w:rsidRDefault="00437FA1" w:rsidP="000D3575">
            <w:pPr>
              <w:keepNext/>
              <w:rPr>
                <w:color w:val="000000" w:themeColor="text1"/>
              </w:rPr>
            </w:pPr>
            <w:proofErr w:type="gramStart"/>
            <w:r w:rsidRPr="0058432E">
              <w:rPr>
                <w:color w:val="000000" w:themeColor="text1"/>
              </w:rPr>
              <w:t>anémie</w:t>
            </w:r>
            <w:proofErr w:type="gramEnd"/>
          </w:p>
        </w:tc>
      </w:tr>
      <w:tr w:rsidR="00437FA1" w:rsidRPr="0058432E" w14:paraId="05B3E62F" w14:textId="77777777" w:rsidTr="0095181C">
        <w:trPr>
          <w:cantSplit/>
        </w:trPr>
        <w:tc>
          <w:tcPr>
            <w:tcW w:w="2628" w:type="dxa"/>
            <w:vMerge/>
            <w:tcBorders>
              <w:left w:val="single" w:sz="4" w:space="0" w:color="auto"/>
              <w:right w:val="single" w:sz="4" w:space="0" w:color="auto"/>
            </w:tcBorders>
          </w:tcPr>
          <w:p w14:paraId="13A69F78" w14:textId="77777777" w:rsidR="00437FA1" w:rsidRPr="0058432E" w:rsidRDefault="00437FA1"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A406B8C" w14:textId="77777777" w:rsidR="00437FA1" w:rsidRPr="0058432E" w:rsidRDefault="00437FA1" w:rsidP="00982118">
            <w:pPr>
              <w:keepNext/>
              <w:rPr>
                <w:color w:val="000000" w:themeColor="text1"/>
              </w:rPr>
            </w:pPr>
            <w:r w:rsidRPr="0058432E">
              <w:rPr>
                <w:color w:val="000000" w:themeColor="text1"/>
              </w:rPr>
              <w:t>Fréquent</w:t>
            </w:r>
          </w:p>
          <w:p w14:paraId="146AD977" w14:textId="77777777" w:rsidR="00437FA1" w:rsidRPr="0058432E" w:rsidRDefault="00437FA1" w:rsidP="00982118">
            <w:pPr>
              <w:keepNext/>
              <w:rPr>
                <w:color w:val="000000" w:themeColor="text1"/>
              </w:rPr>
            </w:pPr>
          </w:p>
        </w:tc>
        <w:tc>
          <w:tcPr>
            <w:tcW w:w="0" w:type="auto"/>
            <w:tcBorders>
              <w:left w:val="single" w:sz="4" w:space="0" w:color="auto"/>
              <w:right w:val="single" w:sz="4" w:space="0" w:color="auto"/>
            </w:tcBorders>
          </w:tcPr>
          <w:p w14:paraId="62256A98" w14:textId="77777777" w:rsidR="00437FA1" w:rsidRPr="0058432E" w:rsidRDefault="00437FA1" w:rsidP="00982118">
            <w:pPr>
              <w:keepNext/>
              <w:autoSpaceDE w:val="0"/>
              <w:autoSpaceDN w:val="0"/>
              <w:adjustRightInd w:val="0"/>
              <w:rPr>
                <w:color w:val="000000" w:themeColor="text1"/>
              </w:rPr>
            </w:pPr>
            <w:r w:rsidRPr="0058432E">
              <w:rPr>
                <w:color w:val="000000" w:themeColor="text1"/>
              </w:rPr>
              <w:t>Leucocytose,</w:t>
            </w:r>
          </w:p>
          <w:p w14:paraId="5077242E" w14:textId="77777777" w:rsidR="00437FA1" w:rsidRPr="0058432E" w:rsidDel="00437FA1" w:rsidRDefault="00437FA1" w:rsidP="000D3575">
            <w:pPr>
              <w:keepNext/>
              <w:rPr>
                <w:color w:val="000000" w:themeColor="text1"/>
              </w:rPr>
            </w:pPr>
            <w:proofErr w:type="gramStart"/>
            <w:r w:rsidRPr="0058432E">
              <w:rPr>
                <w:color w:val="000000" w:themeColor="text1"/>
              </w:rPr>
              <w:t>thrombocytopénie</w:t>
            </w:r>
            <w:proofErr w:type="gramEnd"/>
          </w:p>
        </w:tc>
      </w:tr>
      <w:tr w:rsidR="00437FA1" w:rsidRPr="0058432E" w14:paraId="3A96597D" w14:textId="77777777" w:rsidTr="0095181C">
        <w:trPr>
          <w:cantSplit/>
        </w:trPr>
        <w:tc>
          <w:tcPr>
            <w:tcW w:w="2628" w:type="dxa"/>
            <w:vMerge/>
            <w:tcBorders>
              <w:left w:val="single" w:sz="4" w:space="0" w:color="auto"/>
              <w:right w:val="single" w:sz="4" w:space="0" w:color="auto"/>
            </w:tcBorders>
          </w:tcPr>
          <w:p w14:paraId="61925B02" w14:textId="77777777" w:rsidR="00437FA1" w:rsidRPr="0058432E" w:rsidRDefault="00437FA1"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6BA55EF" w14:textId="77777777" w:rsidR="00437FA1" w:rsidRPr="0058432E" w:rsidRDefault="00437FA1" w:rsidP="000D3575">
            <w:pPr>
              <w:keepNext/>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757F957A" w14:textId="77777777" w:rsidR="00437FA1" w:rsidRPr="0058432E" w:rsidDel="00437FA1" w:rsidRDefault="00437FA1" w:rsidP="000D3575">
            <w:pPr>
              <w:keepNext/>
              <w:rPr>
                <w:color w:val="000000" w:themeColor="text1"/>
              </w:rPr>
            </w:pPr>
            <w:r w:rsidRPr="0058432E">
              <w:rPr>
                <w:color w:val="000000" w:themeColor="text1"/>
              </w:rPr>
              <w:t>Purpura thrombopénique idiopathique</w:t>
            </w:r>
          </w:p>
        </w:tc>
      </w:tr>
      <w:tr w:rsidR="00437FA1" w:rsidRPr="0058432E" w14:paraId="762DA655" w14:textId="77777777" w:rsidTr="0095181C">
        <w:trPr>
          <w:cantSplit/>
        </w:trPr>
        <w:tc>
          <w:tcPr>
            <w:tcW w:w="2628" w:type="dxa"/>
            <w:vMerge/>
            <w:tcBorders>
              <w:left w:val="single" w:sz="4" w:space="0" w:color="auto"/>
              <w:bottom w:val="single" w:sz="4" w:space="0" w:color="auto"/>
              <w:right w:val="single" w:sz="4" w:space="0" w:color="auto"/>
            </w:tcBorders>
          </w:tcPr>
          <w:p w14:paraId="34F3E71A"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BF5B05B" w14:textId="77777777" w:rsidR="00437FA1" w:rsidRPr="0058432E" w:rsidRDefault="00437FA1"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6B7B59B7" w14:textId="77777777" w:rsidR="00437FA1" w:rsidRPr="0058432E" w:rsidDel="00437FA1" w:rsidRDefault="00437FA1" w:rsidP="00982118">
            <w:pPr>
              <w:autoSpaceDE w:val="0"/>
              <w:autoSpaceDN w:val="0"/>
              <w:adjustRightInd w:val="0"/>
              <w:rPr>
                <w:color w:val="000000" w:themeColor="text1"/>
              </w:rPr>
            </w:pPr>
            <w:r w:rsidRPr="0058432E">
              <w:rPr>
                <w:color w:val="000000" w:themeColor="text1"/>
              </w:rPr>
              <w:t>Pancytopénie</w:t>
            </w:r>
          </w:p>
        </w:tc>
      </w:tr>
      <w:tr w:rsidR="00437FA1" w:rsidRPr="0058432E" w14:paraId="126B872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5052F799" w14:textId="77777777" w:rsidR="00437FA1" w:rsidRPr="0058432E" w:rsidRDefault="00437FA1" w:rsidP="00982118">
            <w:pPr>
              <w:rPr>
                <w:color w:val="000000" w:themeColor="text1"/>
              </w:rPr>
            </w:pPr>
            <w:r w:rsidRPr="0058432E">
              <w:rPr>
                <w:color w:val="000000" w:themeColor="text1"/>
              </w:rPr>
              <w:t>Affections du système immunitaire*</w:t>
            </w:r>
          </w:p>
        </w:tc>
        <w:tc>
          <w:tcPr>
            <w:tcW w:w="1621" w:type="dxa"/>
            <w:tcBorders>
              <w:top w:val="single" w:sz="4" w:space="0" w:color="auto"/>
              <w:left w:val="single" w:sz="4" w:space="0" w:color="auto"/>
              <w:bottom w:val="single" w:sz="4" w:space="0" w:color="auto"/>
              <w:right w:val="single" w:sz="4" w:space="0" w:color="auto"/>
            </w:tcBorders>
          </w:tcPr>
          <w:p w14:paraId="19F19801" w14:textId="77777777" w:rsidR="00437FA1" w:rsidRPr="0058432E" w:rsidRDefault="00437FA1" w:rsidP="00982118">
            <w:pPr>
              <w:rPr>
                <w:color w:val="000000" w:themeColor="text1"/>
              </w:rPr>
            </w:pPr>
            <w:r w:rsidRPr="0058432E">
              <w:rPr>
                <w:color w:val="000000" w:themeColor="text1"/>
              </w:rPr>
              <w:t>Fréquent</w:t>
            </w:r>
          </w:p>
          <w:p w14:paraId="646115A9" w14:textId="77777777" w:rsidR="00437FA1" w:rsidRPr="0058432E" w:rsidRDefault="00437FA1" w:rsidP="00982118">
            <w:pPr>
              <w:rPr>
                <w:color w:val="000000" w:themeColor="text1"/>
              </w:rPr>
            </w:pPr>
          </w:p>
        </w:tc>
        <w:tc>
          <w:tcPr>
            <w:tcW w:w="0" w:type="auto"/>
            <w:tcBorders>
              <w:top w:val="single" w:sz="4" w:space="0" w:color="auto"/>
              <w:left w:val="single" w:sz="4" w:space="0" w:color="auto"/>
              <w:right w:val="single" w:sz="4" w:space="0" w:color="auto"/>
            </w:tcBorders>
          </w:tcPr>
          <w:p w14:paraId="7B88D02E" w14:textId="77777777" w:rsidR="00437FA1" w:rsidRPr="0058432E" w:rsidRDefault="00437FA1" w:rsidP="00982118">
            <w:pPr>
              <w:rPr>
                <w:color w:val="000000" w:themeColor="text1"/>
              </w:rPr>
            </w:pPr>
            <w:r w:rsidRPr="0058432E">
              <w:rPr>
                <w:color w:val="000000" w:themeColor="text1"/>
              </w:rPr>
              <w:t>Hypersensibilité,</w:t>
            </w:r>
          </w:p>
          <w:p w14:paraId="4AA7621B" w14:textId="77777777" w:rsidR="00437FA1" w:rsidRPr="0058432E" w:rsidRDefault="00437FA1" w:rsidP="000D3575">
            <w:pPr>
              <w:rPr>
                <w:color w:val="000000" w:themeColor="text1"/>
              </w:rPr>
            </w:pPr>
            <w:proofErr w:type="gramStart"/>
            <w:r w:rsidRPr="0058432E">
              <w:rPr>
                <w:color w:val="000000" w:themeColor="text1"/>
              </w:rPr>
              <w:t>allergies</w:t>
            </w:r>
            <w:proofErr w:type="gramEnd"/>
            <w:r w:rsidRPr="0058432E">
              <w:rPr>
                <w:color w:val="000000" w:themeColor="text1"/>
              </w:rPr>
              <w:t xml:space="preserve"> (y compris allergie saisonnière)</w:t>
            </w:r>
          </w:p>
        </w:tc>
      </w:tr>
      <w:tr w:rsidR="00437FA1" w:rsidRPr="0058432E" w14:paraId="7D654EC5" w14:textId="77777777" w:rsidTr="0095181C">
        <w:trPr>
          <w:cantSplit/>
        </w:trPr>
        <w:tc>
          <w:tcPr>
            <w:tcW w:w="2628" w:type="dxa"/>
            <w:vMerge/>
            <w:tcBorders>
              <w:left w:val="single" w:sz="4" w:space="0" w:color="auto"/>
              <w:right w:val="single" w:sz="4" w:space="0" w:color="auto"/>
            </w:tcBorders>
          </w:tcPr>
          <w:p w14:paraId="422C480B"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7D4B147" w14:textId="77777777" w:rsidR="00437FA1" w:rsidRPr="0058432E" w:rsidRDefault="00437FA1" w:rsidP="00982118">
            <w:pPr>
              <w:rPr>
                <w:color w:val="000000" w:themeColor="text1"/>
              </w:rPr>
            </w:pPr>
            <w:r w:rsidRPr="0058432E">
              <w:rPr>
                <w:color w:val="000000" w:themeColor="text1"/>
              </w:rPr>
              <w:t>Peu fréquent</w:t>
            </w:r>
          </w:p>
          <w:p w14:paraId="75A1BE1E" w14:textId="77777777" w:rsidR="00437FA1" w:rsidRPr="0058432E" w:rsidRDefault="00437FA1" w:rsidP="00982118">
            <w:pPr>
              <w:rPr>
                <w:color w:val="000000" w:themeColor="text1"/>
              </w:rPr>
            </w:pPr>
          </w:p>
        </w:tc>
        <w:tc>
          <w:tcPr>
            <w:tcW w:w="0" w:type="auto"/>
            <w:tcBorders>
              <w:left w:val="single" w:sz="4" w:space="0" w:color="auto"/>
              <w:right w:val="single" w:sz="4" w:space="0" w:color="auto"/>
            </w:tcBorders>
          </w:tcPr>
          <w:p w14:paraId="5907701F" w14:textId="77777777" w:rsidR="00437FA1" w:rsidRPr="0058432E" w:rsidRDefault="00437FA1" w:rsidP="00982118">
            <w:pPr>
              <w:rPr>
                <w:color w:val="000000" w:themeColor="text1"/>
              </w:rPr>
            </w:pPr>
            <w:r w:rsidRPr="0058432E">
              <w:rPr>
                <w:color w:val="000000" w:themeColor="text1"/>
              </w:rPr>
              <w:t>Sarcoïdose</w:t>
            </w:r>
            <w:r w:rsidRPr="0058432E">
              <w:rPr>
                <w:color w:val="000000" w:themeColor="text1"/>
                <w:vertAlign w:val="superscript"/>
              </w:rPr>
              <w:t>1</w:t>
            </w:r>
            <w:r w:rsidRPr="0058432E">
              <w:rPr>
                <w:color w:val="000000" w:themeColor="text1"/>
              </w:rPr>
              <w:t>,</w:t>
            </w:r>
          </w:p>
          <w:p w14:paraId="0D652C68" w14:textId="77777777" w:rsidR="00437FA1" w:rsidRPr="0058432E" w:rsidRDefault="00437FA1" w:rsidP="000D3575">
            <w:pPr>
              <w:rPr>
                <w:color w:val="000000" w:themeColor="text1"/>
              </w:rPr>
            </w:pPr>
            <w:proofErr w:type="gramStart"/>
            <w:r w:rsidRPr="0058432E">
              <w:rPr>
                <w:color w:val="000000" w:themeColor="text1"/>
              </w:rPr>
              <w:t>vascularite</w:t>
            </w:r>
            <w:proofErr w:type="gramEnd"/>
          </w:p>
        </w:tc>
      </w:tr>
      <w:tr w:rsidR="00437FA1" w:rsidRPr="0058432E" w14:paraId="7030A955" w14:textId="77777777" w:rsidTr="0095181C">
        <w:trPr>
          <w:cantSplit/>
        </w:trPr>
        <w:tc>
          <w:tcPr>
            <w:tcW w:w="2628" w:type="dxa"/>
            <w:vMerge/>
            <w:tcBorders>
              <w:left w:val="single" w:sz="4" w:space="0" w:color="auto"/>
              <w:bottom w:val="single" w:sz="4" w:space="0" w:color="auto"/>
              <w:right w:val="single" w:sz="4" w:space="0" w:color="auto"/>
            </w:tcBorders>
          </w:tcPr>
          <w:p w14:paraId="328BD63A"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9A62FE2" w14:textId="77777777" w:rsidR="00437FA1" w:rsidRPr="0058432E" w:rsidRDefault="00437FA1"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3787CF83" w14:textId="77777777" w:rsidR="00437FA1" w:rsidRPr="0058432E" w:rsidRDefault="00437FA1" w:rsidP="000D3575">
            <w:pPr>
              <w:rPr>
                <w:color w:val="000000" w:themeColor="text1"/>
              </w:rPr>
            </w:pPr>
            <w:r w:rsidRPr="0058432E">
              <w:rPr>
                <w:color w:val="000000" w:themeColor="text1"/>
              </w:rPr>
              <w:t>Anaphylaxie</w:t>
            </w:r>
            <w:r w:rsidRPr="0058432E">
              <w:rPr>
                <w:color w:val="000000" w:themeColor="text1"/>
                <w:vertAlign w:val="superscript"/>
              </w:rPr>
              <w:t>1</w:t>
            </w:r>
          </w:p>
        </w:tc>
      </w:tr>
      <w:tr w:rsidR="00437FA1" w:rsidRPr="0058432E" w14:paraId="3CD4973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5DD0C6E" w14:textId="77777777" w:rsidR="00437FA1" w:rsidRPr="0058432E" w:rsidRDefault="00437FA1" w:rsidP="00982118">
            <w:pPr>
              <w:rPr>
                <w:color w:val="000000" w:themeColor="text1"/>
              </w:rPr>
            </w:pPr>
            <w:r w:rsidRPr="0058432E">
              <w:rPr>
                <w:color w:val="000000" w:themeColor="text1"/>
              </w:rPr>
              <w:t>Troubles du métabolisme et de la nutrition</w:t>
            </w:r>
          </w:p>
        </w:tc>
        <w:tc>
          <w:tcPr>
            <w:tcW w:w="1621" w:type="dxa"/>
            <w:tcBorders>
              <w:top w:val="single" w:sz="4" w:space="0" w:color="auto"/>
              <w:left w:val="single" w:sz="4" w:space="0" w:color="auto"/>
              <w:bottom w:val="single" w:sz="4" w:space="0" w:color="auto"/>
              <w:right w:val="single" w:sz="4" w:space="0" w:color="auto"/>
            </w:tcBorders>
          </w:tcPr>
          <w:p w14:paraId="5C3296D3" w14:textId="77777777" w:rsidR="00437FA1" w:rsidRPr="0058432E" w:rsidRDefault="00437FA1"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1BD105B4" w14:textId="77777777" w:rsidR="00437FA1" w:rsidRPr="0058432E" w:rsidRDefault="00D27632" w:rsidP="000D3575">
            <w:pPr>
              <w:rPr>
                <w:color w:val="000000" w:themeColor="text1"/>
              </w:rPr>
            </w:pPr>
            <w:r w:rsidRPr="0058432E">
              <w:rPr>
                <w:color w:val="000000" w:themeColor="text1"/>
              </w:rPr>
              <w:t>L</w:t>
            </w:r>
            <w:r w:rsidR="00437FA1" w:rsidRPr="0058432E">
              <w:rPr>
                <w:color w:val="000000" w:themeColor="text1"/>
              </w:rPr>
              <w:t>ipides</w:t>
            </w:r>
            <w:r w:rsidRPr="0058432E">
              <w:rPr>
                <w:color w:val="000000" w:themeColor="text1"/>
              </w:rPr>
              <w:t xml:space="preserve"> augmentés</w:t>
            </w:r>
          </w:p>
        </w:tc>
      </w:tr>
      <w:tr w:rsidR="00437FA1" w:rsidRPr="0058432E" w14:paraId="32E03FF9" w14:textId="77777777" w:rsidTr="0095181C">
        <w:trPr>
          <w:cantSplit/>
        </w:trPr>
        <w:tc>
          <w:tcPr>
            <w:tcW w:w="2628" w:type="dxa"/>
            <w:vMerge/>
            <w:tcBorders>
              <w:left w:val="single" w:sz="4" w:space="0" w:color="auto"/>
              <w:bottom w:val="single" w:sz="4" w:space="0" w:color="auto"/>
              <w:right w:val="single" w:sz="4" w:space="0" w:color="auto"/>
            </w:tcBorders>
          </w:tcPr>
          <w:p w14:paraId="42B9139C"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1321539" w14:textId="77777777" w:rsidR="00437FA1" w:rsidRPr="0058432E" w:rsidRDefault="00437FA1" w:rsidP="00982118">
            <w:pPr>
              <w:rPr>
                <w:color w:val="000000" w:themeColor="text1"/>
              </w:rPr>
            </w:pPr>
            <w:r w:rsidRPr="0058432E">
              <w:rPr>
                <w:color w:val="000000" w:themeColor="text1"/>
              </w:rPr>
              <w:t>Fréquent</w:t>
            </w:r>
          </w:p>
        </w:tc>
        <w:tc>
          <w:tcPr>
            <w:tcW w:w="0" w:type="auto"/>
            <w:tcBorders>
              <w:left w:val="single" w:sz="4" w:space="0" w:color="auto"/>
              <w:bottom w:val="single" w:sz="4" w:space="0" w:color="auto"/>
              <w:right w:val="single" w:sz="4" w:space="0" w:color="auto"/>
            </w:tcBorders>
          </w:tcPr>
          <w:p w14:paraId="0965057A" w14:textId="77777777" w:rsidR="00437FA1" w:rsidRPr="0058432E" w:rsidRDefault="00437FA1" w:rsidP="00982118">
            <w:pPr>
              <w:rPr>
                <w:color w:val="000000" w:themeColor="text1"/>
              </w:rPr>
            </w:pPr>
            <w:r w:rsidRPr="0058432E">
              <w:rPr>
                <w:color w:val="000000" w:themeColor="text1"/>
              </w:rPr>
              <w:t>Hypokaliémie,</w:t>
            </w:r>
          </w:p>
          <w:p w14:paraId="038FBDAA" w14:textId="77777777" w:rsidR="00437FA1" w:rsidRPr="0058432E" w:rsidRDefault="00437FA1" w:rsidP="00982118">
            <w:pPr>
              <w:rPr>
                <w:color w:val="000000" w:themeColor="text1"/>
              </w:rPr>
            </w:pPr>
            <w:proofErr w:type="gramStart"/>
            <w:r w:rsidRPr="0058432E">
              <w:rPr>
                <w:color w:val="000000" w:themeColor="text1"/>
              </w:rPr>
              <w:t>acide</w:t>
            </w:r>
            <w:proofErr w:type="gramEnd"/>
            <w:r w:rsidRPr="0058432E">
              <w:rPr>
                <w:color w:val="000000" w:themeColor="text1"/>
              </w:rPr>
              <w:t xml:space="preserve"> urique</w:t>
            </w:r>
            <w:r w:rsidR="00F83260" w:rsidRPr="0058432E">
              <w:rPr>
                <w:color w:val="000000" w:themeColor="text1"/>
              </w:rPr>
              <w:t xml:space="preserve"> augmenté</w:t>
            </w:r>
            <w:r w:rsidRPr="0058432E">
              <w:rPr>
                <w:color w:val="000000" w:themeColor="text1"/>
              </w:rPr>
              <w:t>,</w:t>
            </w:r>
          </w:p>
          <w:p w14:paraId="3C6BD9E8" w14:textId="77777777" w:rsidR="00437FA1" w:rsidRPr="0058432E" w:rsidRDefault="00F83260" w:rsidP="00982118">
            <w:pPr>
              <w:autoSpaceDE w:val="0"/>
              <w:autoSpaceDN w:val="0"/>
              <w:adjustRightInd w:val="0"/>
              <w:rPr>
                <w:color w:val="000000" w:themeColor="text1"/>
              </w:rPr>
            </w:pPr>
            <w:proofErr w:type="gramStart"/>
            <w:r w:rsidRPr="0058432E">
              <w:rPr>
                <w:color w:val="000000" w:themeColor="text1"/>
              </w:rPr>
              <w:t>sodium</w:t>
            </w:r>
            <w:proofErr w:type="gramEnd"/>
            <w:r w:rsidRPr="0058432E">
              <w:rPr>
                <w:color w:val="000000" w:themeColor="text1"/>
              </w:rPr>
              <w:t xml:space="preserve"> sanguin anormal</w:t>
            </w:r>
            <w:r w:rsidR="00437FA1" w:rsidRPr="0058432E">
              <w:rPr>
                <w:color w:val="000000" w:themeColor="text1"/>
              </w:rPr>
              <w:t>,</w:t>
            </w:r>
          </w:p>
          <w:p w14:paraId="10936723" w14:textId="77777777" w:rsidR="00437FA1" w:rsidRPr="0058432E" w:rsidRDefault="00437FA1" w:rsidP="00982118">
            <w:pPr>
              <w:autoSpaceDE w:val="0"/>
              <w:autoSpaceDN w:val="0"/>
              <w:adjustRightInd w:val="0"/>
              <w:rPr>
                <w:color w:val="000000" w:themeColor="text1"/>
              </w:rPr>
            </w:pPr>
            <w:proofErr w:type="gramStart"/>
            <w:r w:rsidRPr="0058432E">
              <w:rPr>
                <w:color w:val="000000" w:themeColor="text1"/>
              </w:rPr>
              <w:t>hypocalcémie</w:t>
            </w:r>
            <w:proofErr w:type="gramEnd"/>
            <w:r w:rsidRPr="0058432E">
              <w:rPr>
                <w:color w:val="000000" w:themeColor="text1"/>
              </w:rPr>
              <w:t>,</w:t>
            </w:r>
          </w:p>
          <w:p w14:paraId="01E852A1" w14:textId="77777777" w:rsidR="00437FA1" w:rsidRPr="0058432E" w:rsidRDefault="00437FA1" w:rsidP="00982118">
            <w:pPr>
              <w:autoSpaceDE w:val="0"/>
              <w:autoSpaceDN w:val="0"/>
              <w:adjustRightInd w:val="0"/>
              <w:rPr>
                <w:color w:val="000000" w:themeColor="text1"/>
              </w:rPr>
            </w:pPr>
            <w:proofErr w:type="gramStart"/>
            <w:r w:rsidRPr="0058432E">
              <w:rPr>
                <w:color w:val="000000" w:themeColor="text1"/>
              </w:rPr>
              <w:t>hyperglycémie</w:t>
            </w:r>
            <w:proofErr w:type="gramEnd"/>
            <w:r w:rsidRPr="0058432E">
              <w:rPr>
                <w:color w:val="000000" w:themeColor="text1"/>
              </w:rPr>
              <w:t>,</w:t>
            </w:r>
          </w:p>
          <w:p w14:paraId="48B6A4B5" w14:textId="77777777" w:rsidR="00437FA1" w:rsidRPr="0058432E" w:rsidRDefault="00437FA1" w:rsidP="00982118">
            <w:pPr>
              <w:autoSpaceDE w:val="0"/>
              <w:autoSpaceDN w:val="0"/>
              <w:adjustRightInd w:val="0"/>
              <w:rPr>
                <w:color w:val="000000" w:themeColor="text1"/>
              </w:rPr>
            </w:pPr>
            <w:proofErr w:type="gramStart"/>
            <w:r w:rsidRPr="0058432E">
              <w:rPr>
                <w:color w:val="000000" w:themeColor="text1"/>
              </w:rPr>
              <w:t>hypophosphatémie</w:t>
            </w:r>
            <w:proofErr w:type="gramEnd"/>
            <w:r w:rsidRPr="0058432E">
              <w:rPr>
                <w:color w:val="000000" w:themeColor="text1"/>
              </w:rPr>
              <w:t>,</w:t>
            </w:r>
          </w:p>
          <w:p w14:paraId="21D992C4" w14:textId="77777777" w:rsidR="00437FA1" w:rsidRPr="0058432E" w:rsidDel="00437FA1" w:rsidRDefault="00437FA1" w:rsidP="000D3575">
            <w:pPr>
              <w:rPr>
                <w:color w:val="000000" w:themeColor="text1"/>
              </w:rPr>
            </w:pPr>
            <w:proofErr w:type="gramStart"/>
            <w:r w:rsidRPr="0058432E">
              <w:rPr>
                <w:color w:val="000000" w:themeColor="text1"/>
              </w:rPr>
              <w:t>déshydratation</w:t>
            </w:r>
            <w:proofErr w:type="gramEnd"/>
          </w:p>
        </w:tc>
      </w:tr>
      <w:tr w:rsidR="00C46587" w:rsidRPr="0058432E" w14:paraId="2ADD27E1"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6002F3F8" w14:textId="77777777" w:rsidR="00C46587" w:rsidRPr="0058432E" w:rsidRDefault="00C46587" w:rsidP="00982118">
            <w:pPr>
              <w:rPr>
                <w:color w:val="000000" w:themeColor="text1"/>
              </w:rPr>
            </w:pPr>
            <w:r w:rsidRPr="0058432E">
              <w:rPr>
                <w:color w:val="000000" w:themeColor="text1"/>
              </w:rPr>
              <w:t>Affections psychiatriques</w:t>
            </w:r>
          </w:p>
        </w:tc>
        <w:tc>
          <w:tcPr>
            <w:tcW w:w="1621" w:type="dxa"/>
            <w:tcBorders>
              <w:top w:val="single" w:sz="4" w:space="0" w:color="auto"/>
              <w:left w:val="single" w:sz="4" w:space="0" w:color="auto"/>
              <w:bottom w:val="single" w:sz="4" w:space="0" w:color="auto"/>
              <w:right w:val="single" w:sz="4" w:space="0" w:color="auto"/>
            </w:tcBorders>
            <w:hideMark/>
          </w:tcPr>
          <w:p w14:paraId="6C5659FE" w14:textId="77777777" w:rsidR="00C46587" w:rsidRPr="0058432E" w:rsidRDefault="00C46587"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47C74A80" w14:textId="77777777" w:rsidR="00C46587" w:rsidRPr="0058432E" w:rsidRDefault="00437FA1" w:rsidP="00982118">
            <w:pPr>
              <w:autoSpaceDE w:val="0"/>
              <w:autoSpaceDN w:val="0"/>
              <w:adjustRightInd w:val="0"/>
              <w:rPr>
                <w:color w:val="000000" w:themeColor="text1"/>
              </w:rPr>
            </w:pPr>
            <w:r w:rsidRPr="0058432E">
              <w:rPr>
                <w:color w:val="000000" w:themeColor="text1"/>
              </w:rPr>
              <w:t>Troubles de l’humeur (y compris dépression),</w:t>
            </w:r>
          </w:p>
          <w:p w14:paraId="4381F9A0" w14:textId="77777777" w:rsidR="00C46587" w:rsidRPr="0058432E" w:rsidRDefault="00C46587" w:rsidP="00982118">
            <w:pPr>
              <w:autoSpaceDE w:val="0"/>
              <w:autoSpaceDN w:val="0"/>
              <w:adjustRightInd w:val="0"/>
              <w:rPr>
                <w:color w:val="000000" w:themeColor="text1"/>
              </w:rPr>
            </w:pPr>
            <w:proofErr w:type="gramStart"/>
            <w:r w:rsidRPr="0058432E">
              <w:rPr>
                <w:color w:val="000000" w:themeColor="text1"/>
              </w:rPr>
              <w:t>anxiété</w:t>
            </w:r>
            <w:proofErr w:type="gramEnd"/>
            <w:r w:rsidRPr="0058432E">
              <w:rPr>
                <w:color w:val="000000" w:themeColor="text1"/>
              </w:rPr>
              <w:t>,</w:t>
            </w:r>
          </w:p>
          <w:p w14:paraId="6C5242E4" w14:textId="77777777" w:rsidR="00C46587" w:rsidRPr="0058432E" w:rsidRDefault="00C46587" w:rsidP="000D3575">
            <w:pPr>
              <w:rPr>
                <w:color w:val="000000" w:themeColor="text1"/>
              </w:rPr>
            </w:pPr>
            <w:proofErr w:type="gramStart"/>
            <w:r w:rsidRPr="0058432E">
              <w:rPr>
                <w:color w:val="000000" w:themeColor="text1"/>
              </w:rPr>
              <w:t>insomnie</w:t>
            </w:r>
            <w:proofErr w:type="gramEnd"/>
          </w:p>
        </w:tc>
      </w:tr>
      <w:tr w:rsidR="00437FA1" w:rsidRPr="0058432E" w14:paraId="7CF215EA"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14FB0BE" w14:textId="77777777" w:rsidR="00437FA1" w:rsidRPr="0058432E" w:rsidRDefault="00437FA1" w:rsidP="00982118">
            <w:pPr>
              <w:rPr>
                <w:color w:val="000000" w:themeColor="text1"/>
              </w:rPr>
            </w:pPr>
            <w:r w:rsidRPr="0058432E">
              <w:rPr>
                <w:color w:val="000000" w:themeColor="text1"/>
              </w:rPr>
              <w:t>Affections du système nerveux*</w:t>
            </w:r>
          </w:p>
        </w:tc>
        <w:tc>
          <w:tcPr>
            <w:tcW w:w="1621" w:type="dxa"/>
            <w:tcBorders>
              <w:top w:val="single" w:sz="4" w:space="0" w:color="auto"/>
              <w:left w:val="single" w:sz="4" w:space="0" w:color="auto"/>
              <w:bottom w:val="single" w:sz="4" w:space="0" w:color="auto"/>
              <w:right w:val="single" w:sz="4" w:space="0" w:color="auto"/>
            </w:tcBorders>
          </w:tcPr>
          <w:p w14:paraId="693C1FDE" w14:textId="77777777" w:rsidR="00437FA1" w:rsidRPr="0058432E" w:rsidRDefault="00437FA1"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429F865A" w14:textId="77777777" w:rsidR="00437FA1" w:rsidRPr="0058432E" w:rsidRDefault="00437FA1" w:rsidP="000D3575">
            <w:pPr>
              <w:rPr>
                <w:color w:val="000000" w:themeColor="text1"/>
              </w:rPr>
            </w:pPr>
            <w:r w:rsidRPr="0058432E">
              <w:rPr>
                <w:color w:val="000000" w:themeColor="text1"/>
              </w:rPr>
              <w:t>Céphalées</w:t>
            </w:r>
          </w:p>
        </w:tc>
      </w:tr>
      <w:tr w:rsidR="00437FA1" w:rsidRPr="0058432E" w14:paraId="1E0C2323" w14:textId="77777777" w:rsidTr="0095181C">
        <w:trPr>
          <w:cantSplit/>
        </w:trPr>
        <w:tc>
          <w:tcPr>
            <w:tcW w:w="2628" w:type="dxa"/>
            <w:vMerge/>
            <w:tcBorders>
              <w:left w:val="single" w:sz="4" w:space="0" w:color="auto"/>
              <w:right w:val="single" w:sz="4" w:space="0" w:color="auto"/>
            </w:tcBorders>
          </w:tcPr>
          <w:p w14:paraId="6E3FAF6F"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1C3A383A" w14:textId="77777777" w:rsidR="00437FA1" w:rsidRPr="0058432E" w:rsidRDefault="00437FA1" w:rsidP="00982118">
            <w:pPr>
              <w:rPr>
                <w:color w:val="000000" w:themeColor="text1"/>
              </w:rPr>
            </w:pPr>
            <w:r w:rsidRPr="0058432E">
              <w:rPr>
                <w:color w:val="000000" w:themeColor="text1"/>
              </w:rPr>
              <w:t>Fréquent</w:t>
            </w:r>
          </w:p>
          <w:p w14:paraId="008BC923" w14:textId="77777777" w:rsidR="00437FA1" w:rsidRPr="0058432E" w:rsidRDefault="00437FA1" w:rsidP="00982118">
            <w:pPr>
              <w:rPr>
                <w:color w:val="000000" w:themeColor="text1"/>
              </w:rPr>
            </w:pPr>
          </w:p>
        </w:tc>
        <w:tc>
          <w:tcPr>
            <w:tcW w:w="0" w:type="auto"/>
            <w:tcBorders>
              <w:left w:val="single" w:sz="4" w:space="0" w:color="auto"/>
              <w:right w:val="single" w:sz="4" w:space="0" w:color="auto"/>
            </w:tcBorders>
          </w:tcPr>
          <w:p w14:paraId="0DB002CF" w14:textId="77777777" w:rsidR="00437FA1" w:rsidRPr="0058432E" w:rsidRDefault="00437FA1" w:rsidP="00982118">
            <w:pPr>
              <w:autoSpaceDE w:val="0"/>
              <w:autoSpaceDN w:val="0"/>
              <w:adjustRightInd w:val="0"/>
              <w:rPr>
                <w:color w:val="000000" w:themeColor="text1"/>
              </w:rPr>
            </w:pPr>
            <w:r w:rsidRPr="0058432E">
              <w:rPr>
                <w:color w:val="000000" w:themeColor="text1"/>
              </w:rPr>
              <w:t>Paresthésies (y compris hypoesthésie),</w:t>
            </w:r>
          </w:p>
          <w:p w14:paraId="3468706E" w14:textId="77777777" w:rsidR="00437FA1" w:rsidRPr="0058432E" w:rsidRDefault="00437FA1" w:rsidP="00982118">
            <w:pPr>
              <w:autoSpaceDE w:val="0"/>
              <w:autoSpaceDN w:val="0"/>
              <w:adjustRightInd w:val="0"/>
              <w:rPr>
                <w:color w:val="000000" w:themeColor="text1"/>
              </w:rPr>
            </w:pPr>
            <w:proofErr w:type="gramStart"/>
            <w:r w:rsidRPr="0058432E">
              <w:rPr>
                <w:color w:val="000000" w:themeColor="text1"/>
              </w:rPr>
              <w:t>migraine</w:t>
            </w:r>
            <w:proofErr w:type="gramEnd"/>
            <w:r w:rsidRPr="0058432E">
              <w:rPr>
                <w:color w:val="000000" w:themeColor="text1"/>
              </w:rPr>
              <w:t>,</w:t>
            </w:r>
          </w:p>
          <w:p w14:paraId="25ADF7E7" w14:textId="77777777" w:rsidR="00437FA1" w:rsidRPr="0058432E" w:rsidRDefault="00437FA1" w:rsidP="00982118">
            <w:pPr>
              <w:rPr>
                <w:color w:val="000000" w:themeColor="text1"/>
              </w:rPr>
            </w:pPr>
            <w:proofErr w:type="gramStart"/>
            <w:r w:rsidRPr="0058432E">
              <w:rPr>
                <w:color w:val="000000" w:themeColor="text1"/>
              </w:rPr>
              <w:t>compression</w:t>
            </w:r>
            <w:proofErr w:type="gramEnd"/>
            <w:r w:rsidRPr="0058432E">
              <w:rPr>
                <w:color w:val="000000" w:themeColor="text1"/>
              </w:rPr>
              <w:t xml:space="preserve"> des racines nerveuses</w:t>
            </w:r>
          </w:p>
        </w:tc>
      </w:tr>
      <w:tr w:rsidR="00437FA1" w:rsidRPr="0058432E" w14:paraId="16ECB46E" w14:textId="77777777" w:rsidTr="0095181C">
        <w:trPr>
          <w:cantSplit/>
        </w:trPr>
        <w:tc>
          <w:tcPr>
            <w:tcW w:w="2628" w:type="dxa"/>
            <w:vMerge/>
            <w:tcBorders>
              <w:left w:val="single" w:sz="4" w:space="0" w:color="auto"/>
              <w:right w:val="single" w:sz="4" w:space="0" w:color="auto"/>
            </w:tcBorders>
          </w:tcPr>
          <w:p w14:paraId="52ACB91D"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74662FE" w14:textId="77777777" w:rsidR="00437FA1" w:rsidRPr="0058432E" w:rsidRDefault="00437FA1" w:rsidP="00982118">
            <w:pPr>
              <w:rPr>
                <w:color w:val="000000" w:themeColor="text1"/>
              </w:rPr>
            </w:pPr>
            <w:r w:rsidRPr="0058432E">
              <w:rPr>
                <w:color w:val="000000" w:themeColor="text1"/>
              </w:rPr>
              <w:t>Peu fréquent</w:t>
            </w:r>
          </w:p>
          <w:p w14:paraId="72507726" w14:textId="77777777" w:rsidR="00437FA1" w:rsidRPr="0058432E" w:rsidRDefault="00437FA1" w:rsidP="00982118">
            <w:pPr>
              <w:rPr>
                <w:color w:val="000000" w:themeColor="text1"/>
              </w:rPr>
            </w:pPr>
          </w:p>
        </w:tc>
        <w:tc>
          <w:tcPr>
            <w:tcW w:w="0" w:type="auto"/>
            <w:tcBorders>
              <w:left w:val="single" w:sz="4" w:space="0" w:color="auto"/>
              <w:right w:val="single" w:sz="4" w:space="0" w:color="auto"/>
            </w:tcBorders>
          </w:tcPr>
          <w:p w14:paraId="13F7D495" w14:textId="77777777" w:rsidR="00437FA1" w:rsidRPr="0058432E" w:rsidRDefault="00437FA1" w:rsidP="00982118">
            <w:pPr>
              <w:rPr>
                <w:color w:val="000000" w:themeColor="text1"/>
              </w:rPr>
            </w:pPr>
            <w:r w:rsidRPr="0058432E">
              <w:rPr>
                <w:color w:val="000000" w:themeColor="text1"/>
              </w:rPr>
              <w:t>Accident cérébrovasculaire</w:t>
            </w:r>
            <w:r w:rsidRPr="0058432E">
              <w:rPr>
                <w:color w:val="000000" w:themeColor="text1"/>
                <w:vertAlign w:val="superscript"/>
              </w:rPr>
              <w:t>1</w:t>
            </w:r>
            <w:r w:rsidRPr="0058432E">
              <w:rPr>
                <w:color w:val="000000" w:themeColor="text1"/>
              </w:rPr>
              <w:t>,</w:t>
            </w:r>
          </w:p>
          <w:p w14:paraId="25A321A3" w14:textId="77777777" w:rsidR="00437FA1" w:rsidRPr="0058432E" w:rsidRDefault="00437FA1" w:rsidP="00982118">
            <w:pPr>
              <w:rPr>
                <w:color w:val="000000" w:themeColor="text1"/>
              </w:rPr>
            </w:pPr>
            <w:proofErr w:type="gramStart"/>
            <w:r w:rsidRPr="0058432E">
              <w:rPr>
                <w:color w:val="000000" w:themeColor="text1"/>
              </w:rPr>
              <w:t>tremblements</w:t>
            </w:r>
            <w:proofErr w:type="gramEnd"/>
            <w:r w:rsidRPr="0058432E">
              <w:rPr>
                <w:color w:val="000000" w:themeColor="text1"/>
              </w:rPr>
              <w:t>,</w:t>
            </w:r>
          </w:p>
          <w:p w14:paraId="7E4E24F5" w14:textId="77777777" w:rsidR="00437FA1" w:rsidRPr="0058432E" w:rsidRDefault="00437FA1" w:rsidP="000D3575">
            <w:pPr>
              <w:rPr>
                <w:color w:val="000000" w:themeColor="text1"/>
              </w:rPr>
            </w:pPr>
            <w:proofErr w:type="gramStart"/>
            <w:r w:rsidRPr="0058432E">
              <w:rPr>
                <w:color w:val="000000" w:themeColor="text1"/>
              </w:rPr>
              <w:t>neuropathie</w:t>
            </w:r>
            <w:proofErr w:type="gramEnd"/>
          </w:p>
        </w:tc>
      </w:tr>
      <w:tr w:rsidR="00437FA1" w:rsidRPr="0058432E" w14:paraId="3E099B49" w14:textId="77777777" w:rsidTr="0095181C">
        <w:trPr>
          <w:cantSplit/>
        </w:trPr>
        <w:tc>
          <w:tcPr>
            <w:tcW w:w="2628" w:type="dxa"/>
            <w:vMerge/>
            <w:tcBorders>
              <w:left w:val="single" w:sz="4" w:space="0" w:color="auto"/>
              <w:bottom w:val="single" w:sz="4" w:space="0" w:color="auto"/>
              <w:right w:val="single" w:sz="4" w:space="0" w:color="auto"/>
            </w:tcBorders>
          </w:tcPr>
          <w:p w14:paraId="11D2A952" w14:textId="77777777" w:rsidR="00437FA1" w:rsidRPr="0058432E" w:rsidRDefault="00437FA1"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9B65B98" w14:textId="77777777" w:rsidR="00437FA1" w:rsidRPr="0058432E" w:rsidRDefault="00437FA1" w:rsidP="00982118">
            <w:pPr>
              <w:rPr>
                <w:color w:val="000000" w:themeColor="text1"/>
              </w:rPr>
            </w:pPr>
            <w:r w:rsidRPr="0058432E">
              <w:rPr>
                <w:color w:val="000000" w:themeColor="text1"/>
              </w:rPr>
              <w:t>Rare</w:t>
            </w:r>
          </w:p>
          <w:p w14:paraId="43E4C7E3" w14:textId="77777777" w:rsidR="00437FA1" w:rsidRPr="0058432E" w:rsidRDefault="00437FA1" w:rsidP="00982118">
            <w:pPr>
              <w:rPr>
                <w:color w:val="000000" w:themeColor="text1"/>
              </w:rPr>
            </w:pPr>
          </w:p>
        </w:tc>
        <w:tc>
          <w:tcPr>
            <w:tcW w:w="0" w:type="auto"/>
            <w:tcBorders>
              <w:left w:val="single" w:sz="4" w:space="0" w:color="auto"/>
              <w:bottom w:val="single" w:sz="4" w:space="0" w:color="auto"/>
              <w:right w:val="single" w:sz="4" w:space="0" w:color="auto"/>
            </w:tcBorders>
          </w:tcPr>
          <w:p w14:paraId="3AD517FF" w14:textId="77777777" w:rsidR="00437FA1" w:rsidRPr="0058432E" w:rsidRDefault="00437FA1" w:rsidP="00982118">
            <w:pPr>
              <w:rPr>
                <w:color w:val="000000" w:themeColor="text1"/>
              </w:rPr>
            </w:pPr>
            <w:r w:rsidRPr="0058432E">
              <w:rPr>
                <w:color w:val="000000" w:themeColor="text1"/>
              </w:rPr>
              <w:t>Sclérose en plaques,</w:t>
            </w:r>
          </w:p>
          <w:p w14:paraId="1C0664E2" w14:textId="77777777" w:rsidR="00437FA1" w:rsidRPr="0058432E" w:rsidRDefault="00437FA1" w:rsidP="00982118">
            <w:pPr>
              <w:rPr>
                <w:color w:val="000000" w:themeColor="text1"/>
              </w:rPr>
            </w:pPr>
            <w:proofErr w:type="gramStart"/>
            <w:r w:rsidRPr="0058432E">
              <w:rPr>
                <w:color w:val="000000" w:themeColor="text1"/>
              </w:rPr>
              <w:t>affections</w:t>
            </w:r>
            <w:proofErr w:type="gramEnd"/>
            <w:r w:rsidRPr="0058432E">
              <w:rPr>
                <w:color w:val="000000" w:themeColor="text1"/>
              </w:rPr>
              <w:t xml:space="preserve"> démyélinisantes (par ex. névrite optique,</w:t>
            </w:r>
          </w:p>
          <w:p w14:paraId="3C590460" w14:textId="77777777" w:rsidR="00437FA1" w:rsidRPr="0058432E" w:rsidRDefault="00437FA1" w:rsidP="000D3575">
            <w:pPr>
              <w:rPr>
                <w:color w:val="000000" w:themeColor="text1"/>
              </w:rPr>
            </w:pPr>
            <w:proofErr w:type="gramStart"/>
            <w:r w:rsidRPr="0058432E">
              <w:rPr>
                <w:color w:val="000000" w:themeColor="text1"/>
              </w:rPr>
              <w:t>syndrome</w:t>
            </w:r>
            <w:proofErr w:type="gramEnd"/>
            <w:r w:rsidRPr="0058432E">
              <w:rPr>
                <w:color w:val="000000" w:themeColor="text1"/>
              </w:rPr>
              <w:t xml:space="preserve"> de Guillain-Barré)</w:t>
            </w:r>
            <w:r w:rsidRPr="0058432E">
              <w:rPr>
                <w:color w:val="000000" w:themeColor="text1"/>
                <w:vertAlign w:val="superscript"/>
              </w:rPr>
              <w:t>1</w:t>
            </w:r>
          </w:p>
        </w:tc>
      </w:tr>
      <w:tr w:rsidR="00437FA1" w:rsidRPr="0058432E" w14:paraId="0D554414"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1971325" w14:textId="77777777" w:rsidR="00437FA1" w:rsidRPr="0058432E" w:rsidRDefault="00437FA1" w:rsidP="00982118">
            <w:pPr>
              <w:keepNext/>
              <w:keepLines/>
              <w:rPr>
                <w:color w:val="000000" w:themeColor="text1"/>
              </w:rPr>
            </w:pPr>
            <w:r w:rsidRPr="0058432E">
              <w:rPr>
                <w:color w:val="000000" w:themeColor="text1"/>
              </w:rPr>
              <w:t>Affections oculaires</w:t>
            </w:r>
          </w:p>
        </w:tc>
        <w:tc>
          <w:tcPr>
            <w:tcW w:w="1621" w:type="dxa"/>
            <w:tcBorders>
              <w:top w:val="single" w:sz="4" w:space="0" w:color="auto"/>
              <w:left w:val="single" w:sz="4" w:space="0" w:color="auto"/>
              <w:right w:val="single" w:sz="4" w:space="0" w:color="auto"/>
            </w:tcBorders>
          </w:tcPr>
          <w:p w14:paraId="6BC61AD3" w14:textId="77777777" w:rsidR="00437FA1" w:rsidRPr="0058432E" w:rsidRDefault="00437FA1" w:rsidP="00982118">
            <w:pPr>
              <w:keepNext/>
              <w:keepLines/>
              <w:rPr>
                <w:color w:val="000000" w:themeColor="text1"/>
              </w:rPr>
            </w:pPr>
            <w:r w:rsidRPr="0058432E">
              <w:rPr>
                <w:color w:val="000000" w:themeColor="text1"/>
              </w:rPr>
              <w:t>Fréquent</w:t>
            </w:r>
          </w:p>
          <w:p w14:paraId="2A000D2F" w14:textId="77777777" w:rsidR="00437FA1" w:rsidRPr="0058432E" w:rsidRDefault="00437FA1" w:rsidP="00982118">
            <w:pPr>
              <w:keepNext/>
              <w:keepLines/>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5F0699B7" w14:textId="77777777" w:rsidR="00437FA1" w:rsidRPr="0058432E" w:rsidRDefault="00B633E5" w:rsidP="00982118">
            <w:pPr>
              <w:keepNext/>
              <w:keepLines/>
              <w:autoSpaceDE w:val="0"/>
              <w:autoSpaceDN w:val="0"/>
              <w:adjustRightInd w:val="0"/>
              <w:rPr>
                <w:color w:val="000000" w:themeColor="text1"/>
              </w:rPr>
            </w:pPr>
            <w:r w:rsidRPr="0058432E">
              <w:rPr>
                <w:color w:val="000000" w:themeColor="text1"/>
              </w:rPr>
              <w:t>Troubles visuels,</w:t>
            </w:r>
          </w:p>
          <w:p w14:paraId="1B43F2ED" w14:textId="77777777" w:rsidR="00437FA1" w:rsidRPr="0058432E" w:rsidRDefault="00437FA1" w:rsidP="00982118">
            <w:pPr>
              <w:keepNext/>
              <w:keepLines/>
              <w:autoSpaceDE w:val="0"/>
              <w:autoSpaceDN w:val="0"/>
              <w:adjustRightInd w:val="0"/>
              <w:rPr>
                <w:color w:val="000000" w:themeColor="text1"/>
              </w:rPr>
            </w:pPr>
            <w:proofErr w:type="gramStart"/>
            <w:r w:rsidRPr="0058432E">
              <w:rPr>
                <w:color w:val="000000" w:themeColor="text1"/>
              </w:rPr>
              <w:t>conjonctivite</w:t>
            </w:r>
            <w:proofErr w:type="gramEnd"/>
            <w:r w:rsidRPr="0058432E">
              <w:rPr>
                <w:color w:val="000000" w:themeColor="text1"/>
              </w:rPr>
              <w:t>,</w:t>
            </w:r>
          </w:p>
          <w:p w14:paraId="18CB21BA" w14:textId="77777777" w:rsidR="00437FA1" w:rsidRPr="0058432E" w:rsidRDefault="00437FA1" w:rsidP="00982118">
            <w:pPr>
              <w:keepNext/>
              <w:keepLines/>
              <w:autoSpaceDE w:val="0"/>
              <w:autoSpaceDN w:val="0"/>
              <w:adjustRightInd w:val="0"/>
              <w:rPr>
                <w:color w:val="000000" w:themeColor="text1"/>
              </w:rPr>
            </w:pPr>
            <w:proofErr w:type="gramStart"/>
            <w:r w:rsidRPr="0058432E">
              <w:rPr>
                <w:color w:val="000000" w:themeColor="text1"/>
              </w:rPr>
              <w:t>blépharite</w:t>
            </w:r>
            <w:proofErr w:type="gramEnd"/>
            <w:r w:rsidRPr="0058432E">
              <w:rPr>
                <w:color w:val="000000" w:themeColor="text1"/>
              </w:rPr>
              <w:t>,</w:t>
            </w:r>
          </w:p>
          <w:p w14:paraId="43D995D1" w14:textId="77777777" w:rsidR="00437FA1" w:rsidRPr="0058432E" w:rsidRDefault="00437FA1" w:rsidP="000D3575">
            <w:pPr>
              <w:keepNext/>
              <w:keepLines/>
              <w:rPr>
                <w:color w:val="000000" w:themeColor="text1"/>
              </w:rPr>
            </w:pPr>
            <w:proofErr w:type="gramStart"/>
            <w:r w:rsidRPr="0058432E">
              <w:rPr>
                <w:color w:val="000000" w:themeColor="text1"/>
              </w:rPr>
              <w:t>gonflement</w:t>
            </w:r>
            <w:proofErr w:type="gramEnd"/>
            <w:r w:rsidRPr="0058432E">
              <w:rPr>
                <w:color w:val="000000" w:themeColor="text1"/>
              </w:rPr>
              <w:t xml:space="preserve"> des yeux</w:t>
            </w:r>
          </w:p>
        </w:tc>
      </w:tr>
      <w:tr w:rsidR="00437FA1" w:rsidRPr="0058432E" w14:paraId="2E793FE9" w14:textId="77777777" w:rsidTr="0095181C">
        <w:trPr>
          <w:cantSplit/>
        </w:trPr>
        <w:tc>
          <w:tcPr>
            <w:tcW w:w="2628" w:type="dxa"/>
            <w:vMerge/>
            <w:tcBorders>
              <w:left w:val="single" w:sz="4" w:space="0" w:color="auto"/>
              <w:bottom w:val="single" w:sz="4" w:space="0" w:color="auto"/>
              <w:right w:val="single" w:sz="4" w:space="0" w:color="auto"/>
            </w:tcBorders>
          </w:tcPr>
          <w:p w14:paraId="1B215BE1" w14:textId="77777777" w:rsidR="00437FA1" w:rsidRPr="0058432E" w:rsidRDefault="00437FA1" w:rsidP="00982118">
            <w:pPr>
              <w:keepNext/>
              <w:keepLines/>
              <w:rPr>
                <w:color w:val="000000" w:themeColor="text1"/>
              </w:rPr>
            </w:pPr>
          </w:p>
        </w:tc>
        <w:tc>
          <w:tcPr>
            <w:tcW w:w="1621" w:type="dxa"/>
            <w:tcBorders>
              <w:left w:val="single" w:sz="4" w:space="0" w:color="auto"/>
              <w:bottom w:val="single" w:sz="4" w:space="0" w:color="auto"/>
              <w:right w:val="single" w:sz="4" w:space="0" w:color="auto"/>
            </w:tcBorders>
          </w:tcPr>
          <w:p w14:paraId="69CE8B72" w14:textId="77777777" w:rsidR="00B633E5" w:rsidRPr="0058432E" w:rsidRDefault="00B633E5" w:rsidP="000D3575">
            <w:pPr>
              <w:keepNext/>
              <w:keepLines/>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33C883E9" w14:textId="77777777" w:rsidR="00437FA1" w:rsidRPr="0058432E" w:rsidRDefault="00B633E5" w:rsidP="000D3575">
            <w:pPr>
              <w:keepNext/>
              <w:keepLines/>
              <w:rPr>
                <w:color w:val="000000" w:themeColor="text1"/>
              </w:rPr>
            </w:pPr>
            <w:r w:rsidRPr="0058432E">
              <w:rPr>
                <w:color w:val="000000" w:themeColor="text1"/>
              </w:rPr>
              <w:t>Diplopie</w:t>
            </w:r>
          </w:p>
        </w:tc>
      </w:tr>
      <w:tr w:rsidR="00B633E5" w:rsidRPr="0058432E" w14:paraId="2B842B04"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7C95A54F" w14:textId="77777777" w:rsidR="00B633E5" w:rsidRPr="0058432E" w:rsidRDefault="00B633E5" w:rsidP="003146E9">
            <w:pPr>
              <w:keepNext/>
              <w:rPr>
                <w:color w:val="000000" w:themeColor="text1"/>
              </w:rPr>
            </w:pPr>
            <w:r w:rsidRPr="0058432E">
              <w:rPr>
                <w:color w:val="000000" w:themeColor="text1"/>
              </w:rPr>
              <w:t>Affections de l’oreille et du labyrinthe</w:t>
            </w:r>
          </w:p>
        </w:tc>
        <w:tc>
          <w:tcPr>
            <w:tcW w:w="1621" w:type="dxa"/>
            <w:tcBorders>
              <w:top w:val="single" w:sz="4" w:space="0" w:color="auto"/>
              <w:left w:val="single" w:sz="4" w:space="0" w:color="auto"/>
              <w:bottom w:val="single" w:sz="4" w:space="0" w:color="auto"/>
              <w:right w:val="single" w:sz="4" w:space="0" w:color="auto"/>
            </w:tcBorders>
          </w:tcPr>
          <w:p w14:paraId="13F3B579" w14:textId="77777777" w:rsidR="00B633E5" w:rsidRPr="0058432E" w:rsidRDefault="00B633E5" w:rsidP="000D3575">
            <w:pPr>
              <w:keepNext/>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07859A7C" w14:textId="77777777" w:rsidR="00B633E5" w:rsidRPr="0058432E" w:rsidRDefault="00B633E5" w:rsidP="000D3575">
            <w:pPr>
              <w:keepNext/>
              <w:rPr>
                <w:color w:val="000000" w:themeColor="text1"/>
              </w:rPr>
            </w:pPr>
            <w:r w:rsidRPr="0058432E">
              <w:rPr>
                <w:color w:val="000000" w:themeColor="text1"/>
              </w:rPr>
              <w:t>Vertiges</w:t>
            </w:r>
          </w:p>
        </w:tc>
      </w:tr>
      <w:tr w:rsidR="00B633E5" w:rsidRPr="0058432E" w14:paraId="0424716E" w14:textId="77777777" w:rsidTr="0095181C">
        <w:trPr>
          <w:cantSplit/>
        </w:trPr>
        <w:tc>
          <w:tcPr>
            <w:tcW w:w="2628" w:type="dxa"/>
            <w:vMerge/>
            <w:tcBorders>
              <w:left w:val="single" w:sz="4" w:space="0" w:color="auto"/>
              <w:bottom w:val="single" w:sz="4" w:space="0" w:color="auto"/>
              <w:right w:val="single" w:sz="4" w:space="0" w:color="auto"/>
            </w:tcBorders>
          </w:tcPr>
          <w:p w14:paraId="0872F320" w14:textId="77777777" w:rsidR="00B633E5" w:rsidRPr="0058432E" w:rsidRDefault="00B633E5" w:rsidP="003146E9">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CE5CEB8" w14:textId="77777777" w:rsidR="00B633E5" w:rsidRPr="0058432E" w:rsidRDefault="00B633E5" w:rsidP="003146E9">
            <w:pPr>
              <w:keepNext/>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5738363E" w14:textId="77777777" w:rsidR="00B633E5" w:rsidRPr="0058432E" w:rsidRDefault="00B633E5" w:rsidP="003146E9">
            <w:pPr>
              <w:keepNext/>
              <w:rPr>
                <w:color w:val="000000" w:themeColor="text1"/>
              </w:rPr>
            </w:pPr>
            <w:r w:rsidRPr="0058432E">
              <w:rPr>
                <w:color w:val="000000" w:themeColor="text1"/>
              </w:rPr>
              <w:t>Surdité,</w:t>
            </w:r>
          </w:p>
          <w:p w14:paraId="2285DAB7" w14:textId="77777777" w:rsidR="00B633E5" w:rsidRPr="0058432E" w:rsidRDefault="00B633E5" w:rsidP="000D3575">
            <w:pPr>
              <w:keepNext/>
              <w:rPr>
                <w:color w:val="000000" w:themeColor="text1"/>
              </w:rPr>
            </w:pPr>
            <w:proofErr w:type="gramStart"/>
            <w:r w:rsidRPr="0058432E">
              <w:rPr>
                <w:color w:val="000000" w:themeColor="text1"/>
              </w:rPr>
              <w:t>acouphènes</w:t>
            </w:r>
            <w:proofErr w:type="gramEnd"/>
          </w:p>
        </w:tc>
      </w:tr>
      <w:tr w:rsidR="00B633E5" w:rsidRPr="0058432E" w14:paraId="2FF621B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5203F5D" w14:textId="77777777" w:rsidR="00B633E5" w:rsidRPr="0058432E" w:rsidRDefault="00B633E5" w:rsidP="00982118">
            <w:pPr>
              <w:rPr>
                <w:color w:val="000000" w:themeColor="text1"/>
              </w:rPr>
            </w:pPr>
            <w:r w:rsidRPr="0058432E">
              <w:rPr>
                <w:color w:val="000000" w:themeColor="text1"/>
              </w:rPr>
              <w:t>Affections cardiaques*</w:t>
            </w:r>
          </w:p>
        </w:tc>
        <w:tc>
          <w:tcPr>
            <w:tcW w:w="1621" w:type="dxa"/>
            <w:tcBorders>
              <w:top w:val="single" w:sz="4" w:space="0" w:color="auto"/>
              <w:left w:val="single" w:sz="4" w:space="0" w:color="auto"/>
              <w:bottom w:val="single" w:sz="4" w:space="0" w:color="auto"/>
              <w:right w:val="single" w:sz="4" w:space="0" w:color="auto"/>
            </w:tcBorders>
          </w:tcPr>
          <w:p w14:paraId="412B8151" w14:textId="77777777" w:rsidR="00B633E5" w:rsidRPr="0058432E" w:rsidRDefault="00B633E5" w:rsidP="000D3575">
            <w:pPr>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3D0CD28C" w14:textId="77777777" w:rsidR="00B633E5" w:rsidRPr="0058432E" w:rsidRDefault="00B633E5" w:rsidP="000D3575">
            <w:pPr>
              <w:rPr>
                <w:color w:val="000000" w:themeColor="text1"/>
              </w:rPr>
            </w:pPr>
            <w:r w:rsidRPr="0058432E">
              <w:rPr>
                <w:color w:val="000000" w:themeColor="text1"/>
              </w:rPr>
              <w:t>Tachycardie</w:t>
            </w:r>
          </w:p>
        </w:tc>
      </w:tr>
      <w:tr w:rsidR="00B633E5" w:rsidRPr="0058432E" w14:paraId="7B8CF403" w14:textId="77777777" w:rsidTr="0095181C">
        <w:trPr>
          <w:cantSplit/>
        </w:trPr>
        <w:tc>
          <w:tcPr>
            <w:tcW w:w="2628" w:type="dxa"/>
            <w:vMerge/>
            <w:tcBorders>
              <w:left w:val="single" w:sz="4" w:space="0" w:color="auto"/>
              <w:right w:val="single" w:sz="4" w:space="0" w:color="auto"/>
            </w:tcBorders>
          </w:tcPr>
          <w:p w14:paraId="10778588"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44A5A0B" w14:textId="77777777" w:rsidR="00B633E5" w:rsidRPr="0058432E" w:rsidRDefault="00B633E5" w:rsidP="00982118">
            <w:pPr>
              <w:rPr>
                <w:color w:val="000000" w:themeColor="text1"/>
              </w:rPr>
            </w:pPr>
            <w:r w:rsidRPr="0058432E">
              <w:rPr>
                <w:color w:val="000000" w:themeColor="text1"/>
              </w:rPr>
              <w:t>Peu fréquent</w:t>
            </w:r>
          </w:p>
          <w:p w14:paraId="436D3535"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4F9F0A98" w14:textId="77777777" w:rsidR="00B633E5" w:rsidRPr="0058432E" w:rsidRDefault="00B633E5" w:rsidP="00982118">
            <w:pPr>
              <w:autoSpaceDE w:val="0"/>
              <w:autoSpaceDN w:val="0"/>
              <w:adjustRightInd w:val="0"/>
              <w:rPr>
                <w:color w:val="000000" w:themeColor="text1"/>
              </w:rPr>
            </w:pPr>
            <w:r w:rsidRPr="0058432E">
              <w:rPr>
                <w:color w:val="000000" w:themeColor="text1"/>
              </w:rPr>
              <w:t>Infarctus du myocarde</w:t>
            </w:r>
            <w:r w:rsidRPr="0058432E">
              <w:rPr>
                <w:color w:val="000000" w:themeColor="text1"/>
                <w:szCs w:val="20"/>
                <w:vertAlign w:val="superscript"/>
              </w:rPr>
              <w:t>1</w:t>
            </w:r>
            <w:r w:rsidRPr="0058432E">
              <w:rPr>
                <w:color w:val="000000" w:themeColor="text1"/>
              </w:rPr>
              <w:t>,</w:t>
            </w:r>
          </w:p>
          <w:p w14:paraId="236648FB"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arythmie</w:t>
            </w:r>
            <w:proofErr w:type="gramEnd"/>
            <w:r w:rsidRPr="0058432E">
              <w:rPr>
                <w:color w:val="000000" w:themeColor="text1"/>
              </w:rPr>
              <w:t>,</w:t>
            </w:r>
          </w:p>
          <w:p w14:paraId="260A7DE8" w14:textId="77777777" w:rsidR="00B633E5" w:rsidRPr="0058432E" w:rsidRDefault="00B633E5" w:rsidP="000D3575">
            <w:pPr>
              <w:rPr>
                <w:color w:val="000000" w:themeColor="text1"/>
              </w:rPr>
            </w:pPr>
            <w:proofErr w:type="gramStart"/>
            <w:r w:rsidRPr="0058432E">
              <w:rPr>
                <w:color w:val="000000" w:themeColor="text1"/>
              </w:rPr>
              <w:t>insuffisance</w:t>
            </w:r>
            <w:proofErr w:type="gramEnd"/>
            <w:r w:rsidRPr="0058432E">
              <w:rPr>
                <w:color w:val="000000" w:themeColor="text1"/>
              </w:rPr>
              <w:t xml:space="preserve"> cardiaque congestive</w:t>
            </w:r>
          </w:p>
        </w:tc>
      </w:tr>
      <w:tr w:rsidR="00B633E5" w:rsidRPr="0058432E" w14:paraId="6BC47ACD" w14:textId="77777777" w:rsidTr="0095181C">
        <w:trPr>
          <w:cantSplit/>
        </w:trPr>
        <w:tc>
          <w:tcPr>
            <w:tcW w:w="2628" w:type="dxa"/>
            <w:vMerge/>
            <w:tcBorders>
              <w:left w:val="single" w:sz="4" w:space="0" w:color="auto"/>
              <w:bottom w:val="single" w:sz="4" w:space="0" w:color="auto"/>
              <w:right w:val="single" w:sz="4" w:space="0" w:color="auto"/>
            </w:tcBorders>
          </w:tcPr>
          <w:p w14:paraId="697A02E9"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8CE8D2C" w14:textId="77777777" w:rsidR="00B633E5" w:rsidRPr="0058432E" w:rsidRDefault="00B633E5"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770A935E" w14:textId="77777777" w:rsidR="00B633E5" w:rsidRPr="0058432E" w:rsidRDefault="00B633E5" w:rsidP="000D3575">
            <w:pPr>
              <w:rPr>
                <w:color w:val="000000" w:themeColor="text1"/>
              </w:rPr>
            </w:pPr>
            <w:r w:rsidRPr="0058432E">
              <w:rPr>
                <w:color w:val="000000" w:themeColor="text1"/>
              </w:rPr>
              <w:t>Arrêt cardiaque</w:t>
            </w:r>
          </w:p>
        </w:tc>
      </w:tr>
      <w:tr w:rsidR="00B633E5" w:rsidRPr="0058432E" w14:paraId="3CC435D6"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6BA7FBD6" w14:textId="77777777" w:rsidR="00B633E5" w:rsidRPr="0058432E" w:rsidRDefault="00B633E5" w:rsidP="00982118">
            <w:pPr>
              <w:rPr>
                <w:color w:val="000000" w:themeColor="text1"/>
              </w:rPr>
            </w:pPr>
            <w:r w:rsidRPr="0058432E">
              <w:rPr>
                <w:color w:val="000000" w:themeColor="text1"/>
              </w:rPr>
              <w:t>Affections vasculaires</w:t>
            </w:r>
          </w:p>
        </w:tc>
        <w:tc>
          <w:tcPr>
            <w:tcW w:w="1621" w:type="dxa"/>
            <w:tcBorders>
              <w:top w:val="single" w:sz="4" w:space="0" w:color="auto"/>
              <w:left w:val="single" w:sz="4" w:space="0" w:color="auto"/>
              <w:bottom w:val="single" w:sz="4" w:space="0" w:color="auto"/>
              <w:right w:val="single" w:sz="4" w:space="0" w:color="auto"/>
            </w:tcBorders>
          </w:tcPr>
          <w:p w14:paraId="26753A34" w14:textId="77777777" w:rsidR="00B633E5" w:rsidRPr="0058432E" w:rsidRDefault="00B633E5" w:rsidP="00982118">
            <w:pPr>
              <w:rPr>
                <w:color w:val="000000" w:themeColor="text1"/>
              </w:rPr>
            </w:pPr>
            <w:r w:rsidRPr="0058432E">
              <w:rPr>
                <w:color w:val="000000" w:themeColor="text1"/>
              </w:rPr>
              <w:t>Fréquent</w:t>
            </w:r>
          </w:p>
          <w:p w14:paraId="7A46A14C" w14:textId="77777777" w:rsidR="00B633E5" w:rsidRPr="0058432E" w:rsidRDefault="00B633E5" w:rsidP="00982118">
            <w:pPr>
              <w:rPr>
                <w:color w:val="000000" w:themeColor="text1"/>
              </w:rPr>
            </w:pPr>
          </w:p>
        </w:tc>
        <w:tc>
          <w:tcPr>
            <w:tcW w:w="0" w:type="auto"/>
            <w:tcBorders>
              <w:top w:val="single" w:sz="4" w:space="0" w:color="auto"/>
              <w:left w:val="single" w:sz="4" w:space="0" w:color="auto"/>
              <w:right w:val="single" w:sz="4" w:space="0" w:color="auto"/>
            </w:tcBorders>
          </w:tcPr>
          <w:p w14:paraId="02A6DA99" w14:textId="77777777" w:rsidR="00B633E5" w:rsidRPr="0058432E" w:rsidRDefault="00B633E5" w:rsidP="00982118">
            <w:pPr>
              <w:autoSpaceDE w:val="0"/>
              <w:autoSpaceDN w:val="0"/>
              <w:adjustRightInd w:val="0"/>
              <w:rPr>
                <w:color w:val="000000" w:themeColor="text1"/>
              </w:rPr>
            </w:pPr>
            <w:r w:rsidRPr="0058432E">
              <w:rPr>
                <w:color w:val="000000" w:themeColor="text1"/>
              </w:rPr>
              <w:t>Hypertension,</w:t>
            </w:r>
          </w:p>
          <w:p w14:paraId="561CC7F8"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bouffées</w:t>
            </w:r>
            <w:proofErr w:type="gramEnd"/>
            <w:r w:rsidRPr="0058432E">
              <w:rPr>
                <w:color w:val="000000" w:themeColor="text1"/>
              </w:rPr>
              <w:t xml:space="preserve"> de chaleur,</w:t>
            </w:r>
          </w:p>
          <w:p w14:paraId="29304B44" w14:textId="77777777" w:rsidR="00B633E5" w:rsidRPr="0058432E" w:rsidRDefault="00B633E5" w:rsidP="000D3575">
            <w:pPr>
              <w:rPr>
                <w:color w:val="000000" w:themeColor="text1"/>
              </w:rPr>
            </w:pPr>
            <w:proofErr w:type="gramStart"/>
            <w:r w:rsidRPr="0058432E">
              <w:rPr>
                <w:color w:val="000000" w:themeColor="text1"/>
              </w:rPr>
              <w:t>hématomes</w:t>
            </w:r>
            <w:proofErr w:type="gramEnd"/>
          </w:p>
        </w:tc>
      </w:tr>
      <w:tr w:rsidR="00B633E5" w:rsidRPr="0058432E" w14:paraId="1DA4BE33" w14:textId="77777777" w:rsidTr="0095181C">
        <w:trPr>
          <w:cantSplit/>
        </w:trPr>
        <w:tc>
          <w:tcPr>
            <w:tcW w:w="2628" w:type="dxa"/>
            <w:vMerge/>
            <w:tcBorders>
              <w:left w:val="single" w:sz="4" w:space="0" w:color="auto"/>
              <w:bottom w:val="single" w:sz="4" w:space="0" w:color="auto"/>
              <w:right w:val="single" w:sz="4" w:space="0" w:color="auto"/>
            </w:tcBorders>
          </w:tcPr>
          <w:p w14:paraId="4E522D2E"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19C20C4" w14:textId="77777777" w:rsidR="00B633E5" w:rsidRPr="0058432E" w:rsidRDefault="00B633E5" w:rsidP="00982118">
            <w:pPr>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1DA1DDFD" w14:textId="77777777" w:rsidR="00B633E5" w:rsidRPr="0058432E" w:rsidRDefault="00B633E5" w:rsidP="00982118">
            <w:pPr>
              <w:autoSpaceDE w:val="0"/>
              <w:autoSpaceDN w:val="0"/>
              <w:adjustRightInd w:val="0"/>
              <w:rPr>
                <w:color w:val="000000" w:themeColor="text1"/>
              </w:rPr>
            </w:pPr>
            <w:r w:rsidRPr="0058432E">
              <w:rPr>
                <w:color w:val="000000" w:themeColor="text1"/>
              </w:rPr>
              <w:t xml:space="preserve">Anévrysme </w:t>
            </w:r>
            <w:r w:rsidR="008705FF" w:rsidRPr="0058432E">
              <w:rPr>
                <w:color w:val="000000" w:themeColor="text1"/>
              </w:rPr>
              <w:t>de l’</w:t>
            </w:r>
            <w:r w:rsidRPr="0058432E">
              <w:rPr>
                <w:color w:val="000000" w:themeColor="text1"/>
              </w:rPr>
              <w:t>aort</w:t>
            </w:r>
            <w:r w:rsidR="008705FF" w:rsidRPr="0058432E">
              <w:rPr>
                <w:color w:val="000000" w:themeColor="text1"/>
              </w:rPr>
              <w:t>e</w:t>
            </w:r>
            <w:r w:rsidRPr="0058432E">
              <w:rPr>
                <w:color w:val="000000" w:themeColor="text1"/>
              </w:rPr>
              <w:t>,</w:t>
            </w:r>
          </w:p>
          <w:p w14:paraId="65CE0421"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occlusion</w:t>
            </w:r>
            <w:proofErr w:type="gramEnd"/>
            <w:r w:rsidRPr="0058432E">
              <w:rPr>
                <w:color w:val="000000" w:themeColor="text1"/>
              </w:rPr>
              <w:t xml:space="preserve"> vasculaire,</w:t>
            </w:r>
          </w:p>
          <w:p w14:paraId="2B81624C" w14:textId="77777777" w:rsidR="00B633E5" w:rsidRPr="0058432E" w:rsidDel="00B633E5" w:rsidRDefault="00B633E5" w:rsidP="000D3575">
            <w:pPr>
              <w:rPr>
                <w:color w:val="000000" w:themeColor="text1"/>
              </w:rPr>
            </w:pPr>
            <w:proofErr w:type="gramStart"/>
            <w:r w:rsidRPr="0058432E">
              <w:rPr>
                <w:color w:val="000000" w:themeColor="text1"/>
              </w:rPr>
              <w:t>thrombophlébite</w:t>
            </w:r>
            <w:proofErr w:type="gramEnd"/>
          </w:p>
        </w:tc>
      </w:tr>
      <w:tr w:rsidR="00B633E5" w:rsidRPr="0058432E" w14:paraId="7BCFB3C0"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54217408" w14:textId="77777777" w:rsidR="00B633E5" w:rsidRPr="0058432E" w:rsidRDefault="00B633E5" w:rsidP="00982118">
            <w:pPr>
              <w:autoSpaceDE w:val="0"/>
              <w:autoSpaceDN w:val="0"/>
              <w:adjustRightInd w:val="0"/>
              <w:rPr>
                <w:color w:val="000000" w:themeColor="text1"/>
              </w:rPr>
            </w:pPr>
            <w:r w:rsidRPr="0058432E">
              <w:rPr>
                <w:color w:val="000000" w:themeColor="text1"/>
              </w:rPr>
              <w:t>Affections respiratoires, thoraciques et médiastinales*</w:t>
            </w:r>
          </w:p>
        </w:tc>
        <w:tc>
          <w:tcPr>
            <w:tcW w:w="1621" w:type="dxa"/>
            <w:tcBorders>
              <w:top w:val="single" w:sz="4" w:space="0" w:color="auto"/>
              <w:left w:val="single" w:sz="4" w:space="0" w:color="auto"/>
              <w:bottom w:val="single" w:sz="4" w:space="0" w:color="auto"/>
              <w:right w:val="single" w:sz="4" w:space="0" w:color="auto"/>
            </w:tcBorders>
          </w:tcPr>
          <w:p w14:paraId="226D3804" w14:textId="77777777" w:rsidR="00B633E5" w:rsidRPr="0058432E" w:rsidRDefault="00B633E5" w:rsidP="00982118">
            <w:pPr>
              <w:rPr>
                <w:color w:val="000000" w:themeColor="text1"/>
              </w:rPr>
            </w:pPr>
            <w:r w:rsidRPr="0058432E">
              <w:rPr>
                <w:color w:val="000000" w:themeColor="text1"/>
              </w:rPr>
              <w:t>Fréquent</w:t>
            </w:r>
          </w:p>
          <w:p w14:paraId="530AB483" w14:textId="77777777" w:rsidR="00B633E5" w:rsidRPr="0058432E" w:rsidRDefault="00B633E5" w:rsidP="00982118">
            <w:pPr>
              <w:rPr>
                <w:color w:val="000000" w:themeColor="text1"/>
              </w:rPr>
            </w:pPr>
          </w:p>
        </w:tc>
        <w:tc>
          <w:tcPr>
            <w:tcW w:w="0" w:type="auto"/>
            <w:tcBorders>
              <w:top w:val="single" w:sz="4" w:space="0" w:color="auto"/>
              <w:left w:val="single" w:sz="4" w:space="0" w:color="auto"/>
              <w:right w:val="single" w:sz="4" w:space="0" w:color="auto"/>
            </w:tcBorders>
          </w:tcPr>
          <w:p w14:paraId="5CBBF53B" w14:textId="77777777" w:rsidR="00B633E5" w:rsidRPr="0058432E" w:rsidRDefault="00B633E5" w:rsidP="00982118">
            <w:pPr>
              <w:autoSpaceDE w:val="0"/>
              <w:autoSpaceDN w:val="0"/>
              <w:adjustRightInd w:val="0"/>
              <w:rPr>
                <w:color w:val="000000" w:themeColor="text1"/>
              </w:rPr>
            </w:pPr>
            <w:r w:rsidRPr="0058432E">
              <w:rPr>
                <w:color w:val="000000" w:themeColor="text1"/>
              </w:rPr>
              <w:t>Asthme,</w:t>
            </w:r>
          </w:p>
          <w:p w14:paraId="31BBCB00"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dyspnée</w:t>
            </w:r>
            <w:proofErr w:type="gramEnd"/>
            <w:r w:rsidRPr="0058432E">
              <w:rPr>
                <w:color w:val="000000" w:themeColor="text1"/>
              </w:rPr>
              <w:t>,</w:t>
            </w:r>
          </w:p>
          <w:p w14:paraId="0C678E6D" w14:textId="77777777" w:rsidR="00B633E5" w:rsidRPr="0058432E" w:rsidRDefault="00B633E5" w:rsidP="000D3575">
            <w:pPr>
              <w:autoSpaceDE w:val="0"/>
              <w:autoSpaceDN w:val="0"/>
              <w:adjustRightInd w:val="0"/>
              <w:rPr>
                <w:color w:val="000000" w:themeColor="text1"/>
              </w:rPr>
            </w:pPr>
            <w:proofErr w:type="gramStart"/>
            <w:r w:rsidRPr="0058432E">
              <w:rPr>
                <w:color w:val="000000" w:themeColor="text1"/>
              </w:rPr>
              <w:t>toux</w:t>
            </w:r>
            <w:proofErr w:type="gramEnd"/>
          </w:p>
        </w:tc>
      </w:tr>
      <w:tr w:rsidR="00B633E5" w:rsidRPr="0058432E" w14:paraId="75645FC5" w14:textId="77777777" w:rsidTr="0095181C">
        <w:trPr>
          <w:cantSplit/>
        </w:trPr>
        <w:tc>
          <w:tcPr>
            <w:tcW w:w="2628" w:type="dxa"/>
            <w:vMerge/>
            <w:tcBorders>
              <w:left w:val="single" w:sz="4" w:space="0" w:color="auto"/>
              <w:right w:val="single" w:sz="4" w:space="0" w:color="auto"/>
            </w:tcBorders>
          </w:tcPr>
          <w:p w14:paraId="6A2FC9E1" w14:textId="77777777" w:rsidR="00B633E5" w:rsidRPr="0058432E" w:rsidRDefault="00B633E5" w:rsidP="00982118">
            <w:pPr>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660A3C4" w14:textId="77777777" w:rsidR="00B633E5" w:rsidRPr="0058432E" w:rsidRDefault="00B633E5" w:rsidP="00982118">
            <w:pPr>
              <w:rPr>
                <w:color w:val="000000" w:themeColor="text1"/>
              </w:rPr>
            </w:pPr>
            <w:r w:rsidRPr="0058432E">
              <w:rPr>
                <w:color w:val="000000" w:themeColor="text1"/>
              </w:rPr>
              <w:t>Peu fréquent</w:t>
            </w:r>
          </w:p>
          <w:p w14:paraId="047766AE"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73AAD7D5" w14:textId="77777777" w:rsidR="00B633E5" w:rsidRPr="0058432E" w:rsidRDefault="00B633E5" w:rsidP="00982118">
            <w:pPr>
              <w:autoSpaceDE w:val="0"/>
              <w:autoSpaceDN w:val="0"/>
              <w:adjustRightInd w:val="0"/>
              <w:rPr>
                <w:color w:val="000000" w:themeColor="text1"/>
              </w:rPr>
            </w:pPr>
            <w:r w:rsidRPr="0058432E">
              <w:rPr>
                <w:color w:val="000000" w:themeColor="text1"/>
              </w:rPr>
              <w:t>Embolie pulmonaire</w:t>
            </w:r>
            <w:r w:rsidRPr="0058432E">
              <w:rPr>
                <w:color w:val="000000" w:themeColor="text1"/>
                <w:vertAlign w:val="superscript"/>
              </w:rPr>
              <w:t>1</w:t>
            </w:r>
            <w:r w:rsidRPr="0058432E">
              <w:rPr>
                <w:color w:val="000000" w:themeColor="text1"/>
              </w:rPr>
              <w:t>,</w:t>
            </w:r>
          </w:p>
          <w:p w14:paraId="7C26F02D" w14:textId="77777777" w:rsidR="00B633E5" w:rsidRPr="0058432E" w:rsidRDefault="008705FF" w:rsidP="00982118">
            <w:pPr>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 xml:space="preserve"> interstitielle diffuse</w:t>
            </w:r>
            <w:r w:rsidR="00B633E5" w:rsidRPr="0058432E">
              <w:rPr>
                <w:color w:val="000000" w:themeColor="text1"/>
              </w:rPr>
              <w:t>,</w:t>
            </w:r>
          </w:p>
          <w:p w14:paraId="7CD8DA77"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broncho</w:t>
            </w:r>
            <w:proofErr w:type="gramEnd"/>
            <w:r w:rsidRPr="0058432E">
              <w:rPr>
                <w:color w:val="000000" w:themeColor="text1"/>
              </w:rPr>
              <w:t>-pneumopathie chronique obstructive,</w:t>
            </w:r>
          </w:p>
          <w:p w14:paraId="26420BA1" w14:textId="77777777" w:rsidR="00B633E5" w:rsidRPr="0058432E" w:rsidRDefault="00B633E5" w:rsidP="00982118">
            <w:pPr>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w:t>
            </w:r>
          </w:p>
          <w:p w14:paraId="4EC4F7D4" w14:textId="77777777" w:rsidR="00B633E5" w:rsidRPr="0058432E" w:rsidRDefault="00B633E5" w:rsidP="000D3575">
            <w:pPr>
              <w:autoSpaceDE w:val="0"/>
              <w:autoSpaceDN w:val="0"/>
              <w:adjustRightInd w:val="0"/>
              <w:rPr>
                <w:color w:val="000000" w:themeColor="text1"/>
              </w:rPr>
            </w:pPr>
            <w:proofErr w:type="gramStart"/>
            <w:r w:rsidRPr="0058432E">
              <w:rPr>
                <w:color w:val="000000" w:themeColor="text1"/>
              </w:rPr>
              <w:t>épanchement</w:t>
            </w:r>
            <w:proofErr w:type="gramEnd"/>
            <w:r w:rsidRPr="0058432E">
              <w:rPr>
                <w:color w:val="000000" w:themeColor="text1"/>
              </w:rPr>
              <w:t xml:space="preserve"> pleural</w:t>
            </w:r>
            <w:r w:rsidRPr="0058432E">
              <w:rPr>
                <w:color w:val="000000" w:themeColor="text1"/>
                <w:vertAlign w:val="superscript"/>
              </w:rPr>
              <w:t>1</w:t>
            </w:r>
          </w:p>
        </w:tc>
      </w:tr>
      <w:tr w:rsidR="00B633E5" w:rsidRPr="0058432E" w14:paraId="0231A789" w14:textId="77777777" w:rsidTr="0095181C">
        <w:trPr>
          <w:cantSplit/>
        </w:trPr>
        <w:tc>
          <w:tcPr>
            <w:tcW w:w="2628" w:type="dxa"/>
            <w:vMerge/>
            <w:tcBorders>
              <w:left w:val="single" w:sz="4" w:space="0" w:color="auto"/>
              <w:bottom w:val="single" w:sz="4" w:space="0" w:color="auto"/>
              <w:right w:val="single" w:sz="4" w:space="0" w:color="auto"/>
            </w:tcBorders>
          </w:tcPr>
          <w:p w14:paraId="26BB0E04" w14:textId="77777777" w:rsidR="00B633E5" w:rsidRPr="0058432E" w:rsidRDefault="00B633E5" w:rsidP="00982118">
            <w:pPr>
              <w:autoSpaceDE w:val="0"/>
              <w:autoSpaceDN w:val="0"/>
              <w:adjustRightInd w:val="0"/>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1157642" w14:textId="77777777" w:rsidR="00B633E5" w:rsidRPr="0058432E" w:rsidRDefault="00B633E5"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5F66B4C4" w14:textId="77777777" w:rsidR="00B633E5" w:rsidRPr="0058432E" w:rsidRDefault="00B633E5" w:rsidP="000D3575">
            <w:pPr>
              <w:autoSpaceDE w:val="0"/>
              <w:autoSpaceDN w:val="0"/>
              <w:adjustRightInd w:val="0"/>
              <w:rPr>
                <w:color w:val="000000" w:themeColor="text1"/>
              </w:rPr>
            </w:pPr>
            <w:r w:rsidRPr="0058432E">
              <w:rPr>
                <w:color w:val="000000" w:themeColor="text1"/>
              </w:rPr>
              <w:t>Fibrose pulmonaire</w:t>
            </w:r>
            <w:r w:rsidRPr="0058432E">
              <w:rPr>
                <w:color w:val="000000" w:themeColor="text1"/>
                <w:vertAlign w:val="superscript"/>
              </w:rPr>
              <w:t>1</w:t>
            </w:r>
          </w:p>
        </w:tc>
      </w:tr>
      <w:tr w:rsidR="00B633E5" w:rsidRPr="0058432E" w14:paraId="50D8923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5F4EE90" w14:textId="77777777" w:rsidR="00B633E5" w:rsidRPr="0058432E" w:rsidRDefault="00B633E5" w:rsidP="00982118">
            <w:pPr>
              <w:keepNext/>
              <w:rPr>
                <w:color w:val="000000" w:themeColor="text1"/>
              </w:rPr>
            </w:pPr>
            <w:r w:rsidRPr="0058432E">
              <w:rPr>
                <w:color w:val="000000" w:themeColor="text1"/>
              </w:rPr>
              <w:t>Affections gastro-intestinales</w:t>
            </w:r>
          </w:p>
        </w:tc>
        <w:tc>
          <w:tcPr>
            <w:tcW w:w="1621" w:type="dxa"/>
            <w:tcBorders>
              <w:top w:val="single" w:sz="4" w:space="0" w:color="auto"/>
              <w:left w:val="single" w:sz="4" w:space="0" w:color="auto"/>
              <w:bottom w:val="single" w:sz="4" w:space="0" w:color="auto"/>
              <w:right w:val="single" w:sz="4" w:space="0" w:color="auto"/>
            </w:tcBorders>
          </w:tcPr>
          <w:p w14:paraId="6070E234" w14:textId="77777777" w:rsidR="00B633E5" w:rsidRPr="0058432E" w:rsidRDefault="00B633E5" w:rsidP="00982118">
            <w:pPr>
              <w:keepNext/>
              <w:rPr>
                <w:color w:val="000000" w:themeColor="text1"/>
              </w:rPr>
            </w:pPr>
            <w:r w:rsidRPr="0058432E">
              <w:rPr>
                <w:color w:val="000000" w:themeColor="text1"/>
              </w:rPr>
              <w:t>Très fréquent</w:t>
            </w:r>
          </w:p>
          <w:p w14:paraId="65A2D834" w14:textId="77777777" w:rsidR="00B633E5" w:rsidRPr="0058432E" w:rsidRDefault="00B633E5" w:rsidP="00982118">
            <w:pPr>
              <w:keepNext/>
              <w:rPr>
                <w:color w:val="000000" w:themeColor="text1"/>
              </w:rPr>
            </w:pPr>
          </w:p>
        </w:tc>
        <w:tc>
          <w:tcPr>
            <w:tcW w:w="0" w:type="auto"/>
            <w:tcBorders>
              <w:top w:val="single" w:sz="4" w:space="0" w:color="auto"/>
              <w:left w:val="single" w:sz="4" w:space="0" w:color="auto"/>
              <w:right w:val="single" w:sz="4" w:space="0" w:color="auto"/>
            </w:tcBorders>
          </w:tcPr>
          <w:p w14:paraId="334D31A3" w14:textId="77777777" w:rsidR="00B633E5" w:rsidRPr="0058432E" w:rsidRDefault="00136326" w:rsidP="00982118">
            <w:pPr>
              <w:keepNext/>
              <w:autoSpaceDE w:val="0"/>
              <w:autoSpaceDN w:val="0"/>
              <w:adjustRightInd w:val="0"/>
              <w:rPr>
                <w:color w:val="000000" w:themeColor="text1"/>
              </w:rPr>
            </w:pPr>
            <w:r w:rsidRPr="0058432E">
              <w:rPr>
                <w:color w:val="000000" w:themeColor="text1"/>
              </w:rPr>
              <w:t>Douleurs abdominales,</w:t>
            </w:r>
          </w:p>
          <w:p w14:paraId="3375FF86" w14:textId="77777777" w:rsidR="00B633E5" w:rsidRPr="0058432E" w:rsidRDefault="00B633E5" w:rsidP="000D3575">
            <w:pPr>
              <w:keepNext/>
              <w:autoSpaceDE w:val="0"/>
              <w:autoSpaceDN w:val="0"/>
              <w:adjustRightInd w:val="0"/>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w:t>
            </w:r>
          </w:p>
        </w:tc>
      </w:tr>
      <w:tr w:rsidR="00B633E5" w:rsidRPr="0058432E" w14:paraId="0E8D5512" w14:textId="77777777" w:rsidTr="0095181C">
        <w:trPr>
          <w:cantSplit/>
        </w:trPr>
        <w:tc>
          <w:tcPr>
            <w:tcW w:w="2628" w:type="dxa"/>
            <w:vMerge/>
            <w:tcBorders>
              <w:left w:val="single" w:sz="4" w:space="0" w:color="auto"/>
              <w:right w:val="single" w:sz="4" w:space="0" w:color="auto"/>
            </w:tcBorders>
          </w:tcPr>
          <w:p w14:paraId="1F6D4BD4" w14:textId="77777777" w:rsidR="00B633E5" w:rsidRPr="0058432E" w:rsidRDefault="00B633E5"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3F02B851" w14:textId="77777777" w:rsidR="00B633E5" w:rsidRPr="0058432E" w:rsidRDefault="00B633E5" w:rsidP="00982118">
            <w:pPr>
              <w:keepNext/>
              <w:rPr>
                <w:color w:val="000000" w:themeColor="text1"/>
              </w:rPr>
            </w:pPr>
            <w:r w:rsidRPr="0058432E">
              <w:rPr>
                <w:color w:val="000000" w:themeColor="text1"/>
              </w:rPr>
              <w:t>Fréquent</w:t>
            </w:r>
          </w:p>
          <w:p w14:paraId="6665CD05" w14:textId="77777777" w:rsidR="00B633E5" w:rsidRPr="0058432E" w:rsidRDefault="00B633E5" w:rsidP="00982118">
            <w:pPr>
              <w:keepNext/>
              <w:rPr>
                <w:color w:val="000000" w:themeColor="text1"/>
              </w:rPr>
            </w:pPr>
          </w:p>
        </w:tc>
        <w:tc>
          <w:tcPr>
            <w:tcW w:w="0" w:type="auto"/>
            <w:tcBorders>
              <w:left w:val="single" w:sz="4" w:space="0" w:color="auto"/>
              <w:right w:val="single" w:sz="4" w:space="0" w:color="auto"/>
            </w:tcBorders>
          </w:tcPr>
          <w:p w14:paraId="6A773199" w14:textId="77777777" w:rsidR="00B633E5" w:rsidRPr="0058432E" w:rsidRDefault="00B633E5" w:rsidP="00982118">
            <w:pPr>
              <w:keepNext/>
              <w:autoSpaceDE w:val="0"/>
              <w:autoSpaceDN w:val="0"/>
              <w:adjustRightInd w:val="0"/>
              <w:rPr>
                <w:color w:val="000000" w:themeColor="text1"/>
              </w:rPr>
            </w:pPr>
            <w:r w:rsidRPr="0058432E">
              <w:rPr>
                <w:color w:val="000000" w:themeColor="text1"/>
              </w:rPr>
              <w:t>Hémorragie gastro-intestinale,</w:t>
            </w:r>
          </w:p>
          <w:p w14:paraId="79B6B34A" w14:textId="77777777" w:rsidR="00B633E5" w:rsidRPr="0058432E" w:rsidRDefault="00B633E5" w:rsidP="00982118">
            <w:pPr>
              <w:keepNext/>
              <w:autoSpaceDE w:val="0"/>
              <w:autoSpaceDN w:val="0"/>
              <w:adjustRightInd w:val="0"/>
              <w:rPr>
                <w:color w:val="000000" w:themeColor="text1"/>
              </w:rPr>
            </w:pPr>
            <w:proofErr w:type="gramStart"/>
            <w:r w:rsidRPr="0058432E">
              <w:rPr>
                <w:color w:val="000000" w:themeColor="text1"/>
              </w:rPr>
              <w:t>dyspepsie</w:t>
            </w:r>
            <w:proofErr w:type="gramEnd"/>
            <w:r w:rsidRPr="0058432E">
              <w:rPr>
                <w:color w:val="000000" w:themeColor="text1"/>
              </w:rPr>
              <w:t>,</w:t>
            </w:r>
          </w:p>
          <w:p w14:paraId="71090F9F" w14:textId="77777777" w:rsidR="00B633E5" w:rsidRPr="0058432E" w:rsidRDefault="00B633E5" w:rsidP="00982118">
            <w:pPr>
              <w:keepNext/>
              <w:autoSpaceDE w:val="0"/>
              <w:autoSpaceDN w:val="0"/>
              <w:adjustRightInd w:val="0"/>
              <w:rPr>
                <w:color w:val="000000" w:themeColor="text1"/>
              </w:rPr>
            </w:pPr>
            <w:proofErr w:type="gramStart"/>
            <w:r w:rsidRPr="0058432E">
              <w:rPr>
                <w:color w:val="000000" w:themeColor="text1"/>
              </w:rPr>
              <w:t>reflux</w:t>
            </w:r>
            <w:proofErr w:type="gramEnd"/>
            <w:r w:rsidRPr="0058432E">
              <w:rPr>
                <w:color w:val="000000" w:themeColor="text1"/>
              </w:rPr>
              <w:t xml:space="preserve"> gastro-œsophagien,</w:t>
            </w:r>
          </w:p>
          <w:p w14:paraId="03A93CC7" w14:textId="77777777" w:rsidR="00B633E5" w:rsidRPr="0058432E" w:rsidRDefault="00B633E5" w:rsidP="000D3575">
            <w:pPr>
              <w:keepNext/>
              <w:autoSpaceDE w:val="0"/>
              <w:autoSpaceDN w:val="0"/>
              <w:adjustRightInd w:val="0"/>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w:t>
            </w:r>
          </w:p>
        </w:tc>
      </w:tr>
      <w:tr w:rsidR="00B633E5" w:rsidRPr="0058432E" w14:paraId="7DF5662E" w14:textId="77777777" w:rsidTr="0095181C">
        <w:trPr>
          <w:cantSplit/>
        </w:trPr>
        <w:tc>
          <w:tcPr>
            <w:tcW w:w="2628" w:type="dxa"/>
            <w:vMerge/>
            <w:tcBorders>
              <w:left w:val="single" w:sz="4" w:space="0" w:color="auto"/>
              <w:right w:val="single" w:sz="4" w:space="0" w:color="auto"/>
            </w:tcBorders>
          </w:tcPr>
          <w:p w14:paraId="5F053E8C" w14:textId="77777777" w:rsidR="00B633E5" w:rsidRPr="0058432E" w:rsidRDefault="00B633E5"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73D64BD" w14:textId="77777777" w:rsidR="00B633E5" w:rsidRPr="0058432E" w:rsidRDefault="00B633E5" w:rsidP="00982118">
            <w:pPr>
              <w:keepNext/>
              <w:rPr>
                <w:color w:val="000000" w:themeColor="text1"/>
              </w:rPr>
            </w:pPr>
            <w:r w:rsidRPr="0058432E">
              <w:rPr>
                <w:color w:val="000000" w:themeColor="text1"/>
              </w:rPr>
              <w:t>Peu fréquent</w:t>
            </w:r>
          </w:p>
          <w:p w14:paraId="394E855F" w14:textId="77777777" w:rsidR="00B633E5" w:rsidRPr="0058432E" w:rsidRDefault="00B633E5" w:rsidP="00982118">
            <w:pPr>
              <w:keepNext/>
              <w:rPr>
                <w:color w:val="000000" w:themeColor="text1"/>
              </w:rPr>
            </w:pPr>
          </w:p>
        </w:tc>
        <w:tc>
          <w:tcPr>
            <w:tcW w:w="0" w:type="auto"/>
            <w:tcBorders>
              <w:left w:val="single" w:sz="4" w:space="0" w:color="auto"/>
              <w:right w:val="single" w:sz="4" w:space="0" w:color="auto"/>
            </w:tcBorders>
          </w:tcPr>
          <w:p w14:paraId="145F57C5" w14:textId="77777777" w:rsidR="00B633E5" w:rsidRPr="0058432E" w:rsidRDefault="00136326" w:rsidP="00982118">
            <w:pPr>
              <w:keepNext/>
              <w:autoSpaceDE w:val="0"/>
              <w:autoSpaceDN w:val="0"/>
              <w:adjustRightInd w:val="0"/>
              <w:rPr>
                <w:color w:val="000000" w:themeColor="text1"/>
              </w:rPr>
            </w:pPr>
            <w:r w:rsidRPr="0058432E">
              <w:rPr>
                <w:color w:val="000000" w:themeColor="text1"/>
              </w:rPr>
              <w:t>Pancréatite,</w:t>
            </w:r>
          </w:p>
          <w:p w14:paraId="28B6D445" w14:textId="77777777" w:rsidR="00B633E5" w:rsidRPr="0058432E" w:rsidRDefault="00B633E5" w:rsidP="00982118">
            <w:pPr>
              <w:keepNext/>
              <w:autoSpaceDE w:val="0"/>
              <w:autoSpaceDN w:val="0"/>
              <w:adjustRightInd w:val="0"/>
              <w:rPr>
                <w:color w:val="000000" w:themeColor="text1"/>
              </w:rPr>
            </w:pPr>
            <w:proofErr w:type="gramStart"/>
            <w:r w:rsidRPr="0058432E">
              <w:rPr>
                <w:color w:val="000000" w:themeColor="text1"/>
              </w:rPr>
              <w:t>dysphagie</w:t>
            </w:r>
            <w:proofErr w:type="gramEnd"/>
            <w:r w:rsidRPr="0058432E">
              <w:rPr>
                <w:color w:val="000000" w:themeColor="text1"/>
              </w:rPr>
              <w:t>,</w:t>
            </w:r>
          </w:p>
          <w:p w14:paraId="08FA1B49" w14:textId="77777777" w:rsidR="00B633E5" w:rsidRPr="0058432E" w:rsidRDefault="00B633E5" w:rsidP="000D3575">
            <w:pPr>
              <w:keepNext/>
              <w:autoSpaceDE w:val="0"/>
              <w:autoSpaceDN w:val="0"/>
              <w:adjustRightInd w:val="0"/>
              <w:rPr>
                <w:color w:val="000000" w:themeColor="text1"/>
              </w:rPr>
            </w:pPr>
            <w:proofErr w:type="gramStart"/>
            <w:r w:rsidRPr="0058432E">
              <w:rPr>
                <w:color w:val="000000" w:themeColor="text1"/>
              </w:rPr>
              <w:t>œdème</w:t>
            </w:r>
            <w:proofErr w:type="gramEnd"/>
            <w:r w:rsidRPr="0058432E">
              <w:rPr>
                <w:color w:val="000000" w:themeColor="text1"/>
              </w:rPr>
              <w:t xml:space="preserve"> du visage</w:t>
            </w:r>
          </w:p>
        </w:tc>
      </w:tr>
      <w:tr w:rsidR="00B633E5" w:rsidRPr="0058432E" w14:paraId="7F3257AC" w14:textId="77777777" w:rsidTr="0095181C">
        <w:trPr>
          <w:cantSplit/>
        </w:trPr>
        <w:tc>
          <w:tcPr>
            <w:tcW w:w="2628" w:type="dxa"/>
            <w:vMerge/>
            <w:tcBorders>
              <w:left w:val="single" w:sz="4" w:space="0" w:color="auto"/>
              <w:bottom w:val="single" w:sz="4" w:space="0" w:color="auto"/>
              <w:right w:val="single" w:sz="4" w:space="0" w:color="auto"/>
            </w:tcBorders>
          </w:tcPr>
          <w:p w14:paraId="4A5DE86C"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FAA5EDD" w14:textId="77777777" w:rsidR="00B633E5" w:rsidRPr="0058432E" w:rsidRDefault="00B633E5"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1605FFC8" w14:textId="77777777" w:rsidR="00B633E5" w:rsidRPr="0058432E" w:rsidRDefault="00136326" w:rsidP="000D3575">
            <w:pPr>
              <w:autoSpaceDE w:val="0"/>
              <w:autoSpaceDN w:val="0"/>
              <w:adjustRightInd w:val="0"/>
              <w:rPr>
                <w:color w:val="000000" w:themeColor="text1"/>
              </w:rPr>
            </w:pPr>
            <w:r w:rsidRPr="0058432E">
              <w:rPr>
                <w:color w:val="000000" w:themeColor="text1"/>
              </w:rPr>
              <w:t>Perforation intestinale</w:t>
            </w:r>
            <w:r w:rsidRPr="0058432E">
              <w:rPr>
                <w:color w:val="000000" w:themeColor="text1"/>
                <w:vertAlign w:val="superscript"/>
              </w:rPr>
              <w:t>1</w:t>
            </w:r>
          </w:p>
        </w:tc>
      </w:tr>
      <w:tr w:rsidR="00B633E5" w:rsidRPr="0058432E" w14:paraId="4F1D7F8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95A4E48" w14:textId="77777777" w:rsidR="00B633E5" w:rsidRPr="0058432E" w:rsidRDefault="00B633E5" w:rsidP="00982118">
            <w:pPr>
              <w:rPr>
                <w:color w:val="000000" w:themeColor="text1"/>
              </w:rPr>
            </w:pPr>
            <w:r w:rsidRPr="0058432E">
              <w:rPr>
                <w:color w:val="000000" w:themeColor="text1"/>
              </w:rPr>
              <w:t>Affections hépatobiliaires*</w:t>
            </w:r>
          </w:p>
        </w:tc>
        <w:tc>
          <w:tcPr>
            <w:tcW w:w="1621" w:type="dxa"/>
            <w:tcBorders>
              <w:top w:val="single" w:sz="4" w:space="0" w:color="auto"/>
              <w:left w:val="single" w:sz="4" w:space="0" w:color="auto"/>
              <w:bottom w:val="single" w:sz="4" w:space="0" w:color="auto"/>
              <w:right w:val="single" w:sz="4" w:space="0" w:color="auto"/>
            </w:tcBorders>
          </w:tcPr>
          <w:p w14:paraId="2879F01B" w14:textId="77777777" w:rsidR="00B633E5" w:rsidRPr="0058432E" w:rsidRDefault="006E1391"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68FD0E61" w14:textId="77777777" w:rsidR="00B633E5" w:rsidRPr="0058432E" w:rsidRDefault="00637923" w:rsidP="000D3575">
            <w:pPr>
              <w:rPr>
                <w:color w:val="000000" w:themeColor="text1"/>
              </w:rPr>
            </w:pPr>
            <w:r w:rsidRPr="0058432E">
              <w:rPr>
                <w:color w:val="000000" w:themeColor="text1"/>
              </w:rPr>
              <w:t>Élévation des enzymes hépatiques</w:t>
            </w:r>
          </w:p>
        </w:tc>
      </w:tr>
      <w:tr w:rsidR="00B633E5" w:rsidRPr="0058432E" w14:paraId="6B94FFE9" w14:textId="77777777" w:rsidTr="0095181C">
        <w:trPr>
          <w:cantSplit/>
        </w:trPr>
        <w:tc>
          <w:tcPr>
            <w:tcW w:w="2628" w:type="dxa"/>
            <w:vMerge/>
            <w:tcBorders>
              <w:left w:val="single" w:sz="4" w:space="0" w:color="auto"/>
              <w:right w:val="single" w:sz="4" w:space="0" w:color="auto"/>
            </w:tcBorders>
          </w:tcPr>
          <w:p w14:paraId="39B1FAD1"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7BEFF42C" w14:textId="77777777" w:rsidR="00B633E5" w:rsidRPr="0058432E" w:rsidRDefault="00B633E5" w:rsidP="00982118">
            <w:pPr>
              <w:rPr>
                <w:color w:val="000000" w:themeColor="text1"/>
              </w:rPr>
            </w:pPr>
            <w:r w:rsidRPr="0058432E">
              <w:rPr>
                <w:color w:val="000000" w:themeColor="text1"/>
              </w:rPr>
              <w:t>Peu fréquent</w:t>
            </w:r>
          </w:p>
          <w:p w14:paraId="3F772A6E"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59A38DE8" w14:textId="77777777" w:rsidR="00B633E5" w:rsidRPr="0058432E" w:rsidRDefault="00637923" w:rsidP="00982118">
            <w:pPr>
              <w:rPr>
                <w:color w:val="000000" w:themeColor="text1"/>
              </w:rPr>
            </w:pPr>
            <w:r w:rsidRPr="0058432E">
              <w:rPr>
                <w:color w:val="000000" w:themeColor="text1"/>
              </w:rPr>
              <w:t>Cholécystite et lithiase biliaire,</w:t>
            </w:r>
          </w:p>
          <w:p w14:paraId="7287F636" w14:textId="77777777" w:rsidR="00B633E5" w:rsidRPr="0058432E" w:rsidRDefault="00B633E5" w:rsidP="00982118">
            <w:pPr>
              <w:rPr>
                <w:color w:val="000000" w:themeColor="text1"/>
              </w:rPr>
            </w:pPr>
            <w:proofErr w:type="gramStart"/>
            <w:r w:rsidRPr="0058432E">
              <w:rPr>
                <w:color w:val="000000" w:themeColor="text1"/>
              </w:rPr>
              <w:t>stéatose</w:t>
            </w:r>
            <w:proofErr w:type="gramEnd"/>
            <w:r w:rsidRPr="0058432E">
              <w:rPr>
                <w:color w:val="000000" w:themeColor="text1"/>
              </w:rPr>
              <w:t xml:space="preserve"> hépatique,</w:t>
            </w:r>
          </w:p>
          <w:p w14:paraId="64FD7C43" w14:textId="77777777" w:rsidR="00B633E5" w:rsidRPr="0058432E" w:rsidRDefault="00B633E5" w:rsidP="000D3575">
            <w:pPr>
              <w:rPr>
                <w:color w:val="000000" w:themeColor="text1"/>
              </w:rPr>
            </w:pPr>
            <w:proofErr w:type="gramStart"/>
            <w:r w:rsidRPr="0058432E">
              <w:rPr>
                <w:color w:val="000000" w:themeColor="text1"/>
              </w:rPr>
              <w:t>hyperbilirubinémie</w:t>
            </w:r>
            <w:proofErr w:type="gramEnd"/>
          </w:p>
        </w:tc>
      </w:tr>
      <w:tr w:rsidR="00B633E5" w:rsidRPr="0058432E" w14:paraId="2B21ED08" w14:textId="77777777" w:rsidTr="0095181C">
        <w:trPr>
          <w:cantSplit/>
        </w:trPr>
        <w:tc>
          <w:tcPr>
            <w:tcW w:w="2628" w:type="dxa"/>
            <w:vMerge/>
            <w:tcBorders>
              <w:left w:val="single" w:sz="4" w:space="0" w:color="auto"/>
              <w:right w:val="single" w:sz="4" w:space="0" w:color="auto"/>
            </w:tcBorders>
          </w:tcPr>
          <w:p w14:paraId="4E2A8B39"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12BF408" w14:textId="77777777" w:rsidR="00B633E5" w:rsidRPr="0058432E" w:rsidRDefault="00B633E5" w:rsidP="00982118">
            <w:pPr>
              <w:rPr>
                <w:color w:val="000000" w:themeColor="text1"/>
              </w:rPr>
            </w:pPr>
            <w:r w:rsidRPr="0058432E">
              <w:rPr>
                <w:color w:val="000000" w:themeColor="text1"/>
              </w:rPr>
              <w:t>Rare</w:t>
            </w:r>
          </w:p>
          <w:p w14:paraId="1E3DA715"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3E3F91BE" w14:textId="77777777" w:rsidR="00B633E5" w:rsidRPr="0058432E" w:rsidRDefault="00637923" w:rsidP="00982118">
            <w:pPr>
              <w:rPr>
                <w:color w:val="000000" w:themeColor="text1"/>
              </w:rPr>
            </w:pPr>
            <w:r w:rsidRPr="0058432E">
              <w:rPr>
                <w:color w:val="000000" w:themeColor="text1"/>
              </w:rPr>
              <w:t>Hépatite,</w:t>
            </w:r>
          </w:p>
          <w:p w14:paraId="27C6F9F2" w14:textId="77777777" w:rsidR="00B633E5" w:rsidRPr="0058432E" w:rsidRDefault="00B633E5" w:rsidP="00982118">
            <w:pPr>
              <w:rPr>
                <w:color w:val="000000" w:themeColor="text1"/>
              </w:rPr>
            </w:pPr>
            <w:proofErr w:type="gramStart"/>
            <w:r w:rsidRPr="0058432E">
              <w:rPr>
                <w:color w:val="000000" w:themeColor="text1"/>
              </w:rPr>
              <w:t>réactivation</w:t>
            </w:r>
            <w:proofErr w:type="gramEnd"/>
            <w:r w:rsidRPr="0058432E">
              <w:rPr>
                <w:color w:val="000000" w:themeColor="text1"/>
              </w:rPr>
              <w:t xml:space="preserve"> du virus de l’hépatite B</w:t>
            </w:r>
            <w:r w:rsidRPr="0058432E">
              <w:rPr>
                <w:color w:val="000000" w:themeColor="text1"/>
                <w:vertAlign w:val="superscript"/>
              </w:rPr>
              <w:t>1</w:t>
            </w:r>
            <w:r w:rsidRPr="0058432E">
              <w:rPr>
                <w:color w:val="000000" w:themeColor="text1"/>
              </w:rPr>
              <w:t>,</w:t>
            </w:r>
          </w:p>
          <w:p w14:paraId="176F7D2D" w14:textId="77777777" w:rsidR="00B633E5" w:rsidRPr="0058432E" w:rsidRDefault="00B633E5" w:rsidP="000D3575">
            <w:pPr>
              <w:rPr>
                <w:color w:val="000000" w:themeColor="text1"/>
              </w:rPr>
            </w:pPr>
            <w:proofErr w:type="gramStart"/>
            <w:r w:rsidRPr="0058432E">
              <w:rPr>
                <w:color w:val="000000" w:themeColor="text1"/>
              </w:rPr>
              <w:t>hépatite</w:t>
            </w:r>
            <w:proofErr w:type="gramEnd"/>
            <w:r w:rsidRPr="0058432E">
              <w:rPr>
                <w:color w:val="000000" w:themeColor="text1"/>
              </w:rPr>
              <w:t xml:space="preserve"> auto-immune</w:t>
            </w:r>
            <w:r w:rsidRPr="0058432E">
              <w:rPr>
                <w:color w:val="000000" w:themeColor="text1"/>
                <w:vertAlign w:val="superscript"/>
              </w:rPr>
              <w:t>1</w:t>
            </w:r>
          </w:p>
        </w:tc>
      </w:tr>
      <w:tr w:rsidR="00B633E5" w:rsidRPr="0058432E" w14:paraId="2FE2009D" w14:textId="77777777" w:rsidTr="0095181C">
        <w:trPr>
          <w:cantSplit/>
        </w:trPr>
        <w:tc>
          <w:tcPr>
            <w:tcW w:w="2628" w:type="dxa"/>
            <w:vMerge/>
            <w:tcBorders>
              <w:left w:val="single" w:sz="4" w:space="0" w:color="auto"/>
              <w:bottom w:val="single" w:sz="4" w:space="0" w:color="auto"/>
              <w:right w:val="single" w:sz="4" w:space="0" w:color="auto"/>
            </w:tcBorders>
          </w:tcPr>
          <w:p w14:paraId="4F8F22E6"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413AA6F9" w14:textId="77777777" w:rsidR="00B633E5" w:rsidRPr="0058432E" w:rsidRDefault="00B633E5" w:rsidP="000D3575">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02247AFF" w14:textId="77777777" w:rsidR="00B633E5" w:rsidRPr="0058432E" w:rsidRDefault="00637923" w:rsidP="00982118">
            <w:pPr>
              <w:rPr>
                <w:color w:val="000000" w:themeColor="text1"/>
              </w:rPr>
            </w:pPr>
            <w:r w:rsidRPr="0058432E">
              <w:rPr>
                <w:color w:val="000000" w:themeColor="text1"/>
              </w:rPr>
              <w:t>Insuffisance hépatique</w:t>
            </w:r>
            <w:r w:rsidRPr="0058432E">
              <w:rPr>
                <w:color w:val="000000" w:themeColor="text1"/>
                <w:vertAlign w:val="superscript"/>
              </w:rPr>
              <w:t>1</w:t>
            </w:r>
          </w:p>
          <w:p w14:paraId="4C8F48A0" w14:textId="77777777" w:rsidR="00B633E5" w:rsidRPr="0058432E" w:rsidRDefault="00B633E5" w:rsidP="00982118">
            <w:pPr>
              <w:rPr>
                <w:color w:val="000000" w:themeColor="text1"/>
              </w:rPr>
            </w:pPr>
          </w:p>
        </w:tc>
      </w:tr>
      <w:tr w:rsidR="00B633E5" w:rsidRPr="0058432E" w14:paraId="560BBB7A"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C3E5364" w14:textId="77777777" w:rsidR="00B633E5" w:rsidRPr="0058432E" w:rsidRDefault="00B633E5" w:rsidP="00982118">
            <w:pPr>
              <w:rPr>
                <w:color w:val="000000" w:themeColor="text1"/>
              </w:rPr>
            </w:pPr>
            <w:r w:rsidRPr="0058432E">
              <w:rPr>
                <w:color w:val="000000" w:themeColor="text1"/>
              </w:rPr>
              <w:t>Affections de la peau et du tissu sous-cutané</w:t>
            </w:r>
          </w:p>
        </w:tc>
        <w:tc>
          <w:tcPr>
            <w:tcW w:w="1621" w:type="dxa"/>
            <w:tcBorders>
              <w:top w:val="single" w:sz="4" w:space="0" w:color="auto"/>
              <w:left w:val="single" w:sz="4" w:space="0" w:color="auto"/>
              <w:bottom w:val="single" w:sz="4" w:space="0" w:color="auto"/>
              <w:right w:val="single" w:sz="4" w:space="0" w:color="auto"/>
            </w:tcBorders>
          </w:tcPr>
          <w:p w14:paraId="4E11DA53" w14:textId="77777777" w:rsidR="00B633E5" w:rsidRPr="0058432E" w:rsidRDefault="006E1391"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1DF1886F" w14:textId="77777777" w:rsidR="00B633E5" w:rsidRPr="0058432E" w:rsidRDefault="00637923" w:rsidP="000D3575">
            <w:pPr>
              <w:rPr>
                <w:color w:val="000000" w:themeColor="text1"/>
              </w:rPr>
            </w:pPr>
            <w:r w:rsidRPr="0058432E">
              <w:rPr>
                <w:color w:val="000000" w:themeColor="text1"/>
              </w:rPr>
              <w:t>Rash (y compris éruption exfoliative)</w:t>
            </w:r>
          </w:p>
        </w:tc>
      </w:tr>
      <w:tr w:rsidR="00B633E5" w:rsidRPr="0058432E" w14:paraId="3270B879" w14:textId="77777777" w:rsidTr="0095181C">
        <w:trPr>
          <w:cantSplit/>
        </w:trPr>
        <w:tc>
          <w:tcPr>
            <w:tcW w:w="2628" w:type="dxa"/>
            <w:vMerge/>
            <w:tcBorders>
              <w:left w:val="single" w:sz="4" w:space="0" w:color="auto"/>
              <w:right w:val="single" w:sz="4" w:space="0" w:color="auto"/>
            </w:tcBorders>
          </w:tcPr>
          <w:p w14:paraId="1B241728"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2991938" w14:textId="77777777" w:rsidR="00B633E5" w:rsidRPr="0058432E" w:rsidRDefault="00B633E5" w:rsidP="00982118">
            <w:pPr>
              <w:rPr>
                <w:color w:val="000000" w:themeColor="text1"/>
              </w:rPr>
            </w:pPr>
            <w:r w:rsidRPr="0058432E">
              <w:rPr>
                <w:color w:val="000000" w:themeColor="text1"/>
              </w:rPr>
              <w:t>Fréquent</w:t>
            </w:r>
          </w:p>
          <w:p w14:paraId="56696251"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23EDA9A0" w14:textId="77777777" w:rsidR="00B633E5" w:rsidRPr="0058432E" w:rsidRDefault="00637923" w:rsidP="00982118">
            <w:pPr>
              <w:rPr>
                <w:color w:val="000000" w:themeColor="text1"/>
              </w:rPr>
            </w:pPr>
            <w:r w:rsidRPr="0058432E">
              <w:rPr>
                <w:color w:val="000000" w:themeColor="text1"/>
              </w:rPr>
              <w:t>Aggravation ou apparition d’un psoriasis (y compris psoriasis pustulaire palmoplantaire)</w:t>
            </w:r>
            <w:r w:rsidRPr="0058432E">
              <w:rPr>
                <w:color w:val="000000" w:themeColor="text1"/>
                <w:vertAlign w:val="superscript"/>
              </w:rPr>
              <w:t>1</w:t>
            </w:r>
            <w:r w:rsidRPr="0058432E">
              <w:rPr>
                <w:color w:val="000000" w:themeColor="text1"/>
              </w:rPr>
              <w:t>,</w:t>
            </w:r>
          </w:p>
          <w:p w14:paraId="6F911DB0" w14:textId="77777777" w:rsidR="00B633E5" w:rsidRPr="0058432E" w:rsidRDefault="00B633E5" w:rsidP="00982118">
            <w:pPr>
              <w:rPr>
                <w:color w:val="000000" w:themeColor="text1"/>
              </w:rPr>
            </w:pPr>
            <w:proofErr w:type="gramStart"/>
            <w:r w:rsidRPr="0058432E">
              <w:rPr>
                <w:color w:val="000000" w:themeColor="text1"/>
              </w:rPr>
              <w:t>urticaire</w:t>
            </w:r>
            <w:proofErr w:type="gramEnd"/>
            <w:r w:rsidRPr="0058432E">
              <w:rPr>
                <w:color w:val="000000" w:themeColor="text1"/>
              </w:rPr>
              <w:t>,</w:t>
            </w:r>
          </w:p>
          <w:p w14:paraId="2D2CDC7A" w14:textId="77777777" w:rsidR="00B633E5" w:rsidRPr="0058432E" w:rsidRDefault="00B633E5" w:rsidP="00982118">
            <w:pPr>
              <w:rPr>
                <w:color w:val="000000" w:themeColor="text1"/>
              </w:rPr>
            </w:pPr>
            <w:proofErr w:type="gramStart"/>
            <w:r w:rsidRPr="0058432E">
              <w:rPr>
                <w:color w:val="000000" w:themeColor="text1"/>
              </w:rPr>
              <w:t>ecchymoses</w:t>
            </w:r>
            <w:proofErr w:type="gramEnd"/>
            <w:r w:rsidRPr="0058432E">
              <w:rPr>
                <w:color w:val="000000" w:themeColor="text1"/>
              </w:rPr>
              <w:t xml:space="preserve"> (y compris purpura),</w:t>
            </w:r>
          </w:p>
          <w:p w14:paraId="2D1311C2" w14:textId="77777777" w:rsidR="00B633E5" w:rsidRPr="0058432E" w:rsidRDefault="00B633E5" w:rsidP="00982118">
            <w:pPr>
              <w:rPr>
                <w:color w:val="000000" w:themeColor="text1"/>
              </w:rPr>
            </w:pPr>
            <w:proofErr w:type="gramStart"/>
            <w:r w:rsidRPr="0058432E">
              <w:rPr>
                <w:color w:val="000000" w:themeColor="text1"/>
              </w:rPr>
              <w:t>dermatite</w:t>
            </w:r>
            <w:proofErr w:type="gramEnd"/>
            <w:r w:rsidRPr="0058432E">
              <w:rPr>
                <w:color w:val="000000" w:themeColor="text1"/>
              </w:rPr>
              <w:t xml:space="preserve"> (y compris eczéma),</w:t>
            </w:r>
          </w:p>
          <w:p w14:paraId="4F9D065C" w14:textId="77777777" w:rsidR="00B633E5" w:rsidRPr="0058432E" w:rsidRDefault="00B633E5" w:rsidP="00982118">
            <w:pPr>
              <w:rPr>
                <w:color w:val="000000" w:themeColor="text1"/>
              </w:rPr>
            </w:pPr>
            <w:proofErr w:type="gramStart"/>
            <w:r w:rsidRPr="0058432E">
              <w:rPr>
                <w:color w:val="000000" w:themeColor="text1"/>
              </w:rPr>
              <w:t>onychoclasie</w:t>
            </w:r>
            <w:proofErr w:type="gramEnd"/>
            <w:r w:rsidRPr="0058432E">
              <w:rPr>
                <w:color w:val="000000" w:themeColor="text1"/>
              </w:rPr>
              <w:t>,</w:t>
            </w:r>
          </w:p>
          <w:p w14:paraId="5609CAD1" w14:textId="77777777" w:rsidR="00B633E5" w:rsidRPr="0058432E" w:rsidRDefault="00B633E5" w:rsidP="00982118">
            <w:pPr>
              <w:rPr>
                <w:color w:val="000000" w:themeColor="text1"/>
              </w:rPr>
            </w:pPr>
            <w:proofErr w:type="gramStart"/>
            <w:r w:rsidRPr="0058432E">
              <w:rPr>
                <w:color w:val="000000" w:themeColor="text1"/>
              </w:rPr>
              <w:t>hyperhidrose</w:t>
            </w:r>
            <w:proofErr w:type="gramEnd"/>
            <w:r w:rsidRPr="0058432E">
              <w:rPr>
                <w:color w:val="000000" w:themeColor="text1"/>
              </w:rPr>
              <w:t>,</w:t>
            </w:r>
          </w:p>
          <w:p w14:paraId="50B69422" w14:textId="77777777" w:rsidR="00B633E5" w:rsidRPr="0058432E" w:rsidRDefault="00B633E5" w:rsidP="00982118">
            <w:pPr>
              <w:rPr>
                <w:color w:val="000000" w:themeColor="text1"/>
              </w:rPr>
            </w:pPr>
            <w:proofErr w:type="gramStart"/>
            <w:r w:rsidRPr="0058432E">
              <w:rPr>
                <w:color w:val="000000" w:themeColor="text1"/>
              </w:rPr>
              <w:t>alopécie</w:t>
            </w:r>
            <w:proofErr w:type="gramEnd"/>
            <w:r w:rsidRPr="0058432E">
              <w:rPr>
                <w:color w:val="000000" w:themeColor="text1"/>
                <w:vertAlign w:val="superscript"/>
              </w:rPr>
              <w:t>1</w:t>
            </w:r>
            <w:r w:rsidRPr="0058432E">
              <w:rPr>
                <w:color w:val="000000" w:themeColor="text1"/>
              </w:rPr>
              <w:t>,</w:t>
            </w:r>
          </w:p>
          <w:p w14:paraId="075DBEE3" w14:textId="77777777" w:rsidR="00B633E5" w:rsidRPr="0058432E" w:rsidRDefault="00B633E5" w:rsidP="000D3575">
            <w:pPr>
              <w:rPr>
                <w:color w:val="000000" w:themeColor="text1"/>
              </w:rPr>
            </w:pPr>
            <w:proofErr w:type="gramStart"/>
            <w:r w:rsidRPr="0058432E">
              <w:rPr>
                <w:color w:val="000000" w:themeColor="text1"/>
              </w:rPr>
              <w:t>prurit</w:t>
            </w:r>
            <w:proofErr w:type="gramEnd"/>
          </w:p>
        </w:tc>
      </w:tr>
      <w:tr w:rsidR="00B633E5" w:rsidRPr="0058432E" w14:paraId="54739981" w14:textId="77777777" w:rsidTr="0095181C">
        <w:trPr>
          <w:cantSplit/>
        </w:trPr>
        <w:tc>
          <w:tcPr>
            <w:tcW w:w="2628" w:type="dxa"/>
            <w:vMerge/>
            <w:tcBorders>
              <w:left w:val="single" w:sz="4" w:space="0" w:color="auto"/>
              <w:right w:val="single" w:sz="4" w:space="0" w:color="auto"/>
            </w:tcBorders>
          </w:tcPr>
          <w:p w14:paraId="2961C1AA"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64F6A14" w14:textId="77777777" w:rsidR="00B633E5" w:rsidRPr="0058432E" w:rsidRDefault="00B633E5" w:rsidP="00982118">
            <w:pPr>
              <w:rPr>
                <w:color w:val="000000" w:themeColor="text1"/>
              </w:rPr>
            </w:pPr>
            <w:r w:rsidRPr="0058432E">
              <w:rPr>
                <w:color w:val="000000" w:themeColor="text1"/>
              </w:rPr>
              <w:t>Peu fréquent</w:t>
            </w:r>
          </w:p>
          <w:p w14:paraId="4FA55A81"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158DED85" w14:textId="77777777" w:rsidR="00B633E5" w:rsidRPr="0058432E" w:rsidRDefault="00637923" w:rsidP="00982118">
            <w:pPr>
              <w:rPr>
                <w:color w:val="000000" w:themeColor="text1"/>
              </w:rPr>
            </w:pPr>
            <w:r w:rsidRPr="0058432E">
              <w:rPr>
                <w:color w:val="000000" w:themeColor="text1"/>
              </w:rPr>
              <w:t>Sueurs nocturnes,</w:t>
            </w:r>
          </w:p>
          <w:p w14:paraId="00DDB4F4" w14:textId="77777777" w:rsidR="00B633E5" w:rsidRPr="0058432E" w:rsidRDefault="00B633E5" w:rsidP="000D3575">
            <w:pPr>
              <w:rPr>
                <w:color w:val="000000" w:themeColor="text1"/>
              </w:rPr>
            </w:pPr>
            <w:proofErr w:type="gramStart"/>
            <w:r w:rsidRPr="0058432E">
              <w:rPr>
                <w:color w:val="000000" w:themeColor="text1"/>
              </w:rPr>
              <w:t>cicatrice</w:t>
            </w:r>
            <w:proofErr w:type="gramEnd"/>
          </w:p>
        </w:tc>
      </w:tr>
      <w:tr w:rsidR="00B633E5" w:rsidRPr="0058432E" w14:paraId="1B399429" w14:textId="77777777" w:rsidTr="0095181C">
        <w:trPr>
          <w:cantSplit/>
        </w:trPr>
        <w:tc>
          <w:tcPr>
            <w:tcW w:w="2628" w:type="dxa"/>
            <w:vMerge/>
            <w:tcBorders>
              <w:left w:val="single" w:sz="4" w:space="0" w:color="auto"/>
              <w:right w:val="single" w:sz="4" w:space="0" w:color="auto"/>
            </w:tcBorders>
          </w:tcPr>
          <w:p w14:paraId="71D4D1CA"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C811537" w14:textId="77777777" w:rsidR="00B633E5" w:rsidRPr="0058432E" w:rsidRDefault="00B633E5" w:rsidP="00982118">
            <w:pPr>
              <w:rPr>
                <w:color w:val="000000" w:themeColor="text1"/>
              </w:rPr>
            </w:pPr>
            <w:r w:rsidRPr="0058432E">
              <w:rPr>
                <w:color w:val="000000" w:themeColor="text1"/>
              </w:rPr>
              <w:t>Rare</w:t>
            </w:r>
          </w:p>
          <w:p w14:paraId="4F17A8EF" w14:textId="77777777" w:rsidR="00B633E5" w:rsidRPr="0058432E" w:rsidRDefault="00B633E5" w:rsidP="00982118">
            <w:pPr>
              <w:rPr>
                <w:color w:val="000000" w:themeColor="text1"/>
              </w:rPr>
            </w:pPr>
          </w:p>
        </w:tc>
        <w:tc>
          <w:tcPr>
            <w:tcW w:w="0" w:type="auto"/>
            <w:tcBorders>
              <w:left w:val="single" w:sz="4" w:space="0" w:color="auto"/>
              <w:right w:val="single" w:sz="4" w:space="0" w:color="auto"/>
            </w:tcBorders>
          </w:tcPr>
          <w:p w14:paraId="59B8BD60" w14:textId="77777777" w:rsidR="00B633E5" w:rsidRPr="0058432E" w:rsidRDefault="00637923" w:rsidP="00982118">
            <w:pPr>
              <w:rPr>
                <w:color w:val="000000" w:themeColor="text1"/>
              </w:rPr>
            </w:pPr>
            <w:r w:rsidRPr="0058432E">
              <w:rPr>
                <w:color w:val="000000" w:themeColor="text1"/>
              </w:rPr>
              <w:t>Érythème polymorphe</w:t>
            </w:r>
            <w:r w:rsidRPr="0058432E">
              <w:rPr>
                <w:color w:val="000000" w:themeColor="text1"/>
                <w:vertAlign w:val="superscript"/>
              </w:rPr>
              <w:t>1</w:t>
            </w:r>
            <w:r w:rsidRPr="0058432E">
              <w:rPr>
                <w:color w:val="000000" w:themeColor="text1"/>
              </w:rPr>
              <w:t>,</w:t>
            </w:r>
          </w:p>
          <w:p w14:paraId="1F4602F0" w14:textId="77777777" w:rsidR="00B633E5" w:rsidRPr="0058432E" w:rsidRDefault="00B633E5" w:rsidP="00982118">
            <w:pPr>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Johnson</w:t>
            </w:r>
            <w:r w:rsidRPr="0058432E">
              <w:rPr>
                <w:color w:val="000000" w:themeColor="text1"/>
                <w:vertAlign w:val="superscript"/>
              </w:rPr>
              <w:t>1</w:t>
            </w:r>
            <w:r w:rsidRPr="0058432E">
              <w:rPr>
                <w:color w:val="000000" w:themeColor="text1"/>
              </w:rPr>
              <w:t>,</w:t>
            </w:r>
          </w:p>
          <w:p w14:paraId="5BEB7CB7" w14:textId="77777777" w:rsidR="00B633E5" w:rsidRPr="0058432E" w:rsidRDefault="00B633E5" w:rsidP="00982118">
            <w:pPr>
              <w:rPr>
                <w:color w:val="000000" w:themeColor="text1"/>
              </w:rPr>
            </w:pPr>
            <w:proofErr w:type="gramStart"/>
            <w:r w:rsidRPr="0058432E">
              <w:rPr>
                <w:color w:val="000000" w:themeColor="text1"/>
              </w:rPr>
              <w:t>angiœdème</w:t>
            </w:r>
            <w:proofErr w:type="gramEnd"/>
            <w:r w:rsidRPr="0058432E">
              <w:rPr>
                <w:color w:val="000000" w:themeColor="text1"/>
                <w:vertAlign w:val="superscript"/>
              </w:rPr>
              <w:t>1</w:t>
            </w:r>
            <w:r w:rsidRPr="0058432E">
              <w:rPr>
                <w:color w:val="000000" w:themeColor="text1"/>
              </w:rPr>
              <w:t>,</w:t>
            </w:r>
          </w:p>
          <w:p w14:paraId="741C55EA" w14:textId="77777777" w:rsidR="00B633E5" w:rsidRPr="0058432E" w:rsidRDefault="00B633E5" w:rsidP="00982118">
            <w:pPr>
              <w:rPr>
                <w:color w:val="000000" w:themeColor="text1"/>
              </w:rPr>
            </w:pPr>
            <w:proofErr w:type="gramStart"/>
            <w:r w:rsidRPr="0058432E">
              <w:rPr>
                <w:color w:val="000000" w:themeColor="text1"/>
              </w:rPr>
              <w:t>vascularite</w:t>
            </w:r>
            <w:proofErr w:type="gramEnd"/>
            <w:r w:rsidRPr="0058432E">
              <w:rPr>
                <w:color w:val="000000" w:themeColor="text1"/>
              </w:rPr>
              <w:t xml:space="preserve"> cutanée</w:t>
            </w:r>
            <w:r w:rsidRPr="0058432E">
              <w:rPr>
                <w:color w:val="000000" w:themeColor="text1"/>
                <w:vertAlign w:val="superscript"/>
              </w:rPr>
              <w:t>1</w:t>
            </w:r>
            <w:r w:rsidRPr="0058432E">
              <w:rPr>
                <w:color w:val="000000" w:themeColor="text1"/>
              </w:rPr>
              <w:t>,</w:t>
            </w:r>
          </w:p>
          <w:p w14:paraId="7E18DF40" w14:textId="77777777" w:rsidR="00B633E5" w:rsidRPr="0058432E" w:rsidRDefault="00151BF0" w:rsidP="000D3575">
            <w:pPr>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w:t>
            </w:r>
            <w:r w:rsidRPr="0058432E">
              <w:rPr>
                <w:color w:val="000000" w:themeColor="text1"/>
                <w:vertAlign w:val="superscript"/>
              </w:rPr>
              <w:t>1</w:t>
            </w:r>
          </w:p>
        </w:tc>
      </w:tr>
      <w:tr w:rsidR="00B633E5" w:rsidRPr="0058432E" w14:paraId="130805A0" w14:textId="77777777" w:rsidTr="0095181C">
        <w:trPr>
          <w:cantSplit/>
        </w:trPr>
        <w:tc>
          <w:tcPr>
            <w:tcW w:w="2628" w:type="dxa"/>
            <w:vMerge/>
            <w:tcBorders>
              <w:left w:val="single" w:sz="4" w:space="0" w:color="auto"/>
              <w:bottom w:val="single" w:sz="4" w:space="0" w:color="auto"/>
              <w:right w:val="single" w:sz="4" w:space="0" w:color="auto"/>
            </w:tcBorders>
          </w:tcPr>
          <w:p w14:paraId="0AF5B0C1"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E8A9703" w14:textId="77777777" w:rsidR="00B633E5" w:rsidRPr="0058432E" w:rsidRDefault="00B633E5" w:rsidP="00982118">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75CFF8B9" w14:textId="77777777" w:rsidR="00B633E5" w:rsidRPr="0058432E" w:rsidRDefault="00637923" w:rsidP="00982118">
            <w:pPr>
              <w:rPr>
                <w:color w:val="000000" w:themeColor="text1"/>
              </w:rPr>
            </w:pPr>
            <w:r w:rsidRPr="0058432E">
              <w:rPr>
                <w:color w:val="000000" w:themeColor="text1"/>
              </w:rPr>
              <w:t>Aggravation des symptômes de dermatomyosite</w:t>
            </w:r>
            <w:r w:rsidRPr="0058432E">
              <w:rPr>
                <w:color w:val="000000" w:themeColor="text1"/>
                <w:vertAlign w:val="superscript"/>
              </w:rPr>
              <w:t>1</w:t>
            </w:r>
          </w:p>
          <w:p w14:paraId="4685B89C" w14:textId="77777777" w:rsidR="00B633E5" w:rsidRPr="0058432E" w:rsidRDefault="00B633E5" w:rsidP="00982118">
            <w:pPr>
              <w:rPr>
                <w:color w:val="000000" w:themeColor="text1"/>
              </w:rPr>
            </w:pPr>
          </w:p>
        </w:tc>
      </w:tr>
      <w:tr w:rsidR="00B633E5" w:rsidRPr="0058432E" w14:paraId="4F2D6D2E"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5CC9382" w14:textId="77777777" w:rsidR="00B633E5" w:rsidRPr="0058432E" w:rsidRDefault="00B633E5" w:rsidP="00982118">
            <w:pPr>
              <w:keepNext/>
              <w:rPr>
                <w:color w:val="000000" w:themeColor="text1"/>
              </w:rPr>
            </w:pPr>
            <w:r w:rsidRPr="0058432E">
              <w:rPr>
                <w:color w:val="000000" w:themeColor="text1"/>
              </w:rPr>
              <w:t>Affections musculo-squelettiques et systémiques</w:t>
            </w:r>
          </w:p>
        </w:tc>
        <w:tc>
          <w:tcPr>
            <w:tcW w:w="1621" w:type="dxa"/>
            <w:tcBorders>
              <w:top w:val="single" w:sz="4" w:space="0" w:color="auto"/>
              <w:left w:val="single" w:sz="4" w:space="0" w:color="auto"/>
              <w:bottom w:val="single" w:sz="4" w:space="0" w:color="auto"/>
              <w:right w:val="single" w:sz="4" w:space="0" w:color="auto"/>
            </w:tcBorders>
          </w:tcPr>
          <w:p w14:paraId="0443A78A" w14:textId="77777777" w:rsidR="00B633E5" w:rsidRPr="0058432E" w:rsidRDefault="00B633E5" w:rsidP="00982118">
            <w:pPr>
              <w:keepNext/>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327F0D49" w14:textId="77777777" w:rsidR="00B633E5" w:rsidRPr="0058432E" w:rsidRDefault="00637923" w:rsidP="000D3575">
            <w:pPr>
              <w:keepNext/>
              <w:rPr>
                <w:color w:val="000000" w:themeColor="text1"/>
              </w:rPr>
            </w:pPr>
            <w:r w:rsidRPr="0058432E">
              <w:rPr>
                <w:color w:val="000000" w:themeColor="text1"/>
              </w:rPr>
              <w:t>Douleurs musculo-squelettiques</w:t>
            </w:r>
          </w:p>
        </w:tc>
      </w:tr>
      <w:tr w:rsidR="00B633E5" w:rsidRPr="0058432E" w14:paraId="0540C4E0" w14:textId="77777777" w:rsidTr="0095181C">
        <w:trPr>
          <w:cantSplit/>
        </w:trPr>
        <w:tc>
          <w:tcPr>
            <w:tcW w:w="2628" w:type="dxa"/>
            <w:vMerge/>
            <w:tcBorders>
              <w:left w:val="single" w:sz="4" w:space="0" w:color="auto"/>
              <w:right w:val="single" w:sz="4" w:space="0" w:color="auto"/>
            </w:tcBorders>
          </w:tcPr>
          <w:p w14:paraId="1CC25860" w14:textId="77777777" w:rsidR="00B633E5" w:rsidRPr="0058432E" w:rsidRDefault="00B633E5"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66C52C78" w14:textId="77777777" w:rsidR="00B633E5" w:rsidRPr="0058432E" w:rsidRDefault="00B633E5" w:rsidP="00982118">
            <w:pPr>
              <w:keepNext/>
              <w:rPr>
                <w:color w:val="000000" w:themeColor="text1"/>
              </w:rPr>
            </w:pPr>
            <w:r w:rsidRPr="0058432E">
              <w:rPr>
                <w:color w:val="000000" w:themeColor="text1"/>
              </w:rPr>
              <w:t>Fréquent</w:t>
            </w:r>
          </w:p>
          <w:p w14:paraId="3547F061" w14:textId="77777777" w:rsidR="00B633E5" w:rsidRPr="0058432E" w:rsidRDefault="00B633E5" w:rsidP="00982118">
            <w:pPr>
              <w:keepNext/>
              <w:rPr>
                <w:color w:val="000000" w:themeColor="text1"/>
              </w:rPr>
            </w:pPr>
          </w:p>
        </w:tc>
        <w:tc>
          <w:tcPr>
            <w:tcW w:w="0" w:type="auto"/>
            <w:tcBorders>
              <w:left w:val="single" w:sz="4" w:space="0" w:color="auto"/>
              <w:right w:val="single" w:sz="4" w:space="0" w:color="auto"/>
            </w:tcBorders>
          </w:tcPr>
          <w:p w14:paraId="23DD8B96" w14:textId="77777777" w:rsidR="00B633E5" w:rsidRPr="0058432E" w:rsidRDefault="00637923" w:rsidP="000D3575">
            <w:pPr>
              <w:keepNext/>
              <w:rPr>
                <w:color w:val="000000" w:themeColor="text1"/>
              </w:rPr>
            </w:pPr>
            <w:r w:rsidRPr="0058432E">
              <w:rPr>
                <w:color w:val="000000" w:themeColor="text1"/>
              </w:rPr>
              <w:t>Spasmes musculaires (y compris augmentation de la créatine phosphokinase sérique)</w:t>
            </w:r>
          </w:p>
        </w:tc>
      </w:tr>
      <w:tr w:rsidR="00B633E5" w:rsidRPr="0058432E" w14:paraId="1760DDBD" w14:textId="77777777" w:rsidTr="0095181C">
        <w:trPr>
          <w:cantSplit/>
        </w:trPr>
        <w:tc>
          <w:tcPr>
            <w:tcW w:w="2628" w:type="dxa"/>
            <w:vMerge/>
            <w:tcBorders>
              <w:left w:val="single" w:sz="4" w:space="0" w:color="auto"/>
              <w:right w:val="single" w:sz="4" w:space="0" w:color="auto"/>
            </w:tcBorders>
          </w:tcPr>
          <w:p w14:paraId="20CD6E83" w14:textId="77777777" w:rsidR="00B633E5" w:rsidRPr="0058432E" w:rsidRDefault="00B633E5" w:rsidP="00982118">
            <w:pPr>
              <w:keepNext/>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041566B8" w14:textId="77777777" w:rsidR="00B633E5" w:rsidRPr="0058432E" w:rsidRDefault="00B633E5" w:rsidP="00982118">
            <w:pPr>
              <w:keepNext/>
              <w:rPr>
                <w:color w:val="000000" w:themeColor="text1"/>
              </w:rPr>
            </w:pPr>
            <w:r w:rsidRPr="0058432E">
              <w:rPr>
                <w:color w:val="000000" w:themeColor="text1"/>
              </w:rPr>
              <w:t>Peu fréquent</w:t>
            </w:r>
          </w:p>
          <w:p w14:paraId="44124D20" w14:textId="77777777" w:rsidR="00B633E5" w:rsidRPr="0058432E" w:rsidRDefault="00B633E5" w:rsidP="00982118">
            <w:pPr>
              <w:keepNext/>
              <w:rPr>
                <w:color w:val="000000" w:themeColor="text1"/>
              </w:rPr>
            </w:pPr>
          </w:p>
        </w:tc>
        <w:tc>
          <w:tcPr>
            <w:tcW w:w="0" w:type="auto"/>
            <w:tcBorders>
              <w:left w:val="single" w:sz="4" w:space="0" w:color="auto"/>
              <w:right w:val="single" w:sz="4" w:space="0" w:color="auto"/>
            </w:tcBorders>
          </w:tcPr>
          <w:p w14:paraId="0D25ABE1" w14:textId="77777777" w:rsidR="00B633E5" w:rsidRPr="0058432E" w:rsidRDefault="00637923" w:rsidP="00982118">
            <w:pPr>
              <w:keepNext/>
              <w:rPr>
                <w:color w:val="000000" w:themeColor="text1"/>
              </w:rPr>
            </w:pPr>
            <w:r w:rsidRPr="0058432E">
              <w:rPr>
                <w:color w:val="000000" w:themeColor="text1"/>
              </w:rPr>
              <w:t>Rhabdomyolyse,</w:t>
            </w:r>
          </w:p>
          <w:p w14:paraId="793F95C0" w14:textId="77777777" w:rsidR="00B633E5" w:rsidRPr="0058432E" w:rsidRDefault="00B633E5" w:rsidP="000D3575">
            <w:pPr>
              <w:keepNext/>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w:t>
            </w:r>
          </w:p>
        </w:tc>
      </w:tr>
      <w:tr w:rsidR="00B633E5" w:rsidRPr="0058432E" w14:paraId="3C9B4D42" w14:textId="77777777" w:rsidTr="0095181C">
        <w:trPr>
          <w:cantSplit/>
        </w:trPr>
        <w:tc>
          <w:tcPr>
            <w:tcW w:w="2628" w:type="dxa"/>
            <w:vMerge/>
            <w:tcBorders>
              <w:left w:val="single" w:sz="4" w:space="0" w:color="auto"/>
              <w:bottom w:val="single" w:sz="4" w:space="0" w:color="auto"/>
              <w:right w:val="single" w:sz="4" w:space="0" w:color="auto"/>
            </w:tcBorders>
          </w:tcPr>
          <w:p w14:paraId="7A276037" w14:textId="77777777" w:rsidR="00B633E5" w:rsidRPr="0058432E" w:rsidRDefault="00B633E5"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53A325E6" w14:textId="77777777" w:rsidR="00B633E5" w:rsidRPr="0058432E" w:rsidRDefault="00B633E5"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34F1D594" w14:textId="77777777" w:rsidR="00B633E5" w:rsidRPr="0058432E" w:rsidRDefault="00637923" w:rsidP="000D3575">
            <w:pPr>
              <w:rPr>
                <w:color w:val="000000" w:themeColor="text1"/>
              </w:rPr>
            </w:pPr>
            <w:r w:rsidRPr="0058432E">
              <w:rPr>
                <w:color w:val="000000" w:themeColor="text1"/>
              </w:rPr>
              <w:t>Syndrome de type lupus</w:t>
            </w:r>
            <w:r w:rsidRPr="0058432E">
              <w:rPr>
                <w:color w:val="000000" w:themeColor="text1"/>
                <w:vertAlign w:val="superscript"/>
              </w:rPr>
              <w:t>1</w:t>
            </w:r>
          </w:p>
        </w:tc>
      </w:tr>
      <w:tr w:rsidR="00B633E5" w:rsidRPr="0058432E" w14:paraId="549A4A09"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2CEFA330" w14:textId="77777777" w:rsidR="00B633E5" w:rsidRPr="0058432E" w:rsidRDefault="00B633E5" w:rsidP="00982118">
            <w:pPr>
              <w:rPr>
                <w:color w:val="000000" w:themeColor="text1"/>
              </w:rPr>
            </w:pPr>
            <w:r w:rsidRPr="0058432E">
              <w:rPr>
                <w:color w:val="000000" w:themeColor="text1"/>
              </w:rPr>
              <w:t>Affections du rein et des voies urinaires</w:t>
            </w:r>
          </w:p>
        </w:tc>
        <w:tc>
          <w:tcPr>
            <w:tcW w:w="1621" w:type="dxa"/>
            <w:tcBorders>
              <w:top w:val="single" w:sz="4" w:space="0" w:color="auto"/>
              <w:left w:val="single" w:sz="4" w:space="0" w:color="auto"/>
              <w:right w:val="single" w:sz="4" w:space="0" w:color="auto"/>
            </w:tcBorders>
          </w:tcPr>
          <w:p w14:paraId="0054237C" w14:textId="77777777" w:rsidR="00B633E5" w:rsidRPr="0058432E" w:rsidRDefault="00B633E5"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36E2049E" w14:textId="77777777" w:rsidR="00B633E5" w:rsidRPr="0058432E" w:rsidRDefault="00637923" w:rsidP="00982118">
            <w:pPr>
              <w:rPr>
                <w:color w:val="000000" w:themeColor="text1"/>
              </w:rPr>
            </w:pPr>
            <w:r w:rsidRPr="0058432E">
              <w:rPr>
                <w:color w:val="000000" w:themeColor="text1"/>
              </w:rPr>
              <w:t>Insuffisance rénale</w:t>
            </w:r>
            <w:r w:rsidR="008C5A6D" w:rsidRPr="0058432E">
              <w:rPr>
                <w:color w:val="000000" w:themeColor="text1"/>
              </w:rPr>
              <w:t>,</w:t>
            </w:r>
          </w:p>
          <w:p w14:paraId="17D80090" w14:textId="77777777" w:rsidR="00CA2D0E" w:rsidRPr="0058432E" w:rsidRDefault="00B633E5" w:rsidP="000D3575">
            <w:pPr>
              <w:rPr>
                <w:color w:val="000000" w:themeColor="text1"/>
              </w:rPr>
            </w:pPr>
            <w:proofErr w:type="gramStart"/>
            <w:r w:rsidRPr="0058432E">
              <w:rPr>
                <w:color w:val="000000" w:themeColor="text1"/>
              </w:rPr>
              <w:t>hématurie</w:t>
            </w:r>
            <w:proofErr w:type="gramEnd"/>
          </w:p>
        </w:tc>
      </w:tr>
      <w:tr w:rsidR="00B633E5" w:rsidRPr="0058432E" w14:paraId="5A446DAE" w14:textId="77777777" w:rsidTr="0095181C">
        <w:trPr>
          <w:cantSplit/>
        </w:trPr>
        <w:tc>
          <w:tcPr>
            <w:tcW w:w="2628" w:type="dxa"/>
            <w:vMerge/>
            <w:tcBorders>
              <w:left w:val="single" w:sz="4" w:space="0" w:color="auto"/>
              <w:bottom w:val="single" w:sz="4" w:space="0" w:color="auto"/>
              <w:right w:val="single" w:sz="4" w:space="0" w:color="auto"/>
            </w:tcBorders>
          </w:tcPr>
          <w:p w14:paraId="3E171E2D" w14:textId="77777777" w:rsidR="00B633E5" w:rsidRPr="0058432E" w:rsidRDefault="00B633E5" w:rsidP="00982118">
            <w:pPr>
              <w:rPr>
                <w:color w:val="000000" w:themeColor="text1"/>
              </w:rPr>
            </w:pPr>
          </w:p>
        </w:tc>
        <w:tc>
          <w:tcPr>
            <w:tcW w:w="1621" w:type="dxa"/>
            <w:tcBorders>
              <w:left w:val="single" w:sz="4" w:space="0" w:color="auto"/>
              <w:bottom w:val="single" w:sz="4" w:space="0" w:color="auto"/>
              <w:right w:val="single" w:sz="4" w:space="0" w:color="auto"/>
            </w:tcBorders>
          </w:tcPr>
          <w:p w14:paraId="17ED7533" w14:textId="77777777" w:rsidR="00B633E5" w:rsidRPr="0058432E" w:rsidRDefault="00B633E5" w:rsidP="000D3575">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0BB5D8A2" w14:textId="77777777" w:rsidR="00B633E5" w:rsidRPr="0058432E" w:rsidRDefault="00637923" w:rsidP="00982118">
            <w:pPr>
              <w:rPr>
                <w:color w:val="000000" w:themeColor="text1"/>
              </w:rPr>
            </w:pPr>
            <w:r w:rsidRPr="0058432E">
              <w:rPr>
                <w:color w:val="000000" w:themeColor="text1"/>
              </w:rPr>
              <w:t>Nycturie</w:t>
            </w:r>
          </w:p>
        </w:tc>
      </w:tr>
      <w:tr w:rsidR="00C46587" w:rsidRPr="0058432E" w14:paraId="15C1488D"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0E309A36" w14:textId="77777777" w:rsidR="00C46587" w:rsidRPr="0058432E" w:rsidRDefault="00C46587" w:rsidP="00982118">
            <w:pPr>
              <w:rPr>
                <w:color w:val="000000" w:themeColor="text1"/>
              </w:rPr>
            </w:pPr>
            <w:r w:rsidRPr="0058432E">
              <w:rPr>
                <w:color w:val="000000" w:themeColor="text1"/>
              </w:rPr>
              <w:t>Affections des organes de reproduction et du sein</w:t>
            </w:r>
          </w:p>
        </w:tc>
        <w:tc>
          <w:tcPr>
            <w:tcW w:w="1621" w:type="dxa"/>
            <w:tcBorders>
              <w:top w:val="single" w:sz="4" w:space="0" w:color="auto"/>
              <w:left w:val="single" w:sz="4" w:space="0" w:color="auto"/>
              <w:bottom w:val="single" w:sz="4" w:space="0" w:color="auto"/>
              <w:right w:val="single" w:sz="4" w:space="0" w:color="auto"/>
            </w:tcBorders>
            <w:hideMark/>
          </w:tcPr>
          <w:p w14:paraId="7998AF9A" w14:textId="77777777" w:rsidR="00C46587" w:rsidRPr="0058432E" w:rsidRDefault="00C46587"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hideMark/>
          </w:tcPr>
          <w:p w14:paraId="7195AAAB" w14:textId="77777777" w:rsidR="00C46587" w:rsidRPr="0058432E" w:rsidRDefault="00637923" w:rsidP="00982118">
            <w:pPr>
              <w:rPr>
                <w:color w:val="000000" w:themeColor="text1"/>
              </w:rPr>
            </w:pPr>
            <w:r w:rsidRPr="0058432E">
              <w:rPr>
                <w:color w:val="000000" w:themeColor="text1"/>
              </w:rPr>
              <w:t>Troubles de la fonction érectile</w:t>
            </w:r>
          </w:p>
        </w:tc>
      </w:tr>
      <w:tr w:rsidR="00B633E5" w:rsidRPr="0058432E" w14:paraId="2A3CBF4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3090863" w14:textId="77777777" w:rsidR="00B633E5" w:rsidRPr="0058432E" w:rsidRDefault="00B633E5" w:rsidP="003146E9">
            <w:pPr>
              <w:keepNext/>
              <w:rPr>
                <w:color w:val="000000" w:themeColor="text1"/>
              </w:rPr>
            </w:pPr>
            <w:r w:rsidRPr="0058432E">
              <w:rPr>
                <w:color w:val="000000" w:themeColor="text1"/>
              </w:rPr>
              <w:t>Troubles généraux et anomalies au site d’administration*</w:t>
            </w:r>
          </w:p>
        </w:tc>
        <w:tc>
          <w:tcPr>
            <w:tcW w:w="1621" w:type="dxa"/>
            <w:tcBorders>
              <w:top w:val="single" w:sz="4" w:space="0" w:color="auto"/>
              <w:left w:val="single" w:sz="4" w:space="0" w:color="auto"/>
              <w:right w:val="single" w:sz="4" w:space="0" w:color="auto"/>
            </w:tcBorders>
          </w:tcPr>
          <w:p w14:paraId="7C939C85" w14:textId="77777777" w:rsidR="00B633E5" w:rsidRPr="0058432E" w:rsidRDefault="006E1391" w:rsidP="003146E9">
            <w:pPr>
              <w:keepNext/>
              <w:rPr>
                <w:color w:val="000000" w:themeColor="text1"/>
              </w:rPr>
            </w:pPr>
            <w:r w:rsidRPr="0058432E">
              <w:rPr>
                <w:color w:val="000000" w:themeColor="text1"/>
              </w:rPr>
              <w:t>Très fréquent</w:t>
            </w:r>
          </w:p>
          <w:p w14:paraId="45E8A35C" w14:textId="77777777" w:rsidR="00B633E5" w:rsidRPr="0058432E" w:rsidRDefault="00B633E5" w:rsidP="003146E9">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08CFE2CE" w14:textId="77777777" w:rsidR="00B633E5" w:rsidRPr="0058432E" w:rsidRDefault="00637923" w:rsidP="000D3575">
            <w:pPr>
              <w:keepNext/>
              <w:rPr>
                <w:color w:val="000000" w:themeColor="text1"/>
              </w:rPr>
            </w:pPr>
            <w:r w:rsidRPr="0058432E">
              <w:rPr>
                <w:color w:val="000000" w:themeColor="text1"/>
              </w:rPr>
              <w:t>Réaction au site d’injection (y compris érythème au site d’injection)</w:t>
            </w:r>
          </w:p>
        </w:tc>
      </w:tr>
      <w:tr w:rsidR="00B633E5" w:rsidRPr="0058432E" w14:paraId="3DD69440" w14:textId="77777777" w:rsidTr="0095181C">
        <w:trPr>
          <w:cantSplit/>
        </w:trPr>
        <w:tc>
          <w:tcPr>
            <w:tcW w:w="2628" w:type="dxa"/>
            <w:vMerge/>
            <w:tcBorders>
              <w:left w:val="single" w:sz="4" w:space="0" w:color="auto"/>
              <w:right w:val="single" w:sz="4" w:space="0" w:color="auto"/>
            </w:tcBorders>
          </w:tcPr>
          <w:p w14:paraId="77828A03" w14:textId="77777777" w:rsidR="00B633E5" w:rsidRPr="0058432E" w:rsidRDefault="00B633E5" w:rsidP="003146E9">
            <w:pPr>
              <w:keepNext/>
              <w:rPr>
                <w:color w:val="000000" w:themeColor="text1"/>
              </w:rPr>
            </w:pPr>
          </w:p>
        </w:tc>
        <w:tc>
          <w:tcPr>
            <w:tcW w:w="1621" w:type="dxa"/>
            <w:tcBorders>
              <w:left w:val="single" w:sz="4" w:space="0" w:color="auto"/>
              <w:right w:val="single" w:sz="4" w:space="0" w:color="auto"/>
            </w:tcBorders>
          </w:tcPr>
          <w:p w14:paraId="65F58E06" w14:textId="77777777" w:rsidR="00B633E5" w:rsidRPr="0058432E" w:rsidRDefault="00B633E5" w:rsidP="003146E9">
            <w:pPr>
              <w:keepNext/>
              <w:rPr>
                <w:color w:val="000000" w:themeColor="text1"/>
              </w:rPr>
            </w:pPr>
            <w:r w:rsidRPr="0058432E">
              <w:rPr>
                <w:color w:val="000000" w:themeColor="text1"/>
              </w:rPr>
              <w:t>Fréquent</w:t>
            </w:r>
          </w:p>
          <w:p w14:paraId="18565C9D" w14:textId="77777777" w:rsidR="00B633E5" w:rsidRPr="0058432E" w:rsidRDefault="00B633E5" w:rsidP="003146E9">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442BC41C" w14:textId="77777777" w:rsidR="00B633E5" w:rsidRPr="0058432E" w:rsidRDefault="00637923" w:rsidP="003146E9">
            <w:pPr>
              <w:keepNext/>
              <w:rPr>
                <w:color w:val="000000" w:themeColor="text1"/>
              </w:rPr>
            </w:pPr>
            <w:r w:rsidRPr="0058432E">
              <w:rPr>
                <w:color w:val="000000" w:themeColor="text1"/>
              </w:rPr>
              <w:t>Douleur thoracique,</w:t>
            </w:r>
          </w:p>
          <w:p w14:paraId="5E0F2E2D" w14:textId="77777777" w:rsidR="00B633E5" w:rsidRPr="0058432E" w:rsidRDefault="00B633E5" w:rsidP="003146E9">
            <w:pPr>
              <w:keepNext/>
              <w:rPr>
                <w:color w:val="000000" w:themeColor="text1"/>
              </w:rPr>
            </w:pPr>
            <w:proofErr w:type="gramStart"/>
            <w:r w:rsidRPr="0058432E">
              <w:rPr>
                <w:color w:val="000000" w:themeColor="text1"/>
              </w:rPr>
              <w:t>œdème</w:t>
            </w:r>
            <w:proofErr w:type="gramEnd"/>
            <w:r w:rsidRPr="0058432E">
              <w:rPr>
                <w:color w:val="000000" w:themeColor="text1"/>
              </w:rPr>
              <w:t>,</w:t>
            </w:r>
          </w:p>
          <w:p w14:paraId="076B638C" w14:textId="77777777" w:rsidR="00B633E5" w:rsidRPr="0058432E" w:rsidRDefault="00B633E5" w:rsidP="000D3575">
            <w:pPr>
              <w:keepNext/>
              <w:rPr>
                <w:color w:val="000000" w:themeColor="text1"/>
              </w:rPr>
            </w:pPr>
            <w:proofErr w:type="gramStart"/>
            <w:r w:rsidRPr="0058432E">
              <w:rPr>
                <w:color w:val="000000" w:themeColor="text1"/>
              </w:rPr>
              <w:t>fièvre</w:t>
            </w:r>
            <w:proofErr w:type="gramEnd"/>
            <w:r w:rsidRPr="0058432E">
              <w:rPr>
                <w:color w:val="000000" w:themeColor="text1"/>
                <w:vertAlign w:val="superscript"/>
              </w:rPr>
              <w:t>1</w:t>
            </w:r>
          </w:p>
        </w:tc>
      </w:tr>
      <w:tr w:rsidR="00B633E5" w:rsidRPr="0058432E" w14:paraId="7799F3A5" w14:textId="77777777" w:rsidTr="0095181C">
        <w:trPr>
          <w:cantSplit/>
        </w:trPr>
        <w:tc>
          <w:tcPr>
            <w:tcW w:w="2628" w:type="dxa"/>
            <w:vMerge/>
            <w:tcBorders>
              <w:left w:val="single" w:sz="4" w:space="0" w:color="auto"/>
              <w:bottom w:val="single" w:sz="4" w:space="0" w:color="auto"/>
              <w:right w:val="single" w:sz="4" w:space="0" w:color="auto"/>
            </w:tcBorders>
          </w:tcPr>
          <w:p w14:paraId="6C024366" w14:textId="77777777" w:rsidR="00B633E5" w:rsidRPr="0058432E" w:rsidRDefault="00B633E5" w:rsidP="00982118">
            <w:pPr>
              <w:rPr>
                <w:color w:val="000000" w:themeColor="text1"/>
              </w:rPr>
            </w:pPr>
          </w:p>
        </w:tc>
        <w:tc>
          <w:tcPr>
            <w:tcW w:w="1621" w:type="dxa"/>
            <w:tcBorders>
              <w:left w:val="single" w:sz="4" w:space="0" w:color="auto"/>
              <w:bottom w:val="single" w:sz="4" w:space="0" w:color="auto"/>
              <w:right w:val="single" w:sz="4" w:space="0" w:color="auto"/>
            </w:tcBorders>
          </w:tcPr>
          <w:p w14:paraId="2DE08C54" w14:textId="77777777" w:rsidR="00B633E5" w:rsidRPr="0058432E" w:rsidRDefault="00B633E5" w:rsidP="000D3575">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1A743820" w14:textId="77777777" w:rsidR="00B633E5" w:rsidRPr="0058432E" w:rsidRDefault="00637923" w:rsidP="00982118">
            <w:pPr>
              <w:rPr>
                <w:color w:val="000000" w:themeColor="text1"/>
              </w:rPr>
            </w:pPr>
            <w:r w:rsidRPr="0058432E">
              <w:rPr>
                <w:color w:val="000000" w:themeColor="text1"/>
              </w:rPr>
              <w:t>Inflammation</w:t>
            </w:r>
          </w:p>
        </w:tc>
      </w:tr>
      <w:tr w:rsidR="00776D2E" w:rsidRPr="0058432E" w14:paraId="622FCFC8" w14:textId="77777777" w:rsidTr="00941B47">
        <w:trPr>
          <w:cantSplit/>
        </w:trPr>
        <w:tc>
          <w:tcPr>
            <w:tcW w:w="2628" w:type="dxa"/>
            <w:vMerge w:val="restart"/>
            <w:tcBorders>
              <w:top w:val="single" w:sz="4" w:space="0" w:color="auto"/>
              <w:left w:val="single" w:sz="4" w:space="0" w:color="auto"/>
              <w:right w:val="single" w:sz="4" w:space="0" w:color="auto"/>
            </w:tcBorders>
            <w:hideMark/>
          </w:tcPr>
          <w:p w14:paraId="682500D8" w14:textId="77777777" w:rsidR="00776D2E" w:rsidRPr="0058432E" w:rsidRDefault="00776D2E" w:rsidP="00982118">
            <w:pPr>
              <w:rPr>
                <w:color w:val="000000" w:themeColor="text1"/>
              </w:rPr>
            </w:pPr>
            <w:r w:rsidRPr="0058432E">
              <w:rPr>
                <w:color w:val="000000" w:themeColor="text1"/>
              </w:rPr>
              <w:t>Investigations*</w:t>
            </w:r>
          </w:p>
        </w:tc>
        <w:tc>
          <w:tcPr>
            <w:tcW w:w="1621" w:type="dxa"/>
            <w:tcBorders>
              <w:top w:val="single" w:sz="4" w:space="0" w:color="auto"/>
              <w:left w:val="single" w:sz="4" w:space="0" w:color="auto"/>
              <w:bottom w:val="single" w:sz="4" w:space="0" w:color="auto"/>
              <w:right w:val="single" w:sz="4" w:space="0" w:color="auto"/>
            </w:tcBorders>
            <w:hideMark/>
          </w:tcPr>
          <w:p w14:paraId="6E9E3AB4" w14:textId="77777777" w:rsidR="00776D2E" w:rsidRPr="0058432E" w:rsidRDefault="00776D2E"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473EFC3C" w14:textId="77777777" w:rsidR="00776D2E" w:rsidRPr="0058432E" w:rsidRDefault="00776D2E" w:rsidP="00982118">
            <w:pPr>
              <w:autoSpaceDE w:val="0"/>
              <w:autoSpaceDN w:val="0"/>
              <w:adjustRightInd w:val="0"/>
              <w:rPr>
                <w:color w:val="000000" w:themeColor="text1"/>
              </w:rPr>
            </w:pPr>
            <w:r w:rsidRPr="0058432E">
              <w:rPr>
                <w:color w:val="000000" w:themeColor="text1"/>
              </w:rPr>
              <w:t xml:space="preserve">Troubles de la coagulation et troubles hémorragiques (incluant un allongement du temps de céphaline activé), </w:t>
            </w:r>
          </w:p>
          <w:p w14:paraId="565F528D" w14:textId="77777777" w:rsidR="00776D2E" w:rsidRPr="0058432E" w:rsidRDefault="00776D2E" w:rsidP="00982118">
            <w:pPr>
              <w:autoSpaceDE w:val="0"/>
              <w:autoSpaceDN w:val="0"/>
              <w:adjustRightInd w:val="0"/>
              <w:rPr>
                <w:color w:val="000000" w:themeColor="text1"/>
              </w:rPr>
            </w:pPr>
            <w:proofErr w:type="gramStart"/>
            <w:r w:rsidRPr="0058432E">
              <w:rPr>
                <w:color w:val="000000" w:themeColor="text1"/>
              </w:rPr>
              <w:t>positivité</w:t>
            </w:r>
            <w:proofErr w:type="gramEnd"/>
            <w:r w:rsidRPr="0058432E">
              <w:rPr>
                <w:color w:val="000000" w:themeColor="text1"/>
              </w:rPr>
              <w:t xml:space="preserve"> aux auto-anticorps (y compris aux anticorps anti-ADN double brin), </w:t>
            </w:r>
          </w:p>
          <w:p w14:paraId="21EED360" w14:textId="77777777" w:rsidR="00776D2E" w:rsidRPr="0058432E" w:rsidRDefault="00776D2E" w:rsidP="000D3575">
            <w:pPr>
              <w:autoSpaceDE w:val="0"/>
              <w:autoSpaceDN w:val="0"/>
              <w:adjustRightInd w:val="0"/>
              <w:rPr>
                <w:color w:val="000000" w:themeColor="text1"/>
              </w:rPr>
            </w:pPr>
            <w:proofErr w:type="gramStart"/>
            <w:r w:rsidRPr="0058432E">
              <w:rPr>
                <w:color w:val="000000" w:themeColor="text1"/>
              </w:rPr>
              <w:t>lactate</w:t>
            </w:r>
            <w:proofErr w:type="gramEnd"/>
            <w:r w:rsidRPr="0058432E">
              <w:rPr>
                <w:color w:val="000000" w:themeColor="text1"/>
              </w:rPr>
              <w:t xml:space="preserve"> déshydrogénase sanguine augmentée</w:t>
            </w:r>
          </w:p>
        </w:tc>
      </w:tr>
      <w:tr w:rsidR="00776D2E" w:rsidRPr="0058432E" w14:paraId="254C0FF3" w14:textId="77777777" w:rsidTr="00941B47">
        <w:trPr>
          <w:cantSplit/>
        </w:trPr>
        <w:tc>
          <w:tcPr>
            <w:tcW w:w="2628" w:type="dxa"/>
            <w:vMerge/>
            <w:tcBorders>
              <w:left w:val="single" w:sz="4" w:space="0" w:color="auto"/>
              <w:bottom w:val="single" w:sz="4" w:space="0" w:color="auto"/>
              <w:right w:val="single" w:sz="4" w:space="0" w:color="auto"/>
            </w:tcBorders>
          </w:tcPr>
          <w:p w14:paraId="5F43178D" w14:textId="77777777" w:rsidR="00776D2E" w:rsidRPr="0058432E" w:rsidRDefault="00776D2E" w:rsidP="00982118">
            <w:pPr>
              <w:rPr>
                <w:color w:val="000000" w:themeColor="text1"/>
              </w:rPr>
            </w:pPr>
          </w:p>
        </w:tc>
        <w:tc>
          <w:tcPr>
            <w:tcW w:w="1621" w:type="dxa"/>
            <w:tcBorders>
              <w:top w:val="single" w:sz="4" w:space="0" w:color="auto"/>
              <w:left w:val="single" w:sz="4" w:space="0" w:color="auto"/>
              <w:bottom w:val="single" w:sz="4" w:space="0" w:color="auto"/>
              <w:right w:val="single" w:sz="4" w:space="0" w:color="auto"/>
            </w:tcBorders>
          </w:tcPr>
          <w:p w14:paraId="2BEB6BA4" w14:textId="77777777" w:rsidR="00776D2E" w:rsidRPr="0058432E" w:rsidRDefault="00776D2E" w:rsidP="00982118">
            <w:pPr>
              <w:rPr>
                <w:color w:val="000000" w:themeColor="text1"/>
              </w:rPr>
            </w:pPr>
            <w:r w:rsidRPr="0058432E">
              <w:rPr>
                <w:color w:val="000000" w:themeColor="text1"/>
              </w:rPr>
              <w:t>Fréquence indéterminée</w:t>
            </w:r>
          </w:p>
        </w:tc>
        <w:tc>
          <w:tcPr>
            <w:tcW w:w="0" w:type="auto"/>
            <w:tcBorders>
              <w:top w:val="single" w:sz="4" w:space="0" w:color="auto"/>
              <w:left w:val="single" w:sz="4" w:space="0" w:color="auto"/>
              <w:bottom w:val="single" w:sz="4" w:space="0" w:color="auto"/>
              <w:right w:val="single" w:sz="4" w:space="0" w:color="auto"/>
            </w:tcBorders>
          </w:tcPr>
          <w:p w14:paraId="018D503E" w14:textId="77777777" w:rsidR="00776D2E" w:rsidRPr="0058432E" w:rsidRDefault="00776D2E" w:rsidP="00982118">
            <w:pPr>
              <w:autoSpaceDE w:val="0"/>
              <w:autoSpaceDN w:val="0"/>
              <w:adjustRightInd w:val="0"/>
              <w:rPr>
                <w:color w:val="000000" w:themeColor="text1"/>
              </w:rPr>
            </w:pPr>
            <w:r w:rsidRPr="0058432E">
              <w:rPr>
                <w:color w:val="000000" w:themeColor="text1"/>
              </w:rPr>
              <w:t>Augmentation du poids</w:t>
            </w:r>
            <w:r w:rsidRPr="0058432E">
              <w:rPr>
                <w:color w:val="000000" w:themeColor="text1"/>
                <w:vertAlign w:val="superscript"/>
              </w:rPr>
              <w:t>2</w:t>
            </w:r>
          </w:p>
        </w:tc>
      </w:tr>
      <w:tr w:rsidR="00C46587" w:rsidRPr="0058432E" w14:paraId="38A06A51"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720CA44F" w14:textId="77777777" w:rsidR="00C46587" w:rsidRPr="0058432E" w:rsidRDefault="00C46587" w:rsidP="00982118">
            <w:pPr>
              <w:rPr>
                <w:color w:val="000000" w:themeColor="text1"/>
              </w:rPr>
            </w:pPr>
            <w:r w:rsidRPr="0058432E">
              <w:rPr>
                <w:color w:val="000000" w:themeColor="text1"/>
              </w:rPr>
              <w:t>Lésions, intoxications et complications liées aux procédures</w:t>
            </w:r>
          </w:p>
        </w:tc>
        <w:tc>
          <w:tcPr>
            <w:tcW w:w="1621" w:type="dxa"/>
            <w:tcBorders>
              <w:top w:val="single" w:sz="4" w:space="0" w:color="auto"/>
              <w:left w:val="single" w:sz="4" w:space="0" w:color="auto"/>
              <w:bottom w:val="single" w:sz="4" w:space="0" w:color="auto"/>
              <w:right w:val="single" w:sz="4" w:space="0" w:color="auto"/>
            </w:tcBorders>
            <w:hideMark/>
          </w:tcPr>
          <w:p w14:paraId="6A085788" w14:textId="77777777" w:rsidR="00C46587" w:rsidRPr="0058432E" w:rsidRDefault="00C46587"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5D12E322" w14:textId="77777777" w:rsidR="00C46587" w:rsidRPr="0058432E" w:rsidRDefault="00637923" w:rsidP="00982118">
            <w:pPr>
              <w:rPr>
                <w:color w:val="000000" w:themeColor="text1"/>
              </w:rPr>
            </w:pPr>
            <w:r w:rsidRPr="0058432E">
              <w:rPr>
                <w:color w:val="000000" w:themeColor="text1"/>
              </w:rPr>
              <w:t>Mauvaise cicatrisation</w:t>
            </w:r>
          </w:p>
        </w:tc>
      </w:tr>
      <w:tr w:rsidR="00C46587" w:rsidRPr="0058432E" w14:paraId="45693F1D" w14:textId="77777777" w:rsidTr="0095181C">
        <w:trPr>
          <w:cantSplit/>
        </w:trPr>
        <w:tc>
          <w:tcPr>
            <w:tcW w:w="0" w:type="auto"/>
            <w:gridSpan w:val="3"/>
            <w:tcBorders>
              <w:top w:val="single" w:sz="4" w:space="0" w:color="auto"/>
              <w:left w:val="nil"/>
              <w:bottom w:val="nil"/>
              <w:right w:val="nil"/>
            </w:tcBorders>
            <w:hideMark/>
          </w:tcPr>
          <w:p w14:paraId="7D1B6C88" w14:textId="77777777" w:rsidR="00C46587" w:rsidRPr="0058432E" w:rsidRDefault="00C46587" w:rsidP="00982118">
            <w:pPr>
              <w:tabs>
                <w:tab w:val="left" w:pos="360"/>
              </w:tabs>
              <w:rPr>
                <w:color w:val="000000" w:themeColor="text1"/>
                <w:sz w:val="20"/>
              </w:rPr>
            </w:pPr>
            <w:r w:rsidRPr="0058432E">
              <w:rPr>
                <w:color w:val="000000" w:themeColor="text1"/>
                <w:sz w:val="20"/>
              </w:rPr>
              <w:t>*</w:t>
            </w:r>
            <w:r w:rsidRPr="0058432E">
              <w:rPr>
                <w:color w:val="000000" w:themeColor="text1"/>
                <w:sz w:val="20"/>
              </w:rPr>
              <w:tab/>
            </w:r>
            <w:r w:rsidR="00577EB7" w:rsidRPr="0058432E">
              <w:rPr>
                <w:color w:val="000000" w:themeColor="text1"/>
                <w:sz w:val="20"/>
              </w:rPr>
              <w:t>D</w:t>
            </w:r>
            <w:r w:rsidRPr="0058432E">
              <w:rPr>
                <w:color w:val="000000" w:themeColor="text1"/>
                <w:sz w:val="20"/>
              </w:rPr>
              <w:t>e plus amples informations sont disponibles aux rubriques 4.3, 4.4 et 4.8. </w:t>
            </w:r>
          </w:p>
          <w:p w14:paraId="201F85B5" w14:textId="77777777" w:rsidR="00C46587" w:rsidRPr="0058432E" w:rsidRDefault="00C46587" w:rsidP="00982118">
            <w:pPr>
              <w:tabs>
                <w:tab w:val="left" w:pos="360"/>
              </w:tabs>
              <w:rPr>
                <w:color w:val="000000" w:themeColor="text1"/>
                <w:sz w:val="20"/>
              </w:rPr>
            </w:pPr>
            <w:r w:rsidRPr="0058432E">
              <w:rPr>
                <w:color w:val="000000" w:themeColor="text1"/>
                <w:sz w:val="20"/>
              </w:rPr>
              <w:t>**</w:t>
            </w:r>
            <w:r w:rsidRPr="0058432E">
              <w:rPr>
                <w:color w:val="000000" w:themeColor="text1"/>
                <w:sz w:val="20"/>
              </w:rPr>
              <w:tab/>
              <w:t>y compris les études d’extension en ouvert</w:t>
            </w:r>
          </w:p>
          <w:p w14:paraId="74594499" w14:textId="77777777" w:rsidR="00C46587" w:rsidRPr="0058432E" w:rsidRDefault="00C46587" w:rsidP="00982118">
            <w:pPr>
              <w:tabs>
                <w:tab w:val="left" w:pos="360"/>
              </w:tabs>
              <w:rPr>
                <w:color w:val="000000" w:themeColor="text1"/>
                <w:sz w:val="20"/>
              </w:rPr>
            </w:pPr>
            <w:r w:rsidRPr="0058432E">
              <w:rPr>
                <w:color w:val="000000" w:themeColor="text1"/>
                <w:sz w:val="20"/>
                <w:vertAlign w:val="superscript"/>
              </w:rPr>
              <w:t>1</w:t>
            </w:r>
            <w:r w:rsidRPr="0058432E">
              <w:rPr>
                <w:color w:val="000000" w:themeColor="text1"/>
                <w:sz w:val="20"/>
              </w:rPr>
              <w:tab/>
              <w:t xml:space="preserve">comprenant les données des notifications spontanées </w:t>
            </w:r>
          </w:p>
          <w:p w14:paraId="1FA9853D" w14:textId="77777777" w:rsidR="00776D2E" w:rsidRPr="0058432E" w:rsidRDefault="00776D2E" w:rsidP="00982118">
            <w:pPr>
              <w:tabs>
                <w:tab w:val="left" w:pos="360"/>
              </w:tabs>
              <w:rPr>
                <w:color w:val="000000" w:themeColor="text1"/>
                <w:sz w:val="20"/>
              </w:rPr>
            </w:pPr>
            <w:r w:rsidRPr="0058432E">
              <w:rPr>
                <w:color w:val="000000" w:themeColor="text1"/>
                <w:sz w:val="20"/>
                <w:vertAlign w:val="superscript"/>
              </w:rPr>
              <w:t>2</w:t>
            </w:r>
            <w:r w:rsidRPr="0058432E">
              <w:rPr>
                <w:color w:val="000000" w:themeColor="text1"/>
                <w:sz w:val="20"/>
              </w:rPr>
              <w:t xml:space="preserve">     Le changement de poids moyen par rapport aux valeurs initiales pour l’adalimumab allait de 0,3 kg à 1,0 kg      pour toutes les indications chez l’adulte, contre (moins) -0,4 kg à 0,4 kg pour le placebo, sur une période de traitement de 4 à 6 mois. Une augmentation de poids comprise entre 5 et 6 kg a également été observée au cours d’études d’extension à long terme, avec des expositions moyennes d’environ 1 à 2 ans sans groupe témoin, en particulier chez les patients atteints de la maladie de Crohn et de colite ulcéreuse. Le mécanisme qui sous-tend cet effet n’est pas clair mais pourrait être associé à l’action anti-inflammatoire de l’adalimumab.</w:t>
            </w:r>
          </w:p>
        </w:tc>
      </w:tr>
    </w:tbl>
    <w:p w14:paraId="71A72016" w14:textId="77777777" w:rsidR="00C46587" w:rsidRPr="0058432E" w:rsidRDefault="00C46587" w:rsidP="00982118">
      <w:pPr>
        <w:rPr>
          <w:color w:val="000000" w:themeColor="text1"/>
        </w:rPr>
      </w:pPr>
    </w:p>
    <w:p w14:paraId="3386E30E" w14:textId="77777777" w:rsidR="00637923" w:rsidRPr="0058432E" w:rsidRDefault="00637923" w:rsidP="00982118">
      <w:pPr>
        <w:keepNext/>
        <w:rPr>
          <w:color w:val="000000" w:themeColor="text1"/>
          <w:u w:val="single"/>
        </w:rPr>
      </w:pPr>
      <w:r w:rsidRPr="0058432E">
        <w:rPr>
          <w:color w:val="000000" w:themeColor="text1"/>
          <w:u w:val="single"/>
        </w:rPr>
        <w:lastRenderedPageBreak/>
        <w:t>Hidrosadénite suppurée</w:t>
      </w:r>
    </w:p>
    <w:p w14:paraId="58C15BB0" w14:textId="77777777" w:rsidR="00637923" w:rsidRPr="0058432E" w:rsidRDefault="00637923" w:rsidP="00982118">
      <w:pPr>
        <w:keepNext/>
        <w:rPr>
          <w:color w:val="000000" w:themeColor="text1"/>
        </w:rPr>
      </w:pPr>
    </w:p>
    <w:p w14:paraId="0CE75358" w14:textId="77777777" w:rsidR="00637923" w:rsidRPr="0058432E" w:rsidRDefault="00637923" w:rsidP="00982118">
      <w:pPr>
        <w:rPr>
          <w:color w:val="000000" w:themeColor="text1"/>
        </w:rPr>
      </w:pPr>
      <w:r w:rsidRPr="0058432E">
        <w:rPr>
          <w:color w:val="000000" w:themeColor="text1"/>
        </w:rPr>
        <w:t xml:space="preserve">Le profil de </w:t>
      </w:r>
      <w:r w:rsidR="00D01EF7" w:rsidRPr="0058432E">
        <w:rPr>
          <w:color w:val="000000" w:themeColor="text1"/>
        </w:rPr>
        <w:t xml:space="preserve">tolérance </w:t>
      </w:r>
      <w:r w:rsidRPr="0058432E">
        <w:rPr>
          <w:color w:val="000000" w:themeColor="text1"/>
        </w:rPr>
        <w:t xml:space="preserve">chez les patients atteints d’HS traités par adalimumab de façon hebdomadaire correspond au profil de </w:t>
      </w:r>
      <w:r w:rsidR="00D01EF7" w:rsidRPr="0058432E">
        <w:rPr>
          <w:color w:val="000000" w:themeColor="text1"/>
        </w:rPr>
        <w:t xml:space="preserve">tolérance </w:t>
      </w:r>
      <w:r w:rsidRPr="0058432E">
        <w:rPr>
          <w:color w:val="000000" w:themeColor="text1"/>
        </w:rPr>
        <w:t>connu de l’adalimumab.</w:t>
      </w:r>
    </w:p>
    <w:p w14:paraId="217519BB" w14:textId="77777777" w:rsidR="00637923" w:rsidRPr="0058432E" w:rsidRDefault="00637923" w:rsidP="00982118">
      <w:pPr>
        <w:rPr>
          <w:color w:val="000000" w:themeColor="text1"/>
        </w:rPr>
      </w:pPr>
    </w:p>
    <w:p w14:paraId="2468EEB5" w14:textId="77777777" w:rsidR="00637923" w:rsidRPr="0058432E" w:rsidRDefault="00637923" w:rsidP="00982118">
      <w:pPr>
        <w:keepNext/>
        <w:rPr>
          <w:color w:val="000000" w:themeColor="text1"/>
          <w:u w:val="single"/>
        </w:rPr>
      </w:pPr>
      <w:r w:rsidRPr="0058432E">
        <w:rPr>
          <w:color w:val="000000" w:themeColor="text1"/>
          <w:u w:val="single"/>
        </w:rPr>
        <w:t>Uvéite</w:t>
      </w:r>
    </w:p>
    <w:p w14:paraId="689A4C13" w14:textId="77777777" w:rsidR="00637923" w:rsidRPr="0058432E" w:rsidRDefault="00637923" w:rsidP="00982118">
      <w:pPr>
        <w:keepNext/>
        <w:rPr>
          <w:color w:val="000000" w:themeColor="text1"/>
        </w:rPr>
      </w:pPr>
    </w:p>
    <w:p w14:paraId="02656932" w14:textId="77777777" w:rsidR="00637923" w:rsidRPr="0058432E" w:rsidRDefault="00383587" w:rsidP="00982118">
      <w:pPr>
        <w:rPr>
          <w:color w:val="000000" w:themeColor="text1"/>
        </w:rPr>
      </w:pPr>
      <w:r w:rsidRPr="0058432E">
        <w:rPr>
          <w:color w:val="000000" w:themeColor="text1"/>
        </w:rPr>
        <w:t xml:space="preserve">Le profil de sécurité chez les patients atteints d’uvéite traités par adalimumab toutes les deux semaines correspond au profil de </w:t>
      </w:r>
      <w:r w:rsidR="00002719" w:rsidRPr="0058432E">
        <w:rPr>
          <w:color w:val="000000" w:themeColor="text1"/>
        </w:rPr>
        <w:t xml:space="preserve">tolérance </w:t>
      </w:r>
      <w:r w:rsidRPr="0058432E">
        <w:rPr>
          <w:color w:val="000000" w:themeColor="text1"/>
        </w:rPr>
        <w:t>connu de l’adalimumab.</w:t>
      </w:r>
    </w:p>
    <w:p w14:paraId="0781530C" w14:textId="77777777" w:rsidR="00383587" w:rsidRPr="0058432E" w:rsidRDefault="00383587" w:rsidP="00982118">
      <w:pPr>
        <w:rPr>
          <w:color w:val="000000" w:themeColor="text1"/>
        </w:rPr>
      </w:pPr>
    </w:p>
    <w:p w14:paraId="075BA977" w14:textId="77777777" w:rsidR="00C46587" w:rsidRPr="0058432E" w:rsidRDefault="00C46587" w:rsidP="00982118">
      <w:pPr>
        <w:keepNext/>
        <w:rPr>
          <w:color w:val="000000" w:themeColor="text1"/>
          <w:u w:val="single"/>
        </w:rPr>
      </w:pPr>
      <w:r w:rsidRPr="0058432E">
        <w:rPr>
          <w:color w:val="000000" w:themeColor="text1"/>
          <w:u w:val="single"/>
        </w:rPr>
        <w:t>Description des effets indésirables sélectionnés</w:t>
      </w:r>
    </w:p>
    <w:p w14:paraId="6280E3E1" w14:textId="77777777" w:rsidR="00C46587" w:rsidRPr="0058432E" w:rsidRDefault="00C46587" w:rsidP="00982118">
      <w:pPr>
        <w:keepNext/>
        <w:rPr>
          <w:color w:val="000000" w:themeColor="text1"/>
        </w:rPr>
      </w:pPr>
    </w:p>
    <w:p w14:paraId="05B31F63" w14:textId="77777777" w:rsidR="00C46587" w:rsidRPr="0058432E" w:rsidRDefault="00C46587" w:rsidP="00982118">
      <w:pPr>
        <w:keepNext/>
        <w:rPr>
          <w:i/>
          <w:color w:val="000000" w:themeColor="text1"/>
        </w:rPr>
      </w:pPr>
      <w:r w:rsidRPr="0058432E">
        <w:rPr>
          <w:i/>
          <w:color w:val="000000" w:themeColor="text1"/>
        </w:rPr>
        <w:t>Réactions au point d’injection</w:t>
      </w:r>
    </w:p>
    <w:p w14:paraId="43C7D415" w14:textId="77777777" w:rsidR="00C46587" w:rsidRPr="0058432E" w:rsidRDefault="00C46587" w:rsidP="00982118">
      <w:pPr>
        <w:keepNext/>
        <w:rPr>
          <w:color w:val="000000" w:themeColor="text1"/>
        </w:rPr>
      </w:pPr>
    </w:p>
    <w:p w14:paraId="64200F88" w14:textId="77777777" w:rsidR="00C46587" w:rsidRPr="0058432E" w:rsidRDefault="00C46587" w:rsidP="00982118">
      <w:pPr>
        <w:rPr>
          <w:color w:val="000000" w:themeColor="text1"/>
        </w:rPr>
      </w:pPr>
      <w:r w:rsidRPr="0058432E">
        <w:rPr>
          <w:color w:val="000000" w:themeColor="text1"/>
        </w:rPr>
        <w:t xml:space="preserve">Dans les essais </w:t>
      </w:r>
      <w:r w:rsidR="00AA70CE" w:rsidRPr="0058432E">
        <w:rPr>
          <w:color w:val="000000" w:themeColor="text1"/>
        </w:rPr>
        <w:t xml:space="preserve">pivots </w:t>
      </w:r>
      <w:r w:rsidRPr="0058432E">
        <w:rPr>
          <w:color w:val="000000" w:themeColor="text1"/>
        </w:rPr>
        <w:t>contrôlés menés chez l’adulte et l’enfant, 12,9 % des patients traités par adalimumab ont présenté des réactions au point d'injection (érythème et/ou prurit, saignement, douleur ou tuméfaction) contre 7,2 % des patients recevant le placebo ou le comparateur actif. Les réactions au point d’injection n’ont généralement pas nécessité l’arrêt du médicament.</w:t>
      </w:r>
    </w:p>
    <w:p w14:paraId="3D00AF72" w14:textId="77777777" w:rsidR="00C46587" w:rsidRPr="0058432E" w:rsidRDefault="00C46587" w:rsidP="00982118">
      <w:pPr>
        <w:rPr>
          <w:color w:val="000000" w:themeColor="text1"/>
        </w:rPr>
      </w:pPr>
    </w:p>
    <w:p w14:paraId="5E57767D" w14:textId="77777777" w:rsidR="00C46587" w:rsidRPr="0058432E" w:rsidRDefault="00C46587" w:rsidP="00982118">
      <w:pPr>
        <w:keepNext/>
        <w:rPr>
          <w:i/>
          <w:color w:val="000000" w:themeColor="text1"/>
        </w:rPr>
      </w:pPr>
      <w:r w:rsidRPr="0058432E">
        <w:rPr>
          <w:i/>
          <w:color w:val="000000" w:themeColor="text1"/>
        </w:rPr>
        <w:t xml:space="preserve">Infections </w:t>
      </w:r>
    </w:p>
    <w:p w14:paraId="5C697D96" w14:textId="77777777" w:rsidR="00C46587" w:rsidRPr="0058432E" w:rsidRDefault="00C46587" w:rsidP="00982118">
      <w:pPr>
        <w:keepNext/>
        <w:rPr>
          <w:i/>
          <w:color w:val="000000" w:themeColor="text1"/>
        </w:rPr>
      </w:pPr>
    </w:p>
    <w:p w14:paraId="5603DE13" w14:textId="77777777" w:rsidR="00C46587" w:rsidRPr="0058432E" w:rsidRDefault="00C46587" w:rsidP="00982118">
      <w:pPr>
        <w:rPr>
          <w:color w:val="000000" w:themeColor="text1"/>
        </w:rPr>
      </w:pPr>
      <w:r w:rsidRPr="0058432E">
        <w:rPr>
          <w:color w:val="000000" w:themeColor="text1"/>
        </w:rPr>
        <w:t xml:space="preserve">Dans les essais </w:t>
      </w:r>
      <w:r w:rsidR="00AA70CE" w:rsidRPr="0058432E">
        <w:rPr>
          <w:color w:val="000000" w:themeColor="text1"/>
        </w:rPr>
        <w:t xml:space="preserve">pivots </w:t>
      </w:r>
      <w:r w:rsidRPr="0058432E">
        <w:rPr>
          <w:color w:val="000000" w:themeColor="text1"/>
        </w:rPr>
        <w:t>contrôlés menés chez l’adulte et l’enfant, la fréquence des infections a été de 1,51 par patient</w:t>
      </w:r>
      <w:r w:rsidRPr="0058432E">
        <w:rPr>
          <w:color w:val="000000" w:themeColor="text1"/>
        </w:rPr>
        <w:noBreakHyphen/>
        <w:t>année dans le groupe adalimumab et de 1,46 par patient</w:t>
      </w:r>
      <w:r w:rsidRPr="0058432E">
        <w:rPr>
          <w:color w:val="000000" w:themeColor="text1"/>
        </w:rPr>
        <w:noBreakHyphen/>
        <w:t>année dans le groupe placebo et le groupe contrôle. Les infections consistaient essentiellement en rhinopharyngites, infections de l’appareil respiratoire supérieur et sinusites. La plupart des patients ont continué l’adalimumab après la guérison de l’infection.</w:t>
      </w:r>
    </w:p>
    <w:p w14:paraId="6D6B5F08" w14:textId="77777777" w:rsidR="00C46587" w:rsidRPr="0058432E" w:rsidRDefault="00C46587" w:rsidP="00982118">
      <w:pPr>
        <w:rPr>
          <w:color w:val="000000" w:themeColor="text1"/>
        </w:rPr>
      </w:pPr>
    </w:p>
    <w:p w14:paraId="4B29B7D5" w14:textId="77777777" w:rsidR="00C46587" w:rsidRPr="0058432E" w:rsidRDefault="00C46587" w:rsidP="00982118">
      <w:pPr>
        <w:rPr>
          <w:color w:val="000000" w:themeColor="text1"/>
        </w:rPr>
      </w:pPr>
      <w:r w:rsidRPr="0058432E">
        <w:rPr>
          <w:color w:val="000000" w:themeColor="text1"/>
        </w:rPr>
        <w:t>L’incidence des infections graves a été de 0,04 par patient</w:t>
      </w:r>
      <w:r w:rsidRPr="0058432E">
        <w:rPr>
          <w:color w:val="000000" w:themeColor="text1"/>
        </w:rPr>
        <w:noBreakHyphen/>
        <w:t>année dans le groupe adalimumab et de 0,03 par patient</w:t>
      </w:r>
      <w:r w:rsidRPr="0058432E">
        <w:rPr>
          <w:color w:val="000000" w:themeColor="text1"/>
        </w:rPr>
        <w:noBreakHyphen/>
        <w:t xml:space="preserve">année dans le groupe placebo et le groupe contrôle. </w:t>
      </w:r>
    </w:p>
    <w:p w14:paraId="1A7E3F06" w14:textId="77777777" w:rsidR="00C46587" w:rsidRPr="0058432E" w:rsidRDefault="00C46587" w:rsidP="00982118">
      <w:pPr>
        <w:rPr>
          <w:color w:val="000000" w:themeColor="text1"/>
        </w:rPr>
      </w:pPr>
    </w:p>
    <w:p w14:paraId="78447815" w14:textId="77777777" w:rsidR="00C46587" w:rsidRPr="0058432E" w:rsidRDefault="00C46587" w:rsidP="00982118">
      <w:pPr>
        <w:rPr>
          <w:color w:val="000000" w:themeColor="text1"/>
        </w:rPr>
      </w:pPr>
      <w:r w:rsidRPr="0058432E">
        <w:rPr>
          <w:color w:val="000000" w:themeColor="text1"/>
        </w:rPr>
        <w:t>Dans les études contrôlées et en ouvert avec l’adalimumab menées chez l’adulte et dans la population pédiatrique, des infections graves (y compris des infections d’issue fatale, ce qui s’est produit rarement) ont été rapportées dont des signalements</w:t>
      </w:r>
      <w:r w:rsidR="000A042E" w:rsidRPr="0058432E">
        <w:rPr>
          <w:color w:val="000000" w:themeColor="text1"/>
        </w:rPr>
        <w:t xml:space="preserve"> </w:t>
      </w:r>
      <w:r w:rsidRPr="0058432E">
        <w:rPr>
          <w:color w:val="000000" w:themeColor="text1"/>
        </w:rPr>
        <w:t>de tuberculose (y compris miliaire et à localisations extra-pulmonaires) et d’infections opportunistes invasives (par ex</w:t>
      </w:r>
      <w:r w:rsidR="00A67736" w:rsidRPr="0058432E">
        <w:rPr>
          <w:color w:val="000000" w:themeColor="text1"/>
        </w:rPr>
        <w:t>emple,</w:t>
      </w:r>
      <w:r w:rsidRPr="0058432E">
        <w:rPr>
          <w:color w:val="000000" w:themeColor="text1"/>
        </w:rPr>
        <w:t xml:space="preserve"> histoplasmose disséminée ou histoplasmose extrapulmonaire, blastomycose, coccidioïdomycose, pneumocystose, candidose, aspergillose et listériose). La plupart des cas de tuberculose sont survenus dans les huit premiers mois après le début du traitement et peuvent être le reflet d’une réactivation d’une maladie latente. </w:t>
      </w:r>
    </w:p>
    <w:p w14:paraId="75BFB297" w14:textId="77777777" w:rsidR="00C46587" w:rsidRPr="0058432E" w:rsidRDefault="00C46587" w:rsidP="00982118">
      <w:pPr>
        <w:rPr>
          <w:color w:val="000000" w:themeColor="text1"/>
        </w:rPr>
      </w:pPr>
    </w:p>
    <w:p w14:paraId="56333986" w14:textId="77777777" w:rsidR="00C46587" w:rsidRPr="0058432E" w:rsidRDefault="00C46587" w:rsidP="00982118">
      <w:pPr>
        <w:keepNext/>
        <w:rPr>
          <w:i/>
          <w:color w:val="000000" w:themeColor="text1"/>
        </w:rPr>
      </w:pPr>
      <w:r w:rsidRPr="0058432E">
        <w:rPr>
          <w:i/>
          <w:color w:val="000000" w:themeColor="text1"/>
        </w:rPr>
        <w:t xml:space="preserve">Tumeurs malignes et troubles lymphoprolifératifs </w:t>
      </w:r>
    </w:p>
    <w:p w14:paraId="0632AE76" w14:textId="77777777" w:rsidR="00C46587" w:rsidRPr="0058432E" w:rsidRDefault="00C46587" w:rsidP="00982118">
      <w:pPr>
        <w:keepNext/>
        <w:rPr>
          <w:i/>
          <w:color w:val="000000" w:themeColor="text1"/>
        </w:rPr>
      </w:pPr>
    </w:p>
    <w:p w14:paraId="615BA41B" w14:textId="77777777" w:rsidR="00C46587" w:rsidRPr="0058432E" w:rsidRDefault="00C46587" w:rsidP="002C597C">
      <w:pPr>
        <w:rPr>
          <w:color w:val="000000" w:themeColor="text1"/>
        </w:rPr>
      </w:pPr>
      <w:r w:rsidRPr="0058432E">
        <w:rPr>
          <w:color w:val="000000" w:themeColor="text1"/>
        </w:rPr>
        <w:t>Aucun cas de cancer n’a été observé chez 249 patients pédiatriques représentant une exposition de 655,6 patient</w:t>
      </w:r>
      <w:r w:rsidR="00AA70CE" w:rsidRPr="0058432E">
        <w:rPr>
          <w:color w:val="000000" w:themeColor="text1"/>
        </w:rPr>
        <w:t>s</w:t>
      </w:r>
      <w:r w:rsidRPr="0058432E">
        <w:rPr>
          <w:color w:val="000000" w:themeColor="text1"/>
        </w:rPr>
        <w:noBreakHyphen/>
        <w:t xml:space="preserve">année lors des </w:t>
      </w:r>
      <w:r w:rsidR="00AA70CE" w:rsidRPr="0058432E">
        <w:rPr>
          <w:color w:val="000000" w:themeColor="text1"/>
        </w:rPr>
        <w:t xml:space="preserve">essais </w:t>
      </w:r>
      <w:r w:rsidRPr="0058432E">
        <w:rPr>
          <w:color w:val="000000" w:themeColor="text1"/>
        </w:rPr>
        <w:t>avec l’adalimumab chez les patients atteints d’arthrite juvénile idiopathique (arthrite juvénile idiopathique polyarticulaire et arthrite liée à l’enthésite). De plus, aucun cas de cancer n’a été observé chez 192 patients pédiatriques représentant une exposition de 498,1 patient</w:t>
      </w:r>
      <w:r w:rsidR="00AA70CE" w:rsidRPr="0058432E">
        <w:rPr>
          <w:color w:val="000000" w:themeColor="text1"/>
        </w:rPr>
        <w:t>s</w:t>
      </w:r>
      <w:r w:rsidRPr="0058432E">
        <w:rPr>
          <w:color w:val="000000" w:themeColor="text1"/>
        </w:rPr>
        <w:noBreakHyphen/>
        <w:t xml:space="preserve">année lors des </w:t>
      </w:r>
      <w:r w:rsidR="00AA70CE" w:rsidRPr="0058432E">
        <w:rPr>
          <w:color w:val="000000" w:themeColor="text1"/>
        </w:rPr>
        <w:t xml:space="preserve">essais </w:t>
      </w:r>
      <w:r w:rsidRPr="0058432E">
        <w:rPr>
          <w:color w:val="000000" w:themeColor="text1"/>
        </w:rPr>
        <w:t xml:space="preserve">avec l’adalimumab </w:t>
      </w:r>
      <w:r w:rsidR="00AA70CE" w:rsidRPr="0058432E">
        <w:rPr>
          <w:color w:val="000000" w:themeColor="text1"/>
        </w:rPr>
        <w:t xml:space="preserve">chez les patients atteints de </w:t>
      </w:r>
      <w:r w:rsidRPr="0058432E">
        <w:rPr>
          <w:color w:val="000000" w:themeColor="text1"/>
        </w:rPr>
        <w:t xml:space="preserve">la maladie de Crohn pédiatrique. Aucun cas de cancer n’a été observé chez 77 patients pédiatriques </w:t>
      </w:r>
      <w:r w:rsidR="00AA70CE" w:rsidRPr="0058432E">
        <w:rPr>
          <w:color w:val="000000" w:themeColor="text1"/>
        </w:rPr>
        <w:t>représentant</w:t>
      </w:r>
      <w:r w:rsidRPr="0058432E">
        <w:rPr>
          <w:color w:val="000000" w:themeColor="text1"/>
        </w:rPr>
        <w:t xml:space="preserve"> une exposition de 80,0 patients</w:t>
      </w:r>
      <w:r w:rsidRPr="0058432E">
        <w:rPr>
          <w:color w:val="000000" w:themeColor="text1"/>
        </w:rPr>
        <w:noBreakHyphen/>
        <w:t xml:space="preserve">année lors d’un </w:t>
      </w:r>
      <w:r w:rsidR="00AA70CE" w:rsidRPr="0058432E">
        <w:rPr>
          <w:color w:val="000000" w:themeColor="text1"/>
        </w:rPr>
        <w:t xml:space="preserve">essai </w:t>
      </w:r>
      <w:r w:rsidRPr="0058432E">
        <w:rPr>
          <w:color w:val="000000" w:themeColor="text1"/>
        </w:rPr>
        <w:t xml:space="preserve">avec l’adalimumab </w:t>
      </w:r>
      <w:r w:rsidR="00AA70CE" w:rsidRPr="0058432E">
        <w:rPr>
          <w:color w:val="000000" w:themeColor="text1"/>
        </w:rPr>
        <w:t>chez les patients atteints de</w:t>
      </w:r>
      <w:r w:rsidRPr="0058432E">
        <w:rPr>
          <w:color w:val="000000" w:themeColor="text1"/>
        </w:rPr>
        <w:t xml:space="preserve"> psoriasis en plaques chronique pédiatrique. </w:t>
      </w:r>
      <w:r w:rsidR="00EB6D65" w:rsidRPr="0058432E">
        <w:rPr>
          <w:color w:val="000000" w:themeColor="text1"/>
        </w:rPr>
        <w:t xml:space="preserve">Lors d’une étude avec l’adalimumab </w:t>
      </w:r>
      <w:r w:rsidR="002A3A97" w:rsidRPr="0058432E">
        <w:rPr>
          <w:color w:val="000000" w:themeColor="text1"/>
        </w:rPr>
        <w:t xml:space="preserve">menée </w:t>
      </w:r>
      <w:r w:rsidR="00EB6D65" w:rsidRPr="0058432E">
        <w:rPr>
          <w:color w:val="000000" w:themeColor="text1"/>
        </w:rPr>
        <w:t>chez des patients pédiatriques atteints de rectocolite hémorragiques, a</w:t>
      </w:r>
      <w:r w:rsidR="00AD64C4" w:rsidRPr="0058432E">
        <w:rPr>
          <w:color w:val="000000" w:themeColor="text1"/>
        </w:rPr>
        <w:t>ucun cas de cancer n’a été observé chez 93 patients pédiatriques représentant une exposition de 65,3 patients</w:t>
      </w:r>
      <w:r w:rsidR="00AD64C4" w:rsidRPr="0058432E">
        <w:rPr>
          <w:color w:val="000000" w:themeColor="text1"/>
        </w:rPr>
        <w:noBreakHyphen/>
        <w:t>années.</w:t>
      </w:r>
      <w:r w:rsidR="002C597C" w:rsidRPr="0058432E">
        <w:rPr>
          <w:color w:val="000000" w:themeColor="text1"/>
        </w:rPr>
        <w:t xml:space="preserve"> </w:t>
      </w:r>
      <w:r w:rsidRPr="0058432E">
        <w:rPr>
          <w:color w:val="000000" w:themeColor="text1"/>
        </w:rPr>
        <w:t>Aucun cas de cancer n’a été observé chez 60 patients pédiatriques représentant une exposition de 58,4 patient</w:t>
      </w:r>
      <w:r w:rsidR="00AA70CE" w:rsidRPr="0058432E">
        <w:rPr>
          <w:color w:val="000000" w:themeColor="text1"/>
        </w:rPr>
        <w:t>s</w:t>
      </w:r>
      <w:r w:rsidRPr="0058432E">
        <w:rPr>
          <w:color w:val="000000" w:themeColor="text1"/>
        </w:rPr>
        <w:noBreakHyphen/>
        <w:t xml:space="preserve">année lors d’une étude avec l’adalimumab </w:t>
      </w:r>
      <w:r w:rsidR="00AA70CE" w:rsidRPr="0058432E">
        <w:rPr>
          <w:color w:val="000000" w:themeColor="text1"/>
        </w:rPr>
        <w:t>chez les patients atteints d</w:t>
      </w:r>
      <w:r w:rsidRPr="0058432E">
        <w:rPr>
          <w:color w:val="000000" w:themeColor="text1"/>
        </w:rPr>
        <w:t>’uvéite pédiatrique.</w:t>
      </w:r>
    </w:p>
    <w:p w14:paraId="13B38557" w14:textId="77777777" w:rsidR="00C46587" w:rsidRPr="0058432E" w:rsidRDefault="00C46587" w:rsidP="00982118">
      <w:pPr>
        <w:rPr>
          <w:color w:val="000000" w:themeColor="text1"/>
        </w:rPr>
      </w:pPr>
    </w:p>
    <w:p w14:paraId="690F12CD" w14:textId="77777777" w:rsidR="00C46587" w:rsidRPr="0058432E" w:rsidRDefault="00C46587" w:rsidP="00982118">
      <w:pPr>
        <w:rPr>
          <w:color w:val="000000" w:themeColor="text1"/>
        </w:rPr>
      </w:pPr>
      <w:r w:rsidRPr="0058432E">
        <w:rPr>
          <w:color w:val="000000" w:themeColor="text1"/>
        </w:rPr>
        <w:t xml:space="preserve">Pendant les périodes contrôlées des essais pivots chez l’adulte avec l’adalimumab d’une durée d’au moins 12 semaines chez des patients </w:t>
      </w:r>
      <w:r w:rsidR="00D546C9" w:rsidRPr="0058432E">
        <w:rPr>
          <w:color w:val="000000" w:themeColor="text1"/>
        </w:rPr>
        <w:t>atteints</w:t>
      </w:r>
      <w:r w:rsidRPr="0058432E">
        <w:rPr>
          <w:color w:val="000000" w:themeColor="text1"/>
        </w:rPr>
        <w:t xml:space="preserve"> de polyarthrite rhumatoïde </w:t>
      </w:r>
      <w:r w:rsidR="00FE50EF" w:rsidRPr="0058432E">
        <w:rPr>
          <w:color w:val="000000" w:themeColor="text1"/>
        </w:rPr>
        <w:t>active modérée à sévère</w:t>
      </w:r>
      <w:r w:rsidRPr="0058432E">
        <w:rPr>
          <w:color w:val="000000" w:themeColor="text1"/>
        </w:rPr>
        <w:t>, de spondylarthrite ankylosante, de spondyl</w:t>
      </w:r>
      <w:r w:rsidR="009D048D" w:rsidRPr="0058432E">
        <w:rPr>
          <w:color w:val="000000" w:themeColor="text1"/>
        </w:rPr>
        <w:t>o</w:t>
      </w:r>
      <w:r w:rsidRPr="0058432E">
        <w:rPr>
          <w:color w:val="000000" w:themeColor="text1"/>
        </w:rPr>
        <w:t xml:space="preserve">arthrite axiale sans signes radiographiques de SA, de rhumatisme psoriasique, de psoriasis, d’hidrosadénite suppurée, de la maladie de Crohn, de rectocolite </w:t>
      </w:r>
      <w:r w:rsidRPr="0058432E">
        <w:rPr>
          <w:color w:val="000000" w:themeColor="text1"/>
        </w:rPr>
        <w:lastRenderedPageBreak/>
        <w:t>hémorragique et d’uvéite, un taux (intervalle de confiance à 95 %) de cancers autres que lymphomes ou cancers de la peau non mélanomes, de 6,8 (4,4</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10,5) pour 1 000 patient</w:t>
      </w:r>
      <w:r w:rsidR="005B6343" w:rsidRPr="0058432E">
        <w:rPr>
          <w:color w:val="000000" w:themeColor="text1"/>
        </w:rPr>
        <w:t>s</w:t>
      </w:r>
      <w:r w:rsidRPr="0058432E">
        <w:rPr>
          <w:color w:val="000000" w:themeColor="text1"/>
        </w:rPr>
        <w:noBreakHyphen/>
        <w:t>année parmi les 5</w:t>
      </w:r>
      <w:r w:rsidR="003540B3" w:rsidRPr="0058432E">
        <w:rPr>
          <w:color w:val="000000" w:themeColor="text1"/>
        </w:rPr>
        <w:t> </w:t>
      </w:r>
      <w:r w:rsidRPr="0058432E">
        <w:rPr>
          <w:color w:val="000000" w:themeColor="text1"/>
        </w:rPr>
        <w:t>291 patients traités par adalimumab, a été observé versus un taux de 6,3 (3,4</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11,8) pour 1 000 patient</w:t>
      </w:r>
      <w:r w:rsidR="005B6343" w:rsidRPr="0058432E">
        <w:rPr>
          <w:color w:val="000000" w:themeColor="text1"/>
        </w:rPr>
        <w:t>s</w:t>
      </w:r>
      <w:r w:rsidRPr="0058432E">
        <w:rPr>
          <w:color w:val="000000" w:themeColor="text1"/>
        </w:rPr>
        <w:noBreakHyphen/>
        <w:t xml:space="preserve">année parmi les 3 444 patients du groupe contrôle (la durée moyenne du traitement était de 4,0 mois pour les patients traités par adalimumab et de 3,8 mois pour les patients du groupe contrôle). Le taux (intervalle de confiance à 95 %) de cancers de la peau </w:t>
      </w:r>
      <w:proofErr w:type="gramStart"/>
      <w:r w:rsidRPr="0058432E">
        <w:rPr>
          <w:color w:val="000000" w:themeColor="text1"/>
        </w:rPr>
        <w:t>non mélanomes</w:t>
      </w:r>
      <w:proofErr w:type="gramEnd"/>
      <w:r w:rsidRPr="0058432E">
        <w:rPr>
          <w:color w:val="000000" w:themeColor="text1"/>
        </w:rPr>
        <w:t xml:space="preserve"> était de 8,8 (6,0</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13,0) pour 1 000 patient</w:t>
      </w:r>
      <w:r w:rsidR="005B6343" w:rsidRPr="0058432E">
        <w:rPr>
          <w:color w:val="000000" w:themeColor="text1"/>
        </w:rPr>
        <w:t>s</w:t>
      </w:r>
      <w:r w:rsidRPr="0058432E">
        <w:rPr>
          <w:color w:val="000000" w:themeColor="text1"/>
        </w:rPr>
        <w:noBreakHyphen/>
        <w:t xml:space="preserve">année </w:t>
      </w:r>
      <w:r w:rsidR="00E91790" w:rsidRPr="0058432E">
        <w:rPr>
          <w:color w:val="000000" w:themeColor="text1"/>
        </w:rPr>
        <w:t xml:space="preserve">parmi </w:t>
      </w:r>
      <w:r w:rsidRPr="0058432E">
        <w:rPr>
          <w:color w:val="000000" w:themeColor="text1"/>
        </w:rPr>
        <w:t>les patients traités par adalimumab et de 3,2 (1,3</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7,6) pour 1 000 patient</w:t>
      </w:r>
      <w:r w:rsidR="005B6343" w:rsidRPr="0058432E">
        <w:rPr>
          <w:color w:val="000000" w:themeColor="text1"/>
        </w:rPr>
        <w:t>s</w:t>
      </w:r>
      <w:r w:rsidRPr="0058432E">
        <w:rPr>
          <w:color w:val="000000" w:themeColor="text1"/>
        </w:rPr>
        <w:noBreakHyphen/>
        <w:t xml:space="preserve">année parmi les patients du groupe contrôle. Dans ces cancers de la peau, </w:t>
      </w:r>
      <w:r w:rsidR="005B6343" w:rsidRPr="0058432E">
        <w:rPr>
          <w:color w:val="000000" w:themeColor="text1"/>
        </w:rPr>
        <w:t>d</w:t>
      </w:r>
      <w:r w:rsidRPr="0058432E">
        <w:rPr>
          <w:color w:val="000000" w:themeColor="text1"/>
        </w:rPr>
        <w:t xml:space="preserve">es carcinomes spino-cellulaires sont survenus à des taux </w:t>
      </w:r>
      <w:r w:rsidR="005B6343" w:rsidRPr="0058432E">
        <w:rPr>
          <w:color w:val="000000" w:themeColor="text1"/>
          <w:spacing w:val="-1"/>
        </w:rPr>
        <w:t>(intervalle</w:t>
      </w:r>
      <w:r w:rsidR="005B6343" w:rsidRPr="0058432E">
        <w:rPr>
          <w:color w:val="000000" w:themeColor="text1"/>
        </w:rPr>
        <w:t xml:space="preserve"> de</w:t>
      </w:r>
      <w:r w:rsidR="005B6343" w:rsidRPr="0058432E">
        <w:rPr>
          <w:color w:val="000000" w:themeColor="text1"/>
          <w:spacing w:val="-2"/>
        </w:rPr>
        <w:t xml:space="preserve"> </w:t>
      </w:r>
      <w:r w:rsidR="005B6343" w:rsidRPr="0058432E">
        <w:rPr>
          <w:color w:val="000000" w:themeColor="text1"/>
          <w:spacing w:val="-1"/>
        </w:rPr>
        <w:t>confiance</w:t>
      </w:r>
      <w:r w:rsidR="005B6343" w:rsidRPr="0058432E">
        <w:rPr>
          <w:color w:val="000000" w:themeColor="text1"/>
          <w:spacing w:val="-2"/>
        </w:rPr>
        <w:t xml:space="preserve"> </w:t>
      </w:r>
      <w:r w:rsidR="005B6343" w:rsidRPr="0058432E">
        <w:rPr>
          <w:color w:val="000000" w:themeColor="text1"/>
        </w:rPr>
        <w:t>à 95</w:t>
      </w:r>
      <w:r w:rsidR="005B6343" w:rsidRPr="0058432E">
        <w:rPr>
          <w:color w:val="000000" w:themeColor="text1"/>
          <w:spacing w:val="-3"/>
        </w:rPr>
        <w:t xml:space="preserve"> </w:t>
      </w:r>
      <w:r w:rsidR="005B6343" w:rsidRPr="0058432E">
        <w:rPr>
          <w:color w:val="000000" w:themeColor="text1"/>
        </w:rPr>
        <w:t>%)</w:t>
      </w:r>
      <w:r w:rsidR="005B6343" w:rsidRPr="0058432E">
        <w:rPr>
          <w:color w:val="000000" w:themeColor="text1"/>
          <w:spacing w:val="1"/>
        </w:rPr>
        <w:t xml:space="preserve"> </w:t>
      </w:r>
      <w:r w:rsidRPr="0058432E">
        <w:rPr>
          <w:color w:val="000000" w:themeColor="text1"/>
        </w:rPr>
        <w:t>de 2,7 (1,4</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5,4) pour 1 000 patient</w:t>
      </w:r>
      <w:r w:rsidR="005B6343" w:rsidRPr="0058432E">
        <w:rPr>
          <w:color w:val="000000" w:themeColor="text1"/>
        </w:rPr>
        <w:t>s</w:t>
      </w:r>
      <w:r w:rsidRPr="0058432E">
        <w:rPr>
          <w:color w:val="000000" w:themeColor="text1"/>
        </w:rPr>
        <w:noBreakHyphen/>
        <w:t xml:space="preserve">année </w:t>
      </w:r>
      <w:r w:rsidR="00E91790" w:rsidRPr="0058432E">
        <w:rPr>
          <w:color w:val="000000" w:themeColor="text1"/>
        </w:rPr>
        <w:t xml:space="preserve">parmi </w:t>
      </w:r>
      <w:r w:rsidRPr="0058432E">
        <w:rPr>
          <w:color w:val="000000" w:themeColor="text1"/>
        </w:rPr>
        <w:t>les patients traités par adalimumab et 0,6 (0,1</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4,5) pour 1 000 patient</w:t>
      </w:r>
      <w:r w:rsidR="005B6343" w:rsidRPr="0058432E">
        <w:rPr>
          <w:color w:val="000000" w:themeColor="text1"/>
        </w:rPr>
        <w:t>s</w:t>
      </w:r>
      <w:r w:rsidRPr="0058432E">
        <w:rPr>
          <w:color w:val="000000" w:themeColor="text1"/>
        </w:rPr>
        <w:noBreakHyphen/>
        <w:t xml:space="preserve">année </w:t>
      </w:r>
      <w:r w:rsidR="00E91790" w:rsidRPr="0058432E">
        <w:rPr>
          <w:color w:val="000000" w:themeColor="text1"/>
        </w:rPr>
        <w:t xml:space="preserve">parmi </w:t>
      </w:r>
      <w:r w:rsidRPr="0058432E">
        <w:rPr>
          <w:color w:val="000000" w:themeColor="text1"/>
        </w:rPr>
        <w:t>les patients du groupe contrôle. Le taux (intervalle de confiance à 95 %) de lymphomes était de 0,7 (0,2</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2,7) pour 1 000 patient</w:t>
      </w:r>
      <w:r w:rsidR="005B6343" w:rsidRPr="0058432E">
        <w:rPr>
          <w:color w:val="000000" w:themeColor="text1"/>
        </w:rPr>
        <w:t>s</w:t>
      </w:r>
      <w:r w:rsidRPr="0058432E">
        <w:rPr>
          <w:color w:val="000000" w:themeColor="text1"/>
        </w:rPr>
        <w:noBreakHyphen/>
        <w:t xml:space="preserve">année </w:t>
      </w:r>
      <w:r w:rsidR="00AB7767" w:rsidRPr="0058432E">
        <w:rPr>
          <w:color w:val="000000" w:themeColor="text1"/>
        </w:rPr>
        <w:t xml:space="preserve">parmi </w:t>
      </w:r>
      <w:r w:rsidRPr="0058432E">
        <w:rPr>
          <w:color w:val="000000" w:themeColor="text1"/>
        </w:rPr>
        <w:t>les patients traités par adalimumab et 0,6 (0,1</w:t>
      </w:r>
      <w:r w:rsidR="003540B3" w:rsidRPr="0058432E">
        <w:rPr>
          <w:color w:val="000000" w:themeColor="text1"/>
        </w:rPr>
        <w:t> </w:t>
      </w:r>
      <w:r w:rsidRPr="0058432E">
        <w:rPr>
          <w:color w:val="000000" w:themeColor="text1"/>
        </w:rPr>
        <w:t>–</w:t>
      </w:r>
      <w:r w:rsidR="003540B3" w:rsidRPr="0058432E">
        <w:rPr>
          <w:color w:val="000000" w:themeColor="text1"/>
        </w:rPr>
        <w:t> </w:t>
      </w:r>
      <w:r w:rsidRPr="0058432E">
        <w:rPr>
          <w:color w:val="000000" w:themeColor="text1"/>
        </w:rPr>
        <w:t>4,5) pour 1 000 patient</w:t>
      </w:r>
      <w:r w:rsidR="005B6343" w:rsidRPr="0058432E">
        <w:rPr>
          <w:color w:val="000000" w:themeColor="text1"/>
        </w:rPr>
        <w:t>s</w:t>
      </w:r>
      <w:r w:rsidRPr="0058432E">
        <w:rPr>
          <w:color w:val="000000" w:themeColor="text1"/>
        </w:rPr>
        <w:noBreakHyphen/>
        <w:t xml:space="preserve">année </w:t>
      </w:r>
      <w:r w:rsidR="00AB7767" w:rsidRPr="0058432E">
        <w:rPr>
          <w:color w:val="000000" w:themeColor="text1"/>
        </w:rPr>
        <w:t xml:space="preserve">parmi </w:t>
      </w:r>
      <w:r w:rsidRPr="0058432E">
        <w:rPr>
          <w:color w:val="000000" w:themeColor="text1"/>
        </w:rPr>
        <w:t xml:space="preserve">les patients du groupe contrôle. </w:t>
      </w:r>
    </w:p>
    <w:p w14:paraId="02512528" w14:textId="77777777" w:rsidR="00C46587" w:rsidRPr="0058432E" w:rsidRDefault="00C46587" w:rsidP="00982118">
      <w:pPr>
        <w:rPr>
          <w:color w:val="000000" w:themeColor="text1"/>
        </w:rPr>
      </w:pPr>
    </w:p>
    <w:p w14:paraId="7E0B2B78" w14:textId="77777777" w:rsidR="00C46587" w:rsidRPr="0058432E" w:rsidRDefault="00C46587" w:rsidP="00982118">
      <w:pPr>
        <w:rPr>
          <w:color w:val="000000" w:themeColor="text1"/>
        </w:rPr>
      </w:pPr>
      <w:r w:rsidRPr="0058432E">
        <w:rPr>
          <w:color w:val="000000" w:themeColor="text1"/>
        </w:rPr>
        <w:t xml:space="preserve">En joignant les périodes contrôlées de ces essais et les </w:t>
      </w:r>
      <w:r w:rsidR="00265393" w:rsidRPr="0058432E">
        <w:rPr>
          <w:color w:val="000000" w:themeColor="text1"/>
        </w:rPr>
        <w:t xml:space="preserve">études </w:t>
      </w:r>
      <w:r w:rsidRPr="0058432E">
        <w:rPr>
          <w:color w:val="000000" w:themeColor="text1"/>
        </w:rPr>
        <w:t>d’extension en ouvert terminé</w:t>
      </w:r>
      <w:r w:rsidR="00265393" w:rsidRPr="0058432E">
        <w:rPr>
          <w:color w:val="000000" w:themeColor="text1"/>
        </w:rPr>
        <w:t>e</w:t>
      </w:r>
      <w:r w:rsidRPr="0058432E">
        <w:rPr>
          <w:color w:val="000000" w:themeColor="text1"/>
        </w:rPr>
        <w:t>s ou en cours avec une durée moyenne d’environ 3,3 ans incluant 6 427 patients et plus de 26 439 patient</w:t>
      </w:r>
      <w:r w:rsidR="005B6343" w:rsidRPr="0058432E">
        <w:rPr>
          <w:color w:val="000000" w:themeColor="text1"/>
        </w:rPr>
        <w:t>s</w:t>
      </w:r>
      <w:r w:rsidRPr="0058432E">
        <w:rPr>
          <w:color w:val="000000" w:themeColor="text1"/>
        </w:rPr>
        <w:noBreakHyphen/>
        <w:t xml:space="preserve">année de traitement, le taux observé de cancers, autres que lymphomes et cancers de la peau </w:t>
      </w:r>
      <w:proofErr w:type="gramStart"/>
      <w:r w:rsidRPr="0058432E">
        <w:rPr>
          <w:color w:val="000000" w:themeColor="text1"/>
        </w:rPr>
        <w:t>non mélanomes</w:t>
      </w:r>
      <w:proofErr w:type="gramEnd"/>
      <w:r w:rsidRPr="0058432E">
        <w:rPr>
          <w:color w:val="000000" w:themeColor="text1"/>
        </w:rPr>
        <w:t xml:space="preserve"> est d’environ 8,5 pour 1 000 patient</w:t>
      </w:r>
      <w:r w:rsidR="005B6343" w:rsidRPr="0058432E">
        <w:rPr>
          <w:color w:val="000000" w:themeColor="text1"/>
        </w:rPr>
        <w:t>s</w:t>
      </w:r>
      <w:r w:rsidRPr="0058432E">
        <w:rPr>
          <w:color w:val="000000" w:themeColor="text1"/>
        </w:rPr>
        <w:noBreakHyphen/>
        <w:t>année. Le taux observé de cancers de la peau non-mélanomes est d’environ 9,6 pour 1 000 patient</w:t>
      </w:r>
      <w:r w:rsidR="005B6343" w:rsidRPr="0058432E">
        <w:rPr>
          <w:color w:val="000000" w:themeColor="text1"/>
        </w:rPr>
        <w:t>s</w:t>
      </w:r>
      <w:r w:rsidRPr="0058432E">
        <w:rPr>
          <w:color w:val="000000" w:themeColor="text1"/>
        </w:rPr>
        <w:noBreakHyphen/>
        <w:t>année et le taux de lymphomes observés est d’environ 1,3 pour 1 000 patient</w:t>
      </w:r>
      <w:r w:rsidR="00DF7121" w:rsidRPr="0058432E">
        <w:rPr>
          <w:color w:val="000000" w:themeColor="text1"/>
        </w:rPr>
        <w:t>s</w:t>
      </w:r>
      <w:r w:rsidRPr="0058432E">
        <w:rPr>
          <w:color w:val="000000" w:themeColor="text1"/>
        </w:rPr>
        <w:noBreakHyphen/>
        <w:t xml:space="preserve">année. </w:t>
      </w:r>
    </w:p>
    <w:p w14:paraId="0D8FA6CA" w14:textId="77777777" w:rsidR="00C46587" w:rsidRPr="0058432E" w:rsidRDefault="00C46587" w:rsidP="00982118">
      <w:pPr>
        <w:rPr>
          <w:color w:val="000000" w:themeColor="text1"/>
        </w:rPr>
      </w:pPr>
    </w:p>
    <w:p w14:paraId="5AFE5817" w14:textId="03BA1316" w:rsidR="00C46587" w:rsidRPr="0058432E" w:rsidRDefault="00265393" w:rsidP="00982118">
      <w:pPr>
        <w:rPr>
          <w:color w:val="000000" w:themeColor="text1"/>
        </w:rPr>
      </w:pPr>
      <w:r w:rsidRPr="0058432E">
        <w:rPr>
          <w:color w:val="000000" w:themeColor="text1"/>
        </w:rPr>
        <w:t>Après la mise sur le marché</w:t>
      </w:r>
      <w:r w:rsidR="00C46587" w:rsidRPr="0058432E">
        <w:rPr>
          <w:color w:val="000000" w:themeColor="text1"/>
        </w:rPr>
        <w:t xml:space="preserve"> de janvier 2003 à décembre 2010, essentiellement chez les patients atteints de polyarthrite rhumatoïde, le taux </w:t>
      </w:r>
      <w:r w:rsidR="00C50EAF" w:rsidRPr="0058432E">
        <w:rPr>
          <w:color w:val="000000" w:themeColor="text1"/>
        </w:rPr>
        <w:t xml:space="preserve">spontanément </w:t>
      </w:r>
      <w:r w:rsidR="00C46587" w:rsidRPr="0058432E">
        <w:rPr>
          <w:color w:val="000000" w:themeColor="text1"/>
        </w:rPr>
        <w:t>rapporté de cancers est approximativement de 2,7 pour 1 000 patient</w:t>
      </w:r>
      <w:r w:rsidR="00DF7121" w:rsidRPr="0058432E">
        <w:rPr>
          <w:color w:val="000000" w:themeColor="text1"/>
        </w:rPr>
        <w:t>s</w:t>
      </w:r>
      <w:r w:rsidR="00C46587" w:rsidRPr="0058432E">
        <w:rPr>
          <w:color w:val="000000" w:themeColor="text1"/>
        </w:rPr>
        <w:noBreakHyphen/>
        <w:t xml:space="preserve">année de traitement. Les taux </w:t>
      </w:r>
      <w:r w:rsidR="00C50EAF" w:rsidRPr="0058432E">
        <w:rPr>
          <w:color w:val="000000" w:themeColor="text1"/>
        </w:rPr>
        <w:t xml:space="preserve">spontanément </w:t>
      </w:r>
      <w:r w:rsidR="00C46587" w:rsidRPr="0058432E">
        <w:rPr>
          <w:color w:val="000000" w:themeColor="text1"/>
        </w:rPr>
        <w:t>rapportés pour les cancers de la peau non-mélanomes et les lymphomes sont respectivement d’environ 0,2 et 0,3 pour 1 000 patient</w:t>
      </w:r>
      <w:r w:rsidRPr="0058432E">
        <w:rPr>
          <w:color w:val="000000" w:themeColor="text1"/>
        </w:rPr>
        <w:t>s</w:t>
      </w:r>
      <w:r w:rsidR="00C46587" w:rsidRPr="0058432E">
        <w:rPr>
          <w:color w:val="000000" w:themeColor="text1"/>
        </w:rPr>
        <w:t xml:space="preserve">-année de traitement (voir rubrique 4.4). </w:t>
      </w:r>
    </w:p>
    <w:p w14:paraId="6A8659D9" w14:textId="77777777" w:rsidR="00C46587" w:rsidRPr="0058432E" w:rsidRDefault="00C46587" w:rsidP="00982118">
      <w:pPr>
        <w:rPr>
          <w:color w:val="000000" w:themeColor="text1"/>
        </w:rPr>
      </w:pPr>
    </w:p>
    <w:p w14:paraId="3F31BE76" w14:textId="77777777" w:rsidR="00C46587" w:rsidRPr="0058432E" w:rsidRDefault="00265393" w:rsidP="00982118">
      <w:pPr>
        <w:rPr>
          <w:color w:val="000000" w:themeColor="text1"/>
        </w:rPr>
      </w:pPr>
      <w:r w:rsidRPr="0058432E">
        <w:rPr>
          <w:color w:val="000000" w:themeColor="text1"/>
        </w:rPr>
        <w:t>Après la mise sur le marché</w:t>
      </w:r>
      <w:r w:rsidR="00C46587" w:rsidRPr="0058432E">
        <w:rPr>
          <w:color w:val="000000" w:themeColor="text1"/>
        </w:rPr>
        <w:t xml:space="preserve">, de rares cas de lymphome hépatosplénique à lymphocytes T ont été rapportés chez des patients traités </w:t>
      </w:r>
      <w:r w:rsidR="008E7545" w:rsidRPr="0058432E">
        <w:rPr>
          <w:color w:val="000000" w:themeColor="text1"/>
        </w:rPr>
        <w:t>par adalimumab</w:t>
      </w:r>
      <w:r w:rsidR="00C46587" w:rsidRPr="0058432E">
        <w:rPr>
          <w:color w:val="000000" w:themeColor="text1"/>
        </w:rPr>
        <w:t xml:space="preserve"> (voir rubrique 4.4). </w:t>
      </w:r>
    </w:p>
    <w:p w14:paraId="72648C88" w14:textId="77777777" w:rsidR="00C46587" w:rsidRPr="0058432E" w:rsidRDefault="00C46587" w:rsidP="00982118">
      <w:pPr>
        <w:rPr>
          <w:color w:val="000000" w:themeColor="text1"/>
        </w:rPr>
      </w:pPr>
    </w:p>
    <w:p w14:paraId="16702B2E" w14:textId="77777777" w:rsidR="00C46587" w:rsidRPr="0058432E" w:rsidRDefault="00C46587" w:rsidP="00982118">
      <w:pPr>
        <w:keepNext/>
        <w:rPr>
          <w:i/>
          <w:color w:val="000000" w:themeColor="text1"/>
        </w:rPr>
      </w:pPr>
      <w:r w:rsidRPr="0058432E">
        <w:rPr>
          <w:i/>
          <w:color w:val="000000" w:themeColor="text1"/>
        </w:rPr>
        <w:t xml:space="preserve">Auto-anticorps </w:t>
      </w:r>
    </w:p>
    <w:p w14:paraId="68353B3B" w14:textId="77777777" w:rsidR="00C46587" w:rsidRPr="0058432E" w:rsidRDefault="00C46587" w:rsidP="00982118">
      <w:pPr>
        <w:keepNext/>
        <w:rPr>
          <w:color w:val="000000" w:themeColor="text1"/>
        </w:rPr>
      </w:pPr>
    </w:p>
    <w:p w14:paraId="5D2E3720" w14:textId="77777777" w:rsidR="00C46587" w:rsidRPr="0058432E" w:rsidRDefault="00C46587" w:rsidP="00982118">
      <w:pPr>
        <w:rPr>
          <w:color w:val="000000" w:themeColor="text1"/>
        </w:rPr>
      </w:pPr>
      <w:r w:rsidRPr="0058432E">
        <w:rPr>
          <w:color w:val="000000" w:themeColor="text1"/>
        </w:rPr>
        <w:t xml:space="preserve">Des recherches d’auto-anticorps répétées ont été effectuées sur des échantillons de sérum des patients des essais I-V dans la polyarthrite rhumatoïde. Dans ces essais, les titres d’anticorps antinucléaires initialement négatifs étaient positifs à la semaine 24 chez 11,9 % des patients traités </w:t>
      </w:r>
      <w:r w:rsidR="008E7545" w:rsidRPr="0058432E">
        <w:rPr>
          <w:color w:val="000000" w:themeColor="text1"/>
        </w:rPr>
        <w:t>par adalimumab</w:t>
      </w:r>
      <w:r w:rsidRPr="0058432E">
        <w:rPr>
          <w:color w:val="000000" w:themeColor="text1"/>
        </w:rPr>
        <w:t xml:space="preserve"> et 8,1 % des patients sous placebo et comparateur. Deux patients sur les 3 441 traités par adalimumab dans toutes les études dans la polyarthrite rhumatoïde et le rhumatisme psoriasique ont présenté des signes cliniques évoquant un syndrome pseudo</w:t>
      </w:r>
      <w:r w:rsidRPr="0058432E">
        <w:rPr>
          <w:color w:val="000000" w:themeColor="text1"/>
        </w:rPr>
        <w:noBreakHyphen/>
        <w:t xml:space="preserve">lupique d’apparition nouvelle. L’état des patients s’est amélioré après l’arrêt du traitement. Aucun patient n’a présenté de néphrite lupique ou de symptômes nerveux centraux. </w:t>
      </w:r>
    </w:p>
    <w:p w14:paraId="5105A7A8" w14:textId="77777777" w:rsidR="00C46587" w:rsidRPr="0058432E" w:rsidRDefault="00C46587" w:rsidP="00982118">
      <w:pPr>
        <w:rPr>
          <w:color w:val="000000" w:themeColor="text1"/>
        </w:rPr>
      </w:pPr>
    </w:p>
    <w:p w14:paraId="60FDBA7C" w14:textId="77777777" w:rsidR="00C46587" w:rsidRPr="0058432E" w:rsidRDefault="00BA3C3F" w:rsidP="00982118">
      <w:pPr>
        <w:keepNext/>
        <w:rPr>
          <w:i/>
          <w:color w:val="000000" w:themeColor="text1"/>
        </w:rPr>
      </w:pPr>
      <w:r w:rsidRPr="0058432E">
        <w:rPr>
          <w:i/>
          <w:color w:val="000000" w:themeColor="text1"/>
        </w:rPr>
        <w:t>É</w:t>
      </w:r>
      <w:r w:rsidR="00C46587" w:rsidRPr="0058432E">
        <w:rPr>
          <w:i/>
          <w:color w:val="000000" w:themeColor="text1"/>
        </w:rPr>
        <w:t xml:space="preserve">vénements hépatobiliaires </w:t>
      </w:r>
    </w:p>
    <w:p w14:paraId="00E81AD1" w14:textId="77777777" w:rsidR="00C46587" w:rsidRPr="0058432E" w:rsidRDefault="00C46587" w:rsidP="00982118">
      <w:pPr>
        <w:keepNext/>
        <w:rPr>
          <w:i/>
          <w:color w:val="000000" w:themeColor="text1"/>
        </w:rPr>
      </w:pPr>
    </w:p>
    <w:p w14:paraId="63596963" w14:textId="77777777" w:rsidR="00C46587" w:rsidRPr="0058432E" w:rsidRDefault="00C46587" w:rsidP="00982118">
      <w:pPr>
        <w:rPr>
          <w:color w:val="000000" w:themeColor="text1"/>
        </w:rPr>
      </w:pPr>
      <w:r w:rsidRPr="0058432E">
        <w:rPr>
          <w:color w:val="000000" w:themeColor="text1"/>
        </w:rPr>
        <w:t xml:space="preserve">Dans les essais contrôlés de phase III </w:t>
      </w:r>
      <w:r w:rsidR="00265393" w:rsidRPr="0058432E">
        <w:rPr>
          <w:color w:val="000000" w:themeColor="text1"/>
        </w:rPr>
        <w:t>chez les patients atteints de</w:t>
      </w:r>
      <w:r w:rsidRPr="0058432E">
        <w:rPr>
          <w:color w:val="000000" w:themeColor="text1"/>
        </w:rPr>
        <w:t xml:space="preserve"> polyarthrite rhumatoïde et </w:t>
      </w:r>
      <w:r w:rsidR="00265393" w:rsidRPr="0058432E">
        <w:rPr>
          <w:color w:val="000000" w:themeColor="text1"/>
        </w:rPr>
        <w:t>d</w:t>
      </w:r>
      <w:r w:rsidRPr="0058432E">
        <w:rPr>
          <w:color w:val="000000" w:themeColor="text1"/>
        </w:rPr>
        <w:t xml:space="preserve">e rhumatisme psoriasique avec une période de contrôle de 4 à 104 semaines, des élévations d’ALAT ≥ 3 x LSN sont survenues chez 3,7 % des patients traités par adalimumab et chez 1,6 % des patients du groupe contrôle. </w:t>
      </w:r>
    </w:p>
    <w:p w14:paraId="782CF446" w14:textId="77777777" w:rsidR="00C46587" w:rsidRPr="0058432E" w:rsidRDefault="00C46587" w:rsidP="00982118">
      <w:pPr>
        <w:rPr>
          <w:color w:val="000000" w:themeColor="text1"/>
        </w:rPr>
      </w:pPr>
    </w:p>
    <w:p w14:paraId="6FA409A7" w14:textId="77777777" w:rsidR="00C46587" w:rsidRPr="0058432E" w:rsidRDefault="00C46587" w:rsidP="00982118">
      <w:pPr>
        <w:rPr>
          <w:color w:val="000000" w:themeColor="text1"/>
        </w:rPr>
      </w:pPr>
      <w:r w:rsidRPr="0058432E">
        <w:rPr>
          <w:color w:val="000000" w:themeColor="text1"/>
        </w:rPr>
        <w:t xml:space="preserve">Dans les essais contrôlés de phase III de l’adalimumab chez les patients atteints d’arthrite juvénile idiopathique polyarticulaire âgés de 4 à 17 ans et les patients atteints d’arthrite liée à l’enthésite âgés de 6 à 17 ans, des élévations d’ALAT ≥ 3 x LSN sont survenues chez 6,1 % des patients traités par adalimumab et chez 1,3 % des patients du groupe contrôle. La plupart des élévations d’ALAT sont survenues dans le cadre d’une utilisation concomitante de méthotrexate. Aucune élévation d’ALAT ≥ 3 x LSN n’est survenue au cours de l’essai de phase III de l’adalimumab chez des patients atteints d’arthrite juvénile idiopathique polyarticulaire âgés de 2 à &lt; 4 ans. </w:t>
      </w:r>
    </w:p>
    <w:p w14:paraId="03133EFD" w14:textId="77777777" w:rsidR="00C46587" w:rsidRPr="0058432E" w:rsidRDefault="00C46587" w:rsidP="00982118">
      <w:pPr>
        <w:rPr>
          <w:color w:val="000000" w:themeColor="text1"/>
        </w:rPr>
      </w:pPr>
    </w:p>
    <w:p w14:paraId="14641201" w14:textId="77777777" w:rsidR="00C46587" w:rsidRPr="0058432E" w:rsidRDefault="00C46587" w:rsidP="00982118">
      <w:pPr>
        <w:rPr>
          <w:color w:val="000000" w:themeColor="text1"/>
        </w:rPr>
      </w:pPr>
      <w:r w:rsidRPr="0058432E">
        <w:rPr>
          <w:color w:val="000000" w:themeColor="text1"/>
        </w:rPr>
        <w:lastRenderedPageBreak/>
        <w:t xml:space="preserve">Dans les essais contrôlés de phase III de l’adalimumab chez les patients atteints de maladie de Crohn et de rectocolite hémorragique avec une période de contrôle de 4 à 52 semaines, des élévations d’ALAT ≥ 3 x LSN sont survenues chez 0,9 % des patients traités par adalimumab et chez 0,9 % des patients du groupe contrôle. </w:t>
      </w:r>
    </w:p>
    <w:p w14:paraId="5E137CA4" w14:textId="77777777" w:rsidR="00C46587" w:rsidRPr="0058432E" w:rsidRDefault="00C46587" w:rsidP="00982118">
      <w:pPr>
        <w:rPr>
          <w:color w:val="000000" w:themeColor="text1"/>
        </w:rPr>
      </w:pPr>
    </w:p>
    <w:p w14:paraId="2CA18CFA" w14:textId="77777777" w:rsidR="00C46587" w:rsidRPr="0058432E" w:rsidRDefault="00C46587" w:rsidP="00982118">
      <w:pPr>
        <w:rPr>
          <w:color w:val="000000" w:themeColor="text1"/>
        </w:rPr>
      </w:pPr>
      <w:r w:rsidRPr="0058432E">
        <w:rPr>
          <w:color w:val="000000" w:themeColor="text1"/>
        </w:rPr>
        <w:t xml:space="preserve">Dans l’essai de phase III de l’adalimumab chez les enfants et adolescents atteints de maladie de Crohn qui a évalué l’efficacité et le profil de </w:t>
      </w:r>
      <w:r w:rsidR="00265393" w:rsidRPr="0058432E">
        <w:rPr>
          <w:color w:val="000000" w:themeColor="text1"/>
        </w:rPr>
        <w:t xml:space="preserve">tolérance </w:t>
      </w:r>
      <w:r w:rsidRPr="0058432E">
        <w:rPr>
          <w:color w:val="000000" w:themeColor="text1"/>
        </w:rPr>
        <w:t xml:space="preserve">de deux schémas posologiques d’entretien en fonction du poids </w:t>
      </w:r>
      <w:r w:rsidR="00265393" w:rsidRPr="0058432E">
        <w:rPr>
          <w:color w:val="000000" w:themeColor="text1"/>
        </w:rPr>
        <w:t xml:space="preserve">corporel </w:t>
      </w:r>
      <w:r w:rsidRPr="0058432E">
        <w:rPr>
          <w:color w:val="000000" w:themeColor="text1"/>
        </w:rPr>
        <w:t>après un traitement d’induction ajusté au poids</w:t>
      </w:r>
      <w:r w:rsidR="00265393" w:rsidRPr="0058432E">
        <w:rPr>
          <w:color w:val="000000" w:themeColor="text1"/>
        </w:rPr>
        <w:t xml:space="preserve"> corporel</w:t>
      </w:r>
      <w:r w:rsidRPr="0058432E">
        <w:rPr>
          <w:color w:val="000000" w:themeColor="text1"/>
        </w:rPr>
        <w:t xml:space="preserve"> jusqu’à 52 semaines de traitement, des élévations d’ALAT ≥ 3 x LSN sont survenues chez 2,6 % des patients (5/192), parmi lesquels 4 étaient traités en association avec des immunosuppresseurs </w:t>
      </w:r>
      <w:r w:rsidR="00265393" w:rsidRPr="0058432E">
        <w:rPr>
          <w:color w:val="000000" w:themeColor="text1"/>
        </w:rPr>
        <w:t>à l’inclusion</w:t>
      </w:r>
      <w:r w:rsidRPr="0058432E">
        <w:rPr>
          <w:color w:val="000000" w:themeColor="text1"/>
        </w:rPr>
        <w:t xml:space="preserve">. </w:t>
      </w:r>
    </w:p>
    <w:p w14:paraId="4CAA0DCA" w14:textId="77777777" w:rsidR="00C46587" w:rsidRPr="0058432E" w:rsidRDefault="00C46587" w:rsidP="00982118">
      <w:pPr>
        <w:rPr>
          <w:color w:val="000000" w:themeColor="text1"/>
        </w:rPr>
      </w:pPr>
    </w:p>
    <w:p w14:paraId="32DFD65A" w14:textId="77777777" w:rsidR="00C46587" w:rsidRPr="0058432E" w:rsidRDefault="00C46587" w:rsidP="00982118">
      <w:pPr>
        <w:rPr>
          <w:color w:val="000000" w:themeColor="text1"/>
        </w:rPr>
      </w:pPr>
      <w:r w:rsidRPr="0058432E">
        <w:rPr>
          <w:color w:val="000000" w:themeColor="text1"/>
        </w:rPr>
        <w:t xml:space="preserve">Dans les essais contrôlés de phase III dans le psoriasis en plaques avec une période de contrôle de 12 à 24 semaines, des élévations d’ALAT ≥ 3 x LSN sont survenues chez 1,8 % des patients traités par adalimumab et chez 1,8 % des patients du groupe contrôle. </w:t>
      </w:r>
    </w:p>
    <w:p w14:paraId="502EF79D" w14:textId="77777777" w:rsidR="00C46587" w:rsidRPr="0058432E" w:rsidRDefault="00C46587" w:rsidP="00982118">
      <w:pPr>
        <w:rPr>
          <w:color w:val="000000" w:themeColor="text1"/>
        </w:rPr>
      </w:pPr>
    </w:p>
    <w:p w14:paraId="34DE0F5D" w14:textId="77777777" w:rsidR="00C46587" w:rsidRPr="0058432E" w:rsidRDefault="00C46587" w:rsidP="00982118">
      <w:pPr>
        <w:rPr>
          <w:color w:val="000000" w:themeColor="text1"/>
        </w:rPr>
      </w:pPr>
      <w:r w:rsidRPr="0058432E">
        <w:rPr>
          <w:color w:val="000000" w:themeColor="text1"/>
        </w:rPr>
        <w:t xml:space="preserve">Il n’a pas été observé d’élévations de l’ALAT ≥ 3 x LSN dans </w:t>
      </w:r>
      <w:r w:rsidR="00265393" w:rsidRPr="0058432E">
        <w:rPr>
          <w:color w:val="000000" w:themeColor="text1"/>
        </w:rPr>
        <w:t xml:space="preserve">l’essai </w:t>
      </w:r>
      <w:r w:rsidRPr="0058432E">
        <w:rPr>
          <w:color w:val="000000" w:themeColor="text1"/>
        </w:rPr>
        <w:t xml:space="preserve">de phase III de l’adalimumab chez des patients pédiatriques atteints de psoriasis en plaques. </w:t>
      </w:r>
    </w:p>
    <w:p w14:paraId="460027A5" w14:textId="77777777" w:rsidR="00C46587" w:rsidRPr="0058432E" w:rsidRDefault="00C46587" w:rsidP="00982118">
      <w:pPr>
        <w:rPr>
          <w:color w:val="000000" w:themeColor="text1"/>
        </w:rPr>
      </w:pPr>
    </w:p>
    <w:p w14:paraId="0EFDBC03" w14:textId="77777777" w:rsidR="00C46587" w:rsidRPr="0058432E" w:rsidRDefault="00C46587" w:rsidP="00982118">
      <w:pPr>
        <w:rPr>
          <w:color w:val="000000" w:themeColor="text1"/>
        </w:rPr>
      </w:pPr>
      <w:r w:rsidRPr="0058432E">
        <w:rPr>
          <w:color w:val="000000" w:themeColor="text1"/>
        </w:rPr>
        <w:t xml:space="preserve">Dans les essais contrôlés de l’adalimumab (doses initiales de 160 mg à la </w:t>
      </w:r>
      <w:r w:rsidR="00D85A0A" w:rsidRPr="0058432E">
        <w:rPr>
          <w:color w:val="000000" w:themeColor="text1"/>
        </w:rPr>
        <w:t>s</w:t>
      </w:r>
      <w:r w:rsidRPr="0058432E">
        <w:rPr>
          <w:color w:val="000000" w:themeColor="text1"/>
        </w:rPr>
        <w:t>emaine</w:t>
      </w:r>
      <w:r w:rsidR="00D85A0A" w:rsidRPr="0058432E">
        <w:rPr>
          <w:color w:val="000000" w:themeColor="text1"/>
        </w:rPr>
        <w:t> </w:t>
      </w:r>
      <w:r w:rsidRPr="0058432E">
        <w:rPr>
          <w:color w:val="000000" w:themeColor="text1"/>
        </w:rPr>
        <w:t xml:space="preserve">0 et 80 mg à la </w:t>
      </w:r>
      <w:r w:rsidR="00D85A0A" w:rsidRPr="0058432E">
        <w:rPr>
          <w:color w:val="000000" w:themeColor="text1"/>
        </w:rPr>
        <w:t>s</w:t>
      </w:r>
      <w:r w:rsidRPr="0058432E">
        <w:rPr>
          <w:color w:val="000000" w:themeColor="text1"/>
        </w:rPr>
        <w:t>emaine</w:t>
      </w:r>
      <w:r w:rsidR="00D85A0A" w:rsidRPr="0058432E">
        <w:rPr>
          <w:color w:val="000000" w:themeColor="text1"/>
        </w:rPr>
        <w:t> </w:t>
      </w:r>
      <w:r w:rsidRPr="0058432E">
        <w:rPr>
          <w:color w:val="000000" w:themeColor="text1"/>
        </w:rPr>
        <w:t>2 suivies de 40 mg chaque semaine à partir de la semaine</w:t>
      </w:r>
      <w:r w:rsidR="00654F00" w:rsidRPr="0058432E">
        <w:rPr>
          <w:color w:val="000000" w:themeColor="text1"/>
        </w:rPr>
        <w:t> </w:t>
      </w:r>
      <w:r w:rsidRPr="0058432E">
        <w:rPr>
          <w:color w:val="000000" w:themeColor="text1"/>
        </w:rPr>
        <w:t>4), chez les patients atteints d’hidrosadénite suppurée avec une période de contrôle de 12 à 16</w:t>
      </w:r>
      <w:r w:rsidR="00654F00" w:rsidRPr="0058432E">
        <w:rPr>
          <w:color w:val="000000" w:themeColor="text1"/>
        </w:rPr>
        <w:t> </w:t>
      </w:r>
      <w:r w:rsidRPr="0058432E">
        <w:rPr>
          <w:color w:val="000000" w:themeColor="text1"/>
        </w:rPr>
        <w:t xml:space="preserve">semaines, des élévations d’ALAT ≥ 3 x LSN sont survenues chez 0,3 % des patients traités par adalimumab et 0,6 % des patients du groupe contrôle. </w:t>
      </w:r>
    </w:p>
    <w:p w14:paraId="3722751D" w14:textId="77777777" w:rsidR="00C46587" w:rsidRPr="0058432E" w:rsidRDefault="00C46587" w:rsidP="00982118">
      <w:pPr>
        <w:rPr>
          <w:color w:val="000000" w:themeColor="text1"/>
        </w:rPr>
      </w:pPr>
    </w:p>
    <w:p w14:paraId="3FF3B1F3" w14:textId="77777777" w:rsidR="002F7C20" w:rsidRPr="0058432E" w:rsidRDefault="002F7C20" w:rsidP="00982118">
      <w:pPr>
        <w:rPr>
          <w:color w:val="000000" w:themeColor="text1"/>
        </w:rPr>
      </w:pPr>
      <w:r w:rsidRPr="0058432E">
        <w:rPr>
          <w:color w:val="000000" w:themeColor="text1"/>
        </w:rPr>
        <w:t>Dans les essais contrôlés de l’adalimumab (dose initiale de 80 mg à la semaine</w:t>
      </w:r>
      <w:r w:rsidR="00654F00" w:rsidRPr="0058432E">
        <w:rPr>
          <w:color w:val="000000" w:themeColor="text1"/>
        </w:rPr>
        <w:t> </w:t>
      </w:r>
      <w:r w:rsidRPr="0058432E">
        <w:rPr>
          <w:color w:val="000000" w:themeColor="text1"/>
        </w:rPr>
        <w:t>0 suivie de 40 mg toutes les deux semaines à partir de la semaine</w:t>
      </w:r>
      <w:r w:rsidR="00654F00" w:rsidRPr="0058432E">
        <w:rPr>
          <w:color w:val="000000" w:themeColor="text1"/>
        </w:rPr>
        <w:t> </w:t>
      </w:r>
      <w:r w:rsidRPr="0058432E">
        <w:rPr>
          <w:color w:val="000000" w:themeColor="text1"/>
        </w:rPr>
        <w:t>1) chez les patients adultes atteints d’uvéite pour une durée allant jusqu’à 80 semaines, avec une durée médiane d’exposition de respectivement 166,5</w:t>
      </w:r>
      <w:r w:rsidR="00C9690D" w:rsidRPr="0058432E">
        <w:rPr>
          <w:color w:val="000000" w:themeColor="text1"/>
        </w:rPr>
        <w:t> </w:t>
      </w:r>
      <w:r w:rsidRPr="0058432E">
        <w:rPr>
          <w:color w:val="000000" w:themeColor="text1"/>
        </w:rPr>
        <w:t>jours et 105,0 jours pour les patients traités par adalimumab et les patients du groupe contrôle, des élévations d’ALAT ≥ 3 x LSN sont survenues chez 2,4 % des patients traités par adalimumab et 2,4 % des patients du groupe contrôle.</w:t>
      </w:r>
    </w:p>
    <w:p w14:paraId="02FE9E02" w14:textId="77777777" w:rsidR="002F7C20" w:rsidRPr="0058432E" w:rsidRDefault="002F7C20" w:rsidP="00982118">
      <w:pPr>
        <w:rPr>
          <w:color w:val="000000" w:themeColor="text1"/>
        </w:rPr>
      </w:pPr>
    </w:p>
    <w:p w14:paraId="7D006753" w14:textId="77777777" w:rsidR="002C597C" w:rsidRPr="0058432E" w:rsidRDefault="002C597C" w:rsidP="002C597C">
      <w:pPr>
        <w:rPr>
          <w:color w:val="000000" w:themeColor="text1"/>
        </w:rPr>
      </w:pPr>
      <w:r w:rsidRPr="0058432E">
        <w:rPr>
          <w:color w:val="000000" w:themeColor="text1"/>
        </w:rPr>
        <w:t>Dans l’e</w:t>
      </w:r>
      <w:r w:rsidR="00045154" w:rsidRPr="0058432E">
        <w:rPr>
          <w:color w:val="000000" w:themeColor="text1"/>
        </w:rPr>
        <w:t>ssai clinique contrôlé de phase </w:t>
      </w:r>
      <w:r w:rsidRPr="0058432E">
        <w:rPr>
          <w:color w:val="000000" w:themeColor="text1"/>
        </w:rPr>
        <w:t xml:space="preserve">III </w:t>
      </w:r>
      <w:r w:rsidR="00045154" w:rsidRPr="0058432E">
        <w:rPr>
          <w:color w:val="000000" w:themeColor="text1"/>
        </w:rPr>
        <w:t xml:space="preserve">de l’adalimumab </w:t>
      </w:r>
      <w:r w:rsidRPr="0058432E">
        <w:rPr>
          <w:color w:val="000000" w:themeColor="text1"/>
        </w:rPr>
        <w:t xml:space="preserve">mené chez des </w:t>
      </w:r>
      <w:r w:rsidR="00DA7749" w:rsidRPr="0058432E">
        <w:rPr>
          <w:color w:val="000000" w:themeColor="text1"/>
        </w:rPr>
        <w:t>patients</w:t>
      </w:r>
      <w:r w:rsidRPr="0058432E">
        <w:rPr>
          <w:color w:val="000000" w:themeColor="text1"/>
        </w:rPr>
        <w:t xml:space="preserve"> atteints de rectocolite hémorragique</w:t>
      </w:r>
      <w:r w:rsidR="00DA7749" w:rsidRPr="0058432E">
        <w:rPr>
          <w:color w:val="000000" w:themeColor="text1"/>
        </w:rPr>
        <w:t xml:space="preserve"> pédiatrique (N = </w:t>
      </w:r>
      <w:r w:rsidRPr="0058432E">
        <w:rPr>
          <w:color w:val="000000" w:themeColor="text1"/>
        </w:rPr>
        <w:t xml:space="preserve">93) qui a évalué l’efficacité et </w:t>
      </w:r>
      <w:r w:rsidR="00DA7749" w:rsidRPr="0058432E">
        <w:rPr>
          <w:color w:val="000000" w:themeColor="text1"/>
        </w:rPr>
        <w:t>la</w:t>
      </w:r>
      <w:r w:rsidRPr="0058432E">
        <w:rPr>
          <w:color w:val="000000" w:themeColor="text1"/>
        </w:rPr>
        <w:t xml:space="preserve"> sécurit</w:t>
      </w:r>
      <w:r w:rsidR="00DA7749" w:rsidRPr="0058432E">
        <w:rPr>
          <w:color w:val="000000" w:themeColor="text1"/>
        </w:rPr>
        <w:t>é d’une dose d’entretien de 0,6 mg/kg (dose maximale de 40 </w:t>
      </w:r>
      <w:r w:rsidRPr="0058432E">
        <w:rPr>
          <w:color w:val="000000" w:themeColor="text1"/>
        </w:rPr>
        <w:t>mg) admi</w:t>
      </w:r>
      <w:r w:rsidR="00DA7749" w:rsidRPr="0058432E">
        <w:rPr>
          <w:color w:val="000000" w:themeColor="text1"/>
        </w:rPr>
        <w:t>nistrée une semaine sur deux (N = </w:t>
      </w:r>
      <w:r w:rsidRPr="0058432E">
        <w:rPr>
          <w:color w:val="000000" w:themeColor="text1"/>
        </w:rPr>
        <w:t>31) e</w:t>
      </w:r>
      <w:r w:rsidR="00DA7749" w:rsidRPr="0058432E">
        <w:rPr>
          <w:color w:val="000000" w:themeColor="text1"/>
        </w:rPr>
        <w:t>t d’une dose d’entretien de 0,6 </w:t>
      </w:r>
      <w:r w:rsidRPr="0058432E">
        <w:rPr>
          <w:color w:val="000000" w:themeColor="text1"/>
        </w:rPr>
        <w:t>mg/kg (dose maximal</w:t>
      </w:r>
      <w:r w:rsidR="00DA7749" w:rsidRPr="0058432E">
        <w:rPr>
          <w:color w:val="000000" w:themeColor="text1"/>
        </w:rPr>
        <w:t>e de 40 </w:t>
      </w:r>
      <w:r w:rsidRPr="0058432E">
        <w:rPr>
          <w:color w:val="000000" w:themeColor="text1"/>
        </w:rPr>
        <w:t>mg) administrée chaque semaine (N</w:t>
      </w:r>
      <w:r w:rsidR="00DA7749" w:rsidRPr="0058432E">
        <w:rPr>
          <w:color w:val="000000" w:themeColor="text1"/>
        </w:rPr>
        <w:t> = </w:t>
      </w:r>
      <w:r w:rsidRPr="0058432E">
        <w:rPr>
          <w:color w:val="000000" w:themeColor="text1"/>
        </w:rPr>
        <w:t>32), à la suite d’une dose d’induction ajustée en fo</w:t>
      </w:r>
      <w:r w:rsidR="00DA7749" w:rsidRPr="0058432E">
        <w:rPr>
          <w:color w:val="000000" w:themeColor="text1"/>
        </w:rPr>
        <w:t>nction du poids corporel de 2,4 </w:t>
      </w:r>
      <w:r w:rsidRPr="0058432E">
        <w:rPr>
          <w:color w:val="000000" w:themeColor="text1"/>
        </w:rPr>
        <w:t xml:space="preserve">mg/kg (dose maximale </w:t>
      </w:r>
      <w:r w:rsidR="00DA7749" w:rsidRPr="0058432E">
        <w:rPr>
          <w:color w:val="000000" w:themeColor="text1"/>
        </w:rPr>
        <w:t>de 160 mg) à la semaine 0 et à la semaine 1, et de 1,2 mg/kg (dose maximale de 80 mg) à la semaine 2 (N = </w:t>
      </w:r>
      <w:r w:rsidRPr="0058432E">
        <w:rPr>
          <w:color w:val="000000" w:themeColor="text1"/>
        </w:rPr>
        <w:t>63), o</w:t>
      </w:r>
      <w:r w:rsidR="00DA7749" w:rsidRPr="0058432E">
        <w:rPr>
          <w:color w:val="000000" w:themeColor="text1"/>
        </w:rPr>
        <w:t>u d’une dose d’induction de 2,4 mg/kg (dose maximale de 160 mg) à la semaine 0, d’un placebo à la semaine 1, et d’une dose de 1,2 mg/kg (dose maximale de 80 mg) à la semaine 2 (N = 30), des élévations de l’ALAT ≥ 3 x LSN sont survenues chez 1,1 </w:t>
      </w:r>
      <w:r w:rsidRPr="0058432E">
        <w:rPr>
          <w:color w:val="000000" w:themeColor="text1"/>
        </w:rPr>
        <w:t>% (1/93) des patients.</w:t>
      </w:r>
    </w:p>
    <w:p w14:paraId="1388C8A1" w14:textId="77777777" w:rsidR="002C597C" w:rsidRPr="0058432E" w:rsidRDefault="002C597C" w:rsidP="00982118">
      <w:pPr>
        <w:rPr>
          <w:color w:val="000000" w:themeColor="text1"/>
        </w:rPr>
      </w:pPr>
    </w:p>
    <w:p w14:paraId="01857B12" w14:textId="77777777" w:rsidR="00C46587" w:rsidRPr="0058432E" w:rsidRDefault="00C46587" w:rsidP="00982118">
      <w:pPr>
        <w:rPr>
          <w:color w:val="000000" w:themeColor="text1"/>
        </w:rPr>
      </w:pPr>
      <w:r w:rsidRPr="0058432E">
        <w:rPr>
          <w:color w:val="000000" w:themeColor="text1"/>
        </w:rPr>
        <w:t xml:space="preserve">Dans les essais, toutes indications confondues, les patients avec ALAT augmentées étaient asymptomatiques et dans la plupart des cas les élévations étaient transitoires et réversibles lors de la poursuite du traitement. Cependant, </w:t>
      </w:r>
      <w:r w:rsidR="00F71DC3" w:rsidRPr="0058432E">
        <w:rPr>
          <w:color w:val="000000" w:themeColor="text1"/>
        </w:rPr>
        <w:t>après la mise sur le marché</w:t>
      </w:r>
      <w:r w:rsidRPr="0058432E">
        <w:rPr>
          <w:color w:val="000000" w:themeColor="text1"/>
        </w:rPr>
        <w:t xml:space="preserve">, des insuffisances hépatiques ainsi que des </w:t>
      </w:r>
      <w:r w:rsidR="00F71DC3" w:rsidRPr="0058432E">
        <w:rPr>
          <w:color w:val="000000" w:themeColor="text1"/>
        </w:rPr>
        <w:t xml:space="preserve">affections </w:t>
      </w:r>
      <w:r w:rsidRPr="0058432E">
        <w:rPr>
          <w:color w:val="000000" w:themeColor="text1"/>
        </w:rPr>
        <w:t>hépatiques moins sévères, qui peuvent précéder une insuffisance hépatique, tel</w:t>
      </w:r>
      <w:r w:rsidR="00F71DC3" w:rsidRPr="0058432E">
        <w:rPr>
          <w:color w:val="000000" w:themeColor="text1"/>
        </w:rPr>
        <w:t>le</w:t>
      </w:r>
      <w:r w:rsidRPr="0058432E">
        <w:rPr>
          <w:color w:val="000000" w:themeColor="text1"/>
        </w:rPr>
        <w:t xml:space="preserve">s que des hépatites y compris des hépatites auto-immunes, ont été rapportées chez des patients recevant de l’adalimumab. </w:t>
      </w:r>
    </w:p>
    <w:p w14:paraId="78CF05F3" w14:textId="77777777" w:rsidR="00C46587" w:rsidRPr="0058432E" w:rsidRDefault="00C46587" w:rsidP="00982118">
      <w:pPr>
        <w:rPr>
          <w:color w:val="000000" w:themeColor="text1"/>
        </w:rPr>
      </w:pPr>
    </w:p>
    <w:p w14:paraId="3924461F" w14:textId="77777777" w:rsidR="00C46587" w:rsidRPr="0058432E" w:rsidRDefault="00C46587" w:rsidP="00982118">
      <w:pPr>
        <w:keepNext/>
        <w:rPr>
          <w:color w:val="000000" w:themeColor="text1"/>
          <w:u w:val="single"/>
        </w:rPr>
      </w:pPr>
      <w:r w:rsidRPr="0058432E">
        <w:rPr>
          <w:color w:val="000000" w:themeColor="text1"/>
          <w:u w:val="single"/>
        </w:rPr>
        <w:t>Administration concomitante d’azathioprine/6</w:t>
      </w:r>
      <w:r w:rsidRPr="0058432E">
        <w:rPr>
          <w:color w:val="000000" w:themeColor="text1"/>
          <w:u w:val="single"/>
        </w:rPr>
        <w:noBreakHyphen/>
        <w:t xml:space="preserve">mercaptopurine </w:t>
      </w:r>
    </w:p>
    <w:p w14:paraId="3FA2E89B" w14:textId="77777777" w:rsidR="00C46587" w:rsidRPr="0058432E" w:rsidRDefault="00C46587" w:rsidP="00982118">
      <w:pPr>
        <w:keepNext/>
        <w:rPr>
          <w:color w:val="000000" w:themeColor="text1"/>
        </w:rPr>
      </w:pPr>
    </w:p>
    <w:p w14:paraId="67C257E0" w14:textId="77777777" w:rsidR="00C46587" w:rsidRPr="0058432E" w:rsidRDefault="00C46587" w:rsidP="00982118">
      <w:pPr>
        <w:rPr>
          <w:color w:val="000000" w:themeColor="text1"/>
        </w:rPr>
      </w:pPr>
      <w:r w:rsidRPr="0058432E">
        <w:rPr>
          <w:color w:val="000000" w:themeColor="text1"/>
        </w:rPr>
        <w:t xml:space="preserve">Lors d’études dans la maladie de Crohn chez l’adulte, une incidence plus élevée </w:t>
      </w:r>
      <w:r w:rsidR="00F71DC3" w:rsidRPr="0058432E">
        <w:rPr>
          <w:color w:val="000000" w:themeColor="text1"/>
        </w:rPr>
        <w:t xml:space="preserve">d’événements indésirables tumoraux et liés à des </w:t>
      </w:r>
      <w:r w:rsidRPr="0058432E">
        <w:rPr>
          <w:color w:val="000000" w:themeColor="text1"/>
        </w:rPr>
        <w:t>infections graves a été observée avec l’association adalimumab et azathioprine/6</w:t>
      </w:r>
      <w:r w:rsidRPr="0058432E">
        <w:rPr>
          <w:color w:val="000000" w:themeColor="text1"/>
        </w:rPr>
        <w:noBreakHyphen/>
        <w:t xml:space="preserve">mercaptopurine comparativement à l’adalimumab utilisé seul. </w:t>
      </w:r>
    </w:p>
    <w:p w14:paraId="25B216DA" w14:textId="77777777" w:rsidR="00C46587" w:rsidRPr="0058432E" w:rsidRDefault="00C46587" w:rsidP="00982118">
      <w:pPr>
        <w:rPr>
          <w:color w:val="000000" w:themeColor="text1"/>
        </w:rPr>
      </w:pPr>
    </w:p>
    <w:p w14:paraId="3C2360F1" w14:textId="77777777" w:rsidR="00C46587" w:rsidRPr="0058432E" w:rsidRDefault="00C46587" w:rsidP="00982118">
      <w:pPr>
        <w:keepNext/>
        <w:rPr>
          <w:color w:val="000000" w:themeColor="text1"/>
          <w:u w:val="single"/>
        </w:rPr>
      </w:pPr>
      <w:r w:rsidRPr="0058432E">
        <w:rPr>
          <w:color w:val="000000" w:themeColor="text1"/>
          <w:u w:val="single"/>
        </w:rPr>
        <w:lastRenderedPageBreak/>
        <w:t xml:space="preserve">Déclaration des effets indésirables suspectés </w:t>
      </w:r>
    </w:p>
    <w:p w14:paraId="344ADCC9" w14:textId="77777777" w:rsidR="00C46587" w:rsidRPr="0058432E" w:rsidRDefault="00C46587" w:rsidP="00982118">
      <w:pPr>
        <w:keepNext/>
        <w:rPr>
          <w:color w:val="000000" w:themeColor="text1"/>
          <w:u w:val="single"/>
        </w:rPr>
      </w:pPr>
    </w:p>
    <w:p w14:paraId="3704DFB0" w14:textId="7FC978F9" w:rsidR="00C46587" w:rsidRPr="0058432E" w:rsidRDefault="00C46587" w:rsidP="00982118">
      <w:pPr>
        <w:rPr>
          <w:color w:val="000000" w:themeColor="text1"/>
        </w:rPr>
      </w:pPr>
      <w:r w:rsidRPr="0058432E">
        <w:rPr>
          <w:color w:val="000000" w:themeColor="text1"/>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58432E">
        <w:rPr>
          <w:color w:val="000000" w:themeColor="text1"/>
          <w:highlight w:val="lightGray"/>
        </w:rPr>
        <w:t>le système national de déclaration</w:t>
      </w:r>
      <w:r w:rsidRPr="0058432E">
        <w:rPr>
          <w:color w:val="000000" w:themeColor="text1"/>
        </w:rPr>
        <w:t xml:space="preserve"> – </w:t>
      </w:r>
      <w:r w:rsidRPr="0058432E">
        <w:rPr>
          <w:rStyle w:val="Hyperlink"/>
          <w:color w:val="000000" w:themeColor="text1"/>
          <w:highlight w:val="lightGray"/>
        </w:rPr>
        <w:t xml:space="preserve">voir </w:t>
      </w:r>
      <w:hyperlink r:id="rId15" w:history="1">
        <w:r w:rsidRPr="0058432E">
          <w:rPr>
            <w:rStyle w:val="Hyperlink"/>
            <w:highlight w:val="lightGray"/>
          </w:rPr>
          <w:t>Annexe V</w:t>
        </w:r>
      </w:hyperlink>
      <w:r w:rsidRPr="0058432E">
        <w:rPr>
          <w:color w:val="000000" w:themeColor="text1"/>
        </w:rPr>
        <w:t xml:space="preserve">. </w:t>
      </w:r>
    </w:p>
    <w:p w14:paraId="51064684" w14:textId="77777777" w:rsidR="00C46587" w:rsidRPr="0058432E" w:rsidRDefault="00C46587" w:rsidP="00982118">
      <w:pPr>
        <w:rPr>
          <w:color w:val="000000" w:themeColor="text1"/>
        </w:rPr>
      </w:pPr>
    </w:p>
    <w:p w14:paraId="78CC1F26" w14:textId="77777777" w:rsidR="00C46587" w:rsidRPr="0058432E" w:rsidRDefault="00C46587" w:rsidP="00ED34EF">
      <w:pPr>
        <w:keepNext/>
        <w:tabs>
          <w:tab w:val="left" w:pos="562"/>
        </w:tabs>
        <w:rPr>
          <w:b/>
          <w:color w:val="000000" w:themeColor="text1"/>
        </w:rPr>
      </w:pPr>
      <w:r w:rsidRPr="0058432E">
        <w:rPr>
          <w:b/>
          <w:color w:val="000000" w:themeColor="text1"/>
        </w:rPr>
        <w:t>4.9</w:t>
      </w:r>
      <w:r w:rsidRPr="0058432E">
        <w:rPr>
          <w:b/>
          <w:color w:val="000000" w:themeColor="text1"/>
        </w:rPr>
        <w:tab/>
        <w:t xml:space="preserve">Surdosage </w:t>
      </w:r>
    </w:p>
    <w:p w14:paraId="49D3F5E8" w14:textId="77777777" w:rsidR="00C46587" w:rsidRPr="0058432E" w:rsidRDefault="00C46587" w:rsidP="00ED34EF">
      <w:pPr>
        <w:keepNext/>
        <w:rPr>
          <w:color w:val="000000" w:themeColor="text1"/>
        </w:rPr>
      </w:pPr>
    </w:p>
    <w:p w14:paraId="638D9DEB" w14:textId="77777777" w:rsidR="00C46587" w:rsidRPr="0058432E" w:rsidRDefault="00C46587" w:rsidP="00982118">
      <w:pPr>
        <w:rPr>
          <w:color w:val="000000" w:themeColor="text1"/>
        </w:rPr>
      </w:pPr>
      <w:r w:rsidRPr="0058432E">
        <w:rPr>
          <w:color w:val="000000" w:themeColor="text1"/>
        </w:rPr>
        <w:t xml:space="preserve">Aucune toxicité </w:t>
      </w:r>
      <w:r w:rsidR="00F71DC3" w:rsidRPr="0058432E">
        <w:rPr>
          <w:color w:val="000000" w:themeColor="text1"/>
        </w:rPr>
        <w:t>limitant</w:t>
      </w:r>
      <w:r w:rsidRPr="0058432E">
        <w:rPr>
          <w:color w:val="000000" w:themeColor="text1"/>
        </w:rPr>
        <w:t xml:space="preserve"> la dose n’a été observée dans les essais cliniques. La plus forte dose évaluée était constituée de doses </w:t>
      </w:r>
      <w:r w:rsidR="00F71DC3" w:rsidRPr="0058432E">
        <w:rPr>
          <w:color w:val="000000" w:themeColor="text1"/>
        </w:rPr>
        <w:t xml:space="preserve">intraveineuses </w:t>
      </w:r>
      <w:r w:rsidRPr="0058432E">
        <w:rPr>
          <w:color w:val="000000" w:themeColor="text1"/>
        </w:rPr>
        <w:t xml:space="preserve">répétées de 10 mg/kg, ce qui représente </w:t>
      </w:r>
      <w:r w:rsidR="00F71DC3" w:rsidRPr="0058432E">
        <w:rPr>
          <w:color w:val="000000" w:themeColor="text1"/>
        </w:rPr>
        <w:t xml:space="preserve">environ </w:t>
      </w:r>
      <w:r w:rsidRPr="0058432E">
        <w:rPr>
          <w:color w:val="000000" w:themeColor="text1"/>
        </w:rPr>
        <w:t xml:space="preserve">15 fois la dose recommandée. </w:t>
      </w:r>
    </w:p>
    <w:p w14:paraId="4AF03C01" w14:textId="77777777" w:rsidR="00C46587" w:rsidRPr="0058432E" w:rsidRDefault="00C46587" w:rsidP="00982118">
      <w:pPr>
        <w:rPr>
          <w:color w:val="000000" w:themeColor="text1"/>
        </w:rPr>
      </w:pPr>
    </w:p>
    <w:p w14:paraId="7D3AC0F6" w14:textId="77777777" w:rsidR="00C46587" w:rsidRPr="0058432E" w:rsidRDefault="00C46587" w:rsidP="00982118">
      <w:pPr>
        <w:rPr>
          <w:color w:val="000000" w:themeColor="text1"/>
        </w:rPr>
      </w:pPr>
    </w:p>
    <w:p w14:paraId="52098BF6" w14:textId="77777777" w:rsidR="00C46587" w:rsidRPr="0058432E" w:rsidRDefault="00C46587" w:rsidP="00982118">
      <w:pPr>
        <w:keepNext/>
        <w:tabs>
          <w:tab w:val="left" w:pos="562"/>
        </w:tabs>
        <w:rPr>
          <w:b/>
          <w:color w:val="000000" w:themeColor="text1"/>
        </w:rPr>
      </w:pPr>
      <w:r w:rsidRPr="0058432E">
        <w:rPr>
          <w:b/>
          <w:color w:val="000000" w:themeColor="text1"/>
        </w:rPr>
        <w:t>5.</w:t>
      </w:r>
      <w:r w:rsidRPr="0058432E">
        <w:rPr>
          <w:b/>
          <w:color w:val="000000" w:themeColor="text1"/>
        </w:rPr>
        <w:tab/>
        <w:t xml:space="preserve">PROPRIÉTÉS PHARMACOLOGIQUES </w:t>
      </w:r>
    </w:p>
    <w:p w14:paraId="534B3A1A" w14:textId="77777777" w:rsidR="00C46587" w:rsidRPr="0058432E" w:rsidRDefault="00C46587" w:rsidP="00982118">
      <w:pPr>
        <w:keepNext/>
        <w:rPr>
          <w:color w:val="000000" w:themeColor="text1"/>
        </w:rPr>
      </w:pPr>
    </w:p>
    <w:p w14:paraId="0800DA34" w14:textId="77777777" w:rsidR="00C46587" w:rsidRPr="0058432E" w:rsidRDefault="00C46587" w:rsidP="00982118">
      <w:pPr>
        <w:keepNext/>
        <w:tabs>
          <w:tab w:val="left" w:pos="562"/>
        </w:tabs>
        <w:rPr>
          <w:b/>
          <w:color w:val="000000" w:themeColor="text1"/>
        </w:rPr>
      </w:pPr>
      <w:r w:rsidRPr="0058432E">
        <w:rPr>
          <w:b/>
          <w:color w:val="000000" w:themeColor="text1"/>
        </w:rPr>
        <w:t>5.1</w:t>
      </w:r>
      <w:r w:rsidRPr="0058432E">
        <w:rPr>
          <w:b/>
          <w:color w:val="000000" w:themeColor="text1"/>
        </w:rPr>
        <w:tab/>
        <w:t xml:space="preserve">Propriétés pharmacodynamiques </w:t>
      </w:r>
    </w:p>
    <w:p w14:paraId="23BFBFCE" w14:textId="77777777" w:rsidR="00C46587" w:rsidRPr="0058432E" w:rsidRDefault="00C46587" w:rsidP="00982118">
      <w:pPr>
        <w:keepNext/>
        <w:rPr>
          <w:color w:val="000000" w:themeColor="text1"/>
        </w:rPr>
      </w:pPr>
    </w:p>
    <w:p w14:paraId="0E2DFD2F" w14:textId="77777777" w:rsidR="00B75C51" w:rsidRPr="0058432E" w:rsidRDefault="00C46587" w:rsidP="00982118">
      <w:pPr>
        <w:rPr>
          <w:color w:val="000000" w:themeColor="text1"/>
        </w:rPr>
      </w:pPr>
      <w:r w:rsidRPr="0058432E">
        <w:rPr>
          <w:color w:val="000000" w:themeColor="text1"/>
        </w:rPr>
        <w:t>Classe pharmacothérapeutique : Immunosuppresseurs, inhibiteurs du facteur de nécrose tumorale alpha (TNF-α). Code ATC : L04AB04</w:t>
      </w:r>
    </w:p>
    <w:p w14:paraId="1556A228" w14:textId="77777777" w:rsidR="00B75C51" w:rsidRPr="0058432E" w:rsidRDefault="00B75C51" w:rsidP="00982118">
      <w:pPr>
        <w:rPr>
          <w:color w:val="000000" w:themeColor="text1"/>
        </w:rPr>
      </w:pPr>
    </w:p>
    <w:p w14:paraId="3797A735" w14:textId="10DD78A8" w:rsidR="00C46587" w:rsidRPr="0058432E" w:rsidRDefault="006A1144" w:rsidP="00971955">
      <w:pPr>
        <w:pStyle w:val="BodyText"/>
        <w:widowControl/>
        <w:kinsoku w:val="0"/>
        <w:overflowPunct w:val="0"/>
        <w:ind w:left="0" w:right="-6"/>
        <w:rPr>
          <w:color w:val="000000" w:themeColor="text1"/>
        </w:rPr>
      </w:pPr>
      <w:r w:rsidRPr="0058432E">
        <w:rPr>
          <w:color w:val="000000" w:themeColor="text1"/>
        </w:rPr>
        <w:t xml:space="preserve">Amsparity est un médicament biosimilaire. Des informations détaillées sont disponibles sur le site internet de l’Agence européenne des médicaments </w:t>
      </w:r>
      <w:hyperlink r:id="rId16" w:history="1">
        <w:r w:rsidR="000A6168" w:rsidRPr="0058432E">
          <w:rPr>
            <w:rStyle w:val="Hyperlink"/>
          </w:rPr>
          <w:t>https://www.ema.europa.eu</w:t>
        </w:r>
      </w:hyperlink>
    </w:p>
    <w:p w14:paraId="4FF66B74" w14:textId="77777777" w:rsidR="00C46587" w:rsidRPr="0058432E" w:rsidRDefault="00C46587" w:rsidP="00982118">
      <w:pPr>
        <w:rPr>
          <w:color w:val="000000" w:themeColor="text1"/>
        </w:rPr>
      </w:pPr>
    </w:p>
    <w:p w14:paraId="3B851AC1" w14:textId="77777777" w:rsidR="00C46587" w:rsidRPr="0058432E" w:rsidRDefault="00C46587" w:rsidP="00982118">
      <w:pPr>
        <w:keepNext/>
        <w:rPr>
          <w:color w:val="000000" w:themeColor="text1"/>
          <w:u w:val="single"/>
        </w:rPr>
      </w:pPr>
      <w:r w:rsidRPr="0058432E">
        <w:rPr>
          <w:color w:val="000000" w:themeColor="text1"/>
          <w:u w:val="single"/>
        </w:rPr>
        <w:t xml:space="preserve">Mécanisme d’action </w:t>
      </w:r>
    </w:p>
    <w:p w14:paraId="7C60413D" w14:textId="77777777" w:rsidR="00C46587" w:rsidRPr="0058432E" w:rsidRDefault="00C46587" w:rsidP="00982118">
      <w:pPr>
        <w:keepNext/>
        <w:rPr>
          <w:color w:val="000000" w:themeColor="text1"/>
        </w:rPr>
      </w:pPr>
    </w:p>
    <w:p w14:paraId="13B3CD47" w14:textId="77777777" w:rsidR="00C46587" w:rsidRPr="0058432E" w:rsidRDefault="00C46587" w:rsidP="00982118">
      <w:pPr>
        <w:rPr>
          <w:color w:val="000000" w:themeColor="text1"/>
        </w:rPr>
      </w:pPr>
      <w:r w:rsidRPr="0058432E">
        <w:rPr>
          <w:color w:val="000000" w:themeColor="text1"/>
        </w:rPr>
        <w:t xml:space="preserve">L’adalimumab se lie spécifiquement au TNF dont il neutralise la fonction biologique en bloquant son interaction avec les récepteurs du TNF p55 et p75 situés à la surface cellulaire. </w:t>
      </w:r>
    </w:p>
    <w:p w14:paraId="73D6EA0B" w14:textId="77777777" w:rsidR="00C46587" w:rsidRPr="0058432E" w:rsidRDefault="00C46587" w:rsidP="00982118">
      <w:pPr>
        <w:rPr>
          <w:color w:val="000000" w:themeColor="text1"/>
        </w:rPr>
      </w:pPr>
    </w:p>
    <w:p w14:paraId="16DD8C41" w14:textId="77777777" w:rsidR="00C46587" w:rsidRPr="0058432E" w:rsidRDefault="00C46587" w:rsidP="00982118">
      <w:pPr>
        <w:rPr>
          <w:color w:val="000000" w:themeColor="text1"/>
        </w:rPr>
      </w:pPr>
      <w:r w:rsidRPr="0058432E">
        <w:rPr>
          <w:color w:val="000000" w:themeColor="text1"/>
        </w:rPr>
        <w:t>L’adalimumab module aussi les réponses biologiques induites ou régulées par le TNF, y compris les variations des taux des molécules d’adhésion responsables de la migration des leucocytes (ELAM</w:t>
      </w:r>
      <w:r w:rsidRPr="0058432E">
        <w:rPr>
          <w:color w:val="000000" w:themeColor="text1"/>
        </w:rPr>
        <w:noBreakHyphen/>
        <w:t>1, VCAM</w:t>
      </w:r>
      <w:r w:rsidRPr="0058432E">
        <w:rPr>
          <w:color w:val="000000" w:themeColor="text1"/>
        </w:rPr>
        <w:noBreakHyphen/>
        <w:t>1, et ICAM</w:t>
      </w:r>
      <w:r w:rsidRPr="0058432E">
        <w:rPr>
          <w:color w:val="000000" w:themeColor="text1"/>
        </w:rPr>
        <w:noBreakHyphen/>
        <w:t>1 avec une CI</w:t>
      </w:r>
      <w:r w:rsidRPr="0058432E">
        <w:rPr>
          <w:color w:val="000000" w:themeColor="text1"/>
          <w:vertAlign w:val="subscript"/>
        </w:rPr>
        <w:t>50</w:t>
      </w:r>
      <w:r w:rsidRPr="0058432E">
        <w:rPr>
          <w:color w:val="000000" w:themeColor="text1"/>
        </w:rPr>
        <w:t xml:space="preserve"> de 0,1</w:t>
      </w:r>
      <w:r w:rsidRPr="0058432E">
        <w:rPr>
          <w:color w:val="000000" w:themeColor="text1"/>
        </w:rPr>
        <w:noBreakHyphen/>
        <w:t xml:space="preserve">0,2 nM). </w:t>
      </w:r>
    </w:p>
    <w:p w14:paraId="4C5A4E96" w14:textId="77777777" w:rsidR="00C46587" w:rsidRPr="0058432E" w:rsidRDefault="00C46587" w:rsidP="00982118">
      <w:pPr>
        <w:rPr>
          <w:color w:val="000000" w:themeColor="text1"/>
        </w:rPr>
      </w:pPr>
    </w:p>
    <w:p w14:paraId="3F85BA71" w14:textId="77777777" w:rsidR="00C46587" w:rsidRPr="0058432E" w:rsidRDefault="00C46587" w:rsidP="00982118">
      <w:pPr>
        <w:keepNext/>
        <w:rPr>
          <w:color w:val="000000" w:themeColor="text1"/>
          <w:u w:val="single"/>
        </w:rPr>
      </w:pPr>
      <w:r w:rsidRPr="0058432E">
        <w:rPr>
          <w:color w:val="000000" w:themeColor="text1"/>
          <w:u w:val="single"/>
        </w:rPr>
        <w:t xml:space="preserve">Effets pharmacodynamiques </w:t>
      </w:r>
    </w:p>
    <w:p w14:paraId="084E54C0" w14:textId="77777777" w:rsidR="00C46587" w:rsidRPr="0058432E" w:rsidRDefault="00C46587" w:rsidP="00982118">
      <w:pPr>
        <w:keepNext/>
        <w:rPr>
          <w:color w:val="000000" w:themeColor="text1"/>
          <w:u w:val="single"/>
        </w:rPr>
      </w:pPr>
    </w:p>
    <w:p w14:paraId="4015F91B" w14:textId="77777777" w:rsidR="00C46587" w:rsidRPr="0058432E" w:rsidRDefault="00C46587" w:rsidP="00982118">
      <w:pPr>
        <w:rPr>
          <w:color w:val="000000" w:themeColor="text1"/>
        </w:rPr>
      </w:pPr>
      <w:r w:rsidRPr="0058432E">
        <w:rPr>
          <w:color w:val="000000" w:themeColor="text1"/>
        </w:rPr>
        <w:t xml:space="preserve">Après traitement par adalimumab chez des patients atteints de polyarthrite rhumatoïde, on a observé une diminution rapide du taux des </w:t>
      </w:r>
      <w:r w:rsidR="004079EF" w:rsidRPr="0058432E">
        <w:rPr>
          <w:color w:val="000000" w:themeColor="text1"/>
        </w:rPr>
        <w:t xml:space="preserve">réactifs </w:t>
      </w:r>
      <w:r w:rsidRPr="0058432E">
        <w:rPr>
          <w:color w:val="000000" w:themeColor="text1"/>
        </w:rPr>
        <w:t>de la phase aiguë de l’inflammation (protéine réactive C (CRP)</w:t>
      </w:r>
      <w:r w:rsidR="00DF7121" w:rsidRPr="0058432E">
        <w:rPr>
          <w:color w:val="000000" w:themeColor="text1"/>
        </w:rPr>
        <w:t xml:space="preserve"> et</w:t>
      </w:r>
      <w:r w:rsidR="00B50756" w:rsidRPr="0058432E">
        <w:rPr>
          <w:color w:val="000000" w:themeColor="text1"/>
        </w:rPr>
        <w:t xml:space="preserve"> </w:t>
      </w:r>
      <w:r w:rsidRPr="0058432E">
        <w:rPr>
          <w:color w:val="000000" w:themeColor="text1"/>
        </w:rPr>
        <w:t xml:space="preserve">vitesse de sédimentation </w:t>
      </w:r>
      <w:r w:rsidR="004079EF" w:rsidRPr="0058432E">
        <w:rPr>
          <w:color w:val="000000" w:themeColor="text1"/>
        </w:rPr>
        <w:t xml:space="preserve">des érythrocytes </w:t>
      </w:r>
      <w:r w:rsidRPr="0058432E">
        <w:rPr>
          <w:color w:val="000000" w:themeColor="text1"/>
        </w:rPr>
        <w:t>[VS]) et des cytokines sériques [IL</w:t>
      </w:r>
      <w:r w:rsidRPr="0058432E">
        <w:rPr>
          <w:color w:val="000000" w:themeColor="text1"/>
        </w:rPr>
        <w:noBreakHyphen/>
        <w:t>6] par rapport aux valeurs initiales. L’administration d’adalimumab est également associée à une diminution des taux sériques des métalloprotéinases matricielles (MMP</w:t>
      </w:r>
      <w:r w:rsidRPr="0058432E">
        <w:rPr>
          <w:color w:val="000000" w:themeColor="text1"/>
        </w:rPr>
        <w:noBreakHyphen/>
        <w:t>1 et MMP</w:t>
      </w:r>
      <w:r w:rsidRPr="0058432E">
        <w:rPr>
          <w:color w:val="000000" w:themeColor="text1"/>
        </w:rPr>
        <w:noBreakHyphen/>
        <w:t xml:space="preserve">3) qui permettent le remodelage tissulaire responsable de la destruction cartilagineuse. Les patients traités par adalimumab présentent généralement une amélioration des signes hématologiques de l’inflammation chronique. </w:t>
      </w:r>
    </w:p>
    <w:p w14:paraId="260252DB" w14:textId="77777777" w:rsidR="00C46587" w:rsidRPr="0058432E" w:rsidRDefault="00C46587" w:rsidP="00982118">
      <w:pPr>
        <w:rPr>
          <w:color w:val="000000" w:themeColor="text1"/>
        </w:rPr>
      </w:pPr>
    </w:p>
    <w:p w14:paraId="4231716D" w14:textId="77777777" w:rsidR="00C46587" w:rsidRPr="0058432E" w:rsidRDefault="00C46587" w:rsidP="00982118">
      <w:pPr>
        <w:rPr>
          <w:color w:val="000000" w:themeColor="text1"/>
        </w:rPr>
      </w:pPr>
      <w:r w:rsidRPr="0058432E">
        <w:rPr>
          <w:color w:val="000000" w:themeColor="text1"/>
        </w:rPr>
        <w:t>Une diminution rapide du taux de CRP a également été observée chez les patients atteints d’arthrite juvénile idiopathique polyarticulaire, de la maladie de Crohn, de rectocolite hémorragique et d’hidrosadénite suppurée après traitement par adalimumab. Chez les patients atteints de la maladie de Crohn, une réduction du nombre de cellules exprimant les marqueurs de l’inflammation dans le c</w:t>
      </w:r>
      <w:r w:rsidR="00E359A3" w:rsidRPr="0058432E">
        <w:rPr>
          <w:color w:val="000000" w:themeColor="text1"/>
        </w:rPr>
        <w:t>ô</w:t>
      </w:r>
      <w:r w:rsidRPr="0058432E">
        <w:rPr>
          <w:color w:val="000000" w:themeColor="text1"/>
        </w:rPr>
        <w:t xml:space="preserve">lon y compris une réduction significative de l’expression du TNFα a été observée. Des études endoscopiques sur la muqueuse intestinale ont mis en évidence une cicatrisation de la muqueuse chez les patients traités par adalimumab. </w:t>
      </w:r>
    </w:p>
    <w:p w14:paraId="7DD94294" w14:textId="77777777" w:rsidR="00C46587" w:rsidRPr="0058432E" w:rsidRDefault="00C46587" w:rsidP="00982118">
      <w:pPr>
        <w:rPr>
          <w:color w:val="000000" w:themeColor="text1"/>
        </w:rPr>
      </w:pPr>
    </w:p>
    <w:p w14:paraId="12DC1BC2" w14:textId="77777777" w:rsidR="00C46587" w:rsidRPr="0058432E" w:rsidRDefault="00C46587" w:rsidP="00982118">
      <w:pPr>
        <w:keepNext/>
        <w:rPr>
          <w:color w:val="000000" w:themeColor="text1"/>
          <w:u w:val="single"/>
        </w:rPr>
      </w:pPr>
      <w:r w:rsidRPr="0058432E">
        <w:rPr>
          <w:color w:val="000000" w:themeColor="text1"/>
          <w:u w:val="single"/>
        </w:rPr>
        <w:t>Efficacité et sécurité cliniques</w:t>
      </w:r>
    </w:p>
    <w:p w14:paraId="21219BD9" w14:textId="77777777" w:rsidR="00C46587" w:rsidRPr="0058432E" w:rsidRDefault="00C46587" w:rsidP="00982118">
      <w:pPr>
        <w:keepNext/>
        <w:rPr>
          <w:color w:val="000000" w:themeColor="text1"/>
        </w:rPr>
      </w:pPr>
    </w:p>
    <w:p w14:paraId="21649A6B" w14:textId="77777777" w:rsidR="00C46587" w:rsidRPr="0058432E" w:rsidRDefault="00C46587" w:rsidP="00982118">
      <w:pPr>
        <w:keepNext/>
        <w:rPr>
          <w:i/>
          <w:color w:val="000000" w:themeColor="text1"/>
        </w:rPr>
      </w:pPr>
      <w:r w:rsidRPr="0058432E">
        <w:rPr>
          <w:i/>
          <w:color w:val="000000" w:themeColor="text1"/>
        </w:rPr>
        <w:t xml:space="preserve">Adultes avec une polyarthrite rhumatoïde </w:t>
      </w:r>
    </w:p>
    <w:p w14:paraId="2B84B265" w14:textId="77777777" w:rsidR="00C46587" w:rsidRPr="0058432E" w:rsidRDefault="00C46587" w:rsidP="00982118">
      <w:pPr>
        <w:keepNext/>
        <w:rPr>
          <w:color w:val="000000" w:themeColor="text1"/>
        </w:rPr>
      </w:pPr>
    </w:p>
    <w:p w14:paraId="1CBC9706" w14:textId="77777777" w:rsidR="00C46587" w:rsidRPr="0058432E" w:rsidRDefault="00C60901" w:rsidP="00982118">
      <w:pPr>
        <w:rPr>
          <w:color w:val="000000" w:themeColor="text1"/>
        </w:rPr>
      </w:pPr>
      <w:r w:rsidRPr="0058432E">
        <w:rPr>
          <w:color w:val="000000" w:themeColor="text1"/>
        </w:rPr>
        <w:t xml:space="preserve">L’adalimumab a fait l’objet d’études chez plus de 3 000 patients dans l’ensemble des essais cliniques dans la polyarthrite rhumatoïde. L’efficacité et </w:t>
      </w:r>
      <w:r w:rsidR="004079EF" w:rsidRPr="0058432E">
        <w:rPr>
          <w:color w:val="000000" w:themeColor="text1"/>
        </w:rPr>
        <w:t>la tolérance</w:t>
      </w:r>
      <w:r w:rsidRPr="0058432E">
        <w:rPr>
          <w:color w:val="000000" w:themeColor="text1"/>
        </w:rPr>
        <w:t xml:space="preserve"> de l’adalimumab ont été évalué</w:t>
      </w:r>
      <w:r w:rsidR="004079EF" w:rsidRPr="0058432E">
        <w:rPr>
          <w:color w:val="000000" w:themeColor="text1"/>
        </w:rPr>
        <w:t>e</w:t>
      </w:r>
      <w:r w:rsidRPr="0058432E">
        <w:rPr>
          <w:color w:val="000000" w:themeColor="text1"/>
        </w:rPr>
        <w:t xml:space="preserve">s dans cinq études contrôlées randomisées, en double aveugle. Certains patients ont été traités pendant 120 mois. </w:t>
      </w:r>
    </w:p>
    <w:p w14:paraId="09FA7BDA" w14:textId="77777777" w:rsidR="00C46587" w:rsidRPr="0058432E" w:rsidRDefault="00C46587" w:rsidP="00982118">
      <w:pPr>
        <w:rPr>
          <w:color w:val="000000" w:themeColor="text1"/>
        </w:rPr>
      </w:pPr>
    </w:p>
    <w:p w14:paraId="696E1649" w14:textId="77777777" w:rsidR="00C46587" w:rsidRPr="0058432E" w:rsidRDefault="00C46587" w:rsidP="00982118">
      <w:pPr>
        <w:rPr>
          <w:color w:val="000000" w:themeColor="text1"/>
        </w:rPr>
      </w:pPr>
      <w:r w:rsidRPr="0058432E">
        <w:rPr>
          <w:color w:val="000000" w:themeColor="text1"/>
        </w:rPr>
        <w:t xml:space="preserve">L’étude I sur </w:t>
      </w:r>
      <w:proofErr w:type="gramStart"/>
      <w:r w:rsidRPr="0058432E">
        <w:rPr>
          <w:color w:val="000000" w:themeColor="text1"/>
        </w:rPr>
        <w:t>la PR</w:t>
      </w:r>
      <w:proofErr w:type="gramEnd"/>
      <w:r w:rsidRPr="0058432E">
        <w:rPr>
          <w:color w:val="000000" w:themeColor="text1"/>
        </w:rPr>
        <w:t xml:space="preserve"> a porté sur 271 patients atteints de polyarthrite rhumatoïde </w:t>
      </w:r>
      <w:r w:rsidR="00771429"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Pr="0058432E">
        <w:rPr>
          <w:color w:val="000000" w:themeColor="text1"/>
        </w:rPr>
        <w:t xml:space="preserve">avait échoué et chez qui le méthotrexate à la posologie de 12,5 à 25 mg/semaine (10 mg en cas d’intolérance au méthotrexate), s’était avéré insuffisamment efficace alors que la dose de méthotrexate était restée constante de 10 à 25 mg par semaine. Ces patients ont reçu 20, 40 ou 80 mg d’adalimumab ou un placebo toutes les deux semaines pendant 24 semaines. </w:t>
      </w:r>
    </w:p>
    <w:p w14:paraId="3F59E249" w14:textId="77777777" w:rsidR="00C46587" w:rsidRPr="0058432E" w:rsidRDefault="00C46587" w:rsidP="00982118">
      <w:pPr>
        <w:rPr>
          <w:color w:val="000000" w:themeColor="text1"/>
        </w:rPr>
      </w:pPr>
    </w:p>
    <w:p w14:paraId="764AD658" w14:textId="77777777" w:rsidR="00C46587" w:rsidRPr="0058432E" w:rsidRDefault="00C46587" w:rsidP="00982118">
      <w:pPr>
        <w:rPr>
          <w:color w:val="000000" w:themeColor="text1"/>
        </w:rPr>
      </w:pPr>
      <w:r w:rsidRPr="0058432E">
        <w:rPr>
          <w:color w:val="000000" w:themeColor="text1"/>
        </w:rPr>
        <w:t xml:space="preserve">L’étude II sur </w:t>
      </w:r>
      <w:proofErr w:type="gramStart"/>
      <w:r w:rsidRPr="0058432E">
        <w:rPr>
          <w:color w:val="000000" w:themeColor="text1"/>
        </w:rPr>
        <w:t>la PR</w:t>
      </w:r>
      <w:proofErr w:type="gramEnd"/>
      <w:r w:rsidRPr="0058432E">
        <w:rPr>
          <w:color w:val="000000" w:themeColor="text1"/>
        </w:rPr>
        <w:t xml:space="preserve"> a évalué 544 patients atteints de polyarthrite rhumatoïde </w:t>
      </w:r>
      <w:r w:rsidR="00FE50EF"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00EC43E6" w:rsidRPr="0058432E">
        <w:rPr>
          <w:color w:val="000000" w:themeColor="text1"/>
        </w:rPr>
        <w:t xml:space="preserve"> </w:t>
      </w:r>
      <w:r w:rsidRPr="0058432E">
        <w:rPr>
          <w:color w:val="000000" w:themeColor="text1"/>
        </w:rPr>
        <w:t>avait échoué. Les patients ont été traités par 20 ou 40 mg d’adalimumab par voie sous-cutanée toutes les deux semaines en alternance avec un placebo, ou chaque semaine pendant 26</w:t>
      </w:r>
      <w:r w:rsidR="004F5825" w:rsidRPr="0058432E">
        <w:rPr>
          <w:color w:val="000000" w:themeColor="text1"/>
        </w:rPr>
        <w:t> </w:t>
      </w:r>
      <w:r w:rsidRPr="0058432E">
        <w:rPr>
          <w:color w:val="000000" w:themeColor="text1"/>
        </w:rPr>
        <w:t xml:space="preserve">semaines ; un placebo a été administré toutes les semaines pendant la même durée. Aucun autre </w:t>
      </w:r>
      <w:r w:rsidR="007B1DF4" w:rsidRPr="0058432E">
        <w:rPr>
          <w:color w:val="000000" w:themeColor="text1"/>
        </w:rPr>
        <w:t>DMARD</w:t>
      </w:r>
      <w:r w:rsidR="000A042E" w:rsidRPr="0058432E">
        <w:rPr>
          <w:color w:val="000000" w:themeColor="text1"/>
        </w:rPr>
        <w:t xml:space="preserve"> </w:t>
      </w:r>
      <w:r w:rsidRPr="0058432E">
        <w:rPr>
          <w:color w:val="000000" w:themeColor="text1"/>
        </w:rPr>
        <w:t xml:space="preserve">n’était autorisé. </w:t>
      </w:r>
    </w:p>
    <w:p w14:paraId="300DE747" w14:textId="77777777" w:rsidR="00C46587" w:rsidRPr="0058432E" w:rsidRDefault="00C46587" w:rsidP="00982118">
      <w:pPr>
        <w:rPr>
          <w:color w:val="000000" w:themeColor="text1"/>
        </w:rPr>
      </w:pPr>
    </w:p>
    <w:p w14:paraId="206E6BA2" w14:textId="77777777" w:rsidR="00C46587" w:rsidRPr="0058432E" w:rsidRDefault="00C46587" w:rsidP="00982118">
      <w:pPr>
        <w:rPr>
          <w:color w:val="000000" w:themeColor="text1"/>
        </w:rPr>
      </w:pPr>
      <w:r w:rsidRPr="0058432E">
        <w:rPr>
          <w:color w:val="000000" w:themeColor="text1"/>
        </w:rPr>
        <w:t xml:space="preserve">L’étude III sur </w:t>
      </w:r>
      <w:proofErr w:type="gramStart"/>
      <w:r w:rsidRPr="0058432E">
        <w:rPr>
          <w:color w:val="000000" w:themeColor="text1"/>
        </w:rPr>
        <w:t>la PR</w:t>
      </w:r>
      <w:proofErr w:type="gramEnd"/>
      <w:r w:rsidRPr="0058432E">
        <w:rPr>
          <w:color w:val="000000" w:themeColor="text1"/>
        </w:rPr>
        <w:t xml:space="preserve"> a évalué 619 patients atteints de polyarthrite rhumatoïde </w:t>
      </w:r>
      <w:r w:rsidR="00771429" w:rsidRPr="0058432E">
        <w:rPr>
          <w:color w:val="000000" w:themeColor="text1"/>
        </w:rPr>
        <w:t>active modérée à sévère</w:t>
      </w:r>
      <w:r w:rsidRPr="0058432E">
        <w:rPr>
          <w:color w:val="000000" w:themeColor="text1"/>
        </w:rPr>
        <w:t>, âgés de 18 ans et plus qui n’avaient pas présenté de réponse au méthotrexate aux doses de 12,5 à 25 mg ou qui ne toléraient pas une dose de 10 mg de méthotrexate une fois par semaine. L’étude a comporté trois groupes : le premier a reçu des injections hebdomadaires de placebo pendant 52 semaines, le deuxième a reçu 20 mg d’adalimumab toutes les semaines pendant 52</w:t>
      </w:r>
      <w:r w:rsidR="004F5825" w:rsidRPr="0058432E">
        <w:rPr>
          <w:color w:val="000000" w:themeColor="text1"/>
        </w:rPr>
        <w:t> </w:t>
      </w:r>
      <w:r w:rsidRPr="0058432E">
        <w:rPr>
          <w:color w:val="000000" w:themeColor="text1"/>
        </w:rPr>
        <w:t xml:space="preserve">semaines et le troisième a été traité par 40 mg d’adalimumab toutes les deux semaines en alternance avec le placebo. Après la fin de la première période de 52 semaines, 457 patients ont été inclus dans une phase d’extension en ouvert au cours de laquelle l’adalimumab a été administré à la dose de 40 mg toutes les deux semaines en association au méthotrexate pendant 10 ans. </w:t>
      </w:r>
    </w:p>
    <w:p w14:paraId="4723DB5A" w14:textId="77777777" w:rsidR="00C46587" w:rsidRPr="0058432E" w:rsidRDefault="00C46587" w:rsidP="00982118">
      <w:pPr>
        <w:rPr>
          <w:color w:val="000000" w:themeColor="text1"/>
        </w:rPr>
      </w:pPr>
    </w:p>
    <w:p w14:paraId="45A2D9B2" w14:textId="77777777" w:rsidR="00C46587" w:rsidRPr="0058432E" w:rsidRDefault="00C46587" w:rsidP="00982118">
      <w:pPr>
        <w:rPr>
          <w:color w:val="000000" w:themeColor="text1"/>
        </w:rPr>
      </w:pPr>
      <w:r w:rsidRPr="0058432E">
        <w:rPr>
          <w:color w:val="000000" w:themeColor="text1"/>
        </w:rPr>
        <w:t xml:space="preserve">L’étude IV sur </w:t>
      </w:r>
      <w:proofErr w:type="gramStart"/>
      <w:r w:rsidRPr="0058432E">
        <w:rPr>
          <w:color w:val="000000" w:themeColor="text1"/>
        </w:rPr>
        <w:t>la PR</w:t>
      </w:r>
      <w:proofErr w:type="gramEnd"/>
      <w:r w:rsidRPr="0058432E">
        <w:rPr>
          <w:color w:val="000000" w:themeColor="text1"/>
        </w:rPr>
        <w:t xml:space="preserve"> a évalué principalement la </w:t>
      </w:r>
      <w:r w:rsidR="002D3129" w:rsidRPr="0058432E">
        <w:rPr>
          <w:color w:val="000000" w:themeColor="text1"/>
        </w:rPr>
        <w:t>tolérance</w:t>
      </w:r>
      <w:r w:rsidR="008A6605" w:rsidRPr="0058432E">
        <w:rPr>
          <w:color w:val="000000" w:themeColor="text1"/>
        </w:rPr>
        <w:t xml:space="preserve"> </w:t>
      </w:r>
      <w:r w:rsidRPr="0058432E">
        <w:rPr>
          <w:color w:val="000000" w:themeColor="text1"/>
        </w:rPr>
        <w:t xml:space="preserve">chez 636 patients atteints de polyarthrite rhumatoïde </w:t>
      </w:r>
      <w:r w:rsidR="00EC43E6" w:rsidRPr="0058432E">
        <w:rPr>
          <w:color w:val="000000" w:themeColor="text1"/>
        </w:rPr>
        <w:t xml:space="preserve">active </w:t>
      </w:r>
      <w:r w:rsidR="009B056F" w:rsidRPr="0058432E">
        <w:rPr>
          <w:color w:val="000000" w:themeColor="text1"/>
        </w:rPr>
        <w:t>modérée à sévère</w:t>
      </w:r>
      <w:r w:rsidR="000A042E" w:rsidRPr="0058432E">
        <w:rPr>
          <w:color w:val="000000" w:themeColor="text1"/>
        </w:rPr>
        <w:t xml:space="preserve"> </w:t>
      </w:r>
      <w:r w:rsidRPr="0058432E">
        <w:rPr>
          <w:color w:val="000000" w:themeColor="text1"/>
        </w:rPr>
        <w:t xml:space="preserve">et âgés de 18 ans et plus. Les patients pouvaient n’avoir jamais reçu </w:t>
      </w:r>
      <w:r w:rsidR="007B1DF4" w:rsidRPr="0058432E">
        <w:rPr>
          <w:color w:val="000000" w:themeColor="text1"/>
        </w:rPr>
        <w:t xml:space="preserve">de DMARD </w:t>
      </w:r>
      <w:r w:rsidRPr="0058432E">
        <w:rPr>
          <w:color w:val="000000" w:themeColor="text1"/>
        </w:rPr>
        <w:t xml:space="preserve">ou pouvaient poursuivre leur traitement rhumatologique préexistant pourvu que ce dernier soit stable depuis au moins 28 jours. Ces traitements comprenaient le méthotrexate, le léflunomide, l’hydroxychloroquine, la sulfasalazine et/ou les sels d’or. Les patients après randomisation ont reçu soit 40 mg d’adalimumab soit un placebo toutes les deux semaines pendant 24 semaines. </w:t>
      </w:r>
    </w:p>
    <w:p w14:paraId="13865EE1" w14:textId="77777777" w:rsidR="00C46587" w:rsidRPr="0058432E" w:rsidRDefault="00C46587" w:rsidP="00982118">
      <w:pPr>
        <w:rPr>
          <w:color w:val="000000" w:themeColor="text1"/>
        </w:rPr>
      </w:pPr>
    </w:p>
    <w:p w14:paraId="24F28FB8" w14:textId="77777777" w:rsidR="00C46587" w:rsidRPr="0058432E" w:rsidRDefault="00C46587" w:rsidP="00982118">
      <w:pPr>
        <w:rPr>
          <w:color w:val="000000" w:themeColor="text1"/>
        </w:rPr>
      </w:pPr>
      <w:r w:rsidRPr="0058432E">
        <w:rPr>
          <w:color w:val="000000" w:themeColor="text1"/>
        </w:rPr>
        <w:t xml:space="preserve">L’étude V sur </w:t>
      </w:r>
      <w:proofErr w:type="gramStart"/>
      <w:r w:rsidRPr="0058432E">
        <w:rPr>
          <w:color w:val="000000" w:themeColor="text1"/>
        </w:rPr>
        <w:t>la PR</w:t>
      </w:r>
      <w:proofErr w:type="gramEnd"/>
      <w:r w:rsidRPr="0058432E">
        <w:rPr>
          <w:color w:val="000000" w:themeColor="text1"/>
        </w:rPr>
        <w:t xml:space="preserve"> a évalué 799 patients adultes naïfs de méthotrexate ayant une polyarthrite rhumatoïde </w:t>
      </w:r>
      <w:r w:rsidR="00771429" w:rsidRPr="0058432E">
        <w:rPr>
          <w:color w:val="000000" w:themeColor="text1"/>
        </w:rPr>
        <w:t>active modérée à sévère</w:t>
      </w:r>
      <w:r w:rsidRPr="0058432E">
        <w:rPr>
          <w:color w:val="000000" w:themeColor="text1"/>
        </w:rPr>
        <w:t xml:space="preserve">, récente (durée moyenne de la maladie inférieure à 9 mois). Cette étude a évalué l’efficacité de l’association adalimumab à la dose de 40 mg toutes les deux semaines/méthotrexate, adalimumab </w:t>
      </w:r>
      <w:r w:rsidR="0034359D" w:rsidRPr="0058432E">
        <w:rPr>
          <w:color w:val="000000" w:themeColor="text1"/>
        </w:rPr>
        <w:t xml:space="preserve">à la dose de </w:t>
      </w:r>
      <w:r w:rsidRPr="0058432E">
        <w:rPr>
          <w:color w:val="000000" w:themeColor="text1"/>
        </w:rPr>
        <w:t xml:space="preserve">40 mg toutes les deux semaines en monothérapie et une monothérapie de méthotrexate </w:t>
      </w:r>
      <w:r w:rsidR="0034359D" w:rsidRPr="0058432E">
        <w:rPr>
          <w:color w:val="000000" w:themeColor="text1"/>
        </w:rPr>
        <w:t xml:space="preserve">pour réduire </w:t>
      </w:r>
      <w:r w:rsidRPr="0058432E">
        <w:rPr>
          <w:color w:val="000000" w:themeColor="text1"/>
        </w:rPr>
        <w:t xml:space="preserve">les signes et symptômes et le taux de progression des dommages </w:t>
      </w:r>
      <w:r w:rsidR="0034359D" w:rsidRPr="0058432E">
        <w:rPr>
          <w:color w:val="000000" w:themeColor="text1"/>
        </w:rPr>
        <w:t xml:space="preserve">articulaires </w:t>
      </w:r>
      <w:r w:rsidRPr="0058432E">
        <w:rPr>
          <w:color w:val="000000" w:themeColor="text1"/>
        </w:rPr>
        <w:t xml:space="preserve">dans la polyarthrite rhumatoïde, pendant 104 semaines. Après la fin de la première période de 104 semaines, 497 patients ont été inclus dans une phase d’extension en ouvert au cours de laquelle l’adalimumab a été administré à la dose de 40 mg toutes les deux semaines jusqu’à 10 ans. </w:t>
      </w:r>
    </w:p>
    <w:p w14:paraId="08803F3E" w14:textId="77777777" w:rsidR="00C46587" w:rsidRPr="0058432E" w:rsidRDefault="00C46587" w:rsidP="00982118">
      <w:pPr>
        <w:rPr>
          <w:color w:val="000000" w:themeColor="text1"/>
        </w:rPr>
      </w:pPr>
    </w:p>
    <w:p w14:paraId="3B06E63F" w14:textId="77777777" w:rsidR="00C46587" w:rsidRPr="0058432E" w:rsidRDefault="00C46587" w:rsidP="00982118">
      <w:pPr>
        <w:rPr>
          <w:color w:val="000000" w:themeColor="text1"/>
        </w:rPr>
      </w:pPr>
      <w:r w:rsidRPr="0058432E">
        <w:rPr>
          <w:color w:val="000000" w:themeColor="text1"/>
        </w:rPr>
        <w:t xml:space="preserve">Le </w:t>
      </w:r>
      <w:r w:rsidR="00C85E12" w:rsidRPr="0058432E">
        <w:rPr>
          <w:color w:val="000000" w:themeColor="text1"/>
        </w:rPr>
        <w:t>critère d’évaluation</w:t>
      </w:r>
      <w:r w:rsidR="0034359D" w:rsidRPr="0058432E">
        <w:rPr>
          <w:color w:val="000000" w:themeColor="text1"/>
        </w:rPr>
        <w:t xml:space="preserve"> </w:t>
      </w:r>
      <w:r w:rsidRPr="0058432E">
        <w:rPr>
          <w:color w:val="000000" w:themeColor="text1"/>
        </w:rPr>
        <w:t xml:space="preserve">principal des études I, II et III sur </w:t>
      </w:r>
      <w:proofErr w:type="gramStart"/>
      <w:r w:rsidRPr="0058432E">
        <w:rPr>
          <w:color w:val="000000" w:themeColor="text1"/>
        </w:rPr>
        <w:t>la PR</w:t>
      </w:r>
      <w:proofErr w:type="gramEnd"/>
      <w:r w:rsidRPr="0058432E">
        <w:rPr>
          <w:color w:val="000000" w:themeColor="text1"/>
        </w:rPr>
        <w:t xml:space="preserve"> et le </w:t>
      </w:r>
      <w:r w:rsidR="00C85E12" w:rsidRPr="0058432E">
        <w:rPr>
          <w:color w:val="000000" w:themeColor="text1"/>
        </w:rPr>
        <w:t>critère d’évaluation</w:t>
      </w:r>
      <w:r w:rsidR="0034359D" w:rsidRPr="0058432E">
        <w:rPr>
          <w:color w:val="000000" w:themeColor="text1"/>
        </w:rPr>
        <w:t xml:space="preserve"> </w:t>
      </w:r>
      <w:r w:rsidRPr="0058432E">
        <w:rPr>
          <w:color w:val="000000" w:themeColor="text1"/>
        </w:rPr>
        <w:t xml:space="preserve">secondaire de l’étude IV sur </w:t>
      </w:r>
      <w:proofErr w:type="gramStart"/>
      <w:r w:rsidRPr="0058432E">
        <w:rPr>
          <w:color w:val="000000" w:themeColor="text1"/>
        </w:rPr>
        <w:t>la PR</w:t>
      </w:r>
      <w:proofErr w:type="gramEnd"/>
      <w:r w:rsidRPr="0058432E">
        <w:rPr>
          <w:color w:val="000000" w:themeColor="text1"/>
        </w:rPr>
        <w:t xml:space="preserve"> étaient le pourcentage de patients ayant obtenu une réponse ACR 20 à la 24</w:t>
      </w:r>
      <w:r w:rsidRPr="0058432E">
        <w:rPr>
          <w:color w:val="000000" w:themeColor="text1"/>
          <w:vertAlign w:val="superscript"/>
        </w:rPr>
        <w:t>e</w:t>
      </w:r>
      <w:r w:rsidRPr="0058432E">
        <w:rPr>
          <w:color w:val="000000" w:themeColor="text1"/>
        </w:rPr>
        <w:t xml:space="preserve"> ou la 26e semaine. Le </w:t>
      </w:r>
      <w:r w:rsidR="00C85E12" w:rsidRPr="0058432E">
        <w:rPr>
          <w:color w:val="000000" w:themeColor="text1"/>
        </w:rPr>
        <w:t>critère d’évaluation</w:t>
      </w:r>
      <w:r w:rsidR="0034359D" w:rsidRPr="0058432E">
        <w:rPr>
          <w:color w:val="000000" w:themeColor="text1"/>
        </w:rPr>
        <w:t xml:space="preserve"> </w:t>
      </w:r>
      <w:r w:rsidRPr="0058432E">
        <w:rPr>
          <w:color w:val="000000" w:themeColor="text1"/>
        </w:rPr>
        <w:t xml:space="preserve">principal dans l’étude V sur </w:t>
      </w:r>
      <w:proofErr w:type="gramStart"/>
      <w:r w:rsidRPr="0058432E">
        <w:rPr>
          <w:color w:val="000000" w:themeColor="text1"/>
        </w:rPr>
        <w:t>la PR</w:t>
      </w:r>
      <w:proofErr w:type="gramEnd"/>
      <w:r w:rsidRPr="0058432E">
        <w:rPr>
          <w:color w:val="000000" w:themeColor="text1"/>
        </w:rPr>
        <w:t xml:space="preserve"> était le pourcentage de patients qui avaient obtenu une réponse ACR 50 à la semaine 52. Les études III et V sur </w:t>
      </w:r>
      <w:proofErr w:type="gramStart"/>
      <w:r w:rsidRPr="0058432E">
        <w:rPr>
          <w:color w:val="000000" w:themeColor="text1"/>
        </w:rPr>
        <w:t>la PR</w:t>
      </w:r>
      <w:proofErr w:type="gramEnd"/>
      <w:r w:rsidRPr="0058432E">
        <w:rPr>
          <w:color w:val="000000" w:themeColor="text1"/>
        </w:rPr>
        <w:t xml:space="preserve"> avaient un </w:t>
      </w:r>
      <w:r w:rsidR="00C85E12" w:rsidRPr="0058432E">
        <w:rPr>
          <w:color w:val="000000" w:themeColor="text1"/>
        </w:rPr>
        <w:t>critère d’évaluation</w:t>
      </w:r>
      <w:r w:rsidR="0034359D" w:rsidRPr="0058432E">
        <w:rPr>
          <w:color w:val="000000" w:themeColor="text1"/>
        </w:rPr>
        <w:t xml:space="preserve"> </w:t>
      </w:r>
      <w:r w:rsidRPr="0058432E">
        <w:rPr>
          <w:color w:val="000000" w:themeColor="text1"/>
        </w:rPr>
        <w:t xml:space="preserve">principal supplémentaire à 52 semaines à savoir le retard de progression de la maladie (attesté par les résultats radiologiques). L’étude III sur </w:t>
      </w:r>
      <w:proofErr w:type="gramStart"/>
      <w:r w:rsidRPr="0058432E">
        <w:rPr>
          <w:color w:val="000000" w:themeColor="text1"/>
        </w:rPr>
        <w:t>la PR</w:t>
      </w:r>
      <w:proofErr w:type="gramEnd"/>
      <w:r w:rsidRPr="0058432E">
        <w:rPr>
          <w:color w:val="000000" w:themeColor="text1"/>
        </w:rPr>
        <w:t xml:space="preserve"> avait aussi comme </w:t>
      </w:r>
      <w:r w:rsidR="00C85E12" w:rsidRPr="0058432E">
        <w:rPr>
          <w:color w:val="000000" w:themeColor="text1"/>
        </w:rPr>
        <w:t>critère d’évaluation</w:t>
      </w:r>
      <w:r w:rsidR="0034359D" w:rsidRPr="0058432E">
        <w:rPr>
          <w:color w:val="000000" w:themeColor="text1"/>
        </w:rPr>
        <w:t xml:space="preserve"> </w:t>
      </w:r>
      <w:r w:rsidRPr="0058432E">
        <w:rPr>
          <w:color w:val="000000" w:themeColor="text1"/>
        </w:rPr>
        <w:t xml:space="preserve">principal les modifications de la qualité de vie. </w:t>
      </w:r>
    </w:p>
    <w:p w14:paraId="12BBC59F" w14:textId="77777777" w:rsidR="00C46587" w:rsidRPr="0058432E" w:rsidRDefault="00C46587" w:rsidP="00982118">
      <w:pPr>
        <w:rPr>
          <w:color w:val="000000" w:themeColor="text1"/>
        </w:rPr>
      </w:pPr>
    </w:p>
    <w:p w14:paraId="48992A38" w14:textId="77777777" w:rsidR="00C46587" w:rsidRPr="0058432E" w:rsidRDefault="00C46587" w:rsidP="00982118">
      <w:pPr>
        <w:keepNext/>
        <w:rPr>
          <w:color w:val="000000" w:themeColor="text1"/>
          <w:u w:val="single"/>
        </w:rPr>
      </w:pPr>
      <w:r w:rsidRPr="0058432E">
        <w:rPr>
          <w:color w:val="000000" w:themeColor="text1"/>
          <w:u w:val="single"/>
        </w:rPr>
        <w:t xml:space="preserve">Réponse ACR </w:t>
      </w:r>
    </w:p>
    <w:p w14:paraId="36F58ECB" w14:textId="77777777" w:rsidR="00C46587" w:rsidRPr="0058432E" w:rsidRDefault="00C46587" w:rsidP="00982118">
      <w:pPr>
        <w:keepNext/>
        <w:rPr>
          <w:color w:val="000000" w:themeColor="text1"/>
        </w:rPr>
      </w:pPr>
    </w:p>
    <w:p w14:paraId="0573E388" w14:textId="77777777" w:rsidR="00C46587" w:rsidRPr="0058432E" w:rsidRDefault="00C46587" w:rsidP="00982118">
      <w:pPr>
        <w:rPr>
          <w:color w:val="000000" w:themeColor="text1"/>
        </w:rPr>
      </w:pPr>
      <w:r w:rsidRPr="0058432E">
        <w:rPr>
          <w:color w:val="000000" w:themeColor="text1"/>
        </w:rPr>
        <w:t xml:space="preserve">Le pourcentage de patients sous adalimumab qui ont obtenu une réponse ACR 20, 50 ou 70 a été cohérent dans les </w:t>
      </w:r>
      <w:r w:rsidR="0034359D" w:rsidRPr="0058432E">
        <w:rPr>
          <w:color w:val="000000" w:themeColor="text1"/>
        </w:rPr>
        <w:t xml:space="preserve">études </w:t>
      </w:r>
      <w:r w:rsidRPr="0058432E">
        <w:rPr>
          <w:color w:val="000000" w:themeColor="text1"/>
        </w:rPr>
        <w:t>I, II et III sur la PR. Le tableau </w:t>
      </w:r>
      <w:r w:rsidR="002C597C" w:rsidRPr="0058432E">
        <w:rPr>
          <w:color w:val="000000" w:themeColor="text1"/>
        </w:rPr>
        <w:t>8</w:t>
      </w:r>
      <w:r w:rsidRPr="0058432E">
        <w:rPr>
          <w:color w:val="000000" w:themeColor="text1"/>
        </w:rPr>
        <w:t xml:space="preserve"> résume les résultats obtenus à la posologie de 40 mg toutes les deux semaines. </w:t>
      </w:r>
    </w:p>
    <w:p w14:paraId="49EC8D75" w14:textId="77777777" w:rsidR="00C46587" w:rsidRPr="0058432E" w:rsidRDefault="00C46587" w:rsidP="00982118">
      <w:pPr>
        <w:rPr>
          <w:color w:val="000000" w:themeColor="text1"/>
        </w:rPr>
      </w:pPr>
    </w:p>
    <w:p w14:paraId="12FB8C10" w14:textId="77777777" w:rsidR="00155496" w:rsidRPr="0058432E" w:rsidRDefault="00C46587" w:rsidP="00A53E17">
      <w:pPr>
        <w:keepNext/>
        <w:rPr>
          <w:b/>
          <w:color w:val="000000" w:themeColor="text1"/>
        </w:rPr>
      </w:pPr>
      <w:r w:rsidRPr="0058432E">
        <w:rPr>
          <w:b/>
          <w:color w:val="000000" w:themeColor="text1"/>
        </w:rPr>
        <w:lastRenderedPageBreak/>
        <w:t>Tableau </w:t>
      </w:r>
      <w:r w:rsidR="002C597C" w:rsidRPr="0058432E">
        <w:rPr>
          <w:b/>
          <w:color w:val="000000" w:themeColor="text1"/>
        </w:rPr>
        <w:t>8</w:t>
      </w:r>
      <w:r w:rsidR="00BA0AD5" w:rsidRPr="0058432E">
        <w:rPr>
          <w:b/>
          <w:color w:val="000000" w:themeColor="text1"/>
        </w:rPr>
        <w:t>.</w:t>
      </w:r>
      <w:r w:rsidRPr="0058432E">
        <w:rPr>
          <w:b/>
          <w:color w:val="000000" w:themeColor="text1"/>
        </w:rPr>
        <w:t> </w:t>
      </w:r>
    </w:p>
    <w:p w14:paraId="5738EB06" w14:textId="77777777" w:rsidR="00FB15B9" w:rsidRPr="0058432E" w:rsidRDefault="00FB15B9" w:rsidP="00A53E17">
      <w:pPr>
        <w:keepNext/>
        <w:rPr>
          <w:b/>
          <w:color w:val="000000" w:themeColor="text1"/>
        </w:rPr>
      </w:pPr>
      <w:r w:rsidRPr="0058432E">
        <w:rPr>
          <w:b/>
          <w:color w:val="000000" w:themeColor="text1"/>
        </w:rPr>
        <w:t>Réponses ACR dans les essais contrôlés contre placebo (pourcentage de patients)</w:t>
      </w:r>
    </w:p>
    <w:p w14:paraId="3D9D1B46" w14:textId="77777777" w:rsidR="00FB15B9" w:rsidRPr="0058432E" w:rsidRDefault="00FB15B9" w:rsidP="00FB15B9">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1145"/>
        <w:gridCol w:w="1494"/>
        <w:gridCol w:w="967"/>
        <w:gridCol w:w="1664"/>
        <w:gridCol w:w="1087"/>
        <w:gridCol w:w="1544"/>
      </w:tblGrid>
      <w:tr w:rsidR="00FB15B9" w:rsidRPr="0058432E" w14:paraId="01064764" w14:textId="77777777" w:rsidTr="00081A6C">
        <w:trPr>
          <w:tblHeader/>
        </w:trPr>
        <w:tc>
          <w:tcPr>
            <w:tcW w:w="1269" w:type="dxa"/>
            <w:vMerge w:val="restart"/>
            <w:shd w:val="clear" w:color="auto" w:fill="auto"/>
          </w:tcPr>
          <w:p w14:paraId="4F2C1AF4" w14:textId="77777777" w:rsidR="00FB15B9" w:rsidRPr="0058432E" w:rsidRDefault="00FB15B9" w:rsidP="00D67346">
            <w:pPr>
              <w:pStyle w:val="TableParagraph"/>
              <w:keepNext/>
              <w:keepLines/>
              <w:widowControl/>
              <w:kinsoku w:val="0"/>
              <w:overflowPunct w:val="0"/>
              <w:spacing w:before="7"/>
              <w:ind w:left="-2"/>
              <w:rPr>
                <w:rFonts w:ascii="Times New Roman" w:hAnsi="Times New Roman"/>
                <w:b/>
                <w:color w:val="000000" w:themeColor="text1"/>
              </w:rPr>
            </w:pPr>
            <w:r w:rsidRPr="0058432E">
              <w:rPr>
                <w:rFonts w:ascii="Times New Roman" w:hAnsi="Times New Roman"/>
                <w:b/>
                <w:color w:val="000000" w:themeColor="text1"/>
              </w:rPr>
              <w:t>Réponse</w:t>
            </w:r>
          </w:p>
        </w:tc>
        <w:tc>
          <w:tcPr>
            <w:tcW w:w="2708" w:type="dxa"/>
            <w:gridSpan w:val="2"/>
            <w:shd w:val="clear" w:color="auto" w:fill="auto"/>
            <w:vAlign w:val="center"/>
          </w:tcPr>
          <w:p w14:paraId="6A12EA44" w14:textId="77777777" w:rsidR="00FB15B9" w:rsidRPr="0058432E" w:rsidRDefault="00FB15B9" w:rsidP="00D67346">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58432E">
              <w:rPr>
                <w:rFonts w:ascii="Times New Roman" w:hAnsi="Times New Roman"/>
                <w:b/>
                <w:color w:val="000000" w:themeColor="text1"/>
              </w:rPr>
              <w:t>Étude 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700" w:type="dxa"/>
            <w:gridSpan w:val="2"/>
            <w:shd w:val="clear" w:color="auto" w:fill="auto"/>
            <w:vAlign w:val="center"/>
          </w:tcPr>
          <w:p w14:paraId="72B2148F" w14:textId="77777777" w:rsidR="00FB15B9" w:rsidRPr="0058432E" w:rsidRDefault="00FB15B9" w:rsidP="00D67346">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58432E">
              <w:rPr>
                <w:rFonts w:ascii="Times New Roman" w:hAnsi="Times New Roman"/>
                <w:b/>
                <w:color w:val="000000" w:themeColor="text1"/>
              </w:rPr>
              <w:t>Étude 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700" w:type="dxa"/>
            <w:gridSpan w:val="2"/>
            <w:shd w:val="clear" w:color="auto" w:fill="auto"/>
            <w:vAlign w:val="center"/>
          </w:tcPr>
          <w:p w14:paraId="34CB9455" w14:textId="77777777" w:rsidR="00FB15B9" w:rsidRPr="0058432E" w:rsidRDefault="00FB15B9" w:rsidP="00D67346">
            <w:pPr>
              <w:pStyle w:val="TableParagraph"/>
              <w:keepNext/>
              <w:keepLines/>
              <w:widowControl/>
              <w:kinsoku w:val="0"/>
              <w:overflowPunct w:val="0"/>
              <w:spacing w:line="260" w:lineRule="exact"/>
              <w:jc w:val="center"/>
              <w:rPr>
                <w:rFonts w:ascii="Times New Roman" w:hAnsi="Times New Roman"/>
                <w:b/>
                <w:color w:val="000000" w:themeColor="text1"/>
              </w:rPr>
            </w:pPr>
            <w:r w:rsidRPr="0058432E">
              <w:rPr>
                <w:rFonts w:ascii="Times New Roman" w:hAnsi="Times New Roman"/>
                <w:b/>
                <w:color w:val="000000" w:themeColor="text1"/>
              </w:rPr>
              <w:t>Étude III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r>
      <w:tr w:rsidR="00FB15B9" w:rsidRPr="0058432E" w14:paraId="6808CCD2" w14:textId="77777777" w:rsidTr="00081A6C">
        <w:trPr>
          <w:tblHeader/>
        </w:trPr>
        <w:tc>
          <w:tcPr>
            <w:tcW w:w="1269" w:type="dxa"/>
            <w:vMerge/>
            <w:shd w:val="clear" w:color="auto" w:fill="auto"/>
          </w:tcPr>
          <w:p w14:paraId="68ED77E1" w14:textId="77777777" w:rsidR="00FB15B9" w:rsidRPr="0058432E" w:rsidRDefault="00FB15B9" w:rsidP="00D67346">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1174" w:type="dxa"/>
            <w:shd w:val="clear" w:color="auto" w:fill="auto"/>
          </w:tcPr>
          <w:p w14:paraId="791CE78D"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64EBF858"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60</w:t>
            </w:r>
          </w:p>
        </w:tc>
        <w:tc>
          <w:tcPr>
            <w:tcW w:w="1534" w:type="dxa"/>
            <w:shd w:val="clear" w:color="auto" w:fill="auto"/>
            <w:vAlign w:val="center"/>
          </w:tcPr>
          <w:p w14:paraId="4BA32601"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4CF5CCA1"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63</w:t>
            </w:r>
          </w:p>
        </w:tc>
        <w:tc>
          <w:tcPr>
            <w:tcW w:w="990" w:type="dxa"/>
            <w:shd w:val="clear" w:color="auto" w:fill="auto"/>
            <w:vAlign w:val="center"/>
          </w:tcPr>
          <w:p w14:paraId="0CB81548" w14:textId="77777777" w:rsidR="00FB15B9" w:rsidRPr="0058432E" w:rsidRDefault="00FB15B9" w:rsidP="00D67346">
            <w:pPr>
              <w:pStyle w:val="TableParagraph"/>
              <w:keepNext/>
              <w:keepLines/>
              <w:widowControl/>
              <w:kinsoku w:val="0"/>
              <w:overflowPunct w:val="0"/>
              <w:ind w:hanging="66"/>
              <w:jc w:val="center"/>
              <w:rPr>
                <w:rFonts w:ascii="Times New Roman" w:hAnsi="Times New Roman"/>
                <w:b/>
                <w:color w:val="000000" w:themeColor="text1"/>
              </w:rPr>
            </w:pPr>
            <w:r w:rsidRPr="0058432E">
              <w:rPr>
                <w:rFonts w:ascii="Times New Roman" w:hAnsi="Times New Roman"/>
                <w:b/>
                <w:color w:val="000000" w:themeColor="text1"/>
              </w:rPr>
              <w:t>Placebo</w:t>
            </w:r>
          </w:p>
          <w:p w14:paraId="0D152800"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110</w:t>
            </w:r>
          </w:p>
        </w:tc>
        <w:tc>
          <w:tcPr>
            <w:tcW w:w="1710" w:type="dxa"/>
            <w:shd w:val="clear" w:color="auto" w:fill="auto"/>
            <w:vAlign w:val="center"/>
          </w:tcPr>
          <w:p w14:paraId="7FAC4E5B" w14:textId="77777777" w:rsidR="00FB15B9" w:rsidRPr="0058432E" w:rsidRDefault="00FB15B9" w:rsidP="00D67346">
            <w:pPr>
              <w:pStyle w:val="TableParagraph"/>
              <w:keepNext/>
              <w:keepLines/>
              <w:widowControl/>
              <w:kinsoku w:val="0"/>
              <w:overflowPunct w:val="0"/>
              <w:ind w:left="59" w:right="9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p>
          <w:p w14:paraId="1046E868" w14:textId="77777777" w:rsidR="00FB15B9" w:rsidRPr="0058432E" w:rsidRDefault="00FB15B9" w:rsidP="00D67346">
            <w:pPr>
              <w:pStyle w:val="TableParagraph"/>
              <w:keepNext/>
              <w:keepLines/>
              <w:widowControl/>
              <w:kinsoku w:val="0"/>
              <w:overflowPunct w:val="0"/>
              <w:ind w:left="59" w:right="9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113</w:t>
            </w:r>
          </w:p>
        </w:tc>
        <w:tc>
          <w:tcPr>
            <w:tcW w:w="1114" w:type="dxa"/>
            <w:shd w:val="clear" w:color="auto" w:fill="auto"/>
            <w:vAlign w:val="center"/>
          </w:tcPr>
          <w:p w14:paraId="0B4E8E43" w14:textId="77777777" w:rsidR="00FB15B9" w:rsidRPr="0058432E" w:rsidRDefault="00FB15B9" w:rsidP="00D67346">
            <w:pPr>
              <w:pStyle w:val="TableParagraph"/>
              <w:keepNext/>
              <w:keepLines/>
              <w:widowControl/>
              <w:kinsoku w:val="0"/>
              <w:overflowPunct w:val="0"/>
              <w:ind w:hanging="3"/>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5FB467D2" w14:textId="77777777" w:rsidR="00FB15B9" w:rsidRPr="0058432E" w:rsidRDefault="00FB15B9" w:rsidP="00D67346">
            <w:pPr>
              <w:pStyle w:val="TableParagraph"/>
              <w:keepNext/>
              <w:keepLines/>
              <w:widowControl/>
              <w:kinsoku w:val="0"/>
              <w:overflowPunct w:val="0"/>
              <w:ind w:hanging="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200</w:t>
            </w:r>
          </w:p>
        </w:tc>
        <w:tc>
          <w:tcPr>
            <w:tcW w:w="1586" w:type="dxa"/>
            <w:shd w:val="clear" w:color="auto" w:fill="auto"/>
            <w:vAlign w:val="center"/>
          </w:tcPr>
          <w:p w14:paraId="26FFC812"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3DAB19C7" w14:textId="77777777" w:rsidR="00FB15B9" w:rsidRPr="0058432E" w:rsidRDefault="00FB15B9" w:rsidP="00D67346">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207</w:t>
            </w:r>
          </w:p>
        </w:tc>
      </w:tr>
      <w:tr w:rsidR="00FB15B9" w:rsidRPr="0058432E" w14:paraId="5D3B4378" w14:textId="77777777" w:rsidTr="00081A6C">
        <w:tc>
          <w:tcPr>
            <w:tcW w:w="1269" w:type="dxa"/>
            <w:shd w:val="clear" w:color="auto" w:fill="auto"/>
          </w:tcPr>
          <w:p w14:paraId="34A672D9" w14:textId="77777777" w:rsidR="00FB15B9" w:rsidRPr="0058432E" w:rsidRDefault="00FB15B9" w:rsidP="00D67346">
            <w:pPr>
              <w:pStyle w:val="TableParagraph"/>
              <w:keepNext/>
              <w:keepLines/>
              <w:widowControl/>
              <w:kinsoku w:val="0"/>
              <w:overflowPunct w:val="0"/>
              <w:spacing w:before="6"/>
              <w:ind w:left="-2"/>
              <w:rPr>
                <w:rFonts w:ascii="Times New Roman" w:hAnsi="Times New Roman"/>
                <w:color w:val="000000" w:themeColor="text1"/>
              </w:rPr>
            </w:pPr>
            <w:r w:rsidRPr="0058432E">
              <w:rPr>
                <w:rFonts w:ascii="Times New Roman" w:hAnsi="Times New Roman"/>
                <w:color w:val="000000" w:themeColor="text1"/>
              </w:rPr>
              <w:t>ACR 20</w:t>
            </w:r>
          </w:p>
        </w:tc>
        <w:tc>
          <w:tcPr>
            <w:tcW w:w="1174" w:type="dxa"/>
            <w:shd w:val="clear" w:color="auto" w:fill="auto"/>
          </w:tcPr>
          <w:p w14:paraId="7090D183"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534" w:type="dxa"/>
            <w:shd w:val="clear" w:color="auto" w:fill="auto"/>
          </w:tcPr>
          <w:p w14:paraId="7EC270E4"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990" w:type="dxa"/>
            <w:shd w:val="clear" w:color="auto" w:fill="auto"/>
          </w:tcPr>
          <w:p w14:paraId="0471E706"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710" w:type="dxa"/>
            <w:shd w:val="clear" w:color="auto" w:fill="auto"/>
          </w:tcPr>
          <w:p w14:paraId="20B87EF7"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114" w:type="dxa"/>
            <w:shd w:val="clear" w:color="auto" w:fill="auto"/>
          </w:tcPr>
          <w:p w14:paraId="60EB7C88"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c>
          <w:tcPr>
            <w:tcW w:w="1586" w:type="dxa"/>
            <w:shd w:val="clear" w:color="auto" w:fill="auto"/>
          </w:tcPr>
          <w:p w14:paraId="45154D17" w14:textId="77777777" w:rsidR="00FB15B9" w:rsidRPr="0058432E" w:rsidRDefault="00FB15B9" w:rsidP="00D67346">
            <w:pPr>
              <w:pStyle w:val="TableParagraph"/>
              <w:keepNext/>
              <w:keepLines/>
              <w:widowControl/>
              <w:kinsoku w:val="0"/>
              <w:overflowPunct w:val="0"/>
              <w:jc w:val="center"/>
              <w:rPr>
                <w:rFonts w:ascii="Times New Roman" w:hAnsi="Times New Roman"/>
                <w:color w:val="000000" w:themeColor="text1"/>
              </w:rPr>
            </w:pPr>
          </w:p>
        </w:tc>
      </w:tr>
      <w:tr w:rsidR="00FB15B9" w:rsidRPr="0058432E" w14:paraId="05608AC3" w14:textId="77777777" w:rsidTr="00081A6C">
        <w:tc>
          <w:tcPr>
            <w:tcW w:w="1269" w:type="dxa"/>
            <w:shd w:val="clear" w:color="auto" w:fill="auto"/>
          </w:tcPr>
          <w:p w14:paraId="459843CF" w14:textId="77777777" w:rsidR="00FB15B9" w:rsidRPr="0058432E" w:rsidRDefault="00FB15B9" w:rsidP="00D67346">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7D6E47A5"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13,3 %</w:t>
            </w:r>
          </w:p>
        </w:tc>
        <w:tc>
          <w:tcPr>
            <w:tcW w:w="1534" w:type="dxa"/>
            <w:shd w:val="clear" w:color="auto" w:fill="auto"/>
          </w:tcPr>
          <w:p w14:paraId="0ABF70EB"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65,1 %</w:t>
            </w:r>
          </w:p>
        </w:tc>
        <w:tc>
          <w:tcPr>
            <w:tcW w:w="990" w:type="dxa"/>
            <w:shd w:val="clear" w:color="auto" w:fill="auto"/>
          </w:tcPr>
          <w:p w14:paraId="6D5B911B"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19,1 %</w:t>
            </w:r>
          </w:p>
        </w:tc>
        <w:tc>
          <w:tcPr>
            <w:tcW w:w="1710" w:type="dxa"/>
            <w:shd w:val="clear" w:color="auto" w:fill="auto"/>
          </w:tcPr>
          <w:p w14:paraId="6CDA9950"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46,0 %</w:t>
            </w:r>
          </w:p>
        </w:tc>
        <w:tc>
          <w:tcPr>
            <w:tcW w:w="1114" w:type="dxa"/>
            <w:shd w:val="clear" w:color="auto" w:fill="auto"/>
          </w:tcPr>
          <w:p w14:paraId="19389078"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29,5 %</w:t>
            </w:r>
          </w:p>
        </w:tc>
        <w:tc>
          <w:tcPr>
            <w:tcW w:w="1586" w:type="dxa"/>
            <w:shd w:val="clear" w:color="auto" w:fill="auto"/>
          </w:tcPr>
          <w:p w14:paraId="2A0B0F8E"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63,3 %</w:t>
            </w:r>
          </w:p>
        </w:tc>
      </w:tr>
      <w:tr w:rsidR="00FB15B9" w:rsidRPr="0058432E" w14:paraId="5319490E" w14:textId="77777777" w:rsidTr="00081A6C">
        <w:tc>
          <w:tcPr>
            <w:tcW w:w="1269" w:type="dxa"/>
            <w:shd w:val="clear" w:color="auto" w:fill="auto"/>
          </w:tcPr>
          <w:p w14:paraId="63B81BF3"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shd w:val="clear" w:color="auto" w:fill="auto"/>
          </w:tcPr>
          <w:p w14:paraId="29153390"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shd w:val="clear" w:color="auto" w:fill="auto"/>
          </w:tcPr>
          <w:p w14:paraId="2D67DF93"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990" w:type="dxa"/>
            <w:shd w:val="clear" w:color="auto" w:fill="auto"/>
          </w:tcPr>
          <w:p w14:paraId="04F8D017"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10" w:type="dxa"/>
            <w:shd w:val="clear" w:color="auto" w:fill="auto"/>
          </w:tcPr>
          <w:p w14:paraId="5853B2FC"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114" w:type="dxa"/>
            <w:shd w:val="clear" w:color="auto" w:fill="auto"/>
          </w:tcPr>
          <w:p w14:paraId="1E0642F8"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24,0 %</w:t>
            </w:r>
          </w:p>
        </w:tc>
        <w:tc>
          <w:tcPr>
            <w:tcW w:w="1586" w:type="dxa"/>
            <w:shd w:val="clear" w:color="auto" w:fill="auto"/>
          </w:tcPr>
          <w:p w14:paraId="7143DA44"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58,9 %</w:t>
            </w:r>
          </w:p>
        </w:tc>
      </w:tr>
      <w:tr w:rsidR="00FB15B9" w:rsidRPr="0058432E" w14:paraId="580B61ED" w14:textId="77777777" w:rsidTr="00081A6C">
        <w:tc>
          <w:tcPr>
            <w:tcW w:w="1269" w:type="dxa"/>
            <w:shd w:val="clear" w:color="auto" w:fill="auto"/>
          </w:tcPr>
          <w:p w14:paraId="0C147CB9" w14:textId="77777777" w:rsidR="00FB15B9" w:rsidRPr="0058432E" w:rsidRDefault="00FB15B9" w:rsidP="00D67346">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t>ACR 50</w:t>
            </w:r>
          </w:p>
        </w:tc>
        <w:tc>
          <w:tcPr>
            <w:tcW w:w="1174" w:type="dxa"/>
            <w:shd w:val="clear" w:color="auto" w:fill="auto"/>
          </w:tcPr>
          <w:p w14:paraId="0901887F" w14:textId="77777777" w:rsidR="00FB15B9" w:rsidRPr="0058432E" w:rsidRDefault="00FB15B9" w:rsidP="00D67346">
            <w:pPr>
              <w:keepNext/>
              <w:keepLines/>
              <w:jc w:val="center"/>
              <w:rPr>
                <w:rFonts w:eastAsia="Calibri"/>
                <w:color w:val="000000" w:themeColor="text1"/>
              </w:rPr>
            </w:pPr>
          </w:p>
        </w:tc>
        <w:tc>
          <w:tcPr>
            <w:tcW w:w="1534" w:type="dxa"/>
            <w:shd w:val="clear" w:color="auto" w:fill="auto"/>
          </w:tcPr>
          <w:p w14:paraId="1ADE27F6" w14:textId="77777777" w:rsidR="00FB15B9" w:rsidRPr="0058432E" w:rsidRDefault="00FB15B9" w:rsidP="00D67346">
            <w:pPr>
              <w:keepNext/>
              <w:keepLines/>
              <w:jc w:val="center"/>
              <w:rPr>
                <w:rFonts w:eastAsia="Calibri"/>
                <w:color w:val="000000" w:themeColor="text1"/>
              </w:rPr>
            </w:pPr>
          </w:p>
        </w:tc>
        <w:tc>
          <w:tcPr>
            <w:tcW w:w="990" w:type="dxa"/>
            <w:shd w:val="clear" w:color="auto" w:fill="auto"/>
          </w:tcPr>
          <w:p w14:paraId="57AFC834" w14:textId="77777777" w:rsidR="00FB15B9" w:rsidRPr="0058432E" w:rsidRDefault="00FB15B9" w:rsidP="00D67346">
            <w:pPr>
              <w:keepNext/>
              <w:keepLines/>
              <w:jc w:val="center"/>
              <w:rPr>
                <w:rFonts w:eastAsia="Calibri"/>
                <w:color w:val="000000" w:themeColor="text1"/>
              </w:rPr>
            </w:pPr>
          </w:p>
        </w:tc>
        <w:tc>
          <w:tcPr>
            <w:tcW w:w="1710" w:type="dxa"/>
            <w:shd w:val="clear" w:color="auto" w:fill="auto"/>
          </w:tcPr>
          <w:p w14:paraId="0DA069CE" w14:textId="77777777" w:rsidR="00FB15B9" w:rsidRPr="0058432E" w:rsidRDefault="00FB15B9" w:rsidP="00D67346">
            <w:pPr>
              <w:keepNext/>
              <w:keepLines/>
              <w:jc w:val="center"/>
              <w:rPr>
                <w:rFonts w:eastAsia="Calibri"/>
                <w:color w:val="000000" w:themeColor="text1"/>
              </w:rPr>
            </w:pPr>
          </w:p>
        </w:tc>
        <w:tc>
          <w:tcPr>
            <w:tcW w:w="1114" w:type="dxa"/>
            <w:shd w:val="clear" w:color="auto" w:fill="auto"/>
          </w:tcPr>
          <w:p w14:paraId="5E07C16D" w14:textId="77777777" w:rsidR="00FB15B9" w:rsidRPr="0058432E" w:rsidRDefault="00FB15B9" w:rsidP="00D67346">
            <w:pPr>
              <w:keepNext/>
              <w:keepLines/>
              <w:jc w:val="center"/>
              <w:rPr>
                <w:rFonts w:eastAsia="Calibri"/>
                <w:color w:val="000000" w:themeColor="text1"/>
              </w:rPr>
            </w:pPr>
          </w:p>
        </w:tc>
        <w:tc>
          <w:tcPr>
            <w:tcW w:w="1586" w:type="dxa"/>
            <w:shd w:val="clear" w:color="auto" w:fill="auto"/>
          </w:tcPr>
          <w:p w14:paraId="6A945846" w14:textId="77777777" w:rsidR="00FB15B9" w:rsidRPr="0058432E" w:rsidRDefault="00FB15B9" w:rsidP="00D67346">
            <w:pPr>
              <w:keepNext/>
              <w:keepLines/>
              <w:jc w:val="center"/>
              <w:rPr>
                <w:rFonts w:eastAsia="Calibri"/>
                <w:color w:val="000000" w:themeColor="text1"/>
              </w:rPr>
            </w:pPr>
          </w:p>
        </w:tc>
      </w:tr>
      <w:tr w:rsidR="00FB15B9" w:rsidRPr="0058432E" w14:paraId="74681A37" w14:textId="77777777" w:rsidTr="00081A6C">
        <w:tc>
          <w:tcPr>
            <w:tcW w:w="1269" w:type="dxa"/>
            <w:shd w:val="clear" w:color="auto" w:fill="auto"/>
          </w:tcPr>
          <w:p w14:paraId="47B89B89" w14:textId="77777777" w:rsidR="00FB15B9" w:rsidRPr="0058432E" w:rsidRDefault="00FB15B9" w:rsidP="00D67346">
            <w:pPr>
              <w:pStyle w:val="TableParagraph"/>
              <w:keepNext/>
              <w:keepLines/>
              <w:widowControl/>
              <w:kinsoku w:val="0"/>
              <w:overflowPunct w:val="0"/>
              <w:spacing w:line="251"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1033B9D4"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6,7 %</w:t>
            </w:r>
          </w:p>
        </w:tc>
        <w:tc>
          <w:tcPr>
            <w:tcW w:w="1534" w:type="dxa"/>
            <w:shd w:val="clear" w:color="auto" w:fill="auto"/>
          </w:tcPr>
          <w:p w14:paraId="2B6CB270"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52,4 %</w:t>
            </w:r>
          </w:p>
        </w:tc>
        <w:tc>
          <w:tcPr>
            <w:tcW w:w="990" w:type="dxa"/>
            <w:shd w:val="clear" w:color="auto" w:fill="auto"/>
          </w:tcPr>
          <w:p w14:paraId="040643EA"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8,2 %</w:t>
            </w:r>
          </w:p>
        </w:tc>
        <w:tc>
          <w:tcPr>
            <w:tcW w:w="1710" w:type="dxa"/>
            <w:shd w:val="clear" w:color="auto" w:fill="auto"/>
          </w:tcPr>
          <w:p w14:paraId="7F681795"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22,1 %</w:t>
            </w:r>
          </w:p>
        </w:tc>
        <w:tc>
          <w:tcPr>
            <w:tcW w:w="1114" w:type="dxa"/>
            <w:shd w:val="clear" w:color="auto" w:fill="auto"/>
          </w:tcPr>
          <w:p w14:paraId="575DBC71"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86" w:type="dxa"/>
            <w:shd w:val="clear" w:color="auto" w:fill="auto"/>
          </w:tcPr>
          <w:p w14:paraId="42132B12" w14:textId="77777777" w:rsidR="00FB15B9" w:rsidRPr="0058432E" w:rsidRDefault="00FB15B9" w:rsidP="00D67346">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39,1 %</w:t>
            </w:r>
          </w:p>
        </w:tc>
      </w:tr>
      <w:tr w:rsidR="00FB15B9" w:rsidRPr="0058432E" w14:paraId="0BDEF4D4" w14:textId="77777777" w:rsidTr="00081A6C">
        <w:tc>
          <w:tcPr>
            <w:tcW w:w="1269" w:type="dxa"/>
            <w:shd w:val="clear" w:color="auto" w:fill="auto"/>
          </w:tcPr>
          <w:p w14:paraId="58C2B786"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shd w:val="clear" w:color="auto" w:fill="auto"/>
          </w:tcPr>
          <w:p w14:paraId="41078026"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shd w:val="clear" w:color="auto" w:fill="auto"/>
          </w:tcPr>
          <w:p w14:paraId="57CBFDE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990" w:type="dxa"/>
            <w:shd w:val="clear" w:color="auto" w:fill="auto"/>
          </w:tcPr>
          <w:p w14:paraId="47D98248"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10" w:type="dxa"/>
            <w:shd w:val="clear" w:color="auto" w:fill="auto"/>
          </w:tcPr>
          <w:p w14:paraId="7E67D06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114" w:type="dxa"/>
            <w:shd w:val="clear" w:color="auto" w:fill="auto"/>
          </w:tcPr>
          <w:p w14:paraId="6FB408B7"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86" w:type="dxa"/>
            <w:shd w:val="clear" w:color="auto" w:fill="auto"/>
          </w:tcPr>
          <w:p w14:paraId="68BF3EF4"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41,5 %</w:t>
            </w:r>
          </w:p>
        </w:tc>
      </w:tr>
      <w:tr w:rsidR="00FB15B9" w:rsidRPr="0058432E" w14:paraId="08432A43" w14:textId="77777777" w:rsidTr="00081A6C">
        <w:tc>
          <w:tcPr>
            <w:tcW w:w="1269" w:type="dxa"/>
            <w:shd w:val="clear" w:color="auto" w:fill="auto"/>
          </w:tcPr>
          <w:p w14:paraId="036328DC" w14:textId="77777777" w:rsidR="00FB15B9" w:rsidRPr="0058432E" w:rsidRDefault="00FB15B9" w:rsidP="00D67346">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t>ACR 70</w:t>
            </w:r>
          </w:p>
        </w:tc>
        <w:tc>
          <w:tcPr>
            <w:tcW w:w="1174" w:type="dxa"/>
            <w:shd w:val="clear" w:color="auto" w:fill="auto"/>
          </w:tcPr>
          <w:p w14:paraId="0E232A1C" w14:textId="77777777" w:rsidR="00FB15B9" w:rsidRPr="0058432E" w:rsidRDefault="00FB15B9" w:rsidP="00D67346">
            <w:pPr>
              <w:keepNext/>
              <w:keepLines/>
              <w:jc w:val="center"/>
              <w:rPr>
                <w:rFonts w:eastAsia="Calibri"/>
                <w:color w:val="000000" w:themeColor="text1"/>
              </w:rPr>
            </w:pPr>
          </w:p>
        </w:tc>
        <w:tc>
          <w:tcPr>
            <w:tcW w:w="1534" w:type="dxa"/>
            <w:shd w:val="clear" w:color="auto" w:fill="auto"/>
          </w:tcPr>
          <w:p w14:paraId="761331C3" w14:textId="77777777" w:rsidR="00FB15B9" w:rsidRPr="0058432E" w:rsidRDefault="00FB15B9" w:rsidP="00D67346">
            <w:pPr>
              <w:keepNext/>
              <w:keepLines/>
              <w:jc w:val="center"/>
              <w:rPr>
                <w:rFonts w:eastAsia="Calibri"/>
                <w:color w:val="000000" w:themeColor="text1"/>
              </w:rPr>
            </w:pPr>
          </w:p>
        </w:tc>
        <w:tc>
          <w:tcPr>
            <w:tcW w:w="990" w:type="dxa"/>
            <w:shd w:val="clear" w:color="auto" w:fill="auto"/>
          </w:tcPr>
          <w:p w14:paraId="5968EB84" w14:textId="77777777" w:rsidR="00FB15B9" w:rsidRPr="0058432E" w:rsidRDefault="00FB15B9" w:rsidP="00D67346">
            <w:pPr>
              <w:keepNext/>
              <w:keepLines/>
              <w:jc w:val="center"/>
              <w:rPr>
                <w:rFonts w:eastAsia="Calibri"/>
                <w:color w:val="000000" w:themeColor="text1"/>
              </w:rPr>
            </w:pPr>
          </w:p>
        </w:tc>
        <w:tc>
          <w:tcPr>
            <w:tcW w:w="1710" w:type="dxa"/>
            <w:shd w:val="clear" w:color="auto" w:fill="auto"/>
          </w:tcPr>
          <w:p w14:paraId="29201387" w14:textId="77777777" w:rsidR="00FB15B9" w:rsidRPr="0058432E" w:rsidRDefault="00FB15B9" w:rsidP="00D67346">
            <w:pPr>
              <w:keepNext/>
              <w:keepLines/>
              <w:jc w:val="center"/>
              <w:rPr>
                <w:rFonts w:eastAsia="Calibri"/>
                <w:color w:val="000000" w:themeColor="text1"/>
              </w:rPr>
            </w:pPr>
          </w:p>
        </w:tc>
        <w:tc>
          <w:tcPr>
            <w:tcW w:w="1114" w:type="dxa"/>
            <w:shd w:val="clear" w:color="auto" w:fill="auto"/>
          </w:tcPr>
          <w:p w14:paraId="4E99DD16" w14:textId="77777777" w:rsidR="00FB15B9" w:rsidRPr="0058432E" w:rsidRDefault="00FB15B9" w:rsidP="00D67346">
            <w:pPr>
              <w:keepNext/>
              <w:keepLines/>
              <w:jc w:val="center"/>
              <w:rPr>
                <w:rFonts w:eastAsia="Calibri"/>
                <w:color w:val="000000" w:themeColor="text1"/>
              </w:rPr>
            </w:pPr>
          </w:p>
        </w:tc>
        <w:tc>
          <w:tcPr>
            <w:tcW w:w="1586" w:type="dxa"/>
            <w:shd w:val="clear" w:color="auto" w:fill="auto"/>
          </w:tcPr>
          <w:p w14:paraId="7FC373EC" w14:textId="77777777" w:rsidR="00FB15B9" w:rsidRPr="0058432E" w:rsidRDefault="00FB15B9" w:rsidP="00D67346">
            <w:pPr>
              <w:keepNext/>
              <w:keepLines/>
              <w:jc w:val="center"/>
              <w:rPr>
                <w:rFonts w:eastAsia="Calibri"/>
                <w:color w:val="000000" w:themeColor="text1"/>
              </w:rPr>
            </w:pPr>
          </w:p>
        </w:tc>
      </w:tr>
      <w:tr w:rsidR="00FB15B9" w:rsidRPr="0058432E" w14:paraId="06C85499" w14:textId="77777777" w:rsidTr="00081A6C">
        <w:tc>
          <w:tcPr>
            <w:tcW w:w="1269" w:type="dxa"/>
            <w:shd w:val="clear" w:color="auto" w:fill="auto"/>
          </w:tcPr>
          <w:p w14:paraId="13B8F3D5" w14:textId="77777777" w:rsidR="00FB15B9" w:rsidRPr="0058432E" w:rsidRDefault="00FB15B9" w:rsidP="00D67346">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396EDB4A"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3,3 %</w:t>
            </w:r>
          </w:p>
        </w:tc>
        <w:tc>
          <w:tcPr>
            <w:tcW w:w="1534" w:type="dxa"/>
            <w:shd w:val="clear" w:color="auto" w:fill="auto"/>
          </w:tcPr>
          <w:p w14:paraId="6CDF8677"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23,8 %</w:t>
            </w:r>
          </w:p>
        </w:tc>
        <w:tc>
          <w:tcPr>
            <w:tcW w:w="990" w:type="dxa"/>
            <w:shd w:val="clear" w:color="auto" w:fill="auto"/>
          </w:tcPr>
          <w:p w14:paraId="5636623D"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1,8 %</w:t>
            </w:r>
          </w:p>
        </w:tc>
        <w:tc>
          <w:tcPr>
            <w:tcW w:w="1710" w:type="dxa"/>
            <w:shd w:val="clear" w:color="auto" w:fill="auto"/>
          </w:tcPr>
          <w:p w14:paraId="7F63A449"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12,4 %</w:t>
            </w:r>
          </w:p>
        </w:tc>
        <w:tc>
          <w:tcPr>
            <w:tcW w:w="1114" w:type="dxa"/>
            <w:shd w:val="clear" w:color="auto" w:fill="auto"/>
          </w:tcPr>
          <w:p w14:paraId="2CA27477"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2,5 %</w:t>
            </w:r>
          </w:p>
        </w:tc>
        <w:tc>
          <w:tcPr>
            <w:tcW w:w="1586" w:type="dxa"/>
            <w:shd w:val="clear" w:color="auto" w:fill="auto"/>
          </w:tcPr>
          <w:p w14:paraId="6F5ABB17" w14:textId="77777777" w:rsidR="00FB15B9" w:rsidRPr="0058432E" w:rsidRDefault="00FB15B9" w:rsidP="00D67346">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20,8 %</w:t>
            </w:r>
          </w:p>
        </w:tc>
      </w:tr>
      <w:tr w:rsidR="00FB15B9" w:rsidRPr="0058432E" w14:paraId="1F6FD62F" w14:textId="77777777" w:rsidTr="00081A6C">
        <w:tc>
          <w:tcPr>
            <w:tcW w:w="1269" w:type="dxa"/>
            <w:tcBorders>
              <w:bottom w:val="single" w:sz="4" w:space="0" w:color="auto"/>
            </w:tcBorders>
            <w:shd w:val="clear" w:color="auto" w:fill="auto"/>
          </w:tcPr>
          <w:p w14:paraId="4E623325" w14:textId="77777777" w:rsidR="00FB15B9" w:rsidRPr="0058432E" w:rsidRDefault="00FB15B9" w:rsidP="00D67346">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tcBorders>
              <w:bottom w:val="single" w:sz="4" w:space="0" w:color="auto"/>
            </w:tcBorders>
            <w:shd w:val="clear" w:color="auto" w:fill="auto"/>
          </w:tcPr>
          <w:p w14:paraId="2850E9CF"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tcBorders>
              <w:bottom w:val="single" w:sz="4" w:space="0" w:color="auto"/>
            </w:tcBorders>
            <w:shd w:val="clear" w:color="auto" w:fill="auto"/>
          </w:tcPr>
          <w:p w14:paraId="43267C19"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990" w:type="dxa"/>
            <w:tcBorders>
              <w:bottom w:val="single" w:sz="4" w:space="0" w:color="auto"/>
            </w:tcBorders>
            <w:shd w:val="clear" w:color="auto" w:fill="auto"/>
          </w:tcPr>
          <w:p w14:paraId="36739304"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10" w:type="dxa"/>
            <w:tcBorders>
              <w:bottom w:val="single" w:sz="4" w:space="0" w:color="auto"/>
            </w:tcBorders>
            <w:shd w:val="clear" w:color="auto" w:fill="auto"/>
          </w:tcPr>
          <w:p w14:paraId="0ADBC252"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114" w:type="dxa"/>
            <w:tcBorders>
              <w:bottom w:val="single" w:sz="4" w:space="0" w:color="auto"/>
            </w:tcBorders>
            <w:shd w:val="clear" w:color="auto" w:fill="auto"/>
          </w:tcPr>
          <w:p w14:paraId="2BBA6A4E"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4,5 %</w:t>
            </w:r>
          </w:p>
        </w:tc>
        <w:tc>
          <w:tcPr>
            <w:tcW w:w="1586" w:type="dxa"/>
            <w:tcBorders>
              <w:bottom w:val="single" w:sz="4" w:space="0" w:color="auto"/>
            </w:tcBorders>
            <w:shd w:val="clear" w:color="auto" w:fill="auto"/>
          </w:tcPr>
          <w:p w14:paraId="298CF3C0" w14:textId="77777777" w:rsidR="00FB15B9" w:rsidRPr="0058432E" w:rsidRDefault="00FB15B9" w:rsidP="00D67346">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23,2 %</w:t>
            </w:r>
          </w:p>
        </w:tc>
      </w:tr>
      <w:tr w:rsidR="00081A6C" w:rsidRPr="0058432E" w14:paraId="47721649" w14:textId="77777777" w:rsidTr="00081A6C">
        <w:tc>
          <w:tcPr>
            <w:tcW w:w="9377" w:type="dxa"/>
            <w:gridSpan w:val="7"/>
            <w:tcBorders>
              <w:left w:val="nil"/>
              <w:bottom w:val="nil"/>
              <w:right w:val="nil"/>
            </w:tcBorders>
            <w:shd w:val="clear" w:color="auto" w:fill="auto"/>
          </w:tcPr>
          <w:p w14:paraId="20787CDA"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vertAlign w:val="superscript"/>
              </w:rPr>
              <w:t xml:space="preserve"> </w:t>
            </w:r>
            <w:r w:rsidRPr="0058432E">
              <w:rPr>
                <w:color w:val="000000" w:themeColor="text1"/>
                <w:sz w:val="20"/>
              </w:rPr>
              <w:tab/>
              <w:t xml:space="preserve">Étude I sur </w:t>
            </w:r>
            <w:proofErr w:type="gramStart"/>
            <w:r w:rsidRPr="0058432E">
              <w:rPr>
                <w:color w:val="000000" w:themeColor="text1"/>
                <w:sz w:val="20"/>
              </w:rPr>
              <w:t>la PR</w:t>
            </w:r>
            <w:proofErr w:type="gramEnd"/>
            <w:r w:rsidRPr="0058432E">
              <w:rPr>
                <w:color w:val="000000" w:themeColor="text1"/>
                <w:sz w:val="20"/>
              </w:rPr>
              <w:t xml:space="preserve"> à 24 semaines, étude II sur </w:t>
            </w:r>
            <w:proofErr w:type="gramStart"/>
            <w:r w:rsidRPr="0058432E">
              <w:rPr>
                <w:color w:val="000000" w:themeColor="text1"/>
                <w:sz w:val="20"/>
              </w:rPr>
              <w:t>la PR</w:t>
            </w:r>
            <w:proofErr w:type="gramEnd"/>
            <w:r w:rsidRPr="0058432E">
              <w:rPr>
                <w:color w:val="000000" w:themeColor="text1"/>
                <w:sz w:val="20"/>
              </w:rPr>
              <w:t xml:space="preserve"> à 26 semaines et étude III sur </w:t>
            </w:r>
            <w:proofErr w:type="gramStart"/>
            <w:r w:rsidRPr="0058432E">
              <w:rPr>
                <w:color w:val="000000" w:themeColor="text1"/>
                <w:sz w:val="20"/>
              </w:rPr>
              <w:t>la PR</w:t>
            </w:r>
            <w:proofErr w:type="gramEnd"/>
            <w:r w:rsidRPr="0058432E">
              <w:rPr>
                <w:color w:val="000000" w:themeColor="text1"/>
                <w:sz w:val="20"/>
              </w:rPr>
              <w:t xml:space="preserve"> à 24 et 52 semaines</w:t>
            </w:r>
          </w:p>
          <w:p w14:paraId="495A7E60"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vertAlign w:val="superscript"/>
              </w:rPr>
              <w:t xml:space="preserve"> </w:t>
            </w:r>
            <w:r w:rsidRPr="0058432E">
              <w:rPr>
                <w:color w:val="000000" w:themeColor="text1"/>
                <w:sz w:val="20"/>
              </w:rPr>
              <w:tab/>
              <w:t>40 mg d’adalimumab administré toutes les deux semaines</w:t>
            </w:r>
          </w:p>
          <w:p w14:paraId="2FAF1825"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vertAlign w:val="superscript"/>
              </w:rPr>
              <w:t xml:space="preserve"> </w:t>
            </w:r>
            <w:r w:rsidRPr="0058432E">
              <w:rPr>
                <w:color w:val="000000" w:themeColor="text1"/>
                <w:sz w:val="20"/>
              </w:rPr>
              <w:tab/>
              <w:t>MTX = méthotrexate</w:t>
            </w:r>
          </w:p>
          <w:p w14:paraId="6B3E132A" w14:textId="77777777" w:rsidR="00081A6C" w:rsidRPr="0058432E" w:rsidRDefault="00081A6C" w:rsidP="00081A6C">
            <w:pPr>
              <w:tabs>
                <w:tab w:val="left" w:pos="288"/>
              </w:tabs>
              <w:ind w:left="270" w:hanging="270"/>
              <w:rPr>
                <w:color w:val="000000" w:themeColor="text1"/>
                <w:sz w:val="20"/>
              </w:rPr>
            </w:pPr>
            <w:r w:rsidRPr="0058432E">
              <w:rPr>
                <w:color w:val="000000" w:themeColor="text1"/>
                <w:sz w:val="20"/>
              </w:rPr>
              <w:t>**</w:t>
            </w:r>
            <w:r w:rsidRPr="0058432E">
              <w:rPr>
                <w:color w:val="000000" w:themeColor="text1"/>
                <w:sz w:val="20"/>
                <w:vertAlign w:val="superscript"/>
              </w:rPr>
              <w:tab/>
            </w:r>
            <w:r w:rsidRPr="0058432E">
              <w:rPr>
                <w:color w:val="000000" w:themeColor="text1"/>
                <w:sz w:val="20"/>
              </w:rPr>
              <w:t xml:space="preserve">p &lt; 0,01, adalimumab </w:t>
            </w:r>
            <w:r w:rsidRPr="0058432E">
              <w:rPr>
                <w:i/>
                <w:color w:val="000000" w:themeColor="text1"/>
                <w:sz w:val="20"/>
              </w:rPr>
              <w:t>versus</w:t>
            </w:r>
            <w:r w:rsidRPr="0058432E">
              <w:rPr>
                <w:color w:val="000000" w:themeColor="text1"/>
                <w:sz w:val="20"/>
              </w:rPr>
              <w:t xml:space="preserve"> placebo</w:t>
            </w:r>
          </w:p>
        </w:tc>
      </w:tr>
    </w:tbl>
    <w:p w14:paraId="7ECDDB3D" w14:textId="77777777" w:rsidR="00C46587" w:rsidRPr="0058432E" w:rsidRDefault="00C46587" w:rsidP="00982118">
      <w:pPr>
        <w:rPr>
          <w:color w:val="000000" w:themeColor="text1"/>
        </w:rPr>
      </w:pPr>
    </w:p>
    <w:p w14:paraId="3A60A281" w14:textId="77777777" w:rsidR="00C46587" w:rsidRPr="0058432E" w:rsidRDefault="00C46587" w:rsidP="00982118">
      <w:pPr>
        <w:rPr>
          <w:color w:val="000000" w:themeColor="text1"/>
        </w:rPr>
      </w:pPr>
      <w:r w:rsidRPr="0058432E">
        <w:rPr>
          <w:color w:val="000000" w:themeColor="text1"/>
        </w:rPr>
        <w:t>Dans les études I</w:t>
      </w:r>
      <w:r w:rsidRPr="0058432E">
        <w:rPr>
          <w:color w:val="000000" w:themeColor="text1"/>
        </w:rPr>
        <w:noBreakHyphen/>
        <w:t xml:space="preserve">IV sur </w:t>
      </w:r>
      <w:proofErr w:type="gramStart"/>
      <w:r w:rsidRPr="0058432E">
        <w:rPr>
          <w:color w:val="000000" w:themeColor="text1"/>
        </w:rPr>
        <w:t>la PR</w:t>
      </w:r>
      <w:proofErr w:type="gramEnd"/>
      <w:r w:rsidRPr="0058432E">
        <w:rPr>
          <w:color w:val="000000" w:themeColor="text1"/>
        </w:rPr>
        <w:t xml:space="preserve">, les composantes individuelles des critères de réponse de l’ACR (nombre d’articulations sensibles et tuméfiées, évaluation par le médecin et le patient de l’activité de la maladie et de la douleur, indice d’invalidité (HAQ) et valeurs de la CRP [mg/dl]) ont été améliorées à 24 ou 26 semaines par rapport au placebo. Dans l’étude III sur </w:t>
      </w:r>
      <w:proofErr w:type="gramStart"/>
      <w:r w:rsidRPr="0058432E">
        <w:rPr>
          <w:color w:val="000000" w:themeColor="text1"/>
        </w:rPr>
        <w:t>la PR</w:t>
      </w:r>
      <w:proofErr w:type="gramEnd"/>
      <w:r w:rsidRPr="0058432E">
        <w:rPr>
          <w:color w:val="000000" w:themeColor="text1"/>
        </w:rPr>
        <w:t xml:space="preserve">, ces améliorations se sont maintenues tout au long des 52 semaines. </w:t>
      </w:r>
    </w:p>
    <w:p w14:paraId="284705B5" w14:textId="77777777" w:rsidR="00C46587" w:rsidRPr="0058432E" w:rsidRDefault="00C46587" w:rsidP="00982118">
      <w:pPr>
        <w:rPr>
          <w:color w:val="000000" w:themeColor="text1"/>
        </w:rPr>
      </w:pPr>
    </w:p>
    <w:p w14:paraId="47B2B83C" w14:textId="77777777" w:rsidR="00C46587" w:rsidRPr="0058432E" w:rsidRDefault="00C46587" w:rsidP="00982118">
      <w:pPr>
        <w:rPr>
          <w:color w:val="000000" w:themeColor="text1"/>
        </w:rPr>
      </w:pPr>
      <w:r w:rsidRPr="0058432E">
        <w:rPr>
          <w:color w:val="000000" w:themeColor="text1"/>
        </w:rPr>
        <w:t xml:space="preserve">Dans la phase d’extension en ouvert de l’étude III sur </w:t>
      </w:r>
      <w:proofErr w:type="gramStart"/>
      <w:r w:rsidRPr="0058432E">
        <w:rPr>
          <w:color w:val="000000" w:themeColor="text1"/>
        </w:rPr>
        <w:t>la PR</w:t>
      </w:r>
      <w:proofErr w:type="gramEnd"/>
      <w:r w:rsidRPr="0058432E">
        <w:rPr>
          <w:color w:val="000000" w:themeColor="text1"/>
        </w:rPr>
        <w:t>, les taux de réponse ACR ont été maintenus chez la plupart des patients suivis jusqu’à 10 ans. Sur 207 patients randomisés pour recevoir l’adalimumab 40 mg toutes les deux semaines, 114 patients ont poursuivi l’adalimumab à la dose de 40 mg toutes les deux semaines pendant 5 ans. Parmi ces patients, 86 patients (75,4 %) ont eu une réponse ACR 20 ; 72 patients (63,2 %) ont eu une réponse ACR 50 et 41 patients (36 %) ont eu une réponse ACR 70. Sur 207 patients, 81 patients ont poursuivi l’adalimumab à la dose de 40 mg toutes les deux semaines pendant 10 ans. Parmi ces patients, 64 patients (79,0</w:t>
      </w:r>
      <w:r w:rsidR="00E85F4B" w:rsidRPr="0058432E">
        <w:rPr>
          <w:color w:val="000000" w:themeColor="text1"/>
        </w:rPr>
        <w:t> </w:t>
      </w:r>
      <w:r w:rsidRPr="0058432E">
        <w:rPr>
          <w:color w:val="000000" w:themeColor="text1"/>
        </w:rPr>
        <w:t>%) ont eu une réponse ACR</w:t>
      </w:r>
      <w:r w:rsidR="004F5825" w:rsidRPr="0058432E">
        <w:rPr>
          <w:color w:val="000000" w:themeColor="text1"/>
        </w:rPr>
        <w:t> </w:t>
      </w:r>
      <w:r w:rsidRPr="0058432E">
        <w:rPr>
          <w:color w:val="000000" w:themeColor="text1"/>
        </w:rPr>
        <w:t>20 ; 56 patients (69,1</w:t>
      </w:r>
      <w:r w:rsidR="00E85F4B" w:rsidRPr="0058432E">
        <w:rPr>
          <w:color w:val="000000" w:themeColor="text1"/>
        </w:rPr>
        <w:t> </w:t>
      </w:r>
      <w:r w:rsidRPr="0058432E">
        <w:rPr>
          <w:color w:val="000000" w:themeColor="text1"/>
        </w:rPr>
        <w:t>%) ont eu une réponse ACR 50 et 43 patients (53,1</w:t>
      </w:r>
      <w:r w:rsidR="00E85F4B" w:rsidRPr="0058432E">
        <w:rPr>
          <w:color w:val="000000" w:themeColor="text1"/>
        </w:rPr>
        <w:t> </w:t>
      </w:r>
      <w:r w:rsidRPr="0058432E">
        <w:rPr>
          <w:color w:val="000000" w:themeColor="text1"/>
        </w:rPr>
        <w:t xml:space="preserve">%) ont eu une réponse ACR 70. </w:t>
      </w:r>
    </w:p>
    <w:p w14:paraId="2E52BA94" w14:textId="77777777" w:rsidR="00C46587" w:rsidRPr="0058432E" w:rsidRDefault="00C46587" w:rsidP="00982118">
      <w:pPr>
        <w:rPr>
          <w:color w:val="000000" w:themeColor="text1"/>
        </w:rPr>
      </w:pPr>
    </w:p>
    <w:p w14:paraId="36CC7F02" w14:textId="77777777" w:rsidR="00C46587" w:rsidRPr="0058432E" w:rsidRDefault="00C46587" w:rsidP="00982118">
      <w:pPr>
        <w:rPr>
          <w:color w:val="000000" w:themeColor="text1"/>
        </w:rPr>
      </w:pPr>
      <w:r w:rsidRPr="0058432E">
        <w:rPr>
          <w:color w:val="000000" w:themeColor="text1"/>
        </w:rPr>
        <w:t xml:space="preserve">Dans l’étude IV sur </w:t>
      </w:r>
      <w:proofErr w:type="gramStart"/>
      <w:r w:rsidRPr="0058432E">
        <w:rPr>
          <w:color w:val="000000" w:themeColor="text1"/>
        </w:rPr>
        <w:t>la PR</w:t>
      </w:r>
      <w:proofErr w:type="gramEnd"/>
      <w:r w:rsidRPr="0058432E">
        <w:rPr>
          <w:color w:val="000000" w:themeColor="text1"/>
        </w:rPr>
        <w:t xml:space="preserve">, la réponse ACR 20 des patients traités par adalimumab en plus des soins habituels a été significativement meilleure que chez les patients recevant le placebo plus les soins habituels (p &lt; 0,001). </w:t>
      </w:r>
    </w:p>
    <w:p w14:paraId="5E312EE4" w14:textId="77777777" w:rsidR="00C46587" w:rsidRPr="0058432E" w:rsidRDefault="00C46587" w:rsidP="00982118">
      <w:pPr>
        <w:rPr>
          <w:color w:val="000000" w:themeColor="text1"/>
        </w:rPr>
      </w:pPr>
    </w:p>
    <w:p w14:paraId="1FE0BF64" w14:textId="77777777" w:rsidR="00C46587" w:rsidRPr="0058432E" w:rsidRDefault="00C46587" w:rsidP="00982118">
      <w:pPr>
        <w:rPr>
          <w:color w:val="000000" w:themeColor="text1"/>
        </w:rPr>
      </w:pPr>
      <w:r w:rsidRPr="0058432E">
        <w:rPr>
          <w:color w:val="000000" w:themeColor="text1"/>
        </w:rPr>
        <w:t>Dans les études I</w:t>
      </w:r>
      <w:r w:rsidRPr="0058432E">
        <w:rPr>
          <w:color w:val="000000" w:themeColor="text1"/>
        </w:rPr>
        <w:noBreakHyphen/>
        <w:t xml:space="preserve">IV sur </w:t>
      </w:r>
      <w:proofErr w:type="gramStart"/>
      <w:r w:rsidRPr="0058432E">
        <w:rPr>
          <w:color w:val="000000" w:themeColor="text1"/>
        </w:rPr>
        <w:t>la PR</w:t>
      </w:r>
      <w:proofErr w:type="gramEnd"/>
      <w:r w:rsidRPr="0058432E">
        <w:rPr>
          <w:color w:val="000000" w:themeColor="text1"/>
        </w:rPr>
        <w:t xml:space="preserve">, les réponses ACR 20 et 50 des patients traités par adalimumab ont été statistiquement significatives par rapport au placebo dès la première ou la deuxième semaine de traitement. </w:t>
      </w:r>
    </w:p>
    <w:p w14:paraId="0C1B1BA6" w14:textId="77777777" w:rsidR="00C46587" w:rsidRPr="0058432E" w:rsidRDefault="00C46587" w:rsidP="00982118">
      <w:pPr>
        <w:rPr>
          <w:color w:val="000000" w:themeColor="text1"/>
        </w:rPr>
      </w:pPr>
    </w:p>
    <w:p w14:paraId="07006B40" w14:textId="77777777" w:rsidR="00C46587" w:rsidRPr="0058432E" w:rsidRDefault="00C46587" w:rsidP="00982118">
      <w:pPr>
        <w:rPr>
          <w:color w:val="000000" w:themeColor="text1"/>
        </w:rPr>
      </w:pPr>
      <w:r w:rsidRPr="0058432E">
        <w:rPr>
          <w:color w:val="000000" w:themeColor="text1"/>
        </w:rPr>
        <w:t xml:space="preserve">Dans l’étude V sur </w:t>
      </w:r>
      <w:proofErr w:type="gramStart"/>
      <w:r w:rsidRPr="0058432E">
        <w:rPr>
          <w:color w:val="000000" w:themeColor="text1"/>
        </w:rPr>
        <w:t>la PR</w:t>
      </w:r>
      <w:proofErr w:type="gramEnd"/>
      <w:r w:rsidRPr="0058432E">
        <w:rPr>
          <w:color w:val="000000" w:themeColor="text1"/>
        </w:rPr>
        <w:t xml:space="preserve"> chez des patients ayant une polyarthrite rhumatoïde récente, de méthotrexate, un traitement associant de l’adalimumab et du méthotrexate a conduit à des réponses ACR plus rapides et significativement plus importantes qu’avec le méthotrexate seul et l’adalimumab seul, à la semaine 52 et les réponses étaient maintenues à la semaine 104 (voir tableau </w:t>
      </w:r>
      <w:r w:rsidR="002C597C" w:rsidRPr="0058432E">
        <w:rPr>
          <w:color w:val="000000" w:themeColor="text1"/>
        </w:rPr>
        <w:t>9</w:t>
      </w:r>
      <w:r w:rsidRPr="0058432E">
        <w:rPr>
          <w:color w:val="000000" w:themeColor="text1"/>
        </w:rPr>
        <w:t xml:space="preserve">). </w:t>
      </w:r>
    </w:p>
    <w:p w14:paraId="361F35B7" w14:textId="77777777" w:rsidR="00C46587" w:rsidRPr="0058432E" w:rsidRDefault="00C46587" w:rsidP="00982118">
      <w:pPr>
        <w:rPr>
          <w:color w:val="000000" w:themeColor="text1"/>
        </w:rPr>
      </w:pPr>
    </w:p>
    <w:p w14:paraId="665C818C" w14:textId="77777777" w:rsidR="00155496" w:rsidRPr="0058432E" w:rsidRDefault="00C46587" w:rsidP="00A53E17">
      <w:pPr>
        <w:keepNext/>
        <w:rPr>
          <w:b/>
          <w:color w:val="000000" w:themeColor="text1"/>
        </w:rPr>
      </w:pPr>
      <w:r w:rsidRPr="0058432E">
        <w:rPr>
          <w:b/>
          <w:color w:val="000000" w:themeColor="text1"/>
        </w:rPr>
        <w:lastRenderedPageBreak/>
        <w:t>Tableau </w:t>
      </w:r>
      <w:r w:rsidR="002C597C" w:rsidRPr="0058432E">
        <w:rPr>
          <w:b/>
          <w:color w:val="000000" w:themeColor="text1"/>
        </w:rPr>
        <w:t>9</w:t>
      </w:r>
      <w:r w:rsidR="002A7CDF" w:rsidRPr="0058432E">
        <w:rPr>
          <w:b/>
          <w:color w:val="000000" w:themeColor="text1"/>
        </w:rPr>
        <w:t>.</w:t>
      </w:r>
      <w:r w:rsidRPr="0058432E">
        <w:rPr>
          <w:b/>
          <w:color w:val="000000" w:themeColor="text1"/>
        </w:rPr>
        <w:t> </w:t>
      </w:r>
    </w:p>
    <w:p w14:paraId="05E2D06C" w14:textId="77777777" w:rsidR="00C46587" w:rsidRPr="0058432E" w:rsidRDefault="00C46587" w:rsidP="00A53E17">
      <w:pPr>
        <w:keepNext/>
        <w:rPr>
          <w:b/>
          <w:color w:val="000000" w:themeColor="text1"/>
        </w:rPr>
      </w:pPr>
      <w:r w:rsidRPr="0058432E">
        <w:rPr>
          <w:b/>
          <w:color w:val="000000" w:themeColor="text1"/>
        </w:rPr>
        <w:t>Réponses ACR dans l’étude V sur la PR (pourcentage de patients)</w:t>
      </w:r>
    </w:p>
    <w:p w14:paraId="69627CAC" w14:textId="77777777" w:rsidR="00C46587" w:rsidRPr="0058432E" w:rsidRDefault="00C46587" w:rsidP="00982118">
      <w:pPr>
        <w:keepNext/>
        <w:rPr>
          <w:color w:val="000000" w:themeColor="text1"/>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710"/>
        <w:gridCol w:w="2070"/>
        <w:gridCol w:w="1020"/>
        <w:gridCol w:w="1110"/>
        <w:gridCol w:w="1110"/>
      </w:tblGrid>
      <w:tr w:rsidR="00B8172B" w:rsidRPr="0058432E" w14:paraId="7C4EEE0E" w14:textId="77777777" w:rsidTr="003D2782">
        <w:tc>
          <w:tcPr>
            <w:tcW w:w="1638" w:type="dxa"/>
            <w:tcBorders>
              <w:top w:val="single" w:sz="4" w:space="0" w:color="auto"/>
              <w:left w:val="single" w:sz="4" w:space="0" w:color="auto"/>
              <w:bottom w:val="single" w:sz="4" w:space="0" w:color="auto"/>
              <w:right w:val="single" w:sz="4" w:space="0" w:color="auto"/>
            </w:tcBorders>
            <w:vAlign w:val="center"/>
            <w:hideMark/>
          </w:tcPr>
          <w:p w14:paraId="0255D098" w14:textId="77777777" w:rsidR="00C46587" w:rsidRPr="0058432E" w:rsidRDefault="00C46587" w:rsidP="00982118">
            <w:pPr>
              <w:keepNext/>
              <w:jc w:val="center"/>
              <w:rPr>
                <w:b/>
                <w:color w:val="000000" w:themeColor="text1"/>
              </w:rPr>
            </w:pPr>
            <w:r w:rsidRPr="0058432E">
              <w:rPr>
                <w:b/>
                <w:color w:val="000000" w:themeColor="text1"/>
              </w:rPr>
              <w:t>Réponse</w:t>
            </w:r>
          </w:p>
        </w:tc>
        <w:tc>
          <w:tcPr>
            <w:tcW w:w="990" w:type="dxa"/>
            <w:tcBorders>
              <w:top w:val="single" w:sz="4" w:space="0" w:color="auto"/>
              <w:left w:val="single" w:sz="4" w:space="0" w:color="auto"/>
              <w:bottom w:val="single" w:sz="4" w:space="0" w:color="auto"/>
              <w:right w:val="single" w:sz="4" w:space="0" w:color="auto"/>
            </w:tcBorders>
            <w:hideMark/>
          </w:tcPr>
          <w:p w14:paraId="312FFF3B" w14:textId="77777777" w:rsidR="00C46587" w:rsidRPr="0058432E" w:rsidRDefault="00C46587" w:rsidP="00982118">
            <w:pPr>
              <w:keepNext/>
              <w:jc w:val="center"/>
              <w:rPr>
                <w:b/>
                <w:color w:val="000000" w:themeColor="text1"/>
              </w:rPr>
            </w:pPr>
            <w:r w:rsidRPr="0058432E">
              <w:rPr>
                <w:b/>
                <w:color w:val="000000" w:themeColor="text1"/>
              </w:rPr>
              <w:t>MTX</w:t>
            </w:r>
          </w:p>
          <w:p w14:paraId="195F5421" w14:textId="77777777" w:rsidR="00C46587" w:rsidRPr="0058432E" w:rsidRDefault="00C46587" w:rsidP="00982118">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257</w:t>
            </w:r>
          </w:p>
        </w:tc>
        <w:tc>
          <w:tcPr>
            <w:tcW w:w="1710" w:type="dxa"/>
            <w:tcBorders>
              <w:top w:val="single" w:sz="4" w:space="0" w:color="auto"/>
              <w:left w:val="single" w:sz="4" w:space="0" w:color="auto"/>
              <w:bottom w:val="single" w:sz="4" w:space="0" w:color="auto"/>
              <w:right w:val="single" w:sz="4" w:space="0" w:color="auto"/>
            </w:tcBorders>
            <w:hideMark/>
          </w:tcPr>
          <w:p w14:paraId="792B2A5C" w14:textId="77777777" w:rsidR="00C46587" w:rsidRPr="0058432E" w:rsidRDefault="00C60901" w:rsidP="00982118">
            <w:pPr>
              <w:keepNext/>
              <w:jc w:val="center"/>
              <w:rPr>
                <w:b/>
                <w:color w:val="000000" w:themeColor="text1"/>
              </w:rPr>
            </w:pPr>
            <w:r w:rsidRPr="0058432E">
              <w:rPr>
                <w:b/>
                <w:color w:val="000000" w:themeColor="text1"/>
              </w:rPr>
              <w:t>Adalimumab</w:t>
            </w:r>
          </w:p>
          <w:p w14:paraId="08050A5B" w14:textId="77777777" w:rsidR="00C46587" w:rsidRPr="0058432E" w:rsidRDefault="00C46587" w:rsidP="00982118">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274</w:t>
            </w:r>
          </w:p>
        </w:tc>
        <w:tc>
          <w:tcPr>
            <w:tcW w:w="2070" w:type="dxa"/>
            <w:tcBorders>
              <w:top w:val="single" w:sz="4" w:space="0" w:color="auto"/>
              <w:left w:val="single" w:sz="4" w:space="0" w:color="auto"/>
              <w:bottom w:val="single" w:sz="4" w:space="0" w:color="auto"/>
              <w:right w:val="single" w:sz="4" w:space="0" w:color="auto"/>
            </w:tcBorders>
            <w:hideMark/>
          </w:tcPr>
          <w:p w14:paraId="446AED25" w14:textId="77777777" w:rsidR="00C46587" w:rsidRPr="0058432E" w:rsidRDefault="00C60901" w:rsidP="00982118">
            <w:pPr>
              <w:keepNext/>
              <w:jc w:val="center"/>
              <w:rPr>
                <w:b/>
                <w:color w:val="000000" w:themeColor="text1"/>
              </w:rPr>
            </w:pPr>
            <w:r w:rsidRPr="0058432E">
              <w:rPr>
                <w:b/>
                <w:color w:val="000000" w:themeColor="text1"/>
              </w:rPr>
              <w:t>Adalimumab/MTX</w:t>
            </w:r>
          </w:p>
          <w:p w14:paraId="55188519" w14:textId="77777777" w:rsidR="00C46587" w:rsidRPr="0058432E" w:rsidRDefault="00C46587" w:rsidP="00982118">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268</w:t>
            </w:r>
          </w:p>
        </w:tc>
        <w:tc>
          <w:tcPr>
            <w:tcW w:w="1020" w:type="dxa"/>
            <w:tcBorders>
              <w:top w:val="single" w:sz="4" w:space="0" w:color="auto"/>
              <w:left w:val="single" w:sz="4" w:space="0" w:color="auto"/>
              <w:bottom w:val="single" w:sz="4" w:space="0" w:color="auto"/>
              <w:right w:val="single" w:sz="4" w:space="0" w:color="auto"/>
            </w:tcBorders>
            <w:vAlign w:val="center"/>
            <w:hideMark/>
          </w:tcPr>
          <w:p w14:paraId="28B6F610" w14:textId="77777777" w:rsidR="00C46587" w:rsidRPr="0058432E" w:rsidRDefault="00C46587" w:rsidP="00982118">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a</w:t>
            </w:r>
          </w:p>
        </w:tc>
        <w:tc>
          <w:tcPr>
            <w:tcW w:w="1110" w:type="dxa"/>
            <w:tcBorders>
              <w:top w:val="single" w:sz="4" w:space="0" w:color="auto"/>
              <w:left w:val="single" w:sz="4" w:space="0" w:color="auto"/>
              <w:bottom w:val="single" w:sz="4" w:space="0" w:color="auto"/>
              <w:right w:val="single" w:sz="4" w:space="0" w:color="auto"/>
            </w:tcBorders>
            <w:vAlign w:val="center"/>
            <w:hideMark/>
          </w:tcPr>
          <w:p w14:paraId="0E0A7F75" w14:textId="77777777" w:rsidR="00C46587" w:rsidRPr="0058432E" w:rsidRDefault="00C46587" w:rsidP="00982118">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b</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3C87575" w14:textId="77777777" w:rsidR="00C46587" w:rsidRPr="0058432E" w:rsidRDefault="00C46587" w:rsidP="00982118">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c</w:t>
            </w:r>
          </w:p>
        </w:tc>
      </w:tr>
      <w:tr w:rsidR="00B8172B" w:rsidRPr="0058432E" w14:paraId="3C715EFE"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7B0F8625" w14:textId="77777777" w:rsidR="00C46587" w:rsidRPr="0058432E" w:rsidRDefault="00C46587" w:rsidP="00982118">
            <w:pPr>
              <w:keepNext/>
              <w:rPr>
                <w:color w:val="000000" w:themeColor="text1"/>
              </w:rPr>
            </w:pPr>
            <w:r w:rsidRPr="0058432E">
              <w:rPr>
                <w:color w:val="000000" w:themeColor="text1"/>
              </w:rPr>
              <w:t>ACR 20</w:t>
            </w:r>
          </w:p>
        </w:tc>
        <w:tc>
          <w:tcPr>
            <w:tcW w:w="990" w:type="dxa"/>
            <w:tcBorders>
              <w:top w:val="single" w:sz="4" w:space="0" w:color="auto"/>
              <w:left w:val="single" w:sz="4" w:space="0" w:color="auto"/>
              <w:bottom w:val="single" w:sz="4" w:space="0" w:color="auto"/>
              <w:right w:val="single" w:sz="4" w:space="0" w:color="auto"/>
            </w:tcBorders>
          </w:tcPr>
          <w:p w14:paraId="1D9A2B69" w14:textId="77777777" w:rsidR="00C46587" w:rsidRPr="0058432E" w:rsidRDefault="00C46587" w:rsidP="00982118">
            <w:pPr>
              <w:keepNext/>
              <w:jc w:val="center"/>
              <w:rPr>
                <w:color w:val="000000" w:themeColor="text1"/>
              </w:rPr>
            </w:pPr>
          </w:p>
        </w:tc>
        <w:tc>
          <w:tcPr>
            <w:tcW w:w="1710" w:type="dxa"/>
            <w:tcBorders>
              <w:top w:val="single" w:sz="4" w:space="0" w:color="auto"/>
              <w:left w:val="single" w:sz="4" w:space="0" w:color="auto"/>
              <w:bottom w:val="single" w:sz="4" w:space="0" w:color="auto"/>
              <w:right w:val="single" w:sz="4" w:space="0" w:color="auto"/>
            </w:tcBorders>
          </w:tcPr>
          <w:p w14:paraId="3E801943" w14:textId="77777777" w:rsidR="00C46587" w:rsidRPr="0058432E" w:rsidRDefault="00C46587" w:rsidP="00982118">
            <w:pPr>
              <w:keepNext/>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5355E912" w14:textId="77777777" w:rsidR="00C46587" w:rsidRPr="0058432E" w:rsidRDefault="00C46587" w:rsidP="00982118">
            <w:pPr>
              <w:keepNext/>
              <w:jc w:val="center"/>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14:paraId="21DB2731" w14:textId="77777777" w:rsidR="00C46587" w:rsidRPr="0058432E" w:rsidRDefault="00C46587" w:rsidP="00982118">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6F7B397F" w14:textId="77777777" w:rsidR="00C46587" w:rsidRPr="0058432E" w:rsidRDefault="00C46587" w:rsidP="00982118">
            <w:pPr>
              <w:keepNext/>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6559ADE7" w14:textId="77777777" w:rsidR="00C46587" w:rsidRPr="0058432E" w:rsidRDefault="00C46587" w:rsidP="00982118">
            <w:pPr>
              <w:keepNext/>
              <w:jc w:val="center"/>
              <w:rPr>
                <w:color w:val="000000" w:themeColor="text1"/>
              </w:rPr>
            </w:pPr>
          </w:p>
        </w:tc>
      </w:tr>
      <w:tr w:rsidR="00B8172B" w:rsidRPr="0058432E" w14:paraId="33D9ABE4"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64561B93" w14:textId="77777777" w:rsidR="00C46587" w:rsidRPr="0058432E" w:rsidRDefault="00C46587" w:rsidP="00982118">
            <w:pPr>
              <w:keepNext/>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566CC66B" w14:textId="77777777" w:rsidR="00C46587" w:rsidRPr="0058432E" w:rsidRDefault="00C46587" w:rsidP="00982118">
            <w:pPr>
              <w:keepNext/>
              <w:jc w:val="center"/>
              <w:rPr>
                <w:color w:val="000000" w:themeColor="text1"/>
              </w:rPr>
            </w:pPr>
            <w:r w:rsidRPr="0058432E">
              <w:rPr>
                <w:color w:val="000000" w:themeColor="text1"/>
              </w:rPr>
              <w:t>62,6 %</w:t>
            </w:r>
          </w:p>
        </w:tc>
        <w:tc>
          <w:tcPr>
            <w:tcW w:w="1710" w:type="dxa"/>
            <w:tcBorders>
              <w:top w:val="single" w:sz="4" w:space="0" w:color="auto"/>
              <w:left w:val="single" w:sz="4" w:space="0" w:color="auto"/>
              <w:bottom w:val="single" w:sz="4" w:space="0" w:color="auto"/>
              <w:right w:val="single" w:sz="4" w:space="0" w:color="auto"/>
            </w:tcBorders>
            <w:hideMark/>
          </w:tcPr>
          <w:p w14:paraId="2604E5EB" w14:textId="77777777" w:rsidR="00C46587" w:rsidRPr="0058432E" w:rsidRDefault="00C46587" w:rsidP="00982118">
            <w:pPr>
              <w:keepNext/>
              <w:jc w:val="center"/>
              <w:rPr>
                <w:color w:val="000000" w:themeColor="text1"/>
              </w:rPr>
            </w:pPr>
            <w:r w:rsidRPr="0058432E">
              <w:rPr>
                <w:color w:val="000000" w:themeColor="text1"/>
              </w:rPr>
              <w:t>54,4 %</w:t>
            </w:r>
          </w:p>
        </w:tc>
        <w:tc>
          <w:tcPr>
            <w:tcW w:w="2070" w:type="dxa"/>
            <w:tcBorders>
              <w:top w:val="single" w:sz="4" w:space="0" w:color="auto"/>
              <w:left w:val="single" w:sz="4" w:space="0" w:color="auto"/>
              <w:bottom w:val="single" w:sz="4" w:space="0" w:color="auto"/>
              <w:right w:val="single" w:sz="4" w:space="0" w:color="auto"/>
            </w:tcBorders>
            <w:hideMark/>
          </w:tcPr>
          <w:p w14:paraId="24F52331" w14:textId="77777777" w:rsidR="00C46587" w:rsidRPr="0058432E" w:rsidRDefault="00C46587" w:rsidP="00982118">
            <w:pPr>
              <w:keepNext/>
              <w:jc w:val="center"/>
              <w:rPr>
                <w:color w:val="000000" w:themeColor="text1"/>
              </w:rPr>
            </w:pPr>
            <w:r w:rsidRPr="0058432E">
              <w:rPr>
                <w:color w:val="000000" w:themeColor="text1"/>
              </w:rPr>
              <w:t>72,8 %</w:t>
            </w:r>
          </w:p>
        </w:tc>
        <w:tc>
          <w:tcPr>
            <w:tcW w:w="1020" w:type="dxa"/>
            <w:tcBorders>
              <w:top w:val="single" w:sz="4" w:space="0" w:color="auto"/>
              <w:left w:val="single" w:sz="4" w:space="0" w:color="auto"/>
              <w:bottom w:val="single" w:sz="4" w:space="0" w:color="auto"/>
              <w:right w:val="single" w:sz="4" w:space="0" w:color="auto"/>
            </w:tcBorders>
            <w:hideMark/>
          </w:tcPr>
          <w:p w14:paraId="6B53D8D4" w14:textId="77777777" w:rsidR="00C46587" w:rsidRPr="0058432E" w:rsidRDefault="00C46587" w:rsidP="00982118">
            <w:pPr>
              <w:keepNext/>
              <w:jc w:val="center"/>
              <w:rPr>
                <w:color w:val="000000" w:themeColor="text1"/>
              </w:rPr>
            </w:pPr>
            <w:r w:rsidRPr="0058432E">
              <w:rPr>
                <w:color w:val="000000" w:themeColor="text1"/>
              </w:rPr>
              <w:t>0,013</w:t>
            </w:r>
          </w:p>
        </w:tc>
        <w:tc>
          <w:tcPr>
            <w:tcW w:w="1110" w:type="dxa"/>
            <w:tcBorders>
              <w:top w:val="single" w:sz="4" w:space="0" w:color="auto"/>
              <w:left w:val="single" w:sz="4" w:space="0" w:color="auto"/>
              <w:bottom w:val="single" w:sz="4" w:space="0" w:color="auto"/>
              <w:right w:val="single" w:sz="4" w:space="0" w:color="auto"/>
            </w:tcBorders>
            <w:hideMark/>
          </w:tcPr>
          <w:p w14:paraId="0AB2288B" w14:textId="77777777" w:rsidR="00C46587" w:rsidRPr="0058432E" w:rsidRDefault="00C46587" w:rsidP="00982118">
            <w:pPr>
              <w:keepNext/>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6FCA02C8" w14:textId="77777777" w:rsidR="00C46587" w:rsidRPr="0058432E" w:rsidRDefault="00C46587" w:rsidP="00982118">
            <w:pPr>
              <w:keepNext/>
              <w:jc w:val="center"/>
              <w:rPr>
                <w:color w:val="000000" w:themeColor="text1"/>
              </w:rPr>
            </w:pPr>
            <w:r w:rsidRPr="0058432E">
              <w:rPr>
                <w:color w:val="000000" w:themeColor="text1"/>
              </w:rPr>
              <w:t>0,043</w:t>
            </w:r>
          </w:p>
        </w:tc>
      </w:tr>
      <w:tr w:rsidR="00B8172B" w:rsidRPr="0058432E" w14:paraId="4E5D76AC"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40A41FC5" w14:textId="77777777" w:rsidR="00C46587" w:rsidRPr="0058432E" w:rsidRDefault="00C46587" w:rsidP="00982118">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7363AF84" w14:textId="77777777" w:rsidR="00C46587" w:rsidRPr="0058432E" w:rsidRDefault="00C46587" w:rsidP="00982118">
            <w:pPr>
              <w:jc w:val="center"/>
              <w:rPr>
                <w:color w:val="000000" w:themeColor="text1"/>
              </w:rPr>
            </w:pPr>
            <w:r w:rsidRPr="0058432E">
              <w:rPr>
                <w:color w:val="000000" w:themeColor="text1"/>
              </w:rPr>
              <w:t>56,0 %</w:t>
            </w:r>
          </w:p>
        </w:tc>
        <w:tc>
          <w:tcPr>
            <w:tcW w:w="1710" w:type="dxa"/>
            <w:tcBorders>
              <w:top w:val="single" w:sz="4" w:space="0" w:color="auto"/>
              <w:left w:val="single" w:sz="4" w:space="0" w:color="auto"/>
              <w:bottom w:val="single" w:sz="4" w:space="0" w:color="auto"/>
              <w:right w:val="single" w:sz="4" w:space="0" w:color="auto"/>
            </w:tcBorders>
            <w:hideMark/>
          </w:tcPr>
          <w:p w14:paraId="52514AD2" w14:textId="77777777" w:rsidR="00C46587" w:rsidRPr="0058432E" w:rsidRDefault="00C46587" w:rsidP="00982118">
            <w:pPr>
              <w:jc w:val="center"/>
              <w:rPr>
                <w:color w:val="000000" w:themeColor="text1"/>
              </w:rPr>
            </w:pPr>
            <w:r w:rsidRPr="0058432E">
              <w:rPr>
                <w:color w:val="000000" w:themeColor="text1"/>
              </w:rPr>
              <w:t>49,3 %</w:t>
            </w:r>
          </w:p>
        </w:tc>
        <w:tc>
          <w:tcPr>
            <w:tcW w:w="2070" w:type="dxa"/>
            <w:tcBorders>
              <w:top w:val="single" w:sz="4" w:space="0" w:color="auto"/>
              <w:left w:val="single" w:sz="4" w:space="0" w:color="auto"/>
              <w:bottom w:val="single" w:sz="4" w:space="0" w:color="auto"/>
              <w:right w:val="single" w:sz="4" w:space="0" w:color="auto"/>
            </w:tcBorders>
            <w:hideMark/>
          </w:tcPr>
          <w:p w14:paraId="13B03B79" w14:textId="77777777" w:rsidR="00C46587" w:rsidRPr="0058432E" w:rsidRDefault="00C46587" w:rsidP="00982118">
            <w:pPr>
              <w:jc w:val="center"/>
              <w:rPr>
                <w:color w:val="000000" w:themeColor="text1"/>
              </w:rPr>
            </w:pPr>
            <w:r w:rsidRPr="0058432E">
              <w:rPr>
                <w:color w:val="000000" w:themeColor="text1"/>
              </w:rPr>
              <w:t>69,4 %</w:t>
            </w:r>
          </w:p>
        </w:tc>
        <w:tc>
          <w:tcPr>
            <w:tcW w:w="1020" w:type="dxa"/>
            <w:tcBorders>
              <w:top w:val="single" w:sz="4" w:space="0" w:color="auto"/>
              <w:left w:val="single" w:sz="4" w:space="0" w:color="auto"/>
              <w:bottom w:val="single" w:sz="4" w:space="0" w:color="auto"/>
              <w:right w:val="single" w:sz="4" w:space="0" w:color="auto"/>
            </w:tcBorders>
            <w:hideMark/>
          </w:tcPr>
          <w:p w14:paraId="6AE65AFC" w14:textId="77777777" w:rsidR="00C46587" w:rsidRPr="0058432E" w:rsidRDefault="00C46587" w:rsidP="00982118">
            <w:pPr>
              <w:jc w:val="center"/>
              <w:rPr>
                <w:color w:val="000000" w:themeColor="text1"/>
              </w:rPr>
            </w:pPr>
            <w:r w:rsidRPr="0058432E">
              <w:rPr>
                <w:color w:val="000000" w:themeColor="text1"/>
              </w:rPr>
              <w:t>0,002</w:t>
            </w:r>
          </w:p>
        </w:tc>
        <w:tc>
          <w:tcPr>
            <w:tcW w:w="1110" w:type="dxa"/>
            <w:tcBorders>
              <w:top w:val="single" w:sz="4" w:space="0" w:color="auto"/>
              <w:left w:val="single" w:sz="4" w:space="0" w:color="auto"/>
              <w:bottom w:val="single" w:sz="4" w:space="0" w:color="auto"/>
              <w:right w:val="single" w:sz="4" w:space="0" w:color="auto"/>
            </w:tcBorders>
            <w:hideMark/>
          </w:tcPr>
          <w:p w14:paraId="223D6112"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27C1BC31" w14:textId="77777777" w:rsidR="00C46587" w:rsidRPr="0058432E" w:rsidRDefault="00C46587" w:rsidP="00982118">
            <w:pPr>
              <w:jc w:val="center"/>
              <w:rPr>
                <w:color w:val="000000" w:themeColor="text1"/>
              </w:rPr>
            </w:pPr>
            <w:r w:rsidRPr="0058432E">
              <w:rPr>
                <w:color w:val="000000" w:themeColor="text1"/>
              </w:rPr>
              <w:t>0,140</w:t>
            </w:r>
          </w:p>
        </w:tc>
      </w:tr>
      <w:tr w:rsidR="00B8172B" w:rsidRPr="0058432E" w14:paraId="4FB64DC6"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729E7A46" w14:textId="77777777" w:rsidR="00C46587" w:rsidRPr="0058432E" w:rsidRDefault="00C46587" w:rsidP="00982118">
            <w:pPr>
              <w:rPr>
                <w:color w:val="000000" w:themeColor="text1"/>
              </w:rPr>
            </w:pPr>
            <w:r w:rsidRPr="0058432E">
              <w:rPr>
                <w:color w:val="000000" w:themeColor="text1"/>
              </w:rPr>
              <w:t>ACR 50</w:t>
            </w:r>
          </w:p>
        </w:tc>
        <w:tc>
          <w:tcPr>
            <w:tcW w:w="990" w:type="dxa"/>
            <w:tcBorders>
              <w:top w:val="single" w:sz="4" w:space="0" w:color="auto"/>
              <w:left w:val="single" w:sz="4" w:space="0" w:color="auto"/>
              <w:bottom w:val="single" w:sz="4" w:space="0" w:color="auto"/>
              <w:right w:val="single" w:sz="4" w:space="0" w:color="auto"/>
            </w:tcBorders>
          </w:tcPr>
          <w:p w14:paraId="44C5CECF" w14:textId="77777777" w:rsidR="00C46587" w:rsidRPr="0058432E" w:rsidRDefault="00C46587" w:rsidP="00982118">
            <w:pPr>
              <w:jc w:val="center"/>
              <w:rPr>
                <w:color w:val="000000" w:themeColor="text1"/>
              </w:rPr>
            </w:pPr>
          </w:p>
        </w:tc>
        <w:tc>
          <w:tcPr>
            <w:tcW w:w="1710" w:type="dxa"/>
            <w:tcBorders>
              <w:top w:val="single" w:sz="4" w:space="0" w:color="auto"/>
              <w:left w:val="single" w:sz="4" w:space="0" w:color="auto"/>
              <w:bottom w:val="single" w:sz="4" w:space="0" w:color="auto"/>
              <w:right w:val="single" w:sz="4" w:space="0" w:color="auto"/>
            </w:tcBorders>
          </w:tcPr>
          <w:p w14:paraId="739BACF1" w14:textId="77777777" w:rsidR="00C46587" w:rsidRPr="0058432E" w:rsidRDefault="00C46587" w:rsidP="00982118">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3646A046" w14:textId="77777777" w:rsidR="00C46587" w:rsidRPr="0058432E" w:rsidRDefault="00C46587" w:rsidP="00982118">
            <w:pPr>
              <w:jc w:val="center"/>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14:paraId="4E7F67AF" w14:textId="77777777" w:rsidR="00C46587" w:rsidRPr="0058432E" w:rsidRDefault="00C46587" w:rsidP="00982118">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08B97EA4" w14:textId="77777777" w:rsidR="00C46587" w:rsidRPr="0058432E" w:rsidRDefault="00C46587" w:rsidP="00982118">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4F3C19CB" w14:textId="77777777" w:rsidR="00C46587" w:rsidRPr="0058432E" w:rsidRDefault="00C46587" w:rsidP="00982118">
            <w:pPr>
              <w:jc w:val="center"/>
              <w:rPr>
                <w:color w:val="000000" w:themeColor="text1"/>
              </w:rPr>
            </w:pPr>
          </w:p>
        </w:tc>
      </w:tr>
      <w:tr w:rsidR="00B8172B" w:rsidRPr="0058432E" w14:paraId="4E40CD68"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1FD27448" w14:textId="77777777" w:rsidR="00C46587" w:rsidRPr="0058432E" w:rsidRDefault="00C46587" w:rsidP="00982118">
            <w:pPr>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67C3AF57" w14:textId="77777777" w:rsidR="00C46587" w:rsidRPr="0058432E" w:rsidRDefault="00C46587" w:rsidP="00982118">
            <w:pPr>
              <w:jc w:val="center"/>
              <w:rPr>
                <w:color w:val="000000" w:themeColor="text1"/>
              </w:rPr>
            </w:pPr>
            <w:r w:rsidRPr="0058432E">
              <w:rPr>
                <w:color w:val="000000" w:themeColor="text1"/>
              </w:rPr>
              <w:t>45,9 %</w:t>
            </w:r>
          </w:p>
        </w:tc>
        <w:tc>
          <w:tcPr>
            <w:tcW w:w="1710" w:type="dxa"/>
            <w:tcBorders>
              <w:top w:val="single" w:sz="4" w:space="0" w:color="auto"/>
              <w:left w:val="single" w:sz="4" w:space="0" w:color="auto"/>
              <w:bottom w:val="single" w:sz="4" w:space="0" w:color="auto"/>
              <w:right w:val="single" w:sz="4" w:space="0" w:color="auto"/>
            </w:tcBorders>
            <w:hideMark/>
          </w:tcPr>
          <w:p w14:paraId="592A9DDB" w14:textId="77777777" w:rsidR="00C46587" w:rsidRPr="0058432E" w:rsidRDefault="00C46587" w:rsidP="00982118">
            <w:pPr>
              <w:jc w:val="center"/>
              <w:rPr>
                <w:color w:val="000000" w:themeColor="text1"/>
              </w:rPr>
            </w:pPr>
            <w:r w:rsidRPr="0058432E">
              <w:rPr>
                <w:color w:val="000000" w:themeColor="text1"/>
              </w:rPr>
              <w:t>41,2 %</w:t>
            </w:r>
          </w:p>
        </w:tc>
        <w:tc>
          <w:tcPr>
            <w:tcW w:w="2070" w:type="dxa"/>
            <w:tcBorders>
              <w:top w:val="single" w:sz="4" w:space="0" w:color="auto"/>
              <w:left w:val="single" w:sz="4" w:space="0" w:color="auto"/>
              <w:bottom w:val="single" w:sz="4" w:space="0" w:color="auto"/>
              <w:right w:val="single" w:sz="4" w:space="0" w:color="auto"/>
            </w:tcBorders>
            <w:hideMark/>
          </w:tcPr>
          <w:p w14:paraId="52F6C10F" w14:textId="77777777" w:rsidR="00C46587" w:rsidRPr="0058432E" w:rsidRDefault="00C46587" w:rsidP="00982118">
            <w:pPr>
              <w:jc w:val="center"/>
              <w:rPr>
                <w:color w:val="000000" w:themeColor="text1"/>
              </w:rPr>
            </w:pPr>
            <w:r w:rsidRPr="0058432E">
              <w:rPr>
                <w:color w:val="000000" w:themeColor="text1"/>
              </w:rPr>
              <w:t>61,6 %</w:t>
            </w:r>
          </w:p>
        </w:tc>
        <w:tc>
          <w:tcPr>
            <w:tcW w:w="1020" w:type="dxa"/>
            <w:tcBorders>
              <w:top w:val="single" w:sz="4" w:space="0" w:color="auto"/>
              <w:left w:val="single" w:sz="4" w:space="0" w:color="auto"/>
              <w:bottom w:val="single" w:sz="4" w:space="0" w:color="auto"/>
              <w:right w:val="single" w:sz="4" w:space="0" w:color="auto"/>
            </w:tcBorders>
            <w:hideMark/>
          </w:tcPr>
          <w:p w14:paraId="5F5948DE"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7F4D667A"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76163DC" w14:textId="77777777" w:rsidR="00C46587" w:rsidRPr="0058432E" w:rsidRDefault="00C46587" w:rsidP="00982118">
            <w:pPr>
              <w:jc w:val="center"/>
              <w:rPr>
                <w:color w:val="000000" w:themeColor="text1"/>
              </w:rPr>
            </w:pPr>
            <w:r w:rsidRPr="0058432E">
              <w:rPr>
                <w:color w:val="000000" w:themeColor="text1"/>
              </w:rPr>
              <w:t>0,317</w:t>
            </w:r>
          </w:p>
        </w:tc>
      </w:tr>
      <w:tr w:rsidR="00B8172B" w:rsidRPr="0058432E" w14:paraId="1D7836AE"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2714EA7F" w14:textId="77777777" w:rsidR="00C46587" w:rsidRPr="0058432E" w:rsidRDefault="00C46587" w:rsidP="00982118">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6874CA33" w14:textId="77777777" w:rsidR="00C46587" w:rsidRPr="0058432E" w:rsidRDefault="00C46587" w:rsidP="00982118">
            <w:pPr>
              <w:jc w:val="center"/>
              <w:rPr>
                <w:color w:val="000000" w:themeColor="text1"/>
              </w:rPr>
            </w:pPr>
            <w:r w:rsidRPr="0058432E">
              <w:rPr>
                <w:color w:val="000000" w:themeColor="text1"/>
              </w:rPr>
              <w:t>42,8 %</w:t>
            </w:r>
          </w:p>
        </w:tc>
        <w:tc>
          <w:tcPr>
            <w:tcW w:w="1710" w:type="dxa"/>
            <w:tcBorders>
              <w:top w:val="single" w:sz="4" w:space="0" w:color="auto"/>
              <w:left w:val="single" w:sz="4" w:space="0" w:color="auto"/>
              <w:bottom w:val="single" w:sz="4" w:space="0" w:color="auto"/>
              <w:right w:val="single" w:sz="4" w:space="0" w:color="auto"/>
            </w:tcBorders>
            <w:hideMark/>
          </w:tcPr>
          <w:p w14:paraId="637DEBFA" w14:textId="77777777" w:rsidR="00C46587" w:rsidRPr="0058432E" w:rsidRDefault="00C46587" w:rsidP="00982118">
            <w:pPr>
              <w:jc w:val="center"/>
              <w:rPr>
                <w:color w:val="000000" w:themeColor="text1"/>
              </w:rPr>
            </w:pPr>
            <w:r w:rsidRPr="0058432E">
              <w:rPr>
                <w:color w:val="000000" w:themeColor="text1"/>
              </w:rPr>
              <w:t>36,9 %</w:t>
            </w:r>
          </w:p>
        </w:tc>
        <w:tc>
          <w:tcPr>
            <w:tcW w:w="2070" w:type="dxa"/>
            <w:tcBorders>
              <w:top w:val="single" w:sz="4" w:space="0" w:color="auto"/>
              <w:left w:val="single" w:sz="4" w:space="0" w:color="auto"/>
              <w:bottom w:val="single" w:sz="4" w:space="0" w:color="auto"/>
              <w:right w:val="single" w:sz="4" w:space="0" w:color="auto"/>
            </w:tcBorders>
            <w:hideMark/>
          </w:tcPr>
          <w:p w14:paraId="70D2D3C6" w14:textId="77777777" w:rsidR="00C46587" w:rsidRPr="0058432E" w:rsidRDefault="00C46587" w:rsidP="00982118">
            <w:pPr>
              <w:jc w:val="center"/>
              <w:rPr>
                <w:color w:val="000000" w:themeColor="text1"/>
              </w:rPr>
            </w:pPr>
            <w:r w:rsidRPr="0058432E">
              <w:rPr>
                <w:color w:val="000000" w:themeColor="text1"/>
              </w:rPr>
              <w:t>59,0 %</w:t>
            </w:r>
          </w:p>
        </w:tc>
        <w:tc>
          <w:tcPr>
            <w:tcW w:w="1020" w:type="dxa"/>
            <w:tcBorders>
              <w:top w:val="single" w:sz="4" w:space="0" w:color="auto"/>
              <w:left w:val="single" w:sz="4" w:space="0" w:color="auto"/>
              <w:bottom w:val="single" w:sz="4" w:space="0" w:color="auto"/>
              <w:right w:val="single" w:sz="4" w:space="0" w:color="auto"/>
            </w:tcBorders>
            <w:hideMark/>
          </w:tcPr>
          <w:p w14:paraId="631339BB"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739A9CDD"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0D80B3A3" w14:textId="77777777" w:rsidR="00C46587" w:rsidRPr="0058432E" w:rsidRDefault="00C46587" w:rsidP="00982118">
            <w:pPr>
              <w:jc w:val="center"/>
              <w:rPr>
                <w:color w:val="000000" w:themeColor="text1"/>
              </w:rPr>
            </w:pPr>
            <w:r w:rsidRPr="0058432E">
              <w:rPr>
                <w:color w:val="000000" w:themeColor="text1"/>
              </w:rPr>
              <w:t>0,162</w:t>
            </w:r>
          </w:p>
        </w:tc>
      </w:tr>
      <w:tr w:rsidR="00B8172B" w:rsidRPr="0058432E" w14:paraId="1C359A4F"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27D6691C" w14:textId="77777777" w:rsidR="00C46587" w:rsidRPr="0058432E" w:rsidRDefault="00C46587" w:rsidP="00982118">
            <w:pPr>
              <w:rPr>
                <w:color w:val="000000" w:themeColor="text1"/>
              </w:rPr>
            </w:pPr>
            <w:r w:rsidRPr="0058432E">
              <w:rPr>
                <w:color w:val="000000" w:themeColor="text1"/>
              </w:rPr>
              <w:t>ACR 70</w:t>
            </w:r>
          </w:p>
        </w:tc>
        <w:tc>
          <w:tcPr>
            <w:tcW w:w="990" w:type="dxa"/>
            <w:tcBorders>
              <w:top w:val="single" w:sz="4" w:space="0" w:color="auto"/>
              <w:left w:val="single" w:sz="4" w:space="0" w:color="auto"/>
              <w:bottom w:val="single" w:sz="4" w:space="0" w:color="auto"/>
              <w:right w:val="single" w:sz="4" w:space="0" w:color="auto"/>
            </w:tcBorders>
          </w:tcPr>
          <w:p w14:paraId="678B1DFA" w14:textId="77777777" w:rsidR="00C46587" w:rsidRPr="0058432E" w:rsidRDefault="00C46587" w:rsidP="00982118">
            <w:pPr>
              <w:jc w:val="center"/>
              <w:rPr>
                <w:color w:val="000000" w:themeColor="text1"/>
              </w:rPr>
            </w:pPr>
          </w:p>
        </w:tc>
        <w:tc>
          <w:tcPr>
            <w:tcW w:w="1710" w:type="dxa"/>
            <w:tcBorders>
              <w:top w:val="single" w:sz="4" w:space="0" w:color="auto"/>
              <w:left w:val="single" w:sz="4" w:space="0" w:color="auto"/>
              <w:bottom w:val="single" w:sz="4" w:space="0" w:color="auto"/>
              <w:right w:val="single" w:sz="4" w:space="0" w:color="auto"/>
            </w:tcBorders>
          </w:tcPr>
          <w:p w14:paraId="5F09F29C" w14:textId="77777777" w:rsidR="00C46587" w:rsidRPr="0058432E" w:rsidRDefault="00C46587" w:rsidP="00982118">
            <w:pPr>
              <w:jc w:val="center"/>
              <w:rPr>
                <w:color w:val="000000" w:themeColor="text1"/>
              </w:rPr>
            </w:pPr>
          </w:p>
        </w:tc>
        <w:tc>
          <w:tcPr>
            <w:tcW w:w="2070" w:type="dxa"/>
            <w:tcBorders>
              <w:top w:val="single" w:sz="4" w:space="0" w:color="auto"/>
              <w:left w:val="single" w:sz="4" w:space="0" w:color="auto"/>
              <w:bottom w:val="single" w:sz="4" w:space="0" w:color="auto"/>
              <w:right w:val="single" w:sz="4" w:space="0" w:color="auto"/>
            </w:tcBorders>
          </w:tcPr>
          <w:p w14:paraId="1BAD2F01" w14:textId="77777777" w:rsidR="00C46587" w:rsidRPr="0058432E" w:rsidRDefault="00C46587" w:rsidP="00982118">
            <w:pPr>
              <w:jc w:val="center"/>
              <w:rPr>
                <w:color w:val="000000" w:themeColor="text1"/>
              </w:rPr>
            </w:pPr>
          </w:p>
        </w:tc>
        <w:tc>
          <w:tcPr>
            <w:tcW w:w="1020" w:type="dxa"/>
            <w:tcBorders>
              <w:top w:val="single" w:sz="4" w:space="0" w:color="auto"/>
              <w:left w:val="single" w:sz="4" w:space="0" w:color="auto"/>
              <w:bottom w:val="single" w:sz="4" w:space="0" w:color="auto"/>
              <w:right w:val="single" w:sz="4" w:space="0" w:color="auto"/>
            </w:tcBorders>
          </w:tcPr>
          <w:p w14:paraId="5DF0F528" w14:textId="77777777" w:rsidR="00C46587" w:rsidRPr="0058432E" w:rsidRDefault="00C46587" w:rsidP="00982118">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7FF9D76B" w14:textId="77777777" w:rsidR="00C46587" w:rsidRPr="0058432E" w:rsidRDefault="00C46587" w:rsidP="00982118">
            <w:pPr>
              <w:jc w:val="center"/>
              <w:rPr>
                <w:color w:val="000000" w:themeColor="text1"/>
              </w:rPr>
            </w:pPr>
          </w:p>
        </w:tc>
        <w:tc>
          <w:tcPr>
            <w:tcW w:w="1110" w:type="dxa"/>
            <w:tcBorders>
              <w:top w:val="single" w:sz="4" w:space="0" w:color="auto"/>
              <w:left w:val="single" w:sz="4" w:space="0" w:color="auto"/>
              <w:bottom w:val="single" w:sz="4" w:space="0" w:color="auto"/>
              <w:right w:val="single" w:sz="4" w:space="0" w:color="auto"/>
            </w:tcBorders>
          </w:tcPr>
          <w:p w14:paraId="2ECA268C" w14:textId="77777777" w:rsidR="00C46587" w:rsidRPr="0058432E" w:rsidRDefault="00C46587" w:rsidP="00982118">
            <w:pPr>
              <w:jc w:val="center"/>
              <w:rPr>
                <w:color w:val="000000" w:themeColor="text1"/>
              </w:rPr>
            </w:pPr>
          </w:p>
        </w:tc>
      </w:tr>
      <w:tr w:rsidR="00B8172B" w:rsidRPr="0058432E" w14:paraId="01A395A5"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4F6D8D2F" w14:textId="77777777" w:rsidR="00C46587" w:rsidRPr="0058432E" w:rsidRDefault="00C46587" w:rsidP="00982118">
            <w:pPr>
              <w:ind w:left="270"/>
              <w:rPr>
                <w:color w:val="000000" w:themeColor="text1"/>
              </w:rPr>
            </w:pPr>
            <w:r w:rsidRPr="0058432E">
              <w:rPr>
                <w:color w:val="000000" w:themeColor="text1"/>
              </w:rPr>
              <w:t>Semaine 52</w:t>
            </w:r>
          </w:p>
        </w:tc>
        <w:tc>
          <w:tcPr>
            <w:tcW w:w="990" w:type="dxa"/>
            <w:tcBorders>
              <w:top w:val="single" w:sz="4" w:space="0" w:color="auto"/>
              <w:left w:val="single" w:sz="4" w:space="0" w:color="auto"/>
              <w:bottom w:val="single" w:sz="4" w:space="0" w:color="auto"/>
              <w:right w:val="single" w:sz="4" w:space="0" w:color="auto"/>
            </w:tcBorders>
            <w:hideMark/>
          </w:tcPr>
          <w:p w14:paraId="38CE1EAA" w14:textId="77777777" w:rsidR="00C46587" w:rsidRPr="0058432E" w:rsidRDefault="00C46587" w:rsidP="00982118">
            <w:pPr>
              <w:jc w:val="center"/>
              <w:rPr>
                <w:color w:val="000000" w:themeColor="text1"/>
              </w:rPr>
            </w:pPr>
            <w:r w:rsidRPr="0058432E">
              <w:rPr>
                <w:color w:val="000000" w:themeColor="text1"/>
              </w:rPr>
              <w:t>27,2 %</w:t>
            </w:r>
          </w:p>
        </w:tc>
        <w:tc>
          <w:tcPr>
            <w:tcW w:w="1710" w:type="dxa"/>
            <w:tcBorders>
              <w:top w:val="single" w:sz="4" w:space="0" w:color="auto"/>
              <w:left w:val="single" w:sz="4" w:space="0" w:color="auto"/>
              <w:bottom w:val="single" w:sz="4" w:space="0" w:color="auto"/>
              <w:right w:val="single" w:sz="4" w:space="0" w:color="auto"/>
            </w:tcBorders>
            <w:hideMark/>
          </w:tcPr>
          <w:p w14:paraId="567B2A63" w14:textId="77777777" w:rsidR="00C46587" w:rsidRPr="0058432E" w:rsidRDefault="00C46587" w:rsidP="00982118">
            <w:pPr>
              <w:jc w:val="center"/>
              <w:rPr>
                <w:color w:val="000000" w:themeColor="text1"/>
              </w:rPr>
            </w:pPr>
            <w:r w:rsidRPr="0058432E">
              <w:rPr>
                <w:color w:val="000000" w:themeColor="text1"/>
              </w:rPr>
              <w:t>25,9 %</w:t>
            </w:r>
          </w:p>
        </w:tc>
        <w:tc>
          <w:tcPr>
            <w:tcW w:w="2070" w:type="dxa"/>
            <w:tcBorders>
              <w:top w:val="single" w:sz="4" w:space="0" w:color="auto"/>
              <w:left w:val="single" w:sz="4" w:space="0" w:color="auto"/>
              <w:bottom w:val="single" w:sz="4" w:space="0" w:color="auto"/>
              <w:right w:val="single" w:sz="4" w:space="0" w:color="auto"/>
            </w:tcBorders>
            <w:hideMark/>
          </w:tcPr>
          <w:p w14:paraId="4E15EE82" w14:textId="77777777" w:rsidR="00C46587" w:rsidRPr="0058432E" w:rsidRDefault="00C46587" w:rsidP="00982118">
            <w:pPr>
              <w:jc w:val="center"/>
              <w:rPr>
                <w:color w:val="000000" w:themeColor="text1"/>
              </w:rPr>
            </w:pPr>
            <w:r w:rsidRPr="0058432E">
              <w:rPr>
                <w:color w:val="000000" w:themeColor="text1"/>
              </w:rPr>
              <w:t>45,5 %</w:t>
            </w:r>
          </w:p>
        </w:tc>
        <w:tc>
          <w:tcPr>
            <w:tcW w:w="1020" w:type="dxa"/>
            <w:tcBorders>
              <w:top w:val="single" w:sz="4" w:space="0" w:color="auto"/>
              <w:left w:val="single" w:sz="4" w:space="0" w:color="auto"/>
              <w:bottom w:val="single" w:sz="4" w:space="0" w:color="auto"/>
              <w:right w:val="single" w:sz="4" w:space="0" w:color="auto"/>
            </w:tcBorders>
            <w:hideMark/>
          </w:tcPr>
          <w:p w14:paraId="3A6BC333"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532C4A6D"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65301BB3" w14:textId="77777777" w:rsidR="00C46587" w:rsidRPr="0058432E" w:rsidRDefault="00C46587" w:rsidP="00982118">
            <w:pPr>
              <w:jc w:val="center"/>
              <w:rPr>
                <w:color w:val="000000" w:themeColor="text1"/>
              </w:rPr>
            </w:pPr>
            <w:r w:rsidRPr="0058432E">
              <w:rPr>
                <w:color w:val="000000" w:themeColor="text1"/>
              </w:rPr>
              <w:t>0,656</w:t>
            </w:r>
          </w:p>
        </w:tc>
      </w:tr>
      <w:tr w:rsidR="00B8172B" w:rsidRPr="0058432E" w14:paraId="6B4C47FE" w14:textId="77777777" w:rsidTr="003D2782">
        <w:tc>
          <w:tcPr>
            <w:tcW w:w="1638" w:type="dxa"/>
            <w:tcBorders>
              <w:top w:val="single" w:sz="4" w:space="0" w:color="auto"/>
              <w:left w:val="single" w:sz="4" w:space="0" w:color="auto"/>
              <w:bottom w:val="single" w:sz="4" w:space="0" w:color="auto"/>
              <w:right w:val="single" w:sz="4" w:space="0" w:color="auto"/>
            </w:tcBorders>
            <w:hideMark/>
          </w:tcPr>
          <w:p w14:paraId="7BB098D4" w14:textId="77777777" w:rsidR="00C46587" w:rsidRPr="0058432E" w:rsidRDefault="00C46587" w:rsidP="00982118">
            <w:pPr>
              <w:ind w:left="270"/>
              <w:rPr>
                <w:color w:val="000000" w:themeColor="text1"/>
              </w:rPr>
            </w:pPr>
            <w:r w:rsidRPr="0058432E">
              <w:rPr>
                <w:color w:val="000000" w:themeColor="text1"/>
              </w:rPr>
              <w:t>Semaine 104</w:t>
            </w:r>
          </w:p>
        </w:tc>
        <w:tc>
          <w:tcPr>
            <w:tcW w:w="990" w:type="dxa"/>
            <w:tcBorders>
              <w:top w:val="single" w:sz="4" w:space="0" w:color="auto"/>
              <w:left w:val="single" w:sz="4" w:space="0" w:color="auto"/>
              <w:bottom w:val="single" w:sz="4" w:space="0" w:color="auto"/>
              <w:right w:val="single" w:sz="4" w:space="0" w:color="auto"/>
            </w:tcBorders>
            <w:hideMark/>
          </w:tcPr>
          <w:p w14:paraId="40E3FE91" w14:textId="77777777" w:rsidR="00C46587" w:rsidRPr="0058432E" w:rsidRDefault="00C46587" w:rsidP="00982118">
            <w:pPr>
              <w:jc w:val="center"/>
              <w:rPr>
                <w:color w:val="000000" w:themeColor="text1"/>
              </w:rPr>
            </w:pPr>
            <w:r w:rsidRPr="0058432E">
              <w:rPr>
                <w:color w:val="000000" w:themeColor="text1"/>
              </w:rPr>
              <w:t>28,4 %</w:t>
            </w:r>
          </w:p>
        </w:tc>
        <w:tc>
          <w:tcPr>
            <w:tcW w:w="1710" w:type="dxa"/>
            <w:tcBorders>
              <w:top w:val="single" w:sz="4" w:space="0" w:color="auto"/>
              <w:left w:val="single" w:sz="4" w:space="0" w:color="auto"/>
              <w:bottom w:val="single" w:sz="4" w:space="0" w:color="auto"/>
              <w:right w:val="single" w:sz="4" w:space="0" w:color="auto"/>
            </w:tcBorders>
            <w:hideMark/>
          </w:tcPr>
          <w:p w14:paraId="05A9E84E" w14:textId="77777777" w:rsidR="00C46587" w:rsidRPr="0058432E" w:rsidRDefault="00C46587" w:rsidP="00982118">
            <w:pPr>
              <w:jc w:val="center"/>
              <w:rPr>
                <w:color w:val="000000" w:themeColor="text1"/>
              </w:rPr>
            </w:pPr>
            <w:r w:rsidRPr="0058432E">
              <w:rPr>
                <w:color w:val="000000" w:themeColor="text1"/>
              </w:rPr>
              <w:t>28,1 %</w:t>
            </w:r>
          </w:p>
        </w:tc>
        <w:tc>
          <w:tcPr>
            <w:tcW w:w="2070" w:type="dxa"/>
            <w:tcBorders>
              <w:top w:val="single" w:sz="4" w:space="0" w:color="auto"/>
              <w:left w:val="single" w:sz="4" w:space="0" w:color="auto"/>
              <w:bottom w:val="single" w:sz="4" w:space="0" w:color="auto"/>
              <w:right w:val="single" w:sz="4" w:space="0" w:color="auto"/>
            </w:tcBorders>
            <w:hideMark/>
          </w:tcPr>
          <w:p w14:paraId="6241B3D4" w14:textId="77777777" w:rsidR="00C46587" w:rsidRPr="0058432E" w:rsidRDefault="00C46587" w:rsidP="00982118">
            <w:pPr>
              <w:jc w:val="center"/>
              <w:rPr>
                <w:color w:val="000000" w:themeColor="text1"/>
              </w:rPr>
            </w:pPr>
            <w:r w:rsidRPr="0058432E">
              <w:rPr>
                <w:color w:val="000000" w:themeColor="text1"/>
              </w:rPr>
              <w:t>46,6 %</w:t>
            </w:r>
          </w:p>
        </w:tc>
        <w:tc>
          <w:tcPr>
            <w:tcW w:w="1020" w:type="dxa"/>
            <w:tcBorders>
              <w:top w:val="single" w:sz="4" w:space="0" w:color="auto"/>
              <w:left w:val="single" w:sz="4" w:space="0" w:color="auto"/>
              <w:bottom w:val="single" w:sz="4" w:space="0" w:color="auto"/>
              <w:right w:val="single" w:sz="4" w:space="0" w:color="auto"/>
            </w:tcBorders>
            <w:hideMark/>
          </w:tcPr>
          <w:p w14:paraId="0D9CAE66"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4EDB457D" w14:textId="77777777" w:rsidR="00C46587" w:rsidRPr="0058432E" w:rsidRDefault="00C46587" w:rsidP="00982118">
            <w:pPr>
              <w:jc w:val="center"/>
              <w:rPr>
                <w:color w:val="000000" w:themeColor="text1"/>
              </w:rPr>
            </w:pPr>
            <w:r w:rsidRPr="0058432E">
              <w:rPr>
                <w:color w:val="000000" w:themeColor="text1"/>
              </w:rPr>
              <w:t>&lt; 0,001</w:t>
            </w:r>
          </w:p>
        </w:tc>
        <w:tc>
          <w:tcPr>
            <w:tcW w:w="1110" w:type="dxa"/>
            <w:tcBorders>
              <w:top w:val="single" w:sz="4" w:space="0" w:color="auto"/>
              <w:left w:val="single" w:sz="4" w:space="0" w:color="auto"/>
              <w:bottom w:val="single" w:sz="4" w:space="0" w:color="auto"/>
              <w:right w:val="single" w:sz="4" w:space="0" w:color="auto"/>
            </w:tcBorders>
            <w:hideMark/>
          </w:tcPr>
          <w:p w14:paraId="4D059C5C" w14:textId="77777777" w:rsidR="00C46587" w:rsidRPr="0058432E" w:rsidRDefault="00C46587" w:rsidP="00982118">
            <w:pPr>
              <w:jc w:val="center"/>
              <w:rPr>
                <w:color w:val="000000" w:themeColor="text1"/>
              </w:rPr>
            </w:pPr>
            <w:r w:rsidRPr="0058432E">
              <w:rPr>
                <w:color w:val="000000" w:themeColor="text1"/>
              </w:rPr>
              <w:t>0,864</w:t>
            </w:r>
          </w:p>
        </w:tc>
      </w:tr>
      <w:tr w:rsidR="00081A6C" w:rsidRPr="0058432E" w14:paraId="2AB9C87F" w14:textId="77777777" w:rsidTr="003D2782">
        <w:tc>
          <w:tcPr>
            <w:tcW w:w="9648" w:type="dxa"/>
            <w:gridSpan w:val="7"/>
            <w:tcBorders>
              <w:top w:val="single" w:sz="4" w:space="0" w:color="auto"/>
              <w:left w:val="nil"/>
              <w:bottom w:val="nil"/>
              <w:right w:val="nil"/>
            </w:tcBorders>
          </w:tcPr>
          <w:p w14:paraId="6872BB8E"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 </w:t>
            </w:r>
          </w:p>
          <w:p w14:paraId="1492202A"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44E89C1C" w14:textId="77777777" w:rsidR="00081A6C" w:rsidRPr="0058432E" w:rsidRDefault="00081A6C" w:rsidP="00081A6C">
            <w:pPr>
              <w:tabs>
                <w:tab w:val="left" w:pos="288"/>
              </w:tabs>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w:t>
            </w:r>
            <w:r w:rsidR="001919CD" w:rsidRPr="0058432E">
              <w:rPr>
                <w:color w:val="000000" w:themeColor="text1"/>
                <w:sz w:val="20"/>
              </w:rPr>
              <w:t xml:space="preserve">la </w:t>
            </w:r>
            <w:r w:rsidR="00381A02" w:rsidRPr="0058432E">
              <w:rPr>
                <w:color w:val="000000" w:themeColor="text1"/>
                <w:sz w:val="20"/>
              </w:rPr>
              <w:t>comparaison appariée des traitements</w:t>
            </w:r>
            <w:r w:rsidRPr="0058432E">
              <w:rPr>
                <w:color w:val="000000" w:themeColor="text1"/>
                <w:sz w:val="20"/>
              </w:rPr>
              <w:t xml:space="preserve"> par adalimumab </w:t>
            </w:r>
            <w:r w:rsidR="00381A02" w:rsidRPr="0058432E">
              <w:rPr>
                <w:color w:val="000000" w:themeColor="text1"/>
                <w:sz w:val="20"/>
              </w:rPr>
              <w:t xml:space="preserve">seul </w:t>
            </w:r>
            <w:r w:rsidRPr="0058432E">
              <w:rPr>
                <w:color w:val="000000" w:themeColor="text1"/>
                <w:sz w:val="20"/>
              </w:rPr>
              <w:t xml:space="preserve">et par méthotrexate </w:t>
            </w:r>
            <w:r w:rsidR="00381A02" w:rsidRPr="0058432E">
              <w:rPr>
                <w:color w:val="000000" w:themeColor="text1"/>
                <w:sz w:val="20"/>
              </w:rPr>
              <w:t xml:space="preserve">seul </w:t>
            </w:r>
            <w:r w:rsidRPr="0058432E">
              <w:rPr>
                <w:color w:val="000000" w:themeColor="text1"/>
                <w:sz w:val="20"/>
              </w:rPr>
              <w:t>par le test U de Mann-Whitney.</w:t>
            </w:r>
          </w:p>
        </w:tc>
      </w:tr>
    </w:tbl>
    <w:p w14:paraId="344D8050" w14:textId="77777777" w:rsidR="00C46587" w:rsidRPr="0058432E" w:rsidRDefault="00C46587" w:rsidP="00982118">
      <w:pPr>
        <w:rPr>
          <w:color w:val="000000" w:themeColor="text1"/>
        </w:rPr>
      </w:pPr>
    </w:p>
    <w:p w14:paraId="1C403E2D" w14:textId="77777777" w:rsidR="00C46587" w:rsidRPr="0058432E" w:rsidRDefault="00C46587" w:rsidP="00982118">
      <w:pPr>
        <w:rPr>
          <w:color w:val="000000" w:themeColor="text1"/>
        </w:rPr>
      </w:pPr>
      <w:r w:rsidRPr="0058432E">
        <w:rPr>
          <w:color w:val="000000" w:themeColor="text1"/>
        </w:rPr>
        <w:t xml:space="preserve">Dans la phase d’extension en ouvert de l’étude V sur </w:t>
      </w:r>
      <w:proofErr w:type="gramStart"/>
      <w:r w:rsidRPr="0058432E">
        <w:rPr>
          <w:color w:val="000000" w:themeColor="text1"/>
        </w:rPr>
        <w:t>la PR</w:t>
      </w:r>
      <w:proofErr w:type="gramEnd"/>
      <w:r w:rsidRPr="0058432E">
        <w:rPr>
          <w:color w:val="000000" w:themeColor="text1"/>
        </w:rPr>
        <w:t>, les taux de réponse ACR ont été maintenus chez les patients suivis jusqu’à 10 ans. Sur 542 patients randomisés pour recevoir l’adalimumab 40 mg toutes les deux semaines, 170 patients ont poursuivi l’adalimumab à la dose de 40 mg toutes les deux semaines pendant 10 ans. Parmi ces patients, 154 patients (90,6</w:t>
      </w:r>
      <w:r w:rsidR="009D0D34" w:rsidRPr="0058432E">
        <w:rPr>
          <w:color w:val="000000" w:themeColor="text1"/>
        </w:rPr>
        <w:t> </w:t>
      </w:r>
      <w:r w:rsidRPr="0058432E">
        <w:rPr>
          <w:color w:val="000000" w:themeColor="text1"/>
        </w:rPr>
        <w:t>%) ont eu une réponse ACR 20 ; 127 patients (74,7</w:t>
      </w:r>
      <w:r w:rsidR="009D0D34" w:rsidRPr="0058432E">
        <w:rPr>
          <w:color w:val="000000" w:themeColor="text1"/>
        </w:rPr>
        <w:t> </w:t>
      </w:r>
      <w:r w:rsidRPr="0058432E">
        <w:rPr>
          <w:color w:val="000000" w:themeColor="text1"/>
        </w:rPr>
        <w:t>%) ont eu une réponse ACR 50 et 102 patients (60,0</w:t>
      </w:r>
      <w:r w:rsidR="009D0D34" w:rsidRPr="0058432E">
        <w:rPr>
          <w:color w:val="000000" w:themeColor="text1"/>
        </w:rPr>
        <w:t> </w:t>
      </w:r>
      <w:r w:rsidRPr="0058432E">
        <w:rPr>
          <w:color w:val="000000" w:themeColor="text1"/>
        </w:rPr>
        <w:t xml:space="preserve">%) ont eu une réponse ACR 70. </w:t>
      </w:r>
    </w:p>
    <w:p w14:paraId="679E1844" w14:textId="77777777" w:rsidR="00C46587" w:rsidRPr="0058432E" w:rsidRDefault="00C46587" w:rsidP="00982118">
      <w:pPr>
        <w:rPr>
          <w:color w:val="000000" w:themeColor="text1"/>
        </w:rPr>
      </w:pPr>
    </w:p>
    <w:p w14:paraId="3715D354" w14:textId="77777777" w:rsidR="00C46587" w:rsidRPr="0058432E" w:rsidRDefault="006D6B30" w:rsidP="00982118">
      <w:pPr>
        <w:rPr>
          <w:color w:val="000000" w:themeColor="text1"/>
        </w:rPr>
      </w:pPr>
      <w:r w:rsidRPr="0058432E">
        <w:rPr>
          <w:color w:val="000000" w:themeColor="text1"/>
        </w:rPr>
        <w:t>À</w:t>
      </w:r>
      <w:r w:rsidR="00C46587" w:rsidRPr="0058432E">
        <w:rPr>
          <w:color w:val="000000" w:themeColor="text1"/>
        </w:rPr>
        <w:t xml:space="preserve"> la semaine 52, 42,9 % des patients qui avaient reçu l’association adalimumab/méthotrexate étaient en rémission clinique (DAS 28 (CRP) &lt; 2,6) comparativement à 20,6 % des patients ayant reçu le méthotrexate seul et 23,4 % des patients ayant reçu l’adalimumab seul.</w:t>
      </w:r>
      <w:r w:rsidR="00C6488B" w:rsidRPr="0058432E">
        <w:rPr>
          <w:color w:val="000000" w:themeColor="text1"/>
        </w:rPr>
        <w:t xml:space="preserve"> </w:t>
      </w:r>
      <w:r w:rsidR="00C46587" w:rsidRPr="0058432E">
        <w:rPr>
          <w:color w:val="000000" w:themeColor="text1"/>
        </w:rPr>
        <w:t>Le traitement par l’association adalimumab/méthotrexate était cliniquement et statistiquement supérieur au méthotrexate (p &lt; 0,001) et à l’adalimumab en monothérapie (p &lt; 0,001) dans l’obtention d’un état d’activité basse de la maladie pour les patients chez qui une polyarthrite rhumatoïde modérée à sévère avait été récemment diagnostiquée. La réponse pour les deux bras de monothérapie était similaire (p = 0,447). Sur 342</w:t>
      </w:r>
      <w:r w:rsidR="004F5825" w:rsidRPr="0058432E">
        <w:rPr>
          <w:color w:val="000000" w:themeColor="text1"/>
        </w:rPr>
        <w:t> </w:t>
      </w:r>
      <w:r w:rsidR="00C46587" w:rsidRPr="0058432E">
        <w:rPr>
          <w:color w:val="000000" w:themeColor="text1"/>
        </w:rPr>
        <w:t xml:space="preserve">patients initialement randomisés pour recevoir l’adalimumab seul ou l’association adalimumab/méthotrexate qui ont été inclus dans l’étude d’extension en ouvert, 171 patients ont terminé 10 ans de traitement par adalimumab. Parmi ces patients, 109 patients (63,7 %) étaient en rémission à 10 ans. </w:t>
      </w:r>
    </w:p>
    <w:p w14:paraId="5B590333" w14:textId="77777777" w:rsidR="00C46587" w:rsidRPr="0058432E" w:rsidRDefault="00C46587" w:rsidP="00982118">
      <w:pPr>
        <w:rPr>
          <w:color w:val="000000" w:themeColor="text1"/>
        </w:rPr>
      </w:pPr>
    </w:p>
    <w:p w14:paraId="00DC9286" w14:textId="77777777" w:rsidR="00C46587" w:rsidRPr="0058432E" w:rsidRDefault="00C46587" w:rsidP="00982118">
      <w:pPr>
        <w:keepNext/>
        <w:rPr>
          <w:i/>
          <w:color w:val="000000" w:themeColor="text1"/>
          <w:u w:val="single"/>
        </w:rPr>
      </w:pPr>
      <w:r w:rsidRPr="0058432E">
        <w:rPr>
          <w:i/>
          <w:color w:val="000000" w:themeColor="text1"/>
          <w:u w:val="single"/>
        </w:rPr>
        <w:t xml:space="preserve">Réponse radiographique </w:t>
      </w:r>
    </w:p>
    <w:p w14:paraId="28EDCDBD" w14:textId="77777777" w:rsidR="00C46587" w:rsidRPr="0058432E" w:rsidRDefault="00C46587" w:rsidP="00982118">
      <w:pPr>
        <w:keepNext/>
        <w:rPr>
          <w:color w:val="000000" w:themeColor="text1"/>
        </w:rPr>
      </w:pPr>
    </w:p>
    <w:p w14:paraId="45FA81D6" w14:textId="77777777" w:rsidR="00C46587" w:rsidRPr="0058432E" w:rsidRDefault="00C46587" w:rsidP="00982118">
      <w:pPr>
        <w:rPr>
          <w:color w:val="000000" w:themeColor="text1"/>
        </w:rPr>
      </w:pPr>
      <w:r w:rsidRPr="0058432E">
        <w:rPr>
          <w:color w:val="000000" w:themeColor="text1"/>
        </w:rPr>
        <w:t xml:space="preserve">Dans l’étude III sur </w:t>
      </w:r>
      <w:proofErr w:type="gramStart"/>
      <w:r w:rsidRPr="0058432E">
        <w:rPr>
          <w:color w:val="000000" w:themeColor="text1"/>
        </w:rPr>
        <w:t>la PR</w:t>
      </w:r>
      <w:proofErr w:type="gramEnd"/>
      <w:r w:rsidRPr="0058432E">
        <w:rPr>
          <w:color w:val="000000" w:themeColor="text1"/>
        </w:rPr>
        <w:t>, dans laquelle les patients traités par adalimumab avaient une polyarthrite rhumatoïde d’une durée moyenne de 11 ans environ, les dommages structuraux articulaires ont été évalués par radiographie et exprimés en termes de modification du score total de Sharp (STS) et de ses composants, le score d’érosion et le score de pincement articulaire. Les patients traités par adalimumab associé au méthotrexate ont présenté une progression significativement moindre que les patients recevant seulement du méthotrexate à 6 et 12 mois (voir tableau </w:t>
      </w:r>
      <w:r w:rsidR="002C597C" w:rsidRPr="0058432E">
        <w:rPr>
          <w:color w:val="000000" w:themeColor="text1"/>
        </w:rPr>
        <w:t>10</w:t>
      </w:r>
      <w:r w:rsidRPr="0058432E">
        <w:rPr>
          <w:color w:val="000000" w:themeColor="text1"/>
        </w:rPr>
        <w:t xml:space="preserve">). </w:t>
      </w:r>
    </w:p>
    <w:p w14:paraId="3653BA3C" w14:textId="77777777" w:rsidR="00C46587" w:rsidRPr="0058432E" w:rsidRDefault="00C46587" w:rsidP="00982118">
      <w:pPr>
        <w:rPr>
          <w:color w:val="000000" w:themeColor="text1"/>
        </w:rPr>
      </w:pPr>
    </w:p>
    <w:p w14:paraId="451C5687" w14:textId="77777777" w:rsidR="00C46587" w:rsidRPr="0058432E" w:rsidRDefault="00C46587" w:rsidP="00982118">
      <w:pPr>
        <w:rPr>
          <w:color w:val="000000" w:themeColor="text1"/>
        </w:rPr>
      </w:pPr>
      <w:r w:rsidRPr="0058432E">
        <w:rPr>
          <w:color w:val="000000" w:themeColor="text1"/>
        </w:rPr>
        <w:t xml:space="preserve">Dans l’extension en ouvert de l’étude III dans </w:t>
      </w:r>
      <w:proofErr w:type="gramStart"/>
      <w:r w:rsidRPr="0058432E">
        <w:rPr>
          <w:color w:val="000000" w:themeColor="text1"/>
        </w:rPr>
        <w:t>la PR</w:t>
      </w:r>
      <w:proofErr w:type="gramEnd"/>
      <w:r w:rsidRPr="0058432E">
        <w:rPr>
          <w:color w:val="000000" w:themeColor="text1"/>
        </w:rPr>
        <w:t xml:space="preserve">, le ralentissement de la progression des dommages structuraux est maintenu à 8 et 10 ans pour une partie des patients. À 8 ans, 81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48 patients n’ont pas présenté de progression des dommages structuraux définie par une modification du score total de Sharp modifié de 0,5 ou moins par rapport à la valeur de base. À 10 ans, 79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40 patients n’ont pas présenté de progression des </w:t>
      </w:r>
      <w:r w:rsidRPr="0058432E">
        <w:rPr>
          <w:color w:val="000000" w:themeColor="text1"/>
        </w:rPr>
        <w:lastRenderedPageBreak/>
        <w:t xml:space="preserve">dommages structuraux définie par une modification du score total de Sharp modifié de 0,5 ou moins par rapport à la valeur de base. </w:t>
      </w:r>
    </w:p>
    <w:p w14:paraId="6B3064DD" w14:textId="77777777" w:rsidR="00C46587" w:rsidRPr="0058432E" w:rsidRDefault="00C46587" w:rsidP="00982118">
      <w:pPr>
        <w:rPr>
          <w:color w:val="000000" w:themeColor="text1"/>
        </w:rPr>
      </w:pPr>
    </w:p>
    <w:p w14:paraId="3A9A5ABC" w14:textId="77777777" w:rsidR="00E9681E" w:rsidRPr="0058432E" w:rsidRDefault="00C46587" w:rsidP="00A53E17">
      <w:pPr>
        <w:keepNext/>
        <w:rPr>
          <w:b/>
          <w:color w:val="000000" w:themeColor="text1"/>
        </w:rPr>
      </w:pPr>
      <w:r w:rsidRPr="0058432E">
        <w:rPr>
          <w:b/>
          <w:color w:val="000000" w:themeColor="text1"/>
        </w:rPr>
        <w:t>Tableau </w:t>
      </w:r>
      <w:r w:rsidR="002C597C" w:rsidRPr="0058432E">
        <w:rPr>
          <w:b/>
          <w:color w:val="000000" w:themeColor="text1"/>
        </w:rPr>
        <w:t>10</w:t>
      </w:r>
      <w:r w:rsidR="002A7CDF" w:rsidRPr="0058432E">
        <w:rPr>
          <w:b/>
          <w:color w:val="000000" w:themeColor="text1"/>
        </w:rPr>
        <w:t>.</w:t>
      </w:r>
      <w:r w:rsidRPr="0058432E">
        <w:rPr>
          <w:b/>
          <w:color w:val="000000" w:themeColor="text1"/>
        </w:rPr>
        <w:t> </w:t>
      </w:r>
    </w:p>
    <w:p w14:paraId="4E97C03A" w14:textId="77777777" w:rsidR="00E9681E" w:rsidRPr="0058432E" w:rsidRDefault="0034359D" w:rsidP="00A53E17">
      <w:pPr>
        <w:pStyle w:val="BodyText"/>
        <w:keepNext/>
        <w:widowControl/>
        <w:kinsoku w:val="0"/>
        <w:overflowPunct w:val="0"/>
        <w:ind w:left="0"/>
        <w:rPr>
          <w:color w:val="000000" w:themeColor="text1"/>
        </w:rPr>
      </w:pPr>
      <w:r w:rsidRPr="0058432E">
        <w:rPr>
          <w:b/>
          <w:bCs/>
          <w:color w:val="000000" w:themeColor="text1"/>
        </w:rPr>
        <w:t>M</w:t>
      </w:r>
      <w:r w:rsidR="00E9681E" w:rsidRPr="0058432E">
        <w:rPr>
          <w:b/>
          <w:bCs/>
          <w:color w:val="000000" w:themeColor="text1"/>
        </w:rPr>
        <w:t xml:space="preserve">odifications radiographiques </w:t>
      </w:r>
      <w:r w:rsidRPr="0058432E">
        <w:rPr>
          <w:b/>
          <w:bCs/>
          <w:color w:val="000000" w:themeColor="text1"/>
        </w:rPr>
        <w:t xml:space="preserve">moyennes </w:t>
      </w:r>
      <w:r w:rsidR="00E9681E" w:rsidRPr="0058432E">
        <w:rPr>
          <w:b/>
          <w:bCs/>
          <w:color w:val="000000" w:themeColor="text1"/>
        </w:rPr>
        <w:t xml:space="preserve">sur 12 mois dans l’étude III sur </w:t>
      </w:r>
      <w:proofErr w:type="gramStart"/>
      <w:r w:rsidR="00E9681E" w:rsidRPr="0058432E">
        <w:rPr>
          <w:b/>
          <w:bCs/>
          <w:color w:val="000000" w:themeColor="text1"/>
        </w:rPr>
        <w:t>la PR</w:t>
      </w:r>
      <w:proofErr w:type="gramEnd"/>
    </w:p>
    <w:p w14:paraId="2EB65A6C" w14:textId="77777777" w:rsidR="00E9681E" w:rsidRPr="0058432E" w:rsidRDefault="00E9681E" w:rsidP="00E9681E">
      <w:pPr>
        <w:pStyle w:val="BodyText"/>
        <w:keepNext/>
        <w:widowControl/>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191"/>
        <w:gridCol w:w="2169"/>
        <w:gridCol w:w="2351"/>
        <w:gridCol w:w="1456"/>
      </w:tblGrid>
      <w:tr w:rsidR="00E9681E" w:rsidRPr="0058432E" w14:paraId="7557C8B6" w14:textId="77777777" w:rsidTr="00855029">
        <w:trPr>
          <w:cantSplit/>
        </w:trPr>
        <w:tc>
          <w:tcPr>
            <w:tcW w:w="1948" w:type="dxa"/>
            <w:shd w:val="clear" w:color="auto" w:fill="auto"/>
          </w:tcPr>
          <w:p w14:paraId="24B7A38C" w14:textId="77777777" w:rsidR="00E9681E" w:rsidRPr="0058432E" w:rsidRDefault="00E9681E" w:rsidP="00E9681E">
            <w:pPr>
              <w:rPr>
                <w:b/>
                <w:color w:val="000000" w:themeColor="text1"/>
              </w:rPr>
            </w:pPr>
          </w:p>
        </w:tc>
        <w:tc>
          <w:tcPr>
            <w:tcW w:w="1220" w:type="dxa"/>
            <w:shd w:val="clear" w:color="auto" w:fill="auto"/>
          </w:tcPr>
          <w:p w14:paraId="340A022F" w14:textId="77777777" w:rsidR="00E9681E" w:rsidRPr="0058432E" w:rsidRDefault="00E9681E" w:rsidP="005A68B9">
            <w:pPr>
              <w:pStyle w:val="TableParagraph"/>
              <w:widowControl/>
              <w:kinsoku w:val="0"/>
              <w:overflowPunct w:val="0"/>
              <w:spacing w:before="12" w:line="252" w:lineRule="exact"/>
              <w:ind w:left="102" w:right="9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a</w:t>
            </w:r>
          </w:p>
        </w:tc>
        <w:tc>
          <w:tcPr>
            <w:tcW w:w="2227" w:type="dxa"/>
            <w:shd w:val="clear" w:color="auto" w:fill="auto"/>
          </w:tcPr>
          <w:p w14:paraId="7F02941F" w14:textId="77777777" w:rsidR="00E9681E" w:rsidRPr="0058432E" w:rsidRDefault="00E9681E" w:rsidP="005A68B9">
            <w:pPr>
              <w:pStyle w:val="TableParagraph"/>
              <w:widowControl/>
              <w:kinsoku w:val="0"/>
              <w:overflowPunct w:val="0"/>
              <w:spacing w:before="8"/>
              <w:ind w:left="337" w:right="277" w:hanging="60"/>
              <w:jc w:val="center"/>
              <w:rPr>
                <w:rFonts w:ascii="Times New Roman" w:hAnsi="Times New Roman"/>
                <w:b/>
                <w:color w:val="000000" w:themeColor="text1"/>
              </w:rPr>
            </w:pPr>
            <w:r w:rsidRPr="0058432E">
              <w:rPr>
                <w:rFonts w:ascii="Times New Roman" w:hAnsi="Times New Roman"/>
                <w:b/>
                <w:color w:val="000000" w:themeColor="text1"/>
              </w:rPr>
              <w:t xml:space="preserve">Adalimumab/MTX 40 mg toutes les </w:t>
            </w:r>
            <w:r w:rsidR="00BA7A54" w:rsidRPr="0058432E">
              <w:rPr>
                <w:rFonts w:ascii="Times New Roman" w:hAnsi="Times New Roman"/>
                <w:b/>
                <w:color w:val="000000" w:themeColor="text1"/>
              </w:rPr>
              <w:t xml:space="preserve">deux </w:t>
            </w:r>
            <w:r w:rsidRPr="0058432E">
              <w:rPr>
                <w:rFonts w:ascii="Times New Roman" w:hAnsi="Times New Roman"/>
                <w:b/>
                <w:color w:val="000000" w:themeColor="text1"/>
              </w:rPr>
              <w:t>semaines</w:t>
            </w:r>
          </w:p>
        </w:tc>
        <w:tc>
          <w:tcPr>
            <w:tcW w:w="2415" w:type="dxa"/>
            <w:shd w:val="clear" w:color="auto" w:fill="auto"/>
          </w:tcPr>
          <w:p w14:paraId="20F95B4E" w14:textId="77777777" w:rsidR="00E9681E" w:rsidRPr="0058432E" w:rsidRDefault="00E9681E" w:rsidP="005A68B9">
            <w:pPr>
              <w:pStyle w:val="TableParagraph"/>
              <w:widowControl/>
              <w:kinsoku w:val="0"/>
              <w:overflowPunct w:val="0"/>
              <w:spacing w:before="15" w:line="231" w:lineRule="auto"/>
              <w:ind w:left="117" w:right="115" w:hanging="1"/>
              <w:jc w:val="center"/>
              <w:rPr>
                <w:rFonts w:ascii="Times New Roman" w:hAnsi="Times New Roman"/>
                <w:b/>
                <w:color w:val="000000" w:themeColor="text1"/>
              </w:rPr>
            </w:pPr>
            <w:r w:rsidRPr="0058432E">
              <w:rPr>
                <w:rFonts w:ascii="Times New Roman" w:hAnsi="Times New Roman"/>
                <w:b/>
                <w:color w:val="000000" w:themeColor="text1"/>
              </w:rPr>
              <w:t>Placebo/MTX-Adalimumab/MTX (intervalle de confiance à 95 %</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w:t>
            </w:r>
          </w:p>
        </w:tc>
        <w:tc>
          <w:tcPr>
            <w:tcW w:w="1493" w:type="dxa"/>
            <w:shd w:val="clear" w:color="auto" w:fill="auto"/>
          </w:tcPr>
          <w:p w14:paraId="1930847F" w14:textId="77777777" w:rsidR="00E9681E" w:rsidRPr="0058432E" w:rsidRDefault="00E9681E" w:rsidP="005A68B9">
            <w:pPr>
              <w:pStyle w:val="TableParagraph"/>
              <w:widowControl/>
              <w:kinsoku w:val="0"/>
              <w:overflowPunct w:val="0"/>
              <w:spacing w:before="8"/>
              <w:ind w:left="438" w:hanging="43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p>
        </w:tc>
      </w:tr>
      <w:tr w:rsidR="00E9681E" w:rsidRPr="0058432E" w14:paraId="4F6C09B0" w14:textId="77777777" w:rsidTr="00855029">
        <w:trPr>
          <w:cantSplit/>
        </w:trPr>
        <w:tc>
          <w:tcPr>
            <w:tcW w:w="1948" w:type="dxa"/>
            <w:shd w:val="clear" w:color="auto" w:fill="auto"/>
          </w:tcPr>
          <w:p w14:paraId="43BBE062" w14:textId="77777777" w:rsidR="00E9681E" w:rsidRPr="0058432E" w:rsidRDefault="00E9681E"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total de Sharp</w:t>
            </w:r>
          </w:p>
        </w:tc>
        <w:tc>
          <w:tcPr>
            <w:tcW w:w="1220" w:type="dxa"/>
            <w:shd w:val="clear" w:color="auto" w:fill="auto"/>
          </w:tcPr>
          <w:p w14:paraId="199BE998"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2,7</w:t>
            </w:r>
          </w:p>
        </w:tc>
        <w:tc>
          <w:tcPr>
            <w:tcW w:w="2227" w:type="dxa"/>
            <w:shd w:val="clear" w:color="auto" w:fill="auto"/>
          </w:tcPr>
          <w:p w14:paraId="0D5D2578"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15" w:type="dxa"/>
            <w:shd w:val="clear" w:color="auto" w:fill="auto"/>
          </w:tcPr>
          <w:p w14:paraId="49731761" w14:textId="77777777" w:rsidR="00E9681E" w:rsidRPr="0058432E" w:rsidRDefault="00E9681E" w:rsidP="005A68B9">
            <w:pPr>
              <w:pStyle w:val="TableParagraph"/>
              <w:widowControl/>
              <w:kinsoku w:val="0"/>
              <w:overflowPunct w:val="0"/>
              <w:spacing w:before="7"/>
              <w:ind w:left="424"/>
              <w:rPr>
                <w:rFonts w:ascii="Times New Roman" w:hAnsi="Times New Roman"/>
                <w:color w:val="000000" w:themeColor="text1"/>
              </w:rPr>
            </w:pPr>
            <w:r w:rsidRPr="0058432E">
              <w:rPr>
                <w:rFonts w:ascii="Times New Roman" w:hAnsi="Times New Roman"/>
                <w:color w:val="000000" w:themeColor="text1"/>
              </w:rPr>
              <w:t>2,6 (1,4 ; 3,8)</w:t>
            </w:r>
          </w:p>
        </w:tc>
        <w:tc>
          <w:tcPr>
            <w:tcW w:w="1493" w:type="dxa"/>
            <w:shd w:val="clear" w:color="auto" w:fill="auto"/>
          </w:tcPr>
          <w:p w14:paraId="5F54B336" w14:textId="77777777" w:rsidR="00E9681E" w:rsidRPr="0058432E" w:rsidRDefault="00E9681E" w:rsidP="005A68B9">
            <w:pPr>
              <w:pStyle w:val="TableParagraph"/>
              <w:widowControl/>
              <w:kinsoku w:val="0"/>
              <w:overflowPunct w:val="0"/>
              <w:spacing w:line="260" w:lineRule="exact"/>
              <w:ind w:left="399"/>
              <w:rPr>
                <w:rFonts w:ascii="Times New Roman" w:hAnsi="Times New Roman"/>
                <w:color w:val="000000" w:themeColor="text1"/>
              </w:rPr>
            </w:pPr>
            <w:r w:rsidRPr="0058432E">
              <w:rPr>
                <w:rFonts w:ascii="Times New Roman" w:hAnsi="Times New Roman"/>
                <w:color w:val="000000" w:themeColor="text1"/>
              </w:rPr>
              <w:t>&lt; 0,001</w:t>
            </w:r>
            <w:r w:rsidRPr="0058432E">
              <w:rPr>
                <w:rFonts w:ascii="Times New Roman" w:hAnsi="Times New Roman"/>
                <w:color w:val="000000" w:themeColor="text1"/>
                <w:vertAlign w:val="superscript"/>
              </w:rPr>
              <w:t>c</w:t>
            </w:r>
          </w:p>
        </w:tc>
      </w:tr>
      <w:tr w:rsidR="00E9681E" w:rsidRPr="0058432E" w14:paraId="0FFD0F25" w14:textId="77777777" w:rsidTr="00855029">
        <w:trPr>
          <w:cantSplit/>
        </w:trPr>
        <w:tc>
          <w:tcPr>
            <w:tcW w:w="1948" w:type="dxa"/>
            <w:shd w:val="clear" w:color="auto" w:fill="auto"/>
          </w:tcPr>
          <w:p w14:paraId="7EBC946D" w14:textId="77777777" w:rsidR="00E9681E" w:rsidRPr="0058432E" w:rsidRDefault="00E9681E"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d'érosion</w:t>
            </w:r>
          </w:p>
        </w:tc>
        <w:tc>
          <w:tcPr>
            <w:tcW w:w="1220" w:type="dxa"/>
            <w:shd w:val="clear" w:color="auto" w:fill="auto"/>
          </w:tcPr>
          <w:p w14:paraId="23972497"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1,6</w:t>
            </w:r>
          </w:p>
        </w:tc>
        <w:tc>
          <w:tcPr>
            <w:tcW w:w="2227" w:type="dxa"/>
            <w:shd w:val="clear" w:color="auto" w:fill="auto"/>
          </w:tcPr>
          <w:p w14:paraId="78638C98"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0,0</w:t>
            </w:r>
          </w:p>
        </w:tc>
        <w:tc>
          <w:tcPr>
            <w:tcW w:w="2415" w:type="dxa"/>
            <w:shd w:val="clear" w:color="auto" w:fill="auto"/>
          </w:tcPr>
          <w:p w14:paraId="1E1597F6" w14:textId="77777777" w:rsidR="00E9681E" w:rsidRPr="0058432E" w:rsidRDefault="00E9681E"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1,6 (0,9 ; 2,2)</w:t>
            </w:r>
          </w:p>
        </w:tc>
        <w:tc>
          <w:tcPr>
            <w:tcW w:w="1493" w:type="dxa"/>
            <w:shd w:val="clear" w:color="auto" w:fill="auto"/>
          </w:tcPr>
          <w:p w14:paraId="3D736BD8" w14:textId="77777777" w:rsidR="00E9681E" w:rsidRPr="0058432E" w:rsidRDefault="00E9681E" w:rsidP="005A68B9">
            <w:pPr>
              <w:pStyle w:val="TableParagraph"/>
              <w:widowControl/>
              <w:kinsoku w:val="0"/>
              <w:overflowPunct w:val="0"/>
              <w:spacing w:before="7"/>
              <w:ind w:left="430"/>
              <w:rPr>
                <w:rFonts w:ascii="Times New Roman" w:hAnsi="Times New Roman"/>
                <w:color w:val="000000" w:themeColor="text1"/>
              </w:rPr>
            </w:pPr>
            <w:r w:rsidRPr="0058432E">
              <w:rPr>
                <w:rFonts w:ascii="Times New Roman" w:hAnsi="Times New Roman"/>
                <w:color w:val="000000" w:themeColor="text1"/>
              </w:rPr>
              <w:t>&lt; 0,001</w:t>
            </w:r>
          </w:p>
        </w:tc>
      </w:tr>
      <w:tr w:rsidR="00E9681E" w:rsidRPr="0058432E" w14:paraId="06AFAE21" w14:textId="77777777" w:rsidTr="00081A6C">
        <w:trPr>
          <w:cantSplit/>
        </w:trPr>
        <w:tc>
          <w:tcPr>
            <w:tcW w:w="1948" w:type="dxa"/>
            <w:tcBorders>
              <w:bottom w:val="single" w:sz="4" w:space="0" w:color="auto"/>
            </w:tcBorders>
            <w:shd w:val="clear" w:color="auto" w:fill="auto"/>
          </w:tcPr>
          <w:p w14:paraId="7A3AB177" w14:textId="77777777" w:rsidR="00E9681E" w:rsidRPr="0058432E" w:rsidRDefault="00E9681E" w:rsidP="005A68B9">
            <w:pPr>
              <w:pStyle w:val="TableParagraph"/>
              <w:widowControl/>
              <w:kinsoku w:val="0"/>
              <w:overflowPunct w:val="0"/>
              <w:spacing w:line="260" w:lineRule="exact"/>
              <w:rPr>
                <w:rFonts w:ascii="Times New Roman" w:hAnsi="Times New Roman"/>
                <w:color w:val="000000" w:themeColor="text1"/>
              </w:rPr>
            </w:pPr>
            <w:r w:rsidRPr="0058432E">
              <w:rPr>
                <w:rFonts w:ascii="Times New Roman" w:hAnsi="Times New Roman"/>
                <w:color w:val="000000" w:themeColor="text1"/>
              </w:rPr>
              <w:t>Score de pincement articulaire (JSN)</w:t>
            </w:r>
            <w:r w:rsidRPr="0058432E">
              <w:rPr>
                <w:rFonts w:ascii="Times New Roman" w:hAnsi="Times New Roman"/>
                <w:color w:val="000000" w:themeColor="text1"/>
                <w:vertAlign w:val="superscript"/>
              </w:rPr>
              <w:t>d</w:t>
            </w:r>
          </w:p>
        </w:tc>
        <w:tc>
          <w:tcPr>
            <w:tcW w:w="1220" w:type="dxa"/>
            <w:tcBorders>
              <w:bottom w:val="single" w:sz="4" w:space="0" w:color="auto"/>
            </w:tcBorders>
            <w:shd w:val="clear" w:color="auto" w:fill="auto"/>
          </w:tcPr>
          <w:p w14:paraId="38B716D2"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1,0</w:t>
            </w:r>
          </w:p>
        </w:tc>
        <w:tc>
          <w:tcPr>
            <w:tcW w:w="2227" w:type="dxa"/>
            <w:tcBorders>
              <w:bottom w:val="single" w:sz="4" w:space="0" w:color="auto"/>
            </w:tcBorders>
            <w:shd w:val="clear" w:color="auto" w:fill="auto"/>
          </w:tcPr>
          <w:p w14:paraId="62F3420A"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15" w:type="dxa"/>
            <w:tcBorders>
              <w:bottom w:val="single" w:sz="4" w:space="0" w:color="auto"/>
            </w:tcBorders>
            <w:shd w:val="clear" w:color="auto" w:fill="auto"/>
          </w:tcPr>
          <w:p w14:paraId="29396BFA" w14:textId="77777777" w:rsidR="00E9681E" w:rsidRPr="0058432E" w:rsidRDefault="00E9681E"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0,9 (0,3 ; 1,4)</w:t>
            </w:r>
          </w:p>
        </w:tc>
        <w:tc>
          <w:tcPr>
            <w:tcW w:w="1493" w:type="dxa"/>
            <w:tcBorders>
              <w:bottom w:val="single" w:sz="4" w:space="0" w:color="auto"/>
            </w:tcBorders>
            <w:shd w:val="clear" w:color="auto" w:fill="auto"/>
          </w:tcPr>
          <w:p w14:paraId="1AF01058" w14:textId="77777777" w:rsidR="00E9681E" w:rsidRPr="0058432E" w:rsidRDefault="00E9681E" w:rsidP="005A68B9">
            <w:pPr>
              <w:pStyle w:val="TableParagraph"/>
              <w:widowControl/>
              <w:kinsoku w:val="0"/>
              <w:overflowPunct w:val="0"/>
              <w:spacing w:before="7"/>
              <w:ind w:left="576"/>
              <w:rPr>
                <w:rFonts w:ascii="Times New Roman" w:hAnsi="Times New Roman"/>
                <w:color w:val="000000" w:themeColor="text1"/>
              </w:rPr>
            </w:pPr>
            <w:r w:rsidRPr="0058432E">
              <w:rPr>
                <w:rFonts w:ascii="Times New Roman" w:hAnsi="Times New Roman"/>
                <w:color w:val="000000" w:themeColor="text1"/>
              </w:rPr>
              <w:t>0,002</w:t>
            </w:r>
          </w:p>
        </w:tc>
      </w:tr>
      <w:tr w:rsidR="00081A6C" w:rsidRPr="00B03C37" w14:paraId="6AEC3F2F" w14:textId="77777777" w:rsidTr="00081A6C">
        <w:trPr>
          <w:cantSplit/>
        </w:trPr>
        <w:tc>
          <w:tcPr>
            <w:tcW w:w="9303" w:type="dxa"/>
            <w:gridSpan w:val="5"/>
            <w:tcBorders>
              <w:left w:val="nil"/>
              <w:bottom w:val="nil"/>
              <w:right w:val="nil"/>
            </w:tcBorders>
            <w:shd w:val="clear" w:color="auto" w:fill="auto"/>
          </w:tcPr>
          <w:p w14:paraId="1CB7D745" w14:textId="77777777" w:rsidR="00081A6C" w:rsidRPr="0058432E" w:rsidRDefault="00081A6C" w:rsidP="00081A6C">
            <w:pPr>
              <w:pStyle w:val="BodyText"/>
              <w:widowControl/>
              <w:kinsoku w:val="0"/>
              <w:overflowPunct w:val="0"/>
              <w:ind w:left="270" w:hanging="270"/>
              <w:rPr>
                <w:color w:val="000000" w:themeColor="text1"/>
                <w:sz w:val="20"/>
              </w:rPr>
            </w:pPr>
            <w:proofErr w:type="gramStart"/>
            <w:r w:rsidRPr="0058432E">
              <w:rPr>
                <w:bCs/>
                <w:color w:val="000000" w:themeColor="text1"/>
                <w:sz w:val="20"/>
                <w:szCs w:val="14"/>
                <w:vertAlign w:val="superscript"/>
              </w:rPr>
              <w:t>a</w:t>
            </w:r>
            <w:proofErr w:type="gramEnd"/>
            <w:r w:rsidRPr="0058432E">
              <w:rPr>
                <w:bCs/>
                <w:color w:val="000000" w:themeColor="text1"/>
                <w:sz w:val="20"/>
                <w:szCs w:val="14"/>
              </w:rPr>
              <w:t xml:space="preserve"> </w:t>
            </w:r>
            <w:r w:rsidRPr="0058432E">
              <w:rPr>
                <w:bCs/>
                <w:color w:val="000000" w:themeColor="text1"/>
                <w:sz w:val="20"/>
                <w:szCs w:val="14"/>
              </w:rPr>
              <w:tab/>
            </w:r>
            <w:r w:rsidRPr="0058432E">
              <w:rPr>
                <w:color w:val="000000" w:themeColor="text1"/>
                <w:sz w:val="20"/>
              </w:rPr>
              <w:t>méthotrexate</w:t>
            </w:r>
          </w:p>
          <w:p w14:paraId="53CA3D25" w14:textId="77777777" w:rsidR="00081A6C" w:rsidRPr="0058432E" w:rsidRDefault="00081A6C" w:rsidP="00081A6C">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b</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intervalle de confiance à 95 % des différences de variations des scores entre méthotrexate et adalimumab.</w:t>
            </w:r>
          </w:p>
          <w:p w14:paraId="10988E6F" w14:textId="77777777" w:rsidR="00081A6C" w:rsidRPr="0058432E" w:rsidRDefault="00081A6C" w:rsidP="00081A6C">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c</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d’après les analyses de rang</w:t>
            </w:r>
          </w:p>
          <w:p w14:paraId="479CF192" w14:textId="77777777" w:rsidR="00081A6C" w:rsidRPr="008444F9" w:rsidRDefault="00081A6C" w:rsidP="00081A6C">
            <w:pPr>
              <w:pStyle w:val="BodyText"/>
              <w:widowControl/>
              <w:kinsoku w:val="0"/>
              <w:overflowPunct w:val="0"/>
              <w:ind w:left="270" w:hanging="270"/>
              <w:rPr>
                <w:color w:val="000000" w:themeColor="text1"/>
                <w:sz w:val="20"/>
                <w:lang w:val="en-US"/>
              </w:rPr>
            </w:pPr>
            <w:r w:rsidRPr="008444F9">
              <w:rPr>
                <w:color w:val="000000" w:themeColor="text1"/>
                <w:sz w:val="20"/>
                <w:szCs w:val="14"/>
                <w:vertAlign w:val="superscript"/>
                <w:lang w:val="en-US"/>
              </w:rPr>
              <w:t>d</w:t>
            </w:r>
            <w:r w:rsidRPr="008444F9">
              <w:rPr>
                <w:color w:val="000000" w:themeColor="text1"/>
                <w:sz w:val="20"/>
                <w:szCs w:val="14"/>
                <w:lang w:val="en-US"/>
              </w:rPr>
              <w:t xml:space="preserve"> </w:t>
            </w:r>
            <w:r w:rsidRPr="008444F9">
              <w:rPr>
                <w:color w:val="000000" w:themeColor="text1"/>
                <w:sz w:val="20"/>
                <w:szCs w:val="14"/>
                <w:lang w:val="en-US"/>
              </w:rPr>
              <w:tab/>
            </w:r>
            <w:r w:rsidRPr="008444F9">
              <w:rPr>
                <w:color w:val="000000" w:themeColor="text1"/>
                <w:sz w:val="20"/>
                <w:lang w:val="en-US"/>
              </w:rPr>
              <w:t>JSN</w:t>
            </w:r>
            <w:r w:rsidR="000B6E7C" w:rsidRPr="008444F9">
              <w:rPr>
                <w:color w:val="000000" w:themeColor="text1"/>
                <w:sz w:val="20"/>
                <w:lang w:val="en-US"/>
              </w:rPr>
              <w:t> </w:t>
            </w:r>
            <w:r w:rsidR="00DF52BA" w:rsidRPr="008444F9">
              <w:rPr>
                <w:color w:val="000000" w:themeColor="text1"/>
                <w:sz w:val="20"/>
                <w:lang w:val="en-US"/>
              </w:rPr>
              <w:t>= </w:t>
            </w:r>
            <w:r w:rsidRPr="008444F9">
              <w:rPr>
                <w:color w:val="000000" w:themeColor="text1"/>
                <w:sz w:val="20"/>
                <w:lang w:val="en-US"/>
              </w:rPr>
              <w:t>Joint Space Narrowing</w:t>
            </w:r>
          </w:p>
        </w:tc>
      </w:tr>
    </w:tbl>
    <w:p w14:paraId="0440E36A" w14:textId="77777777" w:rsidR="00C46587" w:rsidRPr="008444F9" w:rsidRDefault="00C46587" w:rsidP="00982118">
      <w:pPr>
        <w:rPr>
          <w:color w:val="000000" w:themeColor="text1"/>
          <w:lang w:val="en-US"/>
        </w:rPr>
      </w:pPr>
    </w:p>
    <w:p w14:paraId="48611E5E" w14:textId="77777777" w:rsidR="00C46587" w:rsidRPr="0058432E" w:rsidRDefault="00C46587" w:rsidP="00982118">
      <w:pPr>
        <w:rPr>
          <w:color w:val="000000" w:themeColor="text1"/>
        </w:rPr>
      </w:pPr>
      <w:r w:rsidRPr="0058432E">
        <w:rPr>
          <w:color w:val="000000" w:themeColor="text1"/>
        </w:rPr>
        <w:t xml:space="preserve">Dans l’étude V sur </w:t>
      </w:r>
      <w:proofErr w:type="gramStart"/>
      <w:r w:rsidRPr="0058432E">
        <w:rPr>
          <w:color w:val="000000" w:themeColor="text1"/>
        </w:rPr>
        <w:t>la PR</w:t>
      </w:r>
      <w:proofErr w:type="gramEnd"/>
      <w:r w:rsidRPr="0058432E">
        <w:rPr>
          <w:color w:val="000000" w:themeColor="text1"/>
        </w:rPr>
        <w:t xml:space="preserve">, les dommages structuraux articulaires ont été évalués par radiographie et exprimés en termes de </w:t>
      </w:r>
      <w:r w:rsidR="0034359D" w:rsidRPr="0058432E">
        <w:rPr>
          <w:color w:val="000000" w:themeColor="text1"/>
        </w:rPr>
        <w:t xml:space="preserve">modification </w:t>
      </w:r>
      <w:r w:rsidRPr="0058432E">
        <w:rPr>
          <w:color w:val="000000" w:themeColor="text1"/>
        </w:rPr>
        <w:t>du score total de Sharp (voir tableau </w:t>
      </w:r>
      <w:r w:rsidR="002C597C" w:rsidRPr="0058432E">
        <w:rPr>
          <w:color w:val="000000" w:themeColor="text1"/>
        </w:rPr>
        <w:t>11</w:t>
      </w:r>
      <w:r w:rsidRPr="0058432E">
        <w:rPr>
          <w:color w:val="000000" w:themeColor="text1"/>
        </w:rPr>
        <w:t xml:space="preserve">). </w:t>
      </w:r>
    </w:p>
    <w:p w14:paraId="50D6D337" w14:textId="77777777" w:rsidR="00C46587" w:rsidRPr="0058432E" w:rsidRDefault="00C46587" w:rsidP="00982118">
      <w:pPr>
        <w:rPr>
          <w:color w:val="000000" w:themeColor="text1"/>
        </w:rPr>
      </w:pPr>
    </w:p>
    <w:p w14:paraId="5C71C15E" w14:textId="77777777" w:rsidR="00E9681E" w:rsidRPr="0058432E" w:rsidRDefault="00C46587" w:rsidP="00A53E17">
      <w:pPr>
        <w:keepNext/>
        <w:keepLines/>
        <w:rPr>
          <w:b/>
          <w:color w:val="000000" w:themeColor="text1"/>
        </w:rPr>
      </w:pPr>
      <w:r w:rsidRPr="0058432E">
        <w:rPr>
          <w:b/>
          <w:color w:val="000000" w:themeColor="text1"/>
        </w:rPr>
        <w:t>Tableau </w:t>
      </w:r>
      <w:r w:rsidR="002C597C" w:rsidRPr="0058432E">
        <w:rPr>
          <w:b/>
          <w:color w:val="000000" w:themeColor="text1"/>
        </w:rPr>
        <w:t>11</w:t>
      </w:r>
      <w:r w:rsidR="002A7CDF" w:rsidRPr="0058432E">
        <w:rPr>
          <w:b/>
          <w:color w:val="000000" w:themeColor="text1"/>
        </w:rPr>
        <w:t>.</w:t>
      </w:r>
      <w:r w:rsidRPr="0058432E">
        <w:rPr>
          <w:b/>
          <w:color w:val="000000" w:themeColor="text1"/>
        </w:rPr>
        <w:t> </w:t>
      </w:r>
    </w:p>
    <w:p w14:paraId="13140B91" w14:textId="77777777" w:rsidR="00271CDD" w:rsidRPr="0058432E" w:rsidRDefault="0034359D" w:rsidP="00A53E17">
      <w:pPr>
        <w:pStyle w:val="BodyText"/>
        <w:keepNext/>
        <w:widowControl/>
        <w:kinsoku w:val="0"/>
        <w:overflowPunct w:val="0"/>
        <w:ind w:left="0"/>
        <w:rPr>
          <w:color w:val="000000" w:themeColor="text1"/>
        </w:rPr>
      </w:pPr>
      <w:r w:rsidRPr="0058432E">
        <w:rPr>
          <w:b/>
          <w:bCs/>
          <w:color w:val="000000" w:themeColor="text1"/>
        </w:rPr>
        <w:t>M</w:t>
      </w:r>
      <w:r w:rsidR="00271CDD" w:rsidRPr="0058432E">
        <w:rPr>
          <w:b/>
          <w:bCs/>
          <w:color w:val="000000" w:themeColor="text1"/>
        </w:rPr>
        <w:t xml:space="preserve">odifications radiographiques </w:t>
      </w:r>
      <w:r w:rsidRPr="0058432E">
        <w:rPr>
          <w:b/>
          <w:bCs/>
          <w:color w:val="000000" w:themeColor="text1"/>
        </w:rPr>
        <w:t xml:space="preserve">moyennes </w:t>
      </w:r>
      <w:r w:rsidR="00271CDD" w:rsidRPr="0058432E">
        <w:rPr>
          <w:b/>
          <w:bCs/>
          <w:color w:val="000000" w:themeColor="text1"/>
        </w:rPr>
        <w:t xml:space="preserve">à la semaine 52 dans l’étude V sur </w:t>
      </w:r>
      <w:proofErr w:type="gramStart"/>
      <w:r w:rsidR="00271CDD" w:rsidRPr="0058432E">
        <w:rPr>
          <w:b/>
          <w:bCs/>
          <w:color w:val="000000" w:themeColor="text1"/>
        </w:rPr>
        <w:t>la PR</w:t>
      </w:r>
      <w:proofErr w:type="gramEnd"/>
    </w:p>
    <w:p w14:paraId="030C7A0B" w14:textId="77777777" w:rsidR="00271CDD" w:rsidRPr="0058432E" w:rsidRDefault="00271CDD" w:rsidP="00271CDD">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80"/>
        <w:gridCol w:w="1465"/>
        <w:gridCol w:w="1664"/>
        <w:gridCol w:w="1059"/>
        <w:gridCol w:w="1015"/>
        <w:gridCol w:w="1015"/>
      </w:tblGrid>
      <w:tr w:rsidR="00271CDD" w:rsidRPr="0058432E" w14:paraId="76A16AE0" w14:textId="77777777" w:rsidTr="00855029">
        <w:trPr>
          <w:trHeight w:hRule="exact" w:val="1274"/>
        </w:trPr>
        <w:tc>
          <w:tcPr>
            <w:tcW w:w="1404" w:type="dxa"/>
            <w:shd w:val="clear" w:color="auto" w:fill="auto"/>
          </w:tcPr>
          <w:p w14:paraId="10B2AC99" w14:textId="77777777" w:rsidR="00271CDD" w:rsidRPr="0058432E" w:rsidRDefault="00271CDD" w:rsidP="005A68B9">
            <w:pPr>
              <w:keepNext/>
              <w:keepLines/>
              <w:rPr>
                <w:b/>
                <w:color w:val="000000" w:themeColor="text1"/>
              </w:rPr>
            </w:pPr>
          </w:p>
        </w:tc>
        <w:tc>
          <w:tcPr>
            <w:tcW w:w="1520" w:type="dxa"/>
            <w:shd w:val="clear" w:color="auto" w:fill="auto"/>
            <w:vAlign w:val="center"/>
          </w:tcPr>
          <w:p w14:paraId="319430B1"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MTX</w:t>
            </w:r>
          </w:p>
          <w:p w14:paraId="1D1CCF3E"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257</w:t>
            </w:r>
          </w:p>
          <w:p w14:paraId="7547484D"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504" w:type="dxa"/>
            <w:shd w:val="clear" w:color="auto" w:fill="auto"/>
            <w:vAlign w:val="center"/>
          </w:tcPr>
          <w:p w14:paraId="4AAD9674"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Adalimumab</w:t>
            </w:r>
          </w:p>
          <w:p w14:paraId="0071A9F3"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274</w:t>
            </w:r>
          </w:p>
          <w:p w14:paraId="23917F89"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710" w:type="dxa"/>
            <w:shd w:val="clear" w:color="auto" w:fill="auto"/>
            <w:vAlign w:val="center"/>
          </w:tcPr>
          <w:p w14:paraId="1FD65D59"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Adalimumab/MTX</w:t>
            </w:r>
          </w:p>
          <w:p w14:paraId="7DC7F59C"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268</w:t>
            </w:r>
          </w:p>
          <w:p w14:paraId="7B2654CC"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085" w:type="dxa"/>
            <w:shd w:val="clear" w:color="auto" w:fill="auto"/>
            <w:vAlign w:val="center"/>
          </w:tcPr>
          <w:p w14:paraId="089006BB" w14:textId="77777777" w:rsidR="00271CDD" w:rsidRPr="0058432E" w:rsidRDefault="00271CDD" w:rsidP="005A68B9">
            <w:pPr>
              <w:pStyle w:val="TableParagraph"/>
              <w:keepNext/>
              <w:keepLines/>
              <w:widowControl/>
              <w:kinsoku w:val="0"/>
              <w:overflowPunct w:val="0"/>
              <w:spacing w:before="18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a</w:t>
            </w:r>
          </w:p>
        </w:tc>
        <w:tc>
          <w:tcPr>
            <w:tcW w:w="1040" w:type="dxa"/>
            <w:shd w:val="clear" w:color="auto" w:fill="auto"/>
            <w:vAlign w:val="center"/>
          </w:tcPr>
          <w:p w14:paraId="185EE7B6" w14:textId="77777777" w:rsidR="00271CDD" w:rsidRPr="0058432E" w:rsidRDefault="00271CDD" w:rsidP="005A68B9">
            <w:pPr>
              <w:pStyle w:val="TableParagraph"/>
              <w:keepNext/>
              <w:keepLines/>
              <w:widowControl/>
              <w:kinsoku w:val="0"/>
              <w:overflowPunct w:val="0"/>
              <w:spacing w:before="188"/>
              <w:ind w:left="2"/>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b</w:t>
            </w:r>
          </w:p>
        </w:tc>
        <w:tc>
          <w:tcPr>
            <w:tcW w:w="1040" w:type="dxa"/>
            <w:shd w:val="clear" w:color="auto" w:fill="auto"/>
            <w:vAlign w:val="center"/>
          </w:tcPr>
          <w:p w14:paraId="0BEBF84D" w14:textId="77777777" w:rsidR="00271CDD" w:rsidRPr="0058432E" w:rsidRDefault="00271CDD" w:rsidP="005A68B9">
            <w:pPr>
              <w:pStyle w:val="TableParagraph"/>
              <w:keepNext/>
              <w:keepLines/>
              <w:widowControl/>
              <w:kinsoku w:val="0"/>
              <w:overflowPunct w:val="0"/>
              <w:spacing w:before="188"/>
              <w:ind w:left="31"/>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c</w:t>
            </w:r>
          </w:p>
        </w:tc>
      </w:tr>
      <w:tr w:rsidR="00271CDD" w:rsidRPr="0058432E" w14:paraId="035E43EE" w14:textId="77777777" w:rsidTr="00855029">
        <w:trPr>
          <w:trHeight w:hRule="exact" w:val="516"/>
        </w:trPr>
        <w:tc>
          <w:tcPr>
            <w:tcW w:w="1404" w:type="dxa"/>
            <w:shd w:val="clear" w:color="auto" w:fill="auto"/>
          </w:tcPr>
          <w:p w14:paraId="298E0977"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total de Sharp</w:t>
            </w:r>
          </w:p>
        </w:tc>
        <w:tc>
          <w:tcPr>
            <w:tcW w:w="1520" w:type="dxa"/>
            <w:shd w:val="clear" w:color="auto" w:fill="auto"/>
            <w:vAlign w:val="center"/>
          </w:tcPr>
          <w:p w14:paraId="490DD7E5"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5,7 (4,2</w:t>
            </w:r>
            <w:r w:rsidR="00A8236E" w:rsidRPr="0058432E">
              <w:rPr>
                <w:rFonts w:ascii="Times New Roman" w:hAnsi="Times New Roman"/>
                <w:color w:val="000000" w:themeColor="text1"/>
              </w:rPr>
              <w:t> – </w:t>
            </w:r>
            <w:r w:rsidRPr="0058432E">
              <w:rPr>
                <w:rFonts w:ascii="Times New Roman" w:hAnsi="Times New Roman"/>
                <w:color w:val="000000" w:themeColor="text1"/>
              </w:rPr>
              <w:t>7,3)</w:t>
            </w:r>
          </w:p>
        </w:tc>
        <w:tc>
          <w:tcPr>
            <w:tcW w:w="1504" w:type="dxa"/>
            <w:shd w:val="clear" w:color="auto" w:fill="auto"/>
            <w:vAlign w:val="center"/>
          </w:tcPr>
          <w:p w14:paraId="332058D7"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3,0 (1,7</w:t>
            </w:r>
            <w:r w:rsidR="00A8236E" w:rsidRPr="0058432E">
              <w:rPr>
                <w:rFonts w:ascii="Times New Roman" w:hAnsi="Times New Roman"/>
                <w:color w:val="000000" w:themeColor="text1"/>
              </w:rPr>
              <w:t> – </w:t>
            </w:r>
            <w:r w:rsidRPr="0058432E">
              <w:rPr>
                <w:rFonts w:ascii="Times New Roman" w:hAnsi="Times New Roman"/>
                <w:color w:val="000000" w:themeColor="text1"/>
              </w:rPr>
              <w:t>4,3)</w:t>
            </w:r>
          </w:p>
        </w:tc>
        <w:tc>
          <w:tcPr>
            <w:tcW w:w="1710" w:type="dxa"/>
            <w:shd w:val="clear" w:color="auto" w:fill="auto"/>
            <w:vAlign w:val="center"/>
          </w:tcPr>
          <w:p w14:paraId="7AFCF21D"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1,3 (0,5</w:t>
            </w:r>
            <w:r w:rsidR="00A8236E" w:rsidRPr="0058432E">
              <w:rPr>
                <w:rFonts w:ascii="Times New Roman" w:hAnsi="Times New Roman"/>
                <w:color w:val="000000" w:themeColor="text1"/>
              </w:rPr>
              <w:t> – </w:t>
            </w:r>
            <w:r w:rsidRPr="0058432E">
              <w:rPr>
                <w:rFonts w:ascii="Times New Roman" w:hAnsi="Times New Roman"/>
                <w:color w:val="000000" w:themeColor="text1"/>
              </w:rPr>
              <w:t>2,1)</w:t>
            </w:r>
          </w:p>
        </w:tc>
        <w:tc>
          <w:tcPr>
            <w:tcW w:w="1085" w:type="dxa"/>
            <w:shd w:val="clear" w:color="auto" w:fill="auto"/>
            <w:vAlign w:val="center"/>
          </w:tcPr>
          <w:p w14:paraId="54E143B6"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shd w:val="clear" w:color="auto" w:fill="auto"/>
            <w:vAlign w:val="center"/>
          </w:tcPr>
          <w:p w14:paraId="60EF7CA6"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0,0020</w:t>
            </w:r>
          </w:p>
        </w:tc>
        <w:tc>
          <w:tcPr>
            <w:tcW w:w="1040" w:type="dxa"/>
            <w:shd w:val="clear" w:color="auto" w:fill="auto"/>
            <w:vAlign w:val="center"/>
          </w:tcPr>
          <w:p w14:paraId="5E8DDCD8"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271CDD" w:rsidRPr="0058432E" w14:paraId="547C10CA" w14:textId="77777777" w:rsidTr="00855029">
        <w:trPr>
          <w:trHeight w:hRule="exact" w:val="263"/>
        </w:trPr>
        <w:tc>
          <w:tcPr>
            <w:tcW w:w="1404" w:type="dxa"/>
            <w:shd w:val="clear" w:color="auto" w:fill="auto"/>
          </w:tcPr>
          <w:p w14:paraId="5260C5CB"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d'érosion</w:t>
            </w:r>
          </w:p>
        </w:tc>
        <w:tc>
          <w:tcPr>
            <w:tcW w:w="1520" w:type="dxa"/>
            <w:shd w:val="clear" w:color="auto" w:fill="auto"/>
            <w:vAlign w:val="center"/>
          </w:tcPr>
          <w:p w14:paraId="6590EFC2"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3,7 (2,7</w:t>
            </w:r>
            <w:r w:rsidR="00A8236E" w:rsidRPr="0058432E">
              <w:rPr>
                <w:rFonts w:ascii="Times New Roman" w:hAnsi="Times New Roman"/>
                <w:color w:val="000000" w:themeColor="text1"/>
              </w:rPr>
              <w:t> – </w:t>
            </w:r>
            <w:r w:rsidRPr="0058432E">
              <w:rPr>
                <w:rFonts w:ascii="Times New Roman" w:hAnsi="Times New Roman"/>
                <w:color w:val="000000" w:themeColor="text1"/>
              </w:rPr>
              <w:t>4,7)</w:t>
            </w:r>
          </w:p>
        </w:tc>
        <w:tc>
          <w:tcPr>
            <w:tcW w:w="1504" w:type="dxa"/>
            <w:shd w:val="clear" w:color="auto" w:fill="auto"/>
            <w:vAlign w:val="center"/>
          </w:tcPr>
          <w:p w14:paraId="044ADEB7"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1,7 (1,0</w:t>
            </w:r>
            <w:r w:rsidR="00A8236E" w:rsidRPr="0058432E">
              <w:rPr>
                <w:rFonts w:ascii="Times New Roman" w:hAnsi="Times New Roman"/>
                <w:color w:val="000000" w:themeColor="text1"/>
              </w:rPr>
              <w:t> – </w:t>
            </w:r>
            <w:r w:rsidRPr="0058432E">
              <w:rPr>
                <w:rFonts w:ascii="Times New Roman" w:hAnsi="Times New Roman"/>
                <w:color w:val="000000" w:themeColor="text1"/>
              </w:rPr>
              <w:t>2,4)</w:t>
            </w:r>
          </w:p>
        </w:tc>
        <w:tc>
          <w:tcPr>
            <w:tcW w:w="1710" w:type="dxa"/>
            <w:shd w:val="clear" w:color="auto" w:fill="auto"/>
            <w:vAlign w:val="center"/>
          </w:tcPr>
          <w:p w14:paraId="474EC1E9"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0,8 (0,4</w:t>
            </w:r>
            <w:r w:rsidR="00A8236E" w:rsidRPr="0058432E">
              <w:rPr>
                <w:rFonts w:ascii="Times New Roman" w:hAnsi="Times New Roman"/>
                <w:color w:val="000000" w:themeColor="text1"/>
              </w:rPr>
              <w:t> – </w:t>
            </w:r>
            <w:r w:rsidRPr="0058432E">
              <w:rPr>
                <w:rFonts w:ascii="Times New Roman" w:hAnsi="Times New Roman"/>
                <w:color w:val="000000" w:themeColor="text1"/>
              </w:rPr>
              <w:t>1,2)</w:t>
            </w:r>
          </w:p>
        </w:tc>
        <w:tc>
          <w:tcPr>
            <w:tcW w:w="1085" w:type="dxa"/>
            <w:shd w:val="clear" w:color="auto" w:fill="auto"/>
            <w:vAlign w:val="center"/>
          </w:tcPr>
          <w:p w14:paraId="3371E0A9"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shd w:val="clear" w:color="auto" w:fill="auto"/>
            <w:vAlign w:val="center"/>
          </w:tcPr>
          <w:p w14:paraId="32C48524"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0,0082</w:t>
            </w:r>
          </w:p>
        </w:tc>
        <w:tc>
          <w:tcPr>
            <w:tcW w:w="1040" w:type="dxa"/>
            <w:shd w:val="clear" w:color="auto" w:fill="auto"/>
            <w:vAlign w:val="center"/>
          </w:tcPr>
          <w:p w14:paraId="38349670"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271CDD" w:rsidRPr="0058432E" w14:paraId="77479FC8" w14:textId="77777777" w:rsidTr="00081A6C">
        <w:trPr>
          <w:trHeight w:hRule="exact" w:val="263"/>
        </w:trPr>
        <w:tc>
          <w:tcPr>
            <w:tcW w:w="1404" w:type="dxa"/>
            <w:tcBorders>
              <w:bottom w:val="single" w:sz="4" w:space="0" w:color="auto"/>
            </w:tcBorders>
            <w:shd w:val="clear" w:color="auto" w:fill="auto"/>
          </w:tcPr>
          <w:p w14:paraId="369D07E0"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de pincement articulaire (JSN)</w:t>
            </w:r>
          </w:p>
        </w:tc>
        <w:tc>
          <w:tcPr>
            <w:tcW w:w="1520" w:type="dxa"/>
            <w:tcBorders>
              <w:bottom w:val="single" w:sz="4" w:space="0" w:color="auto"/>
            </w:tcBorders>
            <w:shd w:val="clear" w:color="auto" w:fill="auto"/>
            <w:vAlign w:val="center"/>
          </w:tcPr>
          <w:p w14:paraId="4143E4D5"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2,0 (1,2</w:t>
            </w:r>
            <w:r w:rsidR="00A8236E" w:rsidRPr="0058432E">
              <w:rPr>
                <w:rFonts w:ascii="Times New Roman" w:hAnsi="Times New Roman"/>
                <w:color w:val="000000" w:themeColor="text1"/>
              </w:rPr>
              <w:t> – </w:t>
            </w:r>
            <w:r w:rsidRPr="0058432E">
              <w:rPr>
                <w:rFonts w:ascii="Times New Roman" w:hAnsi="Times New Roman"/>
                <w:color w:val="000000" w:themeColor="text1"/>
              </w:rPr>
              <w:t>2,8)</w:t>
            </w:r>
          </w:p>
        </w:tc>
        <w:tc>
          <w:tcPr>
            <w:tcW w:w="1504" w:type="dxa"/>
            <w:tcBorders>
              <w:bottom w:val="single" w:sz="4" w:space="0" w:color="auto"/>
            </w:tcBorders>
            <w:shd w:val="clear" w:color="auto" w:fill="auto"/>
            <w:vAlign w:val="center"/>
          </w:tcPr>
          <w:p w14:paraId="64AE8BA7"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1,3 (0,5</w:t>
            </w:r>
            <w:r w:rsidR="00A8236E" w:rsidRPr="0058432E">
              <w:rPr>
                <w:rFonts w:ascii="Times New Roman" w:hAnsi="Times New Roman"/>
                <w:color w:val="000000" w:themeColor="text1"/>
              </w:rPr>
              <w:t> – </w:t>
            </w:r>
            <w:r w:rsidRPr="0058432E">
              <w:rPr>
                <w:rFonts w:ascii="Times New Roman" w:hAnsi="Times New Roman"/>
                <w:color w:val="000000" w:themeColor="text1"/>
              </w:rPr>
              <w:t>2,1)</w:t>
            </w:r>
          </w:p>
        </w:tc>
        <w:tc>
          <w:tcPr>
            <w:tcW w:w="1710" w:type="dxa"/>
            <w:tcBorders>
              <w:bottom w:val="single" w:sz="4" w:space="0" w:color="auto"/>
            </w:tcBorders>
            <w:shd w:val="clear" w:color="auto" w:fill="auto"/>
            <w:vAlign w:val="center"/>
          </w:tcPr>
          <w:p w14:paraId="1730826D"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0,5 (0</w:t>
            </w:r>
            <w:r w:rsidR="00A8236E" w:rsidRPr="0058432E">
              <w:rPr>
                <w:rFonts w:ascii="Times New Roman" w:hAnsi="Times New Roman"/>
                <w:color w:val="000000" w:themeColor="text1"/>
              </w:rPr>
              <w:t> – </w:t>
            </w:r>
            <w:r w:rsidRPr="0058432E">
              <w:rPr>
                <w:rFonts w:ascii="Times New Roman" w:hAnsi="Times New Roman"/>
                <w:color w:val="000000" w:themeColor="text1"/>
              </w:rPr>
              <w:t>1,0)</w:t>
            </w:r>
          </w:p>
        </w:tc>
        <w:tc>
          <w:tcPr>
            <w:tcW w:w="1085" w:type="dxa"/>
            <w:tcBorders>
              <w:bottom w:val="single" w:sz="4" w:space="0" w:color="auto"/>
            </w:tcBorders>
            <w:shd w:val="clear" w:color="auto" w:fill="auto"/>
            <w:vAlign w:val="center"/>
          </w:tcPr>
          <w:p w14:paraId="3B0853A2"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tcBorders>
              <w:bottom w:val="single" w:sz="4" w:space="0" w:color="auto"/>
            </w:tcBorders>
            <w:shd w:val="clear" w:color="auto" w:fill="auto"/>
            <w:vAlign w:val="center"/>
          </w:tcPr>
          <w:p w14:paraId="497D44FE"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0,0037</w:t>
            </w:r>
          </w:p>
        </w:tc>
        <w:tc>
          <w:tcPr>
            <w:tcW w:w="1040" w:type="dxa"/>
            <w:tcBorders>
              <w:bottom w:val="single" w:sz="4" w:space="0" w:color="auto"/>
            </w:tcBorders>
            <w:shd w:val="clear" w:color="auto" w:fill="auto"/>
            <w:vAlign w:val="center"/>
          </w:tcPr>
          <w:p w14:paraId="65CCA7A0"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0,151</w:t>
            </w:r>
          </w:p>
        </w:tc>
      </w:tr>
      <w:tr w:rsidR="00081A6C" w:rsidRPr="0058432E" w14:paraId="1F58D31F" w14:textId="77777777" w:rsidTr="00081A6C">
        <w:tc>
          <w:tcPr>
            <w:tcW w:w="9303" w:type="dxa"/>
            <w:gridSpan w:val="7"/>
            <w:tcBorders>
              <w:left w:val="nil"/>
              <w:bottom w:val="nil"/>
              <w:right w:val="nil"/>
            </w:tcBorders>
            <w:shd w:val="clear" w:color="auto" w:fill="auto"/>
          </w:tcPr>
          <w:p w14:paraId="11C9A2C3" w14:textId="77777777" w:rsidR="00081A6C" w:rsidRPr="0058432E" w:rsidRDefault="00081A6C" w:rsidP="009D38C5">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w:t>
            </w:r>
          </w:p>
          <w:p w14:paraId="7F75C3EA" w14:textId="77777777" w:rsidR="00081A6C" w:rsidRPr="0058432E" w:rsidRDefault="00081A6C" w:rsidP="009D38C5">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63E9E73C" w14:textId="77777777" w:rsidR="00081A6C" w:rsidRPr="0058432E" w:rsidRDefault="00081A6C" w:rsidP="009D38C5">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w:t>
            </w:r>
            <w:r w:rsidR="00381A02" w:rsidRPr="0058432E">
              <w:rPr>
                <w:color w:val="000000" w:themeColor="text1"/>
                <w:sz w:val="20"/>
              </w:rPr>
              <w:t>comparaison appariée des traitements</w:t>
            </w:r>
            <w:r w:rsidRPr="0058432E">
              <w:rPr>
                <w:color w:val="000000" w:themeColor="text1"/>
                <w:sz w:val="20"/>
              </w:rPr>
              <w:t xml:space="preserve"> par adalimumab </w:t>
            </w:r>
            <w:r w:rsidR="00381A02" w:rsidRPr="0058432E">
              <w:rPr>
                <w:color w:val="000000" w:themeColor="text1"/>
                <w:sz w:val="20"/>
              </w:rPr>
              <w:t xml:space="preserve">seul </w:t>
            </w:r>
            <w:r w:rsidRPr="0058432E">
              <w:rPr>
                <w:color w:val="000000" w:themeColor="text1"/>
                <w:sz w:val="20"/>
              </w:rPr>
              <w:t xml:space="preserve">et par méthotrexate </w:t>
            </w:r>
            <w:r w:rsidR="00381A02" w:rsidRPr="0058432E">
              <w:rPr>
                <w:color w:val="000000" w:themeColor="text1"/>
                <w:sz w:val="20"/>
              </w:rPr>
              <w:t xml:space="preserve">seul </w:t>
            </w:r>
            <w:r w:rsidRPr="0058432E">
              <w:rPr>
                <w:color w:val="000000" w:themeColor="text1"/>
                <w:sz w:val="20"/>
              </w:rPr>
              <w:t>par le test U de Mann-Whitney.</w:t>
            </w:r>
          </w:p>
        </w:tc>
      </w:tr>
    </w:tbl>
    <w:p w14:paraId="2DA81C70" w14:textId="77777777" w:rsidR="00081A6C" w:rsidRPr="0058432E" w:rsidRDefault="00081A6C" w:rsidP="00982118">
      <w:pPr>
        <w:rPr>
          <w:color w:val="000000" w:themeColor="text1"/>
        </w:rPr>
      </w:pPr>
    </w:p>
    <w:p w14:paraId="2557B5CD" w14:textId="77777777" w:rsidR="00C46587" w:rsidRPr="0058432E" w:rsidRDefault="00901845" w:rsidP="00982118">
      <w:pPr>
        <w:rPr>
          <w:color w:val="000000" w:themeColor="text1"/>
        </w:rPr>
      </w:pPr>
      <w:r w:rsidRPr="0058432E">
        <w:rPr>
          <w:color w:val="000000" w:themeColor="text1"/>
        </w:rPr>
        <w:t>À</w:t>
      </w:r>
      <w:r w:rsidR="00C46587" w:rsidRPr="0058432E">
        <w:rPr>
          <w:color w:val="000000" w:themeColor="text1"/>
        </w:rPr>
        <w:t xml:space="preserve"> la suite de 52 et 104 semaines de traitement, le pourcentage de patients sans progression (</w:t>
      </w:r>
      <w:r w:rsidR="00D60E76" w:rsidRPr="0058432E">
        <w:rPr>
          <w:color w:val="000000" w:themeColor="text1"/>
        </w:rPr>
        <w:t xml:space="preserve">modification </w:t>
      </w:r>
      <w:r w:rsidR="00C46587" w:rsidRPr="0058432E">
        <w:rPr>
          <w:color w:val="000000" w:themeColor="text1"/>
        </w:rPr>
        <w:t xml:space="preserve">du score total de Sharp modifié par rapport à la valeur de base ≤ 0,5) était significativement supérieur avec le traitement par l’association adalimumab/méthotrexate (respectivement 63,8 % et 61,2 %) comparativement au méthotrexate en monothérapie (respectivement 37,4 % et 33,5 %, </w:t>
      </w:r>
      <w:r w:rsidR="00C46587" w:rsidRPr="0058432E">
        <w:rPr>
          <w:i/>
          <w:iCs/>
          <w:color w:val="000000" w:themeColor="text1"/>
        </w:rPr>
        <w:t>p</w:t>
      </w:r>
      <w:r w:rsidR="00C46587" w:rsidRPr="0058432E">
        <w:rPr>
          <w:color w:val="000000" w:themeColor="text1"/>
        </w:rPr>
        <w:t xml:space="preserve"> &lt; 0,001) et </w:t>
      </w:r>
      <w:r w:rsidR="007E19E1" w:rsidRPr="0058432E">
        <w:rPr>
          <w:color w:val="000000" w:themeColor="text1"/>
        </w:rPr>
        <w:t>à l’</w:t>
      </w:r>
      <w:r w:rsidR="00C46587" w:rsidRPr="0058432E">
        <w:rPr>
          <w:color w:val="000000" w:themeColor="text1"/>
        </w:rPr>
        <w:t xml:space="preserve">adalimumab en monothérapie (respectivement 50,7 %, </w:t>
      </w:r>
      <w:r w:rsidR="00C46587" w:rsidRPr="0058432E">
        <w:rPr>
          <w:i/>
          <w:iCs/>
          <w:color w:val="000000" w:themeColor="text1"/>
        </w:rPr>
        <w:t>p</w:t>
      </w:r>
      <w:r w:rsidR="00C46587" w:rsidRPr="0058432E">
        <w:rPr>
          <w:color w:val="000000" w:themeColor="text1"/>
        </w:rPr>
        <w:t xml:space="preserve"> &lt; 0,002 et 44,5 %, </w:t>
      </w:r>
      <w:r w:rsidR="00C46587" w:rsidRPr="0058432E">
        <w:rPr>
          <w:i/>
          <w:iCs/>
          <w:color w:val="000000" w:themeColor="text1"/>
        </w:rPr>
        <w:t>p</w:t>
      </w:r>
      <w:r w:rsidR="00C46587" w:rsidRPr="0058432E">
        <w:rPr>
          <w:color w:val="000000" w:themeColor="text1"/>
        </w:rPr>
        <w:t xml:space="preserve"> &lt; 0,001). </w:t>
      </w:r>
    </w:p>
    <w:p w14:paraId="30E64D65" w14:textId="77777777" w:rsidR="00C46587" w:rsidRPr="0058432E" w:rsidRDefault="00C46587" w:rsidP="00982118">
      <w:pPr>
        <w:rPr>
          <w:color w:val="000000" w:themeColor="text1"/>
        </w:rPr>
      </w:pPr>
    </w:p>
    <w:p w14:paraId="0E33DFF4" w14:textId="77777777" w:rsidR="00C46587" w:rsidRPr="0058432E" w:rsidRDefault="00C46587" w:rsidP="00982118">
      <w:pPr>
        <w:rPr>
          <w:color w:val="000000" w:themeColor="text1"/>
        </w:rPr>
      </w:pPr>
      <w:r w:rsidRPr="0058432E">
        <w:rPr>
          <w:color w:val="000000" w:themeColor="text1"/>
        </w:rPr>
        <w:t xml:space="preserve">Dans la phase d’extension en ouvert de l’étude V sur </w:t>
      </w:r>
      <w:proofErr w:type="gramStart"/>
      <w:r w:rsidRPr="0058432E">
        <w:rPr>
          <w:color w:val="000000" w:themeColor="text1"/>
        </w:rPr>
        <w:t>la PR</w:t>
      </w:r>
      <w:proofErr w:type="gramEnd"/>
      <w:r w:rsidRPr="0058432E">
        <w:rPr>
          <w:color w:val="000000" w:themeColor="text1"/>
        </w:rPr>
        <w:t xml:space="preserve">, la </w:t>
      </w:r>
      <w:r w:rsidR="00FA5243" w:rsidRPr="0058432E">
        <w:rPr>
          <w:color w:val="000000" w:themeColor="text1"/>
        </w:rPr>
        <w:t xml:space="preserve">modification </w:t>
      </w:r>
      <w:r w:rsidRPr="0058432E">
        <w:rPr>
          <w:color w:val="000000" w:themeColor="text1"/>
        </w:rPr>
        <w:t xml:space="preserve">moyenne du score total de Sharp modifié à 10 ans par rapport à la valeur de base a été de 10,8 chez les patients randomisés initialement pour recevoir le méthotrexate en monothérapie, 9,2 chez les patients randomisés initialement pour recevoir l’adalimumab en monothérapie et 3,9 chez les patients randomisés initialement pour recevoir l’association adalimumab/méthotrexate. Les proportions correspondantes de </w:t>
      </w:r>
      <w:r w:rsidRPr="0058432E">
        <w:rPr>
          <w:color w:val="000000" w:themeColor="text1"/>
        </w:rPr>
        <w:lastRenderedPageBreak/>
        <w:t xml:space="preserve">patients ne présentant pas de progression radiographique ont été respectivement de 31,3 %, 23,7 % et 36,7 %. </w:t>
      </w:r>
    </w:p>
    <w:p w14:paraId="77235952" w14:textId="77777777" w:rsidR="00C46587" w:rsidRPr="0058432E" w:rsidRDefault="00C46587" w:rsidP="00982118">
      <w:pPr>
        <w:rPr>
          <w:color w:val="000000" w:themeColor="text1"/>
        </w:rPr>
      </w:pPr>
    </w:p>
    <w:p w14:paraId="22269C25" w14:textId="77777777" w:rsidR="00C46587" w:rsidRPr="0058432E" w:rsidRDefault="00C46587" w:rsidP="00982118">
      <w:pPr>
        <w:keepNext/>
        <w:rPr>
          <w:i/>
          <w:color w:val="000000" w:themeColor="text1"/>
          <w:u w:val="single"/>
        </w:rPr>
      </w:pPr>
      <w:r w:rsidRPr="0058432E">
        <w:rPr>
          <w:i/>
          <w:color w:val="000000" w:themeColor="text1"/>
          <w:u w:val="single"/>
        </w:rPr>
        <w:t xml:space="preserve">Qualité de vie et capacités fonctionnelles </w:t>
      </w:r>
    </w:p>
    <w:p w14:paraId="3E410CEF" w14:textId="77777777" w:rsidR="00C46587" w:rsidRPr="0058432E" w:rsidRDefault="00C46587" w:rsidP="00982118">
      <w:pPr>
        <w:keepNext/>
        <w:rPr>
          <w:color w:val="000000" w:themeColor="text1"/>
        </w:rPr>
      </w:pPr>
    </w:p>
    <w:p w14:paraId="609A1054" w14:textId="77777777" w:rsidR="00C46587" w:rsidRPr="0058432E" w:rsidRDefault="00C46587" w:rsidP="00982118">
      <w:pPr>
        <w:rPr>
          <w:color w:val="000000" w:themeColor="text1"/>
        </w:rPr>
      </w:pPr>
      <w:r w:rsidRPr="0058432E">
        <w:rPr>
          <w:color w:val="000000" w:themeColor="text1"/>
        </w:rPr>
        <w:t>La qualité de vie en rapport avec la santé et la fonction physique ont été évaluées au moyen de l’indice d’invalidité du Questionnaire d’Evaluation de l’état de Santé (</w:t>
      </w:r>
      <w:r w:rsidRPr="0058432E">
        <w:rPr>
          <w:i/>
          <w:iCs/>
          <w:color w:val="000000" w:themeColor="text1"/>
        </w:rPr>
        <w:t>Health Assessment Questionnaire</w:t>
      </w:r>
      <w:r w:rsidRPr="0058432E">
        <w:rPr>
          <w:color w:val="000000" w:themeColor="text1"/>
        </w:rPr>
        <w:t xml:space="preserve">, HAQ) dans les quatre essais originels adéquats et correctement contrôlés et constituait un critère principal </w:t>
      </w:r>
      <w:r w:rsidR="00FA5243" w:rsidRPr="0058432E">
        <w:rPr>
          <w:color w:val="000000" w:themeColor="text1"/>
        </w:rPr>
        <w:t>d’évaluation</w:t>
      </w:r>
      <w:r w:rsidRPr="0058432E">
        <w:rPr>
          <w:color w:val="000000" w:themeColor="text1"/>
        </w:rPr>
        <w:t xml:space="preserve"> pré-spécifié à la 52</w:t>
      </w:r>
      <w:r w:rsidRPr="0058432E">
        <w:rPr>
          <w:color w:val="000000" w:themeColor="text1"/>
          <w:vertAlign w:val="superscript"/>
        </w:rPr>
        <w:t>e</w:t>
      </w:r>
      <w:r w:rsidRPr="0058432E">
        <w:rPr>
          <w:color w:val="000000" w:themeColor="text1"/>
        </w:rPr>
        <w:t xml:space="preserve"> semaine dans l’étude III sur la PR. Comparativement au placebo, toutes les doses/schémas posologiques d’administration de l’adalimumab ont entraîné une amélioration statistiquement significative plus importante de l’indice d’invalidité du HAQ entre l’examen initial et le 6e mois dans les quatre études et il en a été de même à la semaine 52 dans l’étude III sur la PR. Dans les quatre études, les résultats des scores de la </w:t>
      </w:r>
      <w:r w:rsidRPr="0058432E">
        <w:rPr>
          <w:i/>
          <w:iCs/>
          <w:color w:val="000000" w:themeColor="text1"/>
        </w:rPr>
        <w:t>Short Form Health Survey</w:t>
      </w:r>
      <w:r w:rsidRPr="0058432E">
        <w:rPr>
          <w:color w:val="000000" w:themeColor="text1"/>
        </w:rPr>
        <w:t xml:space="preserve"> (SF</w:t>
      </w:r>
      <w:r w:rsidR="00D86A3A" w:rsidRPr="0058432E">
        <w:rPr>
          <w:color w:val="000000" w:themeColor="text1"/>
        </w:rPr>
        <w:t>-</w:t>
      </w:r>
      <w:r w:rsidRPr="0058432E">
        <w:rPr>
          <w:color w:val="000000" w:themeColor="text1"/>
        </w:rPr>
        <w:t xml:space="preserve">36) confirment ces observations pour toutes les doses/schémas posologiques d’administration de l’adalimumab, avec des valeurs des composantes physiques (PCS) statistiquement significatives, ainsi que des scores de douleur et de vitalité statistiquement significatifs pour la dose de 40 mg toutes les deux semaines. Dans les trois études dans lesquelles elle a été prise en compte (études I, III et IV sur la PR), on a observé une diminution statistiquement significative de la fatigue mesurée à l’aide des scores d’évaluation fonctionnelle de traitement pour maladie chronique (FACIT). </w:t>
      </w:r>
    </w:p>
    <w:p w14:paraId="117148C0" w14:textId="77777777" w:rsidR="00C46587" w:rsidRPr="0058432E" w:rsidRDefault="00C46587" w:rsidP="00982118">
      <w:pPr>
        <w:rPr>
          <w:color w:val="000000" w:themeColor="text1"/>
        </w:rPr>
      </w:pPr>
    </w:p>
    <w:p w14:paraId="4200A63F" w14:textId="77777777" w:rsidR="00C46587" w:rsidRPr="0058432E" w:rsidRDefault="00C46587" w:rsidP="00982118">
      <w:pPr>
        <w:rPr>
          <w:color w:val="000000" w:themeColor="text1"/>
        </w:rPr>
      </w:pPr>
      <w:r w:rsidRPr="0058432E">
        <w:rPr>
          <w:color w:val="000000" w:themeColor="text1"/>
        </w:rPr>
        <w:t xml:space="preserve">Dans l’étude III sur </w:t>
      </w:r>
      <w:proofErr w:type="gramStart"/>
      <w:r w:rsidRPr="0058432E">
        <w:rPr>
          <w:color w:val="000000" w:themeColor="text1"/>
        </w:rPr>
        <w:t>la PR</w:t>
      </w:r>
      <w:proofErr w:type="gramEnd"/>
      <w:r w:rsidRPr="0058432E">
        <w:rPr>
          <w:color w:val="000000" w:themeColor="text1"/>
        </w:rPr>
        <w:t xml:space="preserve">, la plupart des patients ayant obtenu une amélioration des capacités fonctionnelles et ayant poursuivi le traitement ont maintenu cette amélioration jusqu’à la semaine 520 (120 mois) du traitement en ouvert. L’amélioration de la qualité de vie a été mesurée jusqu’à la semaine 156 (36 mois) et l’amélioration a été maintenue au cours de cette période. </w:t>
      </w:r>
    </w:p>
    <w:p w14:paraId="2DF69714" w14:textId="77777777" w:rsidR="00C46587" w:rsidRPr="0058432E" w:rsidRDefault="00C46587" w:rsidP="00982118">
      <w:pPr>
        <w:rPr>
          <w:color w:val="000000" w:themeColor="text1"/>
        </w:rPr>
      </w:pPr>
    </w:p>
    <w:p w14:paraId="680EAC16" w14:textId="77777777" w:rsidR="00C46587" w:rsidRPr="0058432E" w:rsidRDefault="00C46587" w:rsidP="00982118">
      <w:pPr>
        <w:rPr>
          <w:color w:val="000000" w:themeColor="text1"/>
        </w:rPr>
      </w:pPr>
      <w:r w:rsidRPr="0058432E">
        <w:rPr>
          <w:color w:val="000000" w:themeColor="text1"/>
        </w:rPr>
        <w:t>Dans l’étude V sur la PR, l’amélioration de l’indice d’invalidité HAQ et la composante physique du SF</w:t>
      </w:r>
      <w:r w:rsidR="00D86A3A" w:rsidRPr="0058432E">
        <w:rPr>
          <w:color w:val="000000" w:themeColor="text1"/>
        </w:rPr>
        <w:t>-</w:t>
      </w:r>
      <w:r w:rsidRPr="0058432E">
        <w:rPr>
          <w:color w:val="000000" w:themeColor="text1"/>
        </w:rPr>
        <w:t xml:space="preserve">36 s’est montrée beaucoup plus importante (p &lt; 0,001) pour l’association adalimumab/méthotrexate par rapport à la monothérapie de méthotrexate et la monothérapie d’adalimumab à la semaine 52, et s’est maintenue jusqu’à la semaine 104. Parmi les 250 patients ayant terminé l’étude d’extension en ouvert, l’amélioration des capacités fonctionnelles s’est maintenue au cours des 10 ans de traitement. </w:t>
      </w:r>
    </w:p>
    <w:p w14:paraId="15ECAF52" w14:textId="77777777" w:rsidR="00C46587" w:rsidRPr="0058432E" w:rsidRDefault="00C46587" w:rsidP="00982118">
      <w:pPr>
        <w:rPr>
          <w:color w:val="000000" w:themeColor="text1"/>
        </w:rPr>
      </w:pPr>
    </w:p>
    <w:p w14:paraId="340EA2C6" w14:textId="77777777" w:rsidR="00C46587" w:rsidRPr="0058432E" w:rsidRDefault="00C46587" w:rsidP="00982118">
      <w:pPr>
        <w:keepNext/>
        <w:rPr>
          <w:i/>
          <w:color w:val="000000" w:themeColor="text1"/>
        </w:rPr>
      </w:pPr>
      <w:r w:rsidRPr="0058432E">
        <w:rPr>
          <w:i/>
          <w:color w:val="000000" w:themeColor="text1"/>
        </w:rPr>
        <w:t xml:space="preserve">Psoriasis en plaques </w:t>
      </w:r>
      <w:r w:rsidR="00DF7121" w:rsidRPr="0058432E">
        <w:rPr>
          <w:i/>
          <w:color w:val="000000" w:themeColor="text1"/>
        </w:rPr>
        <w:t>chez</w:t>
      </w:r>
      <w:r w:rsidRPr="0058432E">
        <w:rPr>
          <w:i/>
          <w:color w:val="000000" w:themeColor="text1"/>
        </w:rPr>
        <w:t xml:space="preserve"> l’adulte </w:t>
      </w:r>
    </w:p>
    <w:p w14:paraId="3087526F" w14:textId="77777777" w:rsidR="00C46587" w:rsidRPr="0058432E" w:rsidRDefault="00C46587" w:rsidP="00982118">
      <w:pPr>
        <w:keepNext/>
        <w:rPr>
          <w:color w:val="000000" w:themeColor="text1"/>
        </w:rPr>
      </w:pPr>
    </w:p>
    <w:p w14:paraId="52723142" w14:textId="77777777" w:rsidR="00C46587" w:rsidRPr="0058432E" w:rsidRDefault="00C46587" w:rsidP="00982118">
      <w:pPr>
        <w:rPr>
          <w:color w:val="000000" w:themeColor="text1"/>
        </w:rPr>
      </w:pPr>
      <w:r w:rsidRPr="0058432E">
        <w:rPr>
          <w:color w:val="000000" w:themeColor="text1"/>
        </w:rPr>
        <w:t xml:space="preserve">L’efficacité et la </w:t>
      </w:r>
      <w:r w:rsidR="002D3129" w:rsidRPr="0058432E">
        <w:rPr>
          <w:color w:val="000000" w:themeColor="text1"/>
        </w:rPr>
        <w:t>tolérance</w:t>
      </w:r>
      <w:r w:rsidR="002872A2" w:rsidRPr="0058432E">
        <w:rPr>
          <w:color w:val="000000" w:themeColor="text1"/>
        </w:rPr>
        <w:t xml:space="preserve"> </w:t>
      </w:r>
      <w:r w:rsidRPr="0058432E">
        <w:rPr>
          <w:color w:val="000000" w:themeColor="text1"/>
        </w:rPr>
        <w:t xml:space="preserve">de l’adalimumab ont été étudiées lors d’études randomisées </w:t>
      </w:r>
      <w:r w:rsidR="00FA5243" w:rsidRPr="0058432E">
        <w:rPr>
          <w:color w:val="000000" w:themeColor="text1"/>
        </w:rPr>
        <w:t xml:space="preserve">en double aveugle </w:t>
      </w:r>
      <w:r w:rsidRPr="0058432E">
        <w:rPr>
          <w:color w:val="000000" w:themeColor="text1"/>
        </w:rPr>
        <w:t xml:space="preserve">menées chez des patients adultes atteints de </w:t>
      </w:r>
      <w:r w:rsidR="001F37F4" w:rsidRPr="0058432E">
        <w:rPr>
          <w:color w:val="000000" w:themeColor="text1"/>
        </w:rPr>
        <w:t xml:space="preserve">psoriasis en plaques chronique </w:t>
      </w:r>
      <w:r w:rsidRPr="0058432E">
        <w:rPr>
          <w:color w:val="000000" w:themeColor="text1"/>
        </w:rPr>
        <w:t>(</w:t>
      </w:r>
      <w:r w:rsidR="00FA5243" w:rsidRPr="0058432E">
        <w:rPr>
          <w:color w:val="000000" w:themeColor="text1"/>
        </w:rPr>
        <w:t xml:space="preserve">atteinte </w:t>
      </w:r>
      <w:r w:rsidRPr="0058432E">
        <w:rPr>
          <w:color w:val="000000" w:themeColor="text1"/>
        </w:rPr>
        <w:t>de la surface corporelle</w:t>
      </w:r>
      <w:r w:rsidR="00FA5243" w:rsidRPr="0058432E">
        <w:rPr>
          <w:color w:val="000000" w:themeColor="text1"/>
        </w:rPr>
        <w:t xml:space="preserve"> ≥ 10 %</w:t>
      </w:r>
      <w:r w:rsidRPr="0058432E">
        <w:rPr>
          <w:color w:val="000000" w:themeColor="text1"/>
        </w:rPr>
        <w:t xml:space="preserve">, avec un </w:t>
      </w:r>
      <w:r w:rsidR="00FA5243" w:rsidRPr="0058432E">
        <w:rPr>
          <w:color w:val="000000" w:themeColor="text1"/>
        </w:rPr>
        <w:t>score</w:t>
      </w:r>
      <w:r w:rsidRPr="0058432E">
        <w:rPr>
          <w:color w:val="000000" w:themeColor="text1"/>
        </w:rPr>
        <w:t xml:space="preserve"> PASI ≥ 12 ou ≥ 10) qui étaient candidats à un traitement systémique ou une photothérapie. Au total, 73 % des patients recrutés dans les études I et II sur le psoriasis avaient déjà reçu un traitement systémique ou une photothérapie. L’efficacité et la </w:t>
      </w:r>
      <w:r w:rsidR="002D3129" w:rsidRPr="0058432E">
        <w:rPr>
          <w:color w:val="000000" w:themeColor="text1"/>
        </w:rPr>
        <w:t>tolérance</w:t>
      </w:r>
      <w:r w:rsidR="007D0396" w:rsidRPr="0058432E">
        <w:rPr>
          <w:color w:val="000000" w:themeColor="text1"/>
        </w:rPr>
        <w:t xml:space="preserve"> </w:t>
      </w:r>
      <w:r w:rsidRPr="0058432E">
        <w:rPr>
          <w:color w:val="000000" w:themeColor="text1"/>
        </w:rPr>
        <w:t xml:space="preserve">de l’adalimumab ont également été étudiées chez des patients adultes atteints de </w:t>
      </w:r>
      <w:r w:rsidR="001F37F4" w:rsidRPr="0058432E">
        <w:rPr>
          <w:color w:val="000000" w:themeColor="text1"/>
        </w:rPr>
        <w:t xml:space="preserve">psoriasis en plaques chronique </w:t>
      </w:r>
      <w:r w:rsidRPr="0058432E">
        <w:rPr>
          <w:color w:val="000000" w:themeColor="text1"/>
        </w:rPr>
        <w:t xml:space="preserve">modéré à sévère avec une atteinte concomitante des mains et/ou des pieds qui étaient candidats à un traitement systémique dans une étude randomisée en double aveugle (étude III sur le psoriasis). </w:t>
      </w:r>
    </w:p>
    <w:p w14:paraId="01D88F04" w14:textId="77777777" w:rsidR="00C46587" w:rsidRPr="0058432E" w:rsidRDefault="00C46587" w:rsidP="00982118">
      <w:pPr>
        <w:rPr>
          <w:color w:val="000000" w:themeColor="text1"/>
        </w:rPr>
      </w:pPr>
    </w:p>
    <w:p w14:paraId="6BF33E5A" w14:textId="77777777" w:rsidR="00C46587" w:rsidRPr="0058432E" w:rsidRDefault="00C46587" w:rsidP="00982118">
      <w:pPr>
        <w:rPr>
          <w:color w:val="000000" w:themeColor="text1"/>
        </w:rPr>
      </w:pPr>
      <w:r w:rsidRPr="0058432E">
        <w:rPr>
          <w:color w:val="000000" w:themeColor="text1"/>
        </w:rPr>
        <w:t xml:space="preserve">L’étude I sur le psoriasis (REVEAL) a porté sur 1 212 patients pendant trois périodes de traitement. Durant la période A, les patients recevaient un placebo ou l’adalimumab à la dose initiale de 80 mg, suivie de 40 mg </w:t>
      </w:r>
      <w:r w:rsidR="001B430D" w:rsidRPr="0058432E">
        <w:rPr>
          <w:color w:val="000000" w:themeColor="text1"/>
        </w:rPr>
        <w:t>toutes les deux semaines</w:t>
      </w:r>
      <w:r w:rsidRPr="0058432E">
        <w:rPr>
          <w:color w:val="000000" w:themeColor="text1"/>
        </w:rPr>
        <w:t xml:space="preserve"> à partir d’une semaine après la dose initiale. Au bout de 16</w:t>
      </w:r>
      <w:r w:rsidR="004F5825" w:rsidRPr="0058432E">
        <w:rPr>
          <w:color w:val="000000" w:themeColor="text1"/>
        </w:rPr>
        <w:t> </w:t>
      </w:r>
      <w:r w:rsidRPr="0058432E">
        <w:rPr>
          <w:color w:val="000000" w:themeColor="text1"/>
        </w:rPr>
        <w:t xml:space="preserve">semaines de traitement, les patients ayant obtenu au minimum une réponse PASI 75 (amélioration d’au moins 75 % du score PASI par rapport aux valeurs initiales), entraient dans la période B et recevaient 40 mg d’adalimumab en ouvert </w:t>
      </w:r>
      <w:r w:rsidR="001B430D" w:rsidRPr="0058432E">
        <w:rPr>
          <w:color w:val="000000" w:themeColor="text1"/>
        </w:rPr>
        <w:t>toutes les deux semaines</w:t>
      </w:r>
      <w:r w:rsidRPr="0058432E">
        <w:rPr>
          <w:color w:val="000000" w:themeColor="text1"/>
        </w:rPr>
        <w:t xml:space="preserve">. Les patients dont la réponse restait ≥ PASI 75 à la semaine 33 et qui avaient été initialement randomisés pour recevoir le traitement actif pendant la période A, ont à nouveau été randomisés pendant la période C pour recevoir 40 mg d’adalimumab </w:t>
      </w:r>
      <w:r w:rsidR="001B430D" w:rsidRPr="0058432E">
        <w:rPr>
          <w:color w:val="000000" w:themeColor="text1"/>
        </w:rPr>
        <w:t>toutes les deux semaines</w:t>
      </w:r>
      <w:r w:rsidRPr="0058432E">
        <w:rPr>
          <w:color w:val="000000" w:themeColor="text1"/>
        </w:rPr>
        <w:t xml:space="preserve"> ou </w:t>
      </w:r>
      <w:proofErr w:type="gramStart"/>
      <w:r w:rsidRPr="0058432E">
        <w:rPr>
          <w:color w:val="000000" w:themeColor="text1"/>
        </w:rPr>
        <w:t>un placebo pendant 19 semaines supplémentaires</w:t>
      </w:r>
      <w:proofErr w:type="gramEnd"/>
      <w:r w:rsidRPr="0058432E">
        <w:rPr>
          <w:color w:val="000000" w:themeColor="text1"/>
        </w:rPr>
        <w:t>. Dans tous les groupes de traitement, le score PASI initial moyen était de 18,9 et le score PGA</w:t>
      </w:r>
      <w:r w:rsidR="00DF7121" w:rsidRPr="0058432E">
        <w:rPr>
          <w:color w:val="000000" w:themeColor="text1"/>
        </w:rPr>
        <w:t xml:space="preserve"> initial</w:t>
      </w:r>
      <w:r w:rsidRPr="0058432E">
        <w:rPr>
          <w:color w:val="000000" w:themeColor="text1"/>
        </w:rPr>
        <w:t xml:space="preserve"> était compris entre « modéré » (53 % des sujets inclus) et « sévère » (41 %), voire « très sévère » (6 %). </w:t>
      </w:r>
    </w:p>
    <w:p w14:paraId="6DAC01D9" w14:textId="77777777" w:rsidR="00C46587" w:rsidRPr="0058432E" w:rsidRDefault="00C46587" w:rsidP="00982118">
      <w:pPr>
        <w:rPr>
          <w:color w:val="000000" w:themeColor="text1"/>
        </w:rPr>
      </w:pPr>
    </w:p>
    <w:p w14:paraId="7ACFDC09" w14:textId="77777777" w:rsidR="00C46587" w:rsidRPr="0058432E" w:rsidRDefault="00C46587" w:rsidP="00982118">
      <w:pPr>
        <w:rPr>
          <w:color w:val="000000" w:themeColor="text1"/>
        </w:rPr>
      </w:pPr>
      <w:r w:rsidRPr="0058432E">
        <w:rPr>
          <w:color w:val="000000" w:themeColor="text1"/>
        </w:rPr>
        <w:lastRenderedPageBreak/>
        <w:t xml:space="preserve">L’étude II sur le psoriasis (CHAMPION) a comparé l’efficacité et la </w:t>
      </w:r>
      <w:r w:rsidR="002D3129" w:rsidRPr="0058432E">
        <w:rPr>
          <w:color w:val="000000" w:themeColor="text1"/>
        </w:rPr>
        <w:t>tolérance</w:t>
      </w:r>
      <w:r w:rsidR="00901624" w:rsidRPr="0058432E">
        <w:rPr>
          <w:color w:val="000000" w:themeColor="text1"/>
        </w:rPr>
        <w:t xml:space="preserve"> </w:t>
      </w:r>
      <w:r w:rsidRPr="0058432E">
        <w:rPr>
          <w:color w:val="000000" w:themeColor="text1"/>
        </w:rPr>
        <w:t xml:space="preserve">de l’adalimumab à celles du méthotrexate et d’un placebo chez 271 patients. Les patients ont reçu un placebo, une dose initiale de MTX à 7,5 mg, augmentée ensuite jusqu’à la semaine 12, la dose maximale étant de 25 mg, ou bien une dose initiale de 80 mg d’adalimumab suivie de 40 mg </w:t>
      </w:r>
      <w:r w:rsidR="001B430D" w:rsidRPr="0058432E">
        <w:rPr>
          <w:color w:val="000000" w:themeColor="text1"/>
        </w:rPr>
        <w:t>toutes les deux semaines</w:t>
      </w:r>
      <w:r w:rsidRPr="0058432E">
        <w:rPr>
          <w:color w:val="000000" w:themeColor="text1"/>
        </w:rPr>
        <w:t xml:space="preserve"> (en commençant une semaine après la semaine initiale) pendant 16 semaines. On ne dispose d’aucune donnée concernant la comparaison entre l’adalimumab et le MTX au-delà de 16 semaines de traitement. Chez les patients sous MTX ayant atteint une réponse ≥ PASI 50 à la semaine 8 et/ou 12, la posologie n’était pas augmentée davantage. Dans tous les groupes de traitement, le score PASI initial moyen était de 19,7 et le score PGA initial allait de « léger » (&lt; 1 %) à « modéré » (48 %), « sévère » (46 %) et « très sévère » (6 %). </w:t>
      </w:r>
    </w:p>
    <w:p w14:paraId="13394F5E" w14:textId="77777777" w:rsidR="00C46587" w:rsidRPr="0058432E" w:rsidRDefault="00C46587" w:rsidP="00982118">
      <w:pPr>
        <w:rPr>
          <w:color w:val="000000" w:themeColor="text1"/>
        </w:rPr>
      </w:pPr>
    </w:p>
    <w:p w14:paraId="18A673A3" w14:textId="77777777" w:rsidR="00C46587" w:rsidRPr="0058432E" w:rsidRDefault="00C46587" w:rsidP="00982118">
      <w:pPr>
        <w:rPr>
          <w:color w:val="000000" w:themeColor="text1"/>
        </w:rPr>
      </w:pPr>
      <w:r w:rsidRPr="0058432E">
        <w:rPr>
          <w:color w:val="000000" w:themeColor="text1"/>
        </w:rPr>
        <w:t xml:space="preserve">Les patients ayant participé </w:t>
      </w:r>
      <w:r w:rsidR="00FF59FE" w:rsidRPr="0058432E">
        <w:rPr>
          <w:color w:val="000000" w:themeColor="text1"/>
        </w:rPr>
        <w:t xml:space="preserve">à toutes les </w:t>
      </w:r>
      <w:r w:rsidRPr="0058432E">
        <w:rPr>
          <w:color w:val="000000" w:themeColor="text1"/>
        </w:rPr>
        <w:t>études de phase</w:t>
      </w:r>
      <w:r w:rsidR="009F6669" w:rsidRPr="0058432E">
        <w:rPr>
          <w:color w:val="000000" w:themeColor="text1"/>
        </w:rPr>
        <w:t> II</w:t>
      </w:r>
      <w:r w:rsidRPr="0058432E">
        <w:rPr>
          <w:color w:val="000000" w:themeColor="text1"/>
        </w:rPr>
        <w:t xml:space="preserve"> et de phase</w:t>
      </w:r>
      <w:r w:rsidR="009F6669" w:rsidRPr="0058432E">
        <w:rPr>
          <w:color w:val="000000" w:themeColor="text1"/>
        </w:rPr>
        <w:t xml:space="preserve"> III</w:t>
      </w:r>
      <w:r w:rsidRPr="0058432E">
        <w:rPr>
          <w:color w:val="000000" w:themeColor="text1"/>
        </w:rPr>
        <w:t xml:space="preserve"> dans le psoriasis étaient éligibles pour entrer dans un </w:t>
      </w:r>
      <w:r w:rsidR="00FF59FE" w:rsidRPr="0058432E">
        <w:rPr>
          <w:color w:val="000000" w:themeColor="text1"/>
        </w:rPr>
        <w:t xml:space="preserve">essai </w:t>
      </w:r>
      <w:r w:rsidRPr="0058432E">
        <w:rPr>
          <w:color w:val="000000" w:themeColor="text1"/>
        </w:rPr>
        <w:t>d’extension en ouvert, dans l</w:t>
      </w:r>
      <w:r w:rsidR="00FF59FE" w:rsidRPr="0058432E">
        <w:rPr>
          <w:color w:val="000000" w:themeColor="text1"/>
        </w:rPr>
        <w:t>e</w:t>
      </w:r>
      <w:r w:rsidRPr="0058432E">
        <w:rPr>
          <w:color w:val="000000" w:themeColor="text1"/>
        </w:rPr>
        <w:t xml:space="preserve">quel l’adalimumab était administré pendant au moins 108 semaines supplémentaires. </w:t>
      </w:r>
    </w:p>
    <w:p w14:paraId="44AEE751" w14:textId="77777777" w:rsidR="00C46587" w:rsidRPr="0058432E" w:rsidRDefault="00C46587" w:rsidP="00982118">
      <w:pPr>
        <w:rPr>
          <w:color w:val="000000" w:themeColor="text1"/>
        </w:rPr>
      </w:pPr>
    </w:p>
    <w:p w14:paraId="04ECE3A0" w14:textId="77777777" w:rsidR="00C46587" w:rsidRPr="0058432E" w:rsidRDefault="00DF7121" w:rsidP="00982118">
      <w:pPr>
        <w:rPr>
          <w:color w:val="000000" w:themeColor="text1"/>
        </w:rPr>
      </w:pPr>
      <w:r w:rsidRPr="0058432E">
        <w:rPr>
          <w:color w:val="000000" w:themeColor="text1"/>
        </w:rPr>
        <w:t>Un</w:t>
      </w:r>
      <w:r w:rsidR="00C46587" w:rsidRPr="0058432E">
        <w:rPr>
          <w:color w:val="000000" w:themeColor="text1"/>
        </w:rPr>
        <w:t xml:space="preserve"> des principaux critères d’évaluation des études I et II sur le psoriasis était le pourcentage de patients ayant atteint une réponse PASI 75 entre l’inclusion et la semaine 16 (voir tableaux </w:t>
      </w:r>
      <w:r w:rsidR="002C597C" w:rsidRPr="0058432E">
        <w:rPr>
          <w:color w:val="000000" w:themeColor="text1"/>
        </w:rPr>
        <w:t>12</w:t>
      </w:r>
      <w:r w:rsidR="00C46587" w:rsidRPr="0058432E">
        <w:rPr>
          <w:color w:val="000000" w:themeColor="text1"/>
        </w:rPr>
        <w:t xml:space="preserve"> et </w:t>
      </w:r>
      <w:r w:rsidR="002C597C" w:rsidRPr="0058432E">
        <w:rPr>
          <w:color w:val="000000" w:themeColor="text1"/>
        </w:rPr>
        <w:t>13</w:t>
      </w:r>
      <w:r w:rsidR="00C46587" w:rsidRPr="0058432E">
        <w:rPr>
          <w:color w:val="000000" w:themeColor="text1"/>
        </w:rPr>
        <w:t xml:space="preserve">). </w:t>
      </w:r>
    </w:p>
    <w:p w14:paraId="0EE51266" w14:textId="77777777" w:rsidR="00C46587" w:rsidRPr="0058432E" w:rsidRDefault="00C46587" w:rsidP="00982118">
      <w:pPr>
        <w:rPr>
          <w:color w:val="000000" w:themeColor="text1"/>
        </w:rPr>
      </w:pPr>
    </w:p>
    <w:p w14:paraId="04FF790C" w14:textId="77777777" w:rsidR="00C46587" w:rsidRPr="0058432E" w:rsidRDefault="00C46587" w:rsidP="00A53E17">
      <w:pPr>
        <w:keepNext/>
        <w:rPr>
          <w:b/>
          <w:color w:val="000000" w:themeColor="text1"/>
        </w:rPr>
      </w:pPr>
      <w:r w:rsidRPr="0058432E">
        <w:rPr>
          <w:b/>
          <w:color w:val="000000" w:themeColor="text1"/>
        </w:rPr>
        <w:t>Tableau </w:t>
      </w:r>
      <w:r w:rsidR="002C597C" w:rsidRPr="0058432E">
        <w:rPr>
          <w:b/>
          <w:color w:val="000000" w:themeColor="text1"/>
        </w:rPr>
        <w:t>12</w:t>
      </w:r>
      <w:r w:rsidR="002A7CDF" w:rsidRPr="0058432E">
        <w:rPr>
          <w:b/>
          <w:color w:val="000000" w:themeColor="text1"/>
        </w:rPr>
        <w:t>.</w:t>
      </w:r>
    </w:p>
    <w:p w14:paraId="57D3785B" w14:textId="77777777" w:rsidR="00C46587" w:rsidRPr="0058432E" w:rsidRDefault="00C46587" w:rsidP="00A53E17">
      <w:pPr>
        <w:keepNext/>
        <w:rPr>
          <w:b/>
          <w:color w:val="000000" w:themeColor="text1"/>
        </w:rPr>
      </w:pPr>
      <w:r w:rsidRPr="0058432E">
        <w:rPr>
          <w:b/>
          <w:color w:val="000000" w:themeColor="text1"/>
        </w:rPr>
        <w:t>Étude I sur le psoriasis (REVEAL) — Résultats d’efficacité à 16 semaines</w:t>
      </w:r>
    </w:p>
    <w:p w14:paraId="66BD2155" w14:textId="77777777" w:rsidR="00DD002D" w:rsidRPr="0058432E" w:rsidRDefault="00DD002D" w:rsidP="00DD002D">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DD002D" w:rsidRPr="0058432E" w14:paraId="7A6195E2" w14:textId="77777777" w:rsidTr="00081A6C">
        <w:trPr>
          <w:tblHeader/>
        </w:trPr>
        <w:tc>
          <w:tcPr>
            <w:tcW w:w="3193" w:type="dxa"/>
            <w:shd w:val="clear" w:color="auto" w:fill="auto"/>
          </w:tcPr>
          <w:p w14:paraId="00B4B7C3" w14:textId="77777777" w:rsidR="00DD002D" w:rsidRPr="0058432E" w:rsidRDefault="00DD002D" w:rsidP="00AA5839">
            <w:pPr>
              <w:rPr>
                <w:rFonts w:eastAsia="Calibri"/>
                <w:color w:val="000000" w:themeColor="text1"/>
              </w:rPr>
            </w:pPr>
          </w:p>
        </w:tc>
        <w:tc>
          <w:tcPr>
            <w:tcW w:w="3055" w:type="dxa"/>
            <w:shd w:val="clear" w:color="auto" w:fill="auto"/>
          </w:tcPr>
          <w:p w14:paraId="2FFA6D50" w14:textId="77777777" w:rsidR="00DD002D" w:rsidRPr="0058432E" w:rsidRDefault="00DD002D" w:rsidP="00AA5839">
            <w:pPr>
              <w:pStyle w:val="TableParagraph"/>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Placebo</w:t>
            </w:r>
          </w:p>
          <w:p w14:paraId="354055C1" w14:textId="77777777" w:rsidR="00DD002D" w:rsidRPr="0058432E" w:rsidRDefault="00DD002D" w:rsidP="00AA5839">
            <w:pPr>
              <w:pStyle w:val="TableParagraph"/>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N = 398</w:t>
            </w:r>
          </w:p>
          <w:p w14:paraId="00269B3B" w14:textId="77777777" w:rsidR="00DD002D" w:rsidRPr="0058432E" w:rsidRDefault="00DD002D" w:rsidP="00AA5839">
            <w:pPr>
              <w:pStyle w:val="TableParagraph"/>
              <w:widowControl/>
              <w:kinsoku w:val="0"/>
              <w:overflowPunct w:val="0"/>
              <w:ind w:hanging="6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3055" w:type="dxa"/>
            <w:shd w:val="clear" w:color="auto" w:fill="auto"/>
          </w:tcPr>
          <w:p w14:paraId="641DD48D" w14:textId="77777777" w:rsidR="00DD002D" w:rsidRPr="0058432E" w:rsidRDefault="00DD002D" w:rsidP="00AA5839">
            <w:pPr>
              <w:pStyle w:val="TableParagraph"/>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 xml:space="preserve">deux </w:t>
            </w:r>
            <w:r w:rsidRPr="0058432E">
              <w:rPr>
                <w:rFonts w:ascii="Times New Roman" w:hAnsi="Times New Roman"/>
                <w:b/>
                <w:bCs/>
                <w:color w:val="000000" w:themeColor="text1"/>
              </w:rPr>
              <w:t>semaines</w:t>
            </w:r>
          </w:p>
          <w:p w14:paraId="67700A90"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814</w:t>
            </w:r>
          </w:p>
          <w:p w14:paraId="505224FB"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DD002D" w:rsidRPr="0058432E" w14:paraId="6C069EFD" w14:textId="77777777" w:rsidTr="00081A6C">
        <w:tc>
          <w:tcPr>
            <w:tcW w:w="3193" w:type="dxa"/>
            <w:shd w:val="clear" w:color="auto" w:fill="auto"/>
          </w:tcPr>
          <w:p w14:paraId="0CC0041A" w14:textId="77777777" w:rsidR="00DD002D" w:rsidRPr="0058432E" w:rsidRDefault="00DD002D"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 PASI 75</w:t>
            </w:r>
            <w:r w:rsidRPr="0058432E">
              <w:rPr>
                <w:rFonts w:ascii="Times New Roman" w:hAnsi="Times New Roman"/>
                <w:bCs/>
                <w:color w:val="000000" w:themeColor="text1"/>
                <w:vertAlign w:val="superscript"/>
              </w:rPr>
              <w:t>a</w:t>
            </w:r>
          </w:p>
        </w:tc>
        <w:tc>
          <w:tcPr>
            <w:tcW w:w="3055" w:type="dxa"/>
            <w:shd w:val="clear" w:color="auto" w:fill="auto"/>
          </w:tcPr>
          <w:p w14:paraId="3D6A1CCE"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26 (6,5)</w:t>
            </w:r>
          </w:p>
        </w:tc>
        <w:tc>
          <w:tcPr>
            <w:tcW w:w="3055" w:type="dxa"/>
            <w:shd w:val="clear" w:color="auto" w:fill="auto"/>
          </w:tcPr>
          <w:p w14:paraId="2ADFEFFE"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578 (70,</w:t>
            </w:r>
            <w:proofErr w:type="gramStart"/>
            <w:r w:rsidRPr="0058432E">
              <w:rPr>
                <w:rFonts w:ascii="Times New Roman" w:hAnsi="Times New Roman"/>
                <w:color w:val="000000" w:themeColor="text1"/>
              </w:rPr>
              <w:t>9)</w:t>
            </w:r>
            <w:r w:rsidRPr="0058432E">
              <w:rPr>
                <w:rFonts w:ascii="Times New Roman" w:hAnsi="Times New Roman"/>
                <w:color w:val="000000" w:themeColor="text1"/>
                <w:vertAlign w:val="superscript"/>
              </w:rPr>
              <w:t>b</w:t>
            </w:r>
            <w:proofErr w:type="gramEnd"/>
          </w:p>
        </w:tc>
      </w:tr>
      <w:tr w:rsidR="00DD002D" w:rsidRPr="0058432E" w14:paraId="09792C0A" w14:textId="77777777" w:rsidTr="00081A6C">
        <w:tc>
          <w:tcPr>
            <w:tcW w:w="3193" w:type="dxa"/>
            <w:shd w:val="clear" w:color="auto" w:fill="auto"/>
          </w:tcPr>
          <w:p w14:paraId="550E4732" w14:textId="77777777" w:rsidR="00DD002D" w:rsidRPr="0058432E" w:rsidRDefault="00DD002D"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PASI 100</w:t>
            </w:r>
          </w:p>
        </w:tc>
        <w:tc>
          <w:tcPr>
            <w:tcW w:w="3055" w:type="dxa"/>
            <w:shd w:val="clear" w:color="auto" w:fill="auto"/>
          </w:tcPr>
          <w:p w14:paraId="1FCE2999"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3 (0,8)</w:t>
            </w:r>
          </w:p>
        </w:tc>
        <w:tc>
          <w:tcPr>
            <w:tcW w:w="3055" w:type="dxa"/>
            <w:shd w:val="clear" w:color="auto" w:fill="auto"/>
          </w:tcPr>
          <w:p w14:paraId="431EA3A8"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163 (20,</w:t>
            </w:r>
            <w:proofErr w:type="gramStart"/>
            <w:r w:rsidRPr="0058432E">
              <w:rPr>
                <w:rFonts w:ascii="Times New Roman" w:hAnsi="Times New Roman"/>
                <w:color w:val="000000" w:themeColor="text1"/>
              </w:rPr>
              <w:t>0)</w:t>
            </w:r>
            <w:r w:rsidRPr="0058432E">
              <w:rPr>
                <w:rFonts w:ascii="Times New Roman" w:hAnsi="Times New Roman"/>
                <w:color w:val="000000" w:themeColor="text1"/>
                <w:vertAlign w:val="superscript"/>
              </w:rPr>
              <w:t>b</w:t>
            </w:r>
            <w:proofErr w:type="gramEnd"/>
          </w:p>
        </w:tc>
      </w:tr>
      <w:tr w:rsidR="00DD002D" w:rsidRPr="0058432E" w14:paraId="0E0C50F0" w14:textId="77777777" w:rsidTr="00081A6C">
        <w:tc>
          <w:tcPr>
            <w:tcW w:w="3193" w:type="dxa"/>
            <w:tcBorders>
              <w:bottom w:val="single" w:sz="4" w:space="0" w:color="auto"/>
            </w:tcBorders>
            <w:shd w:val="clear" w:color="auto" w:fill="auto"/>
          </w:tcPr>
          <w:p w14:paraId="089B4478" w14:textId="77777777" w:rsidR="00DD002D" w:rsidRPr="0058432E" w:rsidRDefault="00DD002D"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PGA : clair/minimal</w:t>
            </w:r>
          </w:p>
        </w:tc>
        <w:tc>
          <w:tcPr>
            <w:tcW w:w="3055" w:type="dxa"/>
            <w:tcBorders>
              <w:bottom w:val="single" w:sz="4" w:space="0" w:color="auto"/>
            </w:tcBorders>
            <w:shd w:val="clear" w:color="auto" w:fill="auto"/>
          </w:tcPr>
          <w:p w14:paraId="479E51FC"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17 (4,3)</w:t>
            </w:r>
          </w:p>
        </w:tc>
        <w:tc>
          <w:tcPr>
            <w:tcW w:w="3055" w:type="dxa"/>
            <w:tcBorders>
              <w:bottom w:val="single" w:sz="4" w:space="0" w:color="auto"/>
            </w:tcBorders>
            <w:shd w:val="clear" w:color="auto" w:fill="auto"/>
          </w:tcPr>
          <w:p w14:paraId="1FBC18B3"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506 (62,</w:t>
            </w:r>
            <w:proofErr w:type="gramStart"/>
            <w:r w:rsidRPr="0058432E">
              <w:rPr>
                <w:rFonts w:ascii="Times New Roman" w:hAnsi="Times New Roman"/>
                <w:color w:val="000000" w:themeColor="text1"/>
              </w:rPr>
              <w:t>2)</w:t>
            </w:r>
            <w:r w:rsidRPr="0058432E">
              <w:rPr>
                <w:rFonts w:ascii="Times New Roman" w:hAnsi="Times New Roman"/>
                <w:color w:val="000000" w:themeColor="text1"/>
                <w:vertAlign w:val="superscript"/>
              </w:rPr>
              <w:t>b</w:t>
            </w:r>
            <w:proofErr w:type="gramEnd"/>
          </w:p>
        </w:tc>
      </w:tr>
      <w:tr w:rsidR="00081A6C" w:rsidRPr="0058432E" w14:paraId="68E74DFF" w14:textId="77777777" w:rsidTr="00081A6C">
        <w:tc>
          <w:tcPr>
            <w:tcW w:w="9303" w:type="dxa"/>
            <w:gridSpan w:val="3"/>
            <w:tcBorders>
              <w:left w:val="nil"/>
              <w:bottom w:val="nil"/>
              <w:right w:val="nil"/>
            </w:tcBorders>
            <w:shd w:val="clear" w:color="auto" w:fill="auto"/>
          </w:tcPr>
          <w:p w14:paraId="0989CCB9" w14:textId="77777777" w:rsidR="00081A6C" w:rsidRPr="0058432E" w:rsidRDefault="00081A6C" w:rsidP="00081A6C">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a</w:t>
            </w:r>
            <w:proofErr w:type="gramEnd"/>
            <w:r w:rsidRPr="0058432E">
              <w:rPr>
                <w:rFonts w:ascii="Times New Roman" w:hAnsi="Times New Roman"/>
                <w:color w:val="000000" w:themeColor="text1"/>
                <w:sz w:val="20"/>
              </w:rPr>
              <w:t xml:space="preserve"> </w:t>
            </w:r>
            <w:r w:rsidRPr="0058432E">
              <w:rPr>
                <w:rFonts w:ascii="Times New Roman" w:hAnsi="Times New Roman"/>
                <w:color w:val="000000" w:themeColor="text1"/>
                <w:sz w:val="20"/>
              </w:rPr>
              <w:tab/>
              <w:t>Le pourcentage de patients atteignant une réponse PASI 75 a été calculé comme un taux ajusté en fonction du centre d’étude</w:t>
            </w:r>
          </w:p>
          <w:p w14:paraId="067F9E44" w14:textId="77777777" w:rsidR="00081A6C" w:rsidRPr="0058432E" w:rsidRDefault="00081A6C" w:rsidP="00081A6C">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b</w:t>
            </w:r>
            <w:proofErr w:type="gramEnd"/>
            <w:r w:rsidRPr="0058432E">
              <w:rPr>
                <w:rFonts w:ascii="Times New Roman" w:hAnsi="Times New Roman"/>
                <w:color w:val="000000" w:themeColor="text1"/>
                <w:sz w:val="20"/>
                <w:vertAlign w:val="superscript"/>
              </w:rPr>
              <w:t xml:space="preserve"> </w:t>
            </w:r>
            <w:r w:rsidRPr="0058432E">
              <w:rPr>
                <w:rFonts w:ascii="Times New Roman" w:hAnsi="Times New Roman"/>
                <w:color w:val="000000" w:themeColor="text1"/>
                <w:sz w:val="20"/>
                <w:vertAlign w:val="superscript"/>
              </w:rPr>
              <w:tab/>
            </w:r>
            <w:r w:rsidRPr="0058432E">
              <w:rPr>
                <w:rFonts w:ascii="Times New Roman" w:hAnsi="Times New Roman"/>
                <w:color w:val="000000" w:themeColor="text1"/>
                <w:sz w:val="20"/>
              </w:rPr>
              <w:t xml:space="preserve">p &lt; 0,001, adalimumab </w:t>
            </w:r>
            <w:r w:rsidRPr="0058432E">
              <w:rPr>
                <w:rFonts w:ascii="Times New Roman" w:hAnsi="Times New Roman"/>
                <w:i/>
                <w:color w:val="000000" w:themeColor="text1"/>
                <w:sz w:val="20"/>
              </w:rPr>
              <w:t>versus</w:t>
            </w:r>
            <w:r w:rsidRPr="0058432E">
              <w:rPr>
                <w:rFonts w:ascii="Times New Roman" w:hAnsi="Times New Roman"/>
                <w:color w:val="000000" w:themeColor="text1"/>
                <w:sz w:val="20"/>
              </w:rPr>
              <w:t xml:space="preserve"> placebo</w:t>
            </w:r>
          </w:p>
        </w:tc>
      </w:tr>
    </w:tbl>
    <w:p w14:paraId="0CA831CA" w14:textId="77777777" w:rsidR="00DD002D" w:rsidRPr="0058432E" w:rsidRDefault="00DD002D" w:rsidP="00DD002D">
      <w:pPr>
        <w:pStyle w:val="BodyText"/>
        <w:widowControl/>
        <w:kinsoku w:val="0"/>
        <w:overflowPunct w:val="0"/>
        <w:ind w:left="0"/>
        <w:rPr>
          <w:b/>
          <w:bCs/>
          <w:color w:val="000000" w:themeColor="text1"/>
        </w:rPr>
      </w:pPr>
    </w:p>
    <w:p w14:paraId="2B8AD96B" w14:textId="77777777" w:rsidR="00C46587" w:rsidRPr="0058432E" w:rsidRDefault="00C46587" w:rsidP="00A53E17">
      <w:pPr>
        <w:keepNext/>
        <w:rPr>
          <w:b/>
          <w:color w:val="000000" w:themeColor="text1"/>
        </w:rPr>
      </w:pPr>
      <w:r w:rsidRPr="0058432E">
        <w:rPr>
          <w:b/>
          <w:color w:val="000000" w:themeColor="text1"/>
        </w:rPr>
        <w:t>Tableau </w:t>
      </w:r>
      <w:r w:rsidR="002C597C" w:rsidRPr="0058432E">
        <w:rPr>
          <w:b/>
          <w:color w:val="000000" w:themeColor="text1"/>
        </w:rPr>
        <w:t>13</w:t>
      </w:r>
      <w:r w:rsidR="002A7CDF" w:rsidRPr="0058432E">
        <w:rPr>
          <w:b/>
          <w:color w:val="000000" w:themeColor="text1"/>
        </w:rPr>
        <w:t>.</w:t>
      </w:r>
    </w:p>
    <w:p w14:paraId="08C398D8" w14:textId="77777777" w:rsidR="00C46587" w:rsidRPr="0058432E" w:rsidRDefault="00C46587" w:rsidP="00A53E17">
      <w:pPr>
        <w:keepNext/>
        <w:rPr>
          <w:b/>
          <w:color w:val="000000" w:themeColor="text1"/>
        </w:rPr>
      </w:pPr>
      <w:r w:rsidRPr="0058432E">
        <w:rPr>
          <w:b/>
          <w:color w:val="000000" w:themeColor="text1"/>
        </w:rPr>
        <w:t>Étude II sur le psoriasis (CHAMPION) — Résultats d’efficacité à 16 semaines</w:t>
      </w:r>
    </w:p>
    <w:p w14:paraId="52CB4812" w14:textId="77777777" w:rsidR="00DD002D" w:rsidRPr="0058432E" w:rsidRDefault="00DD002D" w:rsidP="00DD002D">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DD002D" w:rsidRPr="0058432E" w14:paraId="1D5B2866" w14:textId="77777777" w:rsidTr="00081A6C">
        <w:trPr>
          <w:tblHeader/>
        </w:trPr>
        <w:tc>
          <w:tcPr>
            <w:tcW w:w="2128" w:type="dxa"/>
            <w:shd w:val="clear" w:color="auto" w:fill="auto"/>
          </w:tcPr>
          <w:p w14:paraId="5B98BDD1" w14:textId="77777777" w:rsidR="00DD002D" w:rsidRPr="0058432E" w:rsidRDefault="00DD002D" w:rsidP="00AA5839">
            <w:pPr>
              <w:keepNext/>
              <w:keepLines/>
              <w:rPr>
                <w:rFonts w:eastAsia="Calibri"/>
                <w:color w:val="000000" w:themeColor="text1"/>
              </w:rPr>
            </w:pPr>
          </w:p>
        </w:tc>
        <w:tc>
          <w:tcPr>
            <w:tcW w:w="2391" w:type="dxa"/>
            <w:shd w:val="clear" w:color="auto" w:fill="auto"/>
          </w:tcPr>
          <w:p w14:paraId="0DB6EE9E"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Placebo </w:t>
            </w:r>
          </w:p>
          <w:p w14:paraId="3DECE842"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N = 53 </w:t>
            </w:r>
          </w:p>
          <w:p w14:paraId="4497030B"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705C9961"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MTX </w:t>
            </w:r>
          </w:p>
          <w:p w14:paraId="2B751D05"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N = 110 </w:t>
            </w:r>
          </w:p>
          <w:p w14:paraId="46E7092E"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285804AD" w14:textId="77777777" w:rsidR="00DD002D" w:rsidRPr="0058432E" w:rsidRDefault="00DD002D" w:rsidP="00AA5839">
            <w:pPr>
              <w:pStyle w:val="TableParagraph"/>
              <w:keepNext/>
              <w:keepLines/>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 xml:space="preserve">deux </w:t>
            </w:r>
            <w:r w:rsidRPr="0058432E">
              <w:rPr>
                <w:rFonts w:ascii="Times New Roman" w:hAnsi="Times New Roman"/>
                <w:b/>
                <w:bCs/>
                <w:color w:val="000000" w:themeColor="text1"/>
              </w:rPr>
              <w:t>semaines</w:t>
            </w:r>
          </w:p>
          <w:p w14:paraId="53B827F4" w14:textId="77777777" w:rsidR="00DD002D" w:rsidRPr="0058432E" w:rsidRDefault="00DD002D" w:rsidP="00AA5839">
            <w:pPr>
              <w:pStyle w:val="TableParagraph"/>
              <w:keepNext/>
              <w:keepLines/>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108</w:t>
            </w:r>
          </w:p>
          <w:p w14:paraId="5AE1A3F1" w14:textId="77777777" w:rsidR="00DD002D" w:rsidRPr="0058432E" w:rsidRDefault="00DD002D" w:rsidP="00AA5839">
            <w:pPr>
              <w:pStyle w:val="TableParagraph"/>
              <w:keepNext/>
              <w:keepLines/>
              <w:widowControl/>
              <w:kinsoku w:val="0"/>
              <w:overflowPunct w:val="0"/>
              <w:spacing w:line="252" w:lineRule="exact"/>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DD002D" w:rsidRPr="0058432E" w14:paraId="4CDA6F11" w14:textId="77777777" w:rsidTr="00081A6C">
        <w:tc>
          <w:tcPr>
            <w:tcW w:w="2128" w:type="dxa"/>
            <w:shd w:val="clear" w:color="auto" w:fill="auto"/>
          </w:tcPr>
          <w:p w14:paraId="4D298E58" w14:textId="77777777" w:rsidR="00DD002D" w:rsidRPr="0058432E" w:rsidRDefault="00DD002D" w:rsidP="00AA5839">
            <w:pPr>
              <w:pStyle w:val="TableParagraph"/>
              <w:keepNext/>
              <w:keepLines/>
              <w:widowControl/>
              <w:kinsoku w:val="0"/>
              <w:overflowPunct w:val="0"/>
              <w:spacing w:line="268" w:lineRule="exact"/>
              <w:rPr>
                <w:rFonts w:ascii="Times New Roman" w:hAnsi="Times New Roman"/>
                <w:color w:val="000000" w:themeColor="text1"/>
              </w:rPr>
            </w:pPr>
            <w:r w:rsidRPr="0058432E">
              <w:rPr>
                <w:rFonts w:ascii="Times New Roman" w:hAnsi="Times New Roman"/>
                <w:bCs/>
                <w:color w:val="000000" w:themeColor="text1"/>
              </w:rPr>
              <w:t>≥ PASI 75</w:t>
            </w:r>
          </w:p>
        </w:tc>
        <w:tc>
          <w:tcPr>
            <w:tcW w:w="2391" w:type="dxa"/>
            <w:shd w:val="clear" w:color="auto" w:fill="auto"/>
          </w:tcPr>
          <w:p w14:paraId="4E46B623"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10 (18,9)</w:t>
            </w:r>
          </w:p>
        </w:tc>
        <w:tc>
          <w:tcPr>
            <w:tcW w:w="2392" w:type="dxa"/>
            <w:shd w:val="clear" w:color="auto" w:fill="auto"/>
          </w:tcPr>
          <w:p w14:paraId="09C63356"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 (35,5)</w:t>
            </w:r>
          </w:p>
        </w:tc>
        <w:tc>
          <w:tcPr>
            <w:tcW w:w="2392" w:type="dxa"/>
            <w:shd w:val="clear" w:color="auto" w:fill="auto"/>
          </w:tcPr>
          <w:p w14:paraId="13AC1CD2"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86 (79,</w:t>
            </w:r>
            <w:proofErr w:type="gramStart"/>
            <w:r w:rsidRPr="0058432E">
              <w:rPr>
                <w:rFonts w:ascii="Times New Roman" w:hAnsi="Times New Roman"/>
                <w:color w:val="000000" w:themeColor="text1"/>
              </w:rPr>
              <w:t>6)</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DD002D" w:rsidRPr="0058432E" w14:paraId="3B666D83" w14:textId="77777777" w:rsidTr="00081A6C">
        <w:tc>
          <w:tcPr>
            <w:tcW w:w="2128" w:type="dxa"/>
            <w:shd w:val="clear" w:color="auto" w:fill="auto"/>
          </w:tcPr>
          <w:p w14:paraId="72E3C3A7" w14:textId="77777777" w:rsidR="00DD002D" w:rsidRPr="0058432E" w:rsidRDefault="00DD002D" w:rsidP="00AA5839">
            <w:pPr>
              <w:pStyle w:val="TableParagraph"/>
              <w:keepNext/>
              <w:keepLines/>
              <w:widowControl/>
              <w:kinsoku w:val="0"/>
              <w:overflowPunct w:val="0"/>
              <w:spacing w:line="252" w:lineRule="exact"/>
              <w:rPr>
                <w:rFonts w:ascii="Times New Roman" w:hAnsi="Times New Roman"/>
                <w:color w:val="000000" w:themeColor="text1"/>
              </w:rPr>
            </w:pPr>
            <w:r w:rsidRPr="0058432E">
              <w:rPr>
                <w:rFonts w:ascii="Times New Roman" w:hAnsi="Times New Roman"/>
                <w:bCs/>
                <w:color w:val="000000" w:themeColor="text1"/>
              </w:rPr>
              <w:t>PASI 100</w:t>
            </w:r>
          </w:p>
        </w:tc>
        <w:tc>
          <w:tcPr>
            <w:tcW w:w="2391" w:type="dxa"/>
            <w:shd w:val="clear" w:color="auto" w:fill="auto"/>
          </w:tcPr>
          <w:p w14:paraId="26D5CDC3"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 (1,9)</w:t>
            </w:r>
          </w:p>
        </w:tc>
        <w:tc>
          <w:tcPr>
            <w:tcW w:w="2392" w:type="dxa"/>
            <w:shd w:val="clear" w:color="auto" w:fill="auto"/>
          </w:tcPr>
          <w:p w14:paraId="7343817C"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 (7,3)</w:t>
            </w:r>
          </w:p>
        </w:tc>
        <w:tc>
          <w:tcPr>
            <w:tcW w:w="2392" w:type="dxa"/>
            <w:shd w:val="clear" w:color="auto" w:fill="auto"/>
          </w:tcPr>
          <w:p w14:paraId="7FCB7578"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18 (16,</w:t>
            </w:r>
            <w:proofErr w:type="gramStart"/>
            <w:r w:rsidRPr="0058432E">
              <w:rPr>
                <w:rFonts w:ascii="Times New Roman" w:hAnsi="Times New Roman"/>
                <w:color w:val="000000" w:themeColor="text1"/>
              </w:rPr>
              <w:t>7)</w:t>
            </w:r>
            <w:r w:rsidRPr="0058432E">
              <w:rPr>
                <w:rFonts w:ascii="Times New Roman" w:hAnsi="Times New Roman"/>
                <w:color w:val="000000" w:themeColor="text1"/>
                <w:vertAlign w:val="superscript"/>
              </w:rPr>
              <w:t>c</w:t>
            </w:r>
            <w:proofErr w:type="gramEnd"/>
            <w:r w:rsidRPr="0058432E">
              <w:rPr>
                <w:rFonts w:ascii="Times New Roman" w:hAnsi="Times New Roman"/>
                <w:color w:val="000000" w:themeColor="text1"/>
                <w:vertAlign w:val="superscript"/>
              </w:rPr>
              <w:t>,d</w:t>
            </w:r>
          </w:p>
        </w:tc>
      </w:tr>
      <w:tr w:rsidR="00DD002D" w:rsidRPr="0058432E" w14:paraId="58141B90" w14:textId="77777777" w:rsidTr="00081A6C">
        <w:tc>
          <w:tcPr>
            <w:tcW w:w="2128" w:type="dxa"/>
            <w:tcBorders>
              <w:bottom w:val="single" w:sz="4" w:space="0" w:color="auto"/>
            </w:tcBorders>
            <w:shd w:val="clear" w:color="auto" w:fill="auto"/>
          </w:tcPr>
          <w:p w14:paraId="63840A3D" w14:textId="77777777" w:rsidR="00DD002D" w:rsidRPr="0058432E" w:rsidRDefault="00DD002D" w:rsidP="00AA5839">
            <w:pPr>
              <w:pStyle w:val="TableParagraph"/>
              <w:keepNext/>
              <w:keepLines/>
              <w:widowControl/>
              <w:kinsoku w:val="0"/>
              <w:overflowPunct w:val="0"/>
              <w:spacing w:line="251" w:lineRule="exact"/>
              <w:rPr>
                <w:rFonts w:ascii="Times New Roman" w:hAnsi="Times New Roman"/>
                <w:color w:val="000000" w:themeColor="text1"/>
              </w:rPr>
            </w:pPr>
            <w:r w:rsidRPr="0058432E">
              <w:rPr>
                <w:rFonts w:ascii="Times New Roman" w:hAnsi="Times New Roman"/>
                <w:bCs/>
                <w:color w:val="000000" w:themeColor="text1"/>
              </w:rPr>
              <w:t>PGA :</w:t>
            </w:r>
          </w:p>
          <w:p w14:paraId="5B89A338" w14:textId="77777777" w:rsidR="00DD002D" w:rsidRPr="0058432E" w:rsidRDefault="00DD002D" w:rsidP="00AA5839">
            <w:pPr>
              <w:pStyle w:val="TableParagraph"/>
              <w:keepNext/>
              <w:keepLines/>
              <w:widowControl/>
              <w:kinsoku w:val="0"/>
              <w:overflowPunct w:val="0"/>
              <w:rPr>
                <w:rFonts w:ascii="Times New Roman" w:hAnsi="Times New Roman"/>
                <w:color w:val="000000" w:themeColor="text1"/>
              </w:rPr>
            </w:pPr>
            <w:proofErr w:type="gramStart"/>
            <w:r w:rsidRPr="0058432E">
              <w:rPr>
                <w:rFonts w:ascii="Times New Roman" w:hAnsi="Times New Roman"/>
                <w:bCs/>
                <w:color w:val="000000" w:themeColor="text1"/>
              </w:rPr>
              <w:t>clair</w:t>
            </w:r>
            <w:proofErr w:type="gramEnd"/>
            <w:r w:rsidRPr="0058432E">
              <w:rPr>
                <w:rFonts w:ascii="Times New Roman" w:hAnsi="Times New Roman"/>
                <w:bCs/>
                <w:color w:val="000000" w:themeColor="text1"/>
              </w:rPr>
              <w:t>/minimal</w:t>
            </w:r>
          </w:p>
        </w:tc>
        <w:tc>
          <w:tcPr>
            <w:tcW w:w="2391" w:type="dxa"/>
            <w:tcBorders>
              <w:bottom w:val="single" w:sz="4" w:space="0" w:color="auto"/>
            </w:tcBorders>
            <w:shd w:val="clear" w:color="auto" w:fill="auto"/>
          </w:tcPr>
          <w:p w14:paraId="4A478C1C"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6 (11,3)</w:t>
            </w:r>
          </w:p>
        </w:tc>
        <w:tc>
          <w:tcPr>
            <w:tcW w:w="2392" w:type="dxa"/>
            <w:tcBorders>
              <w:bottom w:val="single" w:sz="4" w:space="0" w:color="auto"/>
            </w:tcBorders>
            <w:shd w:val="clear" w:color="auto" w:fill="auto"/>
          </w:tcPr>
          <w:p w14:paraId="35D6F62C"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33 (30,0)</w:t>
            </w:r>
          </w:p>
        </w:tc>
        <w:tc>
          <w:tcPr>
            <w:tcW w:w="2392" w:type="dxa"/>
            <w:tcBorders>
              <w:bottom w:val="single" w:sz="4" w:space="0" w:color="auto"/>
            </w:tcBorders>
            <w:shd w:val="clear" w:color="auto" w:fill="auto"/>
          </w:tcPr>
          <w:p w14:paraId="12AED452"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79 (73,</w:t>
            </w:r>
            <w:proofErr w:type="gramStart"/>
            <w:r w:rsidRPr="0058432E">
              <w:rPr>
                <w:rFonts w:ascii="Times New Roman" w:hAnsi="Times New Roman"/>
                <w:color w:val="000000" w:themeColor="text1"/>
              </w:rPr>
              <w:t>1)</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081A6C" w:rsidRPr="0058432E" w14:paraId="7D3CCD44" w14:textId="77777777" w:rsidTr="00081A6C">
        <w:tc>
          <w:tcPr>
            <w:tcW w:w="9303" w:type="dxa"/>
            <w:gridSpan w:val="4"/>
            <w:tcBorders>
              <w:left w:val="nil"/>
              <w:bottom w:val="nil"/>
              <w:right w:val="nil"/>
            </w:tcBorders>
            <w:shd w:val="clear" w:color="auto" w:fill="auto"/>
          </w:tcPr>
          <w:p w14:paraId="167251FC" w14:textId="77777777" w:rsidR="00081A6C" w:rsidRPr="0058432E" w:rsidRDefault="00081A6C" w:rsidP="00081A6C">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p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3ABFEEE3" w14:textId="77777777" w:rsidR="00081A6C" w:rsidRPr="0058432E" w:rsidRDefault="00081A6C" w:rsidP="00081A6C">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p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p w14:paraId="703C5919" w14:textId="77777777" w:rsidR="00081A6C" w:rsidRPr="0058432E" w:rsidRDefault="00081A6C" w:rsidP="00081A6C">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p &lt; 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5632FDBB" w14:textId="77777777" w:rsidR="00081A6C" w:rsidRPr="0058432E" w:rsidRDefault="00081A6C" w:rsidP="00081A6C">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d</w:t>
            </w:r>
            <w:proofErr w:type="gramEnd"/>
            <w:r w:rsidRPr="0058432E">
              <w:rPr>
                <w:color w:val="000000" w:themeColor="text1"/>
                <w:sz w:val="20"/>
              </w:rPr>
              <w:t xml:space="preserve"> </w:t>
            </w:r>
            <w:r w:rsidRPr="0058432E">
              <w:rPr>
                <w:color w:val="000000" w:themeColor="text1"/>
                <w:sz w:val="20"/>
              </w:rPr>
              <w:tab/>
              <w:t xml:space="preserve">p &lt; 0,05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tc>
      </w:tr>
    </w:tbl>
    <w:p w14:paraId="209B9DD8" w14:textId="77777777" w:rsidR="00DD002D" w:rsidRPr="0058432E" w:rsidRDefault="00DD002D" w:rsidP="00982118">
      <w:pPr>
        <w:rPr>
          <w:color w:val="000000" w:themeColor="text1"/>
        </w:rPr>
      </w:pPr>
    </w:p>
    <w:p w14:paraId="0D032FEE" w14:textId="77777777" w:rsidR="00C46587" w:rsidRPr="0058432E" w:rsidRDefault="00C46587" w:rsidP="00982118">
      <w:pPr>
        <w:rPr>
          <w:color w:val="000000" w:themeColor="text1"/>
        </w:rPr>
      </w:pPr>
      <w:r w:rsidRPr="0058432E">
        <w:rPr>
          <w:color w:val="000000" w:themeColor="text1"/>
        </w:rPr>
        <w:t xml:space="preserve">Dans l’étude I sur le psoriasis, 28 % des patients ayant présenté une réponse PASI 75 et randomisés à nouveau pour recevoir le placebo à la semaine 33 et 5 % de ceux poursuivant le traitement par </w:t>
      </w:r>
      <w:proofErr w:type="gramStart"/>
      <w:r w:rsidRPr="0058432E">
        <w:rPr>
          <w:color w:val="000000" w:themeColor="text1"/>
        </w:rPr>
        <w:t>adalimumab(</w:t>
      </w:r>
      <w:proofErr w:type="gramEnd"/>
      <w:r w:rsidRPr="0058432E">
        <w:rPr>
          <w:color w:val="000000" w:themeColor="text1"/>
        </w:rPr>
        <w:t xml:space="preserve">p &lt; 0,001), ont présenté « une diminution de la réponse appropriée » (score PASI entre la semaine 33 et </w:t>
      </w:r>
      <w:r w:rsidR="005402D6" w:rsidRPr="0058432E">
        <w:rPr>
          <w:color w:val="000000" w:themeColor="text1"/>
        </w:rPr>
        <w:t xml:space="preserve">avant </w:t>
      </w:r>
      <w:r w:rsidRPr="0058432E">
        <w:rPr>
          <w:color w:val="000000" w:themeColor="text1"/>
        </w:rPr>
        <w:t>la semaine 52 se traduisant par une réponse &lt; PASI 50 par rapport à l’inclusion, avec un minimum d’augmentation de 6 points du score PASI par rapport à la semaine 33). Parmi les patients présentant une diminution de la réponse appropriée après la re-randomisation dans le groupe placebo et ensuite recrutés dans l’</w:t>
      </w:r>
      <w:r w:rsidR="008D7545" w:rsidRPr="0058432E">
        <w:rPr>
          <w:color w:val="000000" w:themeColor="text1"/>
        </w:rPr>
        <w:t>essai</w:t>
      </w:r>
      <w:r w:rsidRPr="0058432E">
        <w:rPr>
          <w:color w:val="000000" w:themeColor="text1"/>
        </w:rPr>
        <w:t xml:space="preserve"> d’extension en ouvert, 38 % (25/66) et 55 % (36/66) ont retrouvé une réponse PASI 75 au bout de respectivement 12 et 24 semaines</w:t>
      </w:r>
      <w:r w:rsidR="008D7545" w:rsidRPr="0058432E">
        <w:rPr>
          <w:color w:val="000000" w:themeColor="text1"/>
        </w:rPr>
        <w:t xml:space="preserve"> de retraitement</w:t>
      </w:r>
      <w:r w:rsidRPr="0058432E">
        <w:rPr>
          <w:color w:val="000000" w:themeColor="text1"/>
        </w:rPr>
        <w:t xml:space="preserve">. </w:t>
      </w:r>
    </w:p>
    <w:p w14:paraId="4E526360" w14:textId="77777777" w:rsidR="00C46587" w:rsidRPr="0058432E" w:rsidRDefault="00C46587" w:rsidP="00982118">
      <w:pPr>
        <w:rPr>
          <w:color w:val="000000" w:themeColor="text1"/>
        </w:rPr>
      </w:pPr>
    </w:p>
    <w:p w14:paraId="49BB3044" w14:textId="77777777" w:rsidR="00C46587" w:rsidRPr="0058432E" w:rsidRDefault="00C46587" w:rsidP="00982118">
      <w:pPr>
        <w:rPr>
          <w:color w:val="000000" w:themeColor="text1"/>
        </w:rPr>
      </w:pPr>
      <w:r w:rsidRPr="0058432E">
        <w:rPr>
          <w:color w:val="000000" w:themeColor="text1"/>
        </w:rPr>
        <w:t xml:space="preserve">Un total de 233 patients répondeurs PASI 75 à la semaine 16 et à la semaine 33 ont reçu un traitement en continu par adalimumab pendant 52 semaines dans l’étude I </w:t>
      </w:r>
      <w:r w:rsidR="008D7545" w:rsidRPr="0058432E">
        <w:rPr>
          <w:color w:val="000000" w:themeColor="text1"/>
        </w:rPr>
        <w:t xml:space="preserve">sur le psoriasis </w:t>
      </w:r>
      <w:r w:rsidRPr="0058432E">
        <w:rPr>
          <w:color w:val="000000" w:themeColor="text1"/>
        </w:rPr>
        <w:t>et ont poursuivi le traitement par adalimumab dans l’</w:t>
      </w:r>
      <w:r w:rsidR="008D7545" w:rsidRPr="0058432E">
        <w:rPr>
          <w:color w:val="000000" w:themeColor="text1"/>
        </w:rPr>
        <w:t>essai</w:t>
      </w:r>
      <w:r w:rsidRPr="0058432E">
        <w:rPr>
          <w:color w:val="000000" w:themeColor="text1"/>
        </w:rPr>
        <w:t xml:space="preserve"> d’extension en ouvert. Le taux de réponse PASI 75 et PGA clair ou minimal chez ces patients étaient respectivement de 74,7 % et 59,0 %, après 108 semaines supplémentaires de traitement en ouvert (total de 160 semaines). Dans une analyse où tous les patients sortis d’</w:t>
      </w:r>
      <w:r w:rsidR="008D7545" w:rsidRPr="0058432E">
        <w:rPr>
          <w:color w:val="000000" w:themeColor="text1"/>
        </w:rPr>
        <w:t>étude</w:t>
      </w:r>
      <w:r w:rsidRPr="0058432E">
        <w:rPr>
          <w:color w:val="000000" w:themeColor="text1"/>
        </w:rPr>
        <w:t xml:space="preserve"> pour effets indésirables ou pour manque d’efficacité ou pour lesquels la dose a été augmentée, ont été considérés comme non-répondeurs, le taux de réponse PASI 75 et PGA clair ou minimal chez ces patients étaient respectivement de 69,6 % et 55,7 %, après 108 semaines supplémentaires de traitement en ouvert (total de 160 semaines). </w:t>
      </w:r>
    </w:p>
    <w:p w14:paraId="2D378B1A" w14:textId="77777777" w:rsidR="00C46587" w:rsidRPr="0058432E" w:rsidRDefault="00C46587" w:rsidP="00982118">
      <w:pPr>
        <w:rPr>
          <w:color w:val="000000" w:themeColor="text1"/>
        </w:rPr>
      </w:pPr>
    </w:p>
    <w:p w14:paraId="46E03B96" w14:textId="77777777" w:rsidR="00C46587" w:rsidRPr="0058432E" w:rsidRDefault="00C46587" w:rsidP="00982118">
      <w:pPr>
        <w:rPr>
          <w:color w:val="000000" w:themeColor="text1"/>
        </w:rPr>
      </w:pPr>
      <w:r w:rsidRPr="0058432E">
        <w:rPr>
          <w:color w:val="000000" w:themeColor="text1"/>
        </w:rPr>
        <w:t xml:space="preserve">Un total de 347 patients répondeurs stables </w:t>
      </w:r>
      <w:proofErr w:type="gramStart"/>
      <w:r w:rsidRPr="0058432E">
        <w:rPr>
          <w:color w:val="000000" w:themeColor="text1"/>
        </w:rPr>
        <w:t>ont</w:t>
      </w:r>
      <w:proofErr w:type="gramEnd"/>
      <w:r w:rsidRPr="0058432E">
        <w:rPr>
          <w:color w:val="000000" w:themeColor="text1"/>
        </w:rPr>
        <w:t xml:space="preserve"> participé à une évaluation d’interruption de traitement et de retraitement dans une étude d’extension en ouvert. Durant la période d’interruption de traitement, les symptômes du psoriasis sont réapparus au cours du temps avec un délai médian de rechute (régression vers un PGA « modéré » ou plus sévère) d’environ 5 mois. Aucun patient n’a présenté de rebond durant la phase d’interruption de traitement. 76,5 % (218/285) des patients qui sont entrés dans la période de retraitement ont eu une réponse PGA « clair » ou « minimal » après 16 semaines de retraitement, indépendamment du fait qu’ils aient rechuté ou non durant l’interruption de traitement (69,1 % [123/178] pour les patients qui ont rechuté durant la période d’interruption et 88,8 % [95/107] pour les patients qui n’ont pas rechuté durant la période d’interruption). Un profil de </w:t>
      </w:r>
      <w:r w:rsidR="002D3129" w:rsidRPr="0058432E">
        <w:rPr>
          <w:color w:val="000000" w:themeColor="text1"/>
        </w:rPr>
        <w:t>tolérance</w:t>
      </w:r>
      <w:r w:rsidR="00554FE3" w:rsidRPr="0058432E">
        <w:rPr>
          <w:color w:val="000000" w:themeColor="text1"/>
        </w:rPr>
        <w:t xml:space="preserve"> </w:t>
      </w:r>
      <w:r w:rsidRPr="0058432E">
        <w:rPr>
          <w:color w:val="000000" w:themeColor="text1"/>
        </w:rPr>
        <w:t xml:space="preserve">similaire a été observé durant le retraitement et avant l’interruption de traitement. </w:t>
      </w:r>
    </w:p>
    <w:p w14:paraId="235ACCD9" w14:textId="77777777" w:rsidR="00C46587" w:rsidRPr="0058432E" w:rsidRDefault="00C46587" w:rsidP="00982118">
      <w:pPr>
        <w:rPr>
          <w:color w:val="000000" w:themeColor="text1"/>
        </w:rPr>
      </w:pPr>
    </w:p>
    <w:p w14:paraId="6D717520" w14:textId="77777777" w:rsidR="00C46587" w:rsidRPr="0058432E" w:rsidRDefault="00C46587" w:rsidP="00982118">
      <w:pPr>
        <w:rPr>
          <w:color w:val="000000" w:themeColor="text1"/>
        </w:rPr>
      </w:pPr>
      <w:r w:rsidRPr="0058432E">
        <w:rPr>
          <w:color w:val="000000" w:themeColor="text1"/>
        </w:rPr>
        <w:t>L’index dermatologique de qualité de vie DLQI (</w:t>
      </w:r>
      <w:r w:rsidRPr="0058432E">
        <w:rPr>
          <w:i/>
          <w:iCs/>
          <w:color w:val="000000" w:themeColor="text1"/>
        </w:rPr>
        <w:t>Dermatology Life Quality Index</w:t>
      </w:r>
      <w:r w:rsidRPr="0058432E">
        <w:rPr>
          <w:color w:val="000000" w:themeColor="text1"/>
        </w:rPr>
        <w:t>) a mis en évidence des améliorations significatives à la semaine 16 par rapport à l’inclusion, comparativement au placebo (études I et II) et au MTX (étude II). Dans l’étude I, les améliorations des scores résumés des composantes physiques et psychologiques du SF</w:t>
      </w:r>
      <w:r w:rsidRPr="0058432E">
        <w:rPr>
          <w:color w:val="000000" w:themeColor="text1"/>
        </w:rPr>
        <w:noBreakHyphen/>
        <w:t xml:space="preserve">36 étaient également significatives par rapport au placebo. </w:t>
      </w:r>
    </w:p>
    <w:p w14:paraId="34A733BA" w14:textId="77777777" w:rsidR="00C46587" w:rsidRPr="0058432E" w:rsidRDefault="00C46587" w:rsidP="00982118">
      <w:pPr>
        <w:rPr>
          <w:color w:val="000000" w:themeColor="text1"/>
        </w:rPr>
      </w:pPr>
    </w:p>
    <w:p w14:paraId="0D783E04" w14:textId="77777777" w:rsidR="00C46587" w:rsidRPr="0058432E" w:rsidRDefault="00C46587" w:rsidP="00982118">
      <w:pPr>
        <w:rPr>
          <w:color w:val="000000" w:themeColor="text1"/>
        </w:rPr>
      </w:pPr>
      <w:r w:rsidRPr="0058432E">
        <w:rPr>
          <w:color w:val="000000" w:themeColor="text1"/>
        </w:rPr>
        <w:t xml:space="preserve">Dans une étude d’extension en ouvert chez </w:t>
      </w:r>
      <w:r w:rsidR="00DF7121" w:rsidRPr="0058432E">
        <w:rPr>
          <w:color w:val="000000" w:themeColor="text1"/>
        </w:rPr>
        <w:t>d</w:t>
      </w:r>
      <w:r w:rsidRPr="0058432E">
        <w:rPr>
          <w:color w:val="000000" w:themeColor="text1"/>
        </w:rPr>
        <w:t xml:space="preserve">es patients ayant dû augmenter les doses (de 40 mg </w:t>
      </w:r>
      <w:r w:rsidR="001B430D" w:rsidRPr="0058432E">
        <w:rPr>
          <w:color w:val="000000" w:themeColor="text1"/>
        </w:rPr>
        <w:t>toutes les deux semaines</w:t>
      </w:r>
      <w:r w:rsidRPr="0058432E">
        <w:rPr>
          <w:color w:val="000000" w:themeColor="text1"/>
        </w:rPr>
        <w:t xml:space="preserve"> à 40 mg toutes les semaines) en raison d’une réponse PASI inférieure à 50 %, 26,4 % (92/349) et 37,8 % (132/349) des patients ont </w:t>
      </w:r>
      <w:r w:rsidR="00DF7121" w:rsidRPr="0058432E">
        <w:rPr>
          <w:color w:val="000000" w:themeColor="text1"/>
        </w:rPr>
        <w:t>obtenu</w:t>
      </w:r>
      <w:r w:rsidRPr="0058432E">
        <w:rPr>
          <w:color w:val="000000" w:themeColor="text1"/>
        </w:rPr>
        <w:t xml:space="preserve"> une réponse PASI 75 à la semaine</w:t>
      </w:r>
      <w:r w:rsidR="00D86A3A" w:rsidRPr="0058432E">
        <w:rPr>
          <w:color w:val="000000" w:themeColor="text1"/>
        </w:rPr>
        <w:t> </w:t>
      </w:r>
      <w:r w:rsidRPr="0058432E">
        <w:rPr>
          <w:color w:val="000000" w:themeColor="text1"/>
        </w:rPr>
        <w:t>12 et à la semaine</w:t>
      </w:r>
      <w:r w:rsidR="001434A4" w:rsidRPr="0058432E">
        <w:rPr>
          <w:color w:val="000000" w:themeColor="text1"/>
        </w:rPr>
        <w:t> </w:t>
      </w:r>
      <w:r w:rsidRPr="0058432E">
        <w:rPr>
          <w:color w:val="000000" w:themeColor="text1"/>
        </w:rPr>
        <w:t xml:space="preserve">24, respectivement. </w:t>
      </w:r>
    </w:p>
    <w:p w14:paraId="58EFD1F4" w14:textId="77777777" w:rsidR="00C46587" w:rsidRPr="0058432E" w:rsidRDefault="00C46587" w:rsidP="00982118">
      <w:pPr>
        <w:rPr>
          <w:color w:val="000000" w:themeColor="text1"/>
        </w:rPr>
      </w:pPr>
    </w:p>
    <w:p w14:paraId="035667D1" w14:textId="77777777" w:rsidR="00C46587" w:rsidRPr="0058432E" w:rsidRDefault="00C46587" w:rsidP="00982118">
      <w:pPr>
        <w:rPr>
          <w:color w:val="000000" w:themeColor="text1"/>
        </w:rPr>
      </w:pPr>
      <w:r w:rsidRPr="0058432E">
        <w:rPr>
          <w:color w:val="000000" w:themeColor="text1"/>
        </w:rPr>
        <w:t xml:space="preserve">L’étude III dans le psoriasis (REACH) a comparé l’efficacité et la </w:t>
      </w:r>
      <w:r w:rsidR="002D3129" w:rsidRPr="0058432E">
        <w:rPr>
          <w:color w:val="000000" w:themeColor="text1"/>
        </w:rPr>
        <w:t>tolérance</w:t>
      </w:r>
      <w:r w:rsidR="00526974" w:rsidRPr="0058432E">
        <w:rPr>
          <w:color w:val="000000" w:themeColor="text1"/>
        </w:rPr>
        <w:t xml:space="preserve"> </w:t>
      </w:r>
      <w:r w:rsidRPr="0058432E">
        <w:rPr>
          <w:color w:val="000000" w:themeColor="text1"/>
        </w:rPr>
        <w:t xml:space="preserve">de l’adalimumab </w:t>
      </w:r>
      <w:r w:rsidRPr="0058432E">
        <w:rPr>
          <w:i/>
          <w:color w:val="000000" w:themeColor="text1"/>
        </w:rPr>
        <w:t>versus</w:t>
      </w:r>
      <w:r w:rsidRPr="0058432E">
        <w:rPr>
          <w:color w:val="000000" w:themeColor="text1"/>
        </w:rPr>
        <w:t xml:space="preserve"> placebo chez 72</w:t>
      </w:r>
      <w:r w:rsidR="003F4BF3" w:rsidRPr="0058432E">
        <w:rPr>
          <w:color w:val="000000" w:themeColor="text1"/>
        </w:rPr>
        <w:t> </w:t>
      </w:r>
      <w:r w:rsidRPr="0058432E">
        <w:rPr>
          <w:color w:val="000000" w:themeColor="text1"/>
        </w:rPr>
        <w:t xml:space="preserve">patients présentant un </w:t>
      </w:r>
      <w:r w:rsidR="001F37F4" w:rsidRPr="0058432E">
        <w:rPr>
          <w:color w:val="000000" w:themeColor="text1"/>
        </w:rPr>
        <w:t xml:space="preserve">psoriasis en plaques chronique </w:t>
      </w:r>
      <w:r w:rsidRPr="0058432E">
        <w:rPr>
          <w:color w:val="000000" w:themeColor="text1"/>
        </w:rPr>
        <w:t xml:space="preserve">modéré à sévère avec une atteinte concomitante des mains et/ou des pieds. Les patients ont reçu une dose initiale de 80 mg d’adalimumab suivi par 40 mg toutes les </w:t>
      </w:r>
      <w:r w:rsidR="00BA7A54" w:rsidRPr="0058432E">
        <w:rPr>
          <w:color w:val="000000" w:themeColor="text1"/>
        </w:rPr>
        <w:t xml:space="preserve">deux </w:t>
      </w:r>
      <w:r w:rsidRPr="0058432E">
        <w:rPr>
          <w:color w:val="000000" w:themeColor="text1"/>
        </w:rPr>
        <w:t>semaines (en commençant une semaine après la dose initiale) ou le placebo pendant 16</w:t>
      </w:r>
      <w:r w:rsidR="005764C6" w:rsidRPr="0058432E">
        <w:rPr>
          <w:color w:val="000000" w:themeColor="text1"/>
        </w:rPr>
        <w:t> </w:t>
      </w:r>
      <w:r w:rsidRPr="0058432E">
        <w:rPr>
          <w:color w:val="000000" w:themeColor="text1"/>
        </w:rPr>
        <w:t>semaines. À la semaine</w:t>
      </w:r>
      <w:r w:rsidR="005764C6" w:rsidRPr="0058432E">
        <w:rPr>
          <w:color w:val="000000" w:themeColor="text1"/>
        </w:rPr>
        <w:t> </w:t>
      </w:r>
      <w:r w:rsidRPr="0058432E">
        <w:rPr>
          <w:color w:val="000000" w:themeColor="text1"/>
        </w:rPr>
        <w:t xml:space="preserve">16, une proportion statistiquement significative plus importante de patients ayant reçu l’adalimumab ont atteint un PGA « clair » ou « pratiquement clair » pour les mains et/ou les pieds par rapport à ceux qui ont reçu le placebo (30,6 % </w:t>
      </w:r>
      <w:r w:rsidRPr="0058432E">
        <w:rPr>
          <w:i/>
          <w:iCs/>
          <w:color w:val="000000" w:themeColor="text1"/>
        </w:rPr>
        <w:t>versus</w:t>
      </w:r>
      <w:r w:rsidRPr="0058432E">
        <w:rPr>
          <w:color w:val="000000" w:themeColor="text1"/>
        </w:rPr>
        <w:t xml:space="preserve"> 4,3 %, respectivement [</w:t>
      </w:r>
      <w:r w:rsidRPr="0058432E">
        <w:rPr>
          <w:i/>
          <w:iCs/>
          <w:color w:val="000000" w:themeColor="text1"/>
        </w:rPr>
        <w:t>p</w:t>
      </w:r>
      <w:r w:rsidRPr="0058432E">
        <w:rPr>
          <w:color w:val="000000" w:themeColor="text1"/>
        </w:rPr>
        <w:t xml:space="preserve"> = 0,014]). </w:t>
      </w:r>
    </w:p>
    <w:p w14:paraId="24D97F2A" w14:textId="77777777" w:rsidR="00C46587" w:rsidRPr="0058432E" w:rsidRDefault="00C46587" w:rsidP="00982118">
      <w:pPr>
        <w:rPr>
          <w:color w:val="000000" w:themeColor="text1"/>
        </w:rPr>
      </w:pPr>
    </w:p>
    <w:p w14:paraId="46F0379D" w14:textId="77777777" w:rsidR="00C46587" w:rsidRPr="0058432E" w:rsidRDefault="00C46587" w:rsidP="00982118">
      <w:pPr>
        <w:rPr>
          <w:color w:val="000000" w:themeColor="text1"/>
        </w:rPr>
      </w:pPr>
      <w:r w:rsidRPr="0058432E">
        <w:rPr>
          <w:color w:val="000000" w:themeColor="text1"/>
        </w:rPr>
        <w:t xml:space="preserve">L’étude IV dans le psoriasis a comparé l’efficacité et la </w:t>
      </w:r>
      <w:r w:rsidR="002D3129" w:rsidRPr="0058432E">
        <w:rPr>
          <w:color w:val="000000" w:themeColor="text1"/>
        </w:rPr>
        <w:t>tolérance</w:t>
      </w:r>
      <w:r w:rsidR="00526974" w:rsidRPr="0058432E">
        <w:rPr>
          <w:color w:val="000000" w:themeColor="text1"/>
        </w:rPr>
        <w:t xml:space="preserve"> </w:t>
      </w:r>
      <w:r w:rsidRPr="0058432E">
        <w:rPr>
          <w:color w:val="000000" w:themeColor="text1"/>
        </w:rPr>
        <w:t xml:space="preserve">de l’adalimumab versus placebo chez 217 patients adultes atteints de psoriasis unguéal modéré à sévère. Les patients ont reçu une dose initiale de 80 mg d’adalimumab, suivie par 40 mg toutes les deux semaines (en commençant une semaine après la dose initiale) ou un placebo pendant 26 semaines suivi d’un traitement par adalimumab en ouvert pendant 26 semaines supplémentaires. L’évaluation du psoriasis unguéal a été faite sur la base de l’indice modifié de sévérité du psoriasis unguéal (mNAPSI, </w:t>
      </w:r>
      <w:r w:rsidRPr="0058432E">
        <w:rPr>
          <w:i/>
          <w:iCs/>
          <w:color w:val="000000" w:themeColor="text1"/>
        </w:rPr>
        <w:t>Modified Nail Psoriasis Severity Index</w:t>
      </w:r>
      <w:r w:rsidRPr="0058432E">
        <w:rPr>
          <w:color w:val="000000" w:themeColor="text1"/>
        </w:rPr>
        <w:t xml:space="preserve">), de l’évaluation globale par le médecin de la sévérité du psoriasis des ongles des mains (PGA-F, </w:t>
      </w:r>
      <w:r w:rsidRPr="0058432E">
        <w:rPr>
          <w:i/>
          <w:iCs/>
          <w:color w:val="000000" w:themeColor="text1"/>
        </w:rPr>
        <w:t>Physician’s Global Assessment of Fingernail Psoriasis</w:t>
      </w:r>
      <w:r w:rsidRPr="0058432E">
        <w:rPr>
          <w:color w:val="000000" w:themeColor="text1"/>
        </w:rPr>
        <w:t xml:space="preserve">) et de l’indice de sévérité du psoriasis unguéal (NAPSI, </w:t>
      </w:r>
      <w:r w:rsidRPr="0058432E">
        <w:rPr>
          <w:i/>
          <w:iCs/>
          <w:color w:val="000000" w:themeColor="text1"/>
        </w:rPr>
        <w:t>Nail Psoriasis Severity Index</w:t>
      </w:r>
      <w:r w:rsidRPr="0058432E">
        <w:rPr>
          <w:color w:val="000000" w:themeColor="text1"/>
        </w:rPr>
        <w:t>) (voir tableau </w:t>
      </w:r>
      <w:r w:rsidR="008F4E17" w:rsidRPr="0058432E">
        <w:rPr>
          <w:color w:val="000000" w:themeColor="text1"/>
        </w:rPr>
        <w:t>14</w:t>
      </w:r>
      <w:r w:rsidRPr="0058432E">
        <w:rPr>
          <w:color w:val="000000" w:themeColor="text1"/>
        </w:rPr>
        <w:t>). L’adalimumab a démontré un bénéfice dans le traitement des patients atteints de psoriasis unguéal présentant différents degrés d’atteinte cutanée (</w:t>
      </w:r>
      <w:r w:rsidR="008D7545" w:rsidRPr="0058432E">
        <w:rPr>
          <w:color w:val="000000" w:themeColor="text1"/>
        </w:rPr>
        <w:t xml:space="preserve">atteinte de la surface corporelle </w:t>
      </w:r>
      <w:r w:rsidRPr="0058432E">
        <w:rPr>
          <w:color w:val="000000" w:themeColor="text1"/>
        </w:rPr>
        <w:t xml:space="preserve">≥ 10 % </w:t>
      </w:r>
      <w:r w:rsidR="00477470" w:rsidRPr="0058432E">
        <w:rPr>
          <w:color w:val="000000" w:themeColor="text1"/>
        </w:rPr>
        <w:t>[</w:t>
      </w:r>
      <w:r w:rsidRPr="0058432E">
        <w:rPr>
          <w:color w:val="000000" w:themeColor="text1"/>
        </w:rPr>
        <w:t>60 % des patients</w:t>
      </w:r>
      <w:r w:rsidR="00477470" w:rsidRPr="0058432E">
        <w:rPr>
          <w:color w:val="000000" w:themeColor="text1"/>
        </w:rPr>
        <w:t>]</w:t>
      </w:r>
      <w:r w:rsidRPr="0058432E">
        <w:rPr>
          <w:color w:val="000000" w:themeColor="text1"/>
        </w:rPr>
        <w:t xml:space="preserve"> et &lt; 10 % et ≥ 5 % </w:t>
      </w:r>
      <w:r w:rsidR="00477470" w:rsidRPr="0058432E">
        <w:rPr>
          <w:color w:val="000000" w:themeColor="text1"/>
        </w:rPr>
        <w:t>[</w:t>
      </w:r>
      <w:r w:rsidRPr="0058432E">
        <w:rPr>
          <w:color w:val="000000" w:themeColor="text1"/>
        </w:rPr>
        <w:t>40 % des patients</w:t>
      </w:r>
      <w:r w:rsidR="00477470" w:rsidRPr="0058432E">
        <w:rPr>
          <w:color w:val="000000" w:themeColor="text1"/>
        </w:rPr>
        <w:t>]</w:t>
      </w:r>
      <w:r w:rsidRPr="0058432E">
        <w:rPr>
          <w:color w:val="000000" w:themeColor="text1"/>
        </w:rPr>
        <w:t xml:space="preserve">). </w:t>
      </w:r>
    </w:p>
    <w:p w14:paraId="08925536" w14:textId="77777777" w:rsidR="00C46587" w:rsidRPr="0058432E" w:rsidRDefault="00C46587" w:rsidP="00982118">
      <w:pPr>
        <w:rPr>
          <w:color w:val="000000" w:themeColor="text1"/>
        </w:rPr>
      </w:pPr>
    </w:p>
    <w:p w14:paraId="70DB9D8E" w14:textId="77777777" w:rsidR="00C46587" w:rsidRPr="0058432E" w:rsidRDefault="00C46587" w:rsidP="00A53E17">
      <w:pPr>
        <w:keepNext/>
        <w:rPr>
          <w:b/>
          <w:color w:val="000000" w:themeColor="text1"/>
        </w:rPr>
      </w:pPr>
      <w:r w:rsidRPr="0058432E">
        <w:rPr>
          <w:b/>
          <w:color w:val="000000" w:themeColor="text1"/>
        </w:rPr>
        <w:lastRenderedPageBreak/>
        <w:t>Tableau </w:t>
      </w:r>
      <w:r w:rsidR="008F4E17" w:rsidRPr="0058432E">
        <w:rPr>
          <w:b/>
          <w:color w:val="000000" w:themeColor="text1"/>
        </w:rPr>
        <w:t>14</w:t>
      </w:r>
      <w:r w:rsidR="002A7CDF" w:rsidRPr="0058432E">
        <w:rPr>
          <w:b/>
          <w:color w:val="000000" w:themeColor="text1"/>
        </w:rPr>
        <w:t>.</w:t>
      </w:r>
    </w:p>
    <w:p w14:paraId="34383F7B" w14:textId="77777777" w:rsidR="00005E6C" w:rsidRPr="0058432E" w:rsidRDefault="00005E6C" w:rsidP="00A53E17">
      <w:pPr>
        <w:keepNext/>
        <w:rPr>
          <w:b/>
          <w:color w:val="000000" w:themeColor="text1"/>
        </w:rPr>
      </w:pPr>
      <w:r w:rsidRPr="0058432E">
        <w:rPr>
          <w:b/>
          <w:color w:val="000000" w:themeColor="text1"/>
        </w:rPr>
        <w:t>Étude IV sur le psoriasis — Résultats d’efficacité à 16, 26 et 52 semaines</w:t>
      </w:r>
    </w:p>
    <w:p w14:paraId="6CE824ED" w14:textId="77777777" w:rsidR="00005E6C" w:rsidRPr="0058432E" w:rsidRDefault="00005E6C" w:rsidP="00005E6C">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253"/>
        <w:gridCol w:w="1467"/>
        <w:gridCol w:w="1229"/>
        <w:gridCol w:w="1491"/>
        <w:gridCol w:w="1768"/>
      </w:tblGrid>
      <w:tr w:rsidR="00005E6C" w:rsidRPr="0058432E" w14:paraId="4FDC447B" w14:textId="77777777" w:rsidTr="00B51A46">
        <w:trPr>
          <w:cantSplit/>
          <w:tblHeader/>
        </w:trPr>
        <w:tc>
          <w:tcPr>
            <w:tcW w:w="1859" w:type="dxa"/>
            <w:vMerge w:val="restart"/>
            <w:tcBorders>
              <w:top w:val="single" w:sz="4" w:space="0" w:color="auto"/>
              <w:left w:val="single" w:sz="4" w:space="0" w:color="auto"/>
              <w:bottom w:val="single" w:sz="4" w:space="0" w:color="auto"/>
              <w:right w:val="single" w:sz="4" w:space="0" w:color="auto"/>
            </w:tcBorders>
            <w:hideMark/>
          </w:tcPr>
          <w:p w14:paraId="20DD90BC" w14:textId="77777777" w:rsidR="00005E6C" w:rsidRPr="0058432E" w:rsidRDefault="00005E6C" w:rsidP="00056F25">
            <w:pPr>
              <w:keepNext/>
              <w:rPr>
                <w:b/>
                <w:color w:val="000000" w:themeColor="text1"/>
              </w:rPr>
            </w:pPr>
            <w:r w:rsidRPr="0058432E">
              <w:rPr>
                <w:b/>
                <w:color w:val="000000" w:themeColor="text1"/>
              </w:rPr>
              <w:t>Critères</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6F0640DB" w14:textId="77777777" w:rsidR="00005E6C" w:rsidRPr="0058432E" w:rsidRDefault="00005E6C" w:rsidP="00056F25">
            <w:pPr>
              <w:keepNext/>
              <w:jc w:val="center"/>
              <w:rPr>
                <w:b/>
                <w:color w:val="000000" w:themeColor="text1"/>
              </w:rPr>
            </w:pPr>
            <w:r w:rsidRPr="0058432E">
              <w:rPr>
                <w:b/>
                <w:color w:val="000000" w:themeColor="text1"/>
              </w:rPr>
              <w:t>Semaine 16</w:t>
            </w:r>
          </w:p>
          <w:p w14:paraId="5DF2F31D" w14:textId="77777777" w:rsidR="00005E6C" w:rsidRPr="0058432E" w:rsidRDefault="00005E6C" w:rsidP="00056F25">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4C658C8E" w14:textId="77777777" w:rsidR="00005E6C" w:rsidRPr="0058432E" w:rsidRDefault="00005E6C" w:rsidP="00056F25">
            <w:pPr>
              <w:keepNext/>
              <w:jc w:val="center"/>
              <w:rPr>
                <w:b/>
                <w:color w:val="000000" w:themeColor="text1"/>
              </w:rPr>
            </w:pPr>
            <w:r w:rsidRPr="0058432E">
              <w:rPr>
                <w:b/>
                <w:color w:val="000000" w:themeColor="text1"/>
              </w:rPr>
              <w:t>Semaine 26</w:t>
            </w:r>
          </w:p>
          <w:p w14:paraId="6ECE0870" w14:textId="77777777" w:rsidR="00005E6C" w:rsidRPr="0058432E" w:rsidRDefault="00005E6C" w:rsidP="00056F25">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1770" w:type="dxa"/>
            <w:tcBorders>
              <w:top w:val="single" w:sz="4" w:space="0" w:color="auto"/>
              <w:left w:val="single" w:sz="4" w:space="0" w:color="auto"/>
              <w:bottom w:val="single" w:sz="4" w:space="0" w:color="auto"/>
              <w:right w:val="single" w:sz="4" w:space="0" w:color="auto"/>
            </w:tcBorders>
            <w:vAlign w:val="center"/>
            <w:hideMark/>
          </w:tcPr>
          <w:p w14:paraId="71269D42" w14:textId="77777777" w:rsidR="00005E6C" w:rsidRPr="0058432E" w:rsidRDefault="00005E6C" w:rsidP="00056F25">
            <w:pPr>
              <w:keepNext/>
              <w:jc w:val="center"/>
              <w:rPr>
                <w:b/>
                <w:color w:val="000000" w:themeColor="text1"/>
              </w:rPr>
            </w:pPr>
            <w:r w:rsidRPr="0058432E">
              <w:rPr>
                <w:b/>
                <w:color w:val="000000" w:themeColor="text1"/>
              </w:rPr>
              <w:t>Semaine 52</w:t>
            </w:r>
          </w:p>
          <w:p w14:paraId="716BCE75" w14:textId="77777777" w:rsidR="00005E6C" w:rsidRPr="0058432E" w:rsidRDefault="00005E6C" w:rsidP="00056F25">
            <w:pPr>
              <w:keepNext/>
              <w:jc w:val="center"/>
              <w:rPr>
                <w:b/>
                <w:color w:val="000000" w:themeColor="text1"/>
              </w:rPr>
            </w:pPr>
            <w:r w:rsidRPr="0058432E">
              <w:rPr>
                <w:b/>
                <w:color w:val="000000" w:themeColor="text1"/>
              </w:rPr>
              <w:t>Phase en ouvert</w:t>
            </w:r>
          </w:p>
        </w:tc>
      </w:tr>
      <w:tr w:rsidR="00005E6C" w:rsidRPr="0058432E" w14:paraId="70F8B95F" w14:textId="77777777" w:rsidTr="00B51A46">
        <w:trPr>
          <w:cantSplit/>
          <w:tblHeader/>
        </w:trPr>
        <w:tc>
          <w:tcPr>
            <w:tcW w:w="1859" w:type="dxa"/>
            <w:vMerge/>
            <w:tcBorders>
              <w:top w:val="single" w:sz="4" w:space="0" w:color="auto"/>
              <w:left w:val="single" w:sz="4" w:space="0" w:color="auto"/>
              <w:bottom w:val="single" w:sz="4" w:space="0" w:color="auto"/>
              <w:right w:val="single" w:sz="4" w:space="0" w:color="auto"/>
            </w:tcBorders>
          </w:tcPr>
          <w:p w14:paraId="503C04C4" w14:textId="77777777" w:rsidR="00005E6C" w:rsidRPr="0058432E" w:rsidRDefault="00005E6C" w:rsidP="00056F25">
            <w:pPr>
              <w:keepNext/>
              <w:jc w:val="center"/>
              <w:rPr>
                <w:b/>
                <w:color w:val="000000" w:themeColor="text1"/>
              </w:rPr>
            </w:pPr>
          </w:p>
        </w:tc>
        <w:tc>
          <w:tcPr>
            <w:tcW w:w="1255" w:type="dxa"/>
            <w:tcBorders>
              <w:top w:val="single" w:sz="4" w:space="0" w:color="auto"/>
              <w:left w:val="single" w:sz="4" w:space="0" w:color="auto"/>
              <w:bottom w:val="single" w:sz="4" w:space="0" w:color="auto"/>
              <w:right w:val="single" w:sz="4" w:space="0" w:color="auto"/>
            </w:tcBorders>
            <w:hideMark/>
          </w:tcPr>
          <w:p w14:paraId="298FA421" w14:textId="77777777" w:rsidR="00005E6C" w:rsidRPr="0058432E" w:rsidRDefault="00005E6C" w:rsidP="00056F25">
            <w:pPr>
              <w:keepNext/>
              <w:jc w:val="center"/>
              <w:rPr>
                <w:b/>
                <w:color w:val="000000" w:themeColor="text1"/>
              </w:rPr>
            </w:pPr>
            <w:r w:rsidRPr="0058432E">
              <w:rPr>
                <w:b/>
                <w:color w:val="000000" w:themeColor="text1"/>
              </w:rPr>
              <w:t>Placebo</w:t>
            </w:r>
          </w:p>
          <w:p w14:paraId="06984010" w14:textId="77777777" w:rsidR="00005E6C" w:rsidRPr="0058432E" w:rsidRDefault="00005E6C" w:rsidP="00056F25">
            <w:pPr>
              <w:keepNext/>
              <w:jc w:val="center"/>
              <w:rPr>
                <w:b/>
                <w:color w:val="000000" w:themeColor="text1"/>
              </w:rPr>
            </w:pPr>
            <w:r w:rsidRPr="0058432E">
              <w:rPr>
                <w:b/>
                <w:color w:val="000000" w:themeColor="text1"/>
              </w:rPr>
              <w:t>N = 108</w:t>
            </w:r>
          </w:p>
        </w:tc>
        <w:tc>
          <w:tcPr>
            <w:tcW w:w="1469" w:type="dxa"/>
            <w:tcBorders>
              <w:top w:val="single" w:sz="4" w:space="0" w:color="auto"/>
              <w:left w:val="single" w:sz="4" w:space="0" w:color="auto"/>
              <w:bottom w:val="single" w:sz="4" w:space="0" w:color="auto"/>
              <w:right w:val="single" w:sz="4" w:space="0" w:color="auto"/>
            </w:tcBorders>
            <w:hideMark/>
          </w:tcPr>
          <w:p w14:paraId="19DE5086" w14:textId="77777777" w:rsidR="00005E6C" w:rsidRPr="0058432E" w:rsidRDefault="00005E6C" w:rsidP="00056F25">
            <w:pPr>
              <w:keepNext/>
              <w:jc w:val="center"/>
              <w:rPr>
                <w:b/>
                <w:color w:val="000000" w:themeColor="text1"/>
              </w:rPr>
            </w:pPr>
            <w:r w:rsidRPr="0058432E">
              <w:rPr>
                <w:b/>
                <w:color w:val="000000" w:themeColor="text1"/>
              </w:rPr>
              <w:t>Adalimumab</w:t>
            </w:r>
          </w:p>
          <w:p w14:paraId="00C3ECB1" w14:textId="77777777" w:rsidR="00005E6C" w:rsidRPr="0058432E" w:rsidRDefault="00005E6C" w:rsidP="00056F25">
            <w:pPr>
              <w:keepNext/>
              <w:jc w:val="center"/>
              <w:rPr>
                <w:b/>
                <w:color w:val="000000" w:themeColor="text1"/>
              </w:rPr>
            </w:pPr>
            <w:r w:rsidRPr="0058432E">
              <w:rPr>
                <w:b/>
                <w:color w:val="000000" w:themeColor="text1"/>
              </w:rPr>
              <w:t xml:space="preserve">40 mg </w:t>
            </w:r>
            <w:r w:rsidR="00BA7A54" w:rsidRPr="0058432E">
              <w:rPr>
                <w:b/>
                <w:color w:val="000000" w:themeColor="text1"/>
              </w:rPr>
              <w:t>toutes les deux semaines</w:t>
            </w:r>
          </w:p>
          <w:p w14:paraId="775BE4C4" w14:textId="77777777" w:rsidR="00005E6C" w:rsidRPr="0058432E" w:rsidRDefault="00005E6C" w:rsidP="00056F25">
            <w:pPr>
              <w:keepNext/>
              <w:jc w:val="center"/>
              <w:rPr>
                <w:b/>
                <w:color w:val="000000" w:themeColor="text1"/>
              </w:rPr>
            </w:pPr>
            <w:r w:rsidRPr="0058432E">
              <w:rPr>
                <w:b/>
                <w:color w:val="000000" w:themeColor="text1"/>
              </w:rPr>
              <w:t>N = 109</w:t>
            </w:r>
          </w:p>
        </w:tc>
        <w:tc>
          <w:tcPr>
            <w:tcW w:w="1231" w:type="dxa"/>
            <w:tcBorders>
              <w:top w:val="single" w:sz="4" w:space="0" w:color="auto"/>
              <w:left w:val="single" w:sz="4" w:space="0" w:color="auto"/>
              <w:bottom w:val="single" w:sz="4" w:space="0" w:color="auto"/>
              <w:right w:val="single" w:sz="4" w:space="0" w:color="auto"/>
            </w:tcBorders>
            <w:hideMark/>
          </w:tcPr>
          <w:p w14:paraId="1B642253" w14:textId="77777777" w:rsidR="00005E6C" w:rsidRPr="0058432E" w:rsidRDefault="00005E6C" w:rsidP="00056F25">
            <w:pPr>
              <w:keepNext/>
              <w:jc w:val="center"/>
              <w:rPr>
                <w:b/>
                <w:color w:val="000000" w:themeColor="text1"/>
              </w:rPr>
            </w:pPr>
            <w:r w:rsidRPr="0058432E">
              <w:rPr>
                <w:b/>
                <w:color w:val="000000" w:themeColor="text1"/>
              </w:rPr>
              <w:t>Placebo</w:t>
            </w:r>
          </w:p>
          <w:p w14:paraId="6B85978D" w14:textId="77777777" w:rsidR="00005E6C" w:rsidRPr="0058432E" w:rsidRDefault="00005E6C" w:rsidP="00056F25">
            <w:pPr>
              <w:keepNext/>
              <w:jc w:val="center"/>
              <w:rPr>
                <w:b/>
                <w:color w:val="000000" w:themeColor="text1"/>
              </w:rPr>
            </w:pPr>
            <w:r w:rsidRPr="0058432E">
              <w:rPr>
                <w:b/>
                <w:color w:val="000000" w:themeColor="text1"/>
              </w:rPr>
              <w:t>N = 108</w:t>
            </w:r>
          </w:p>
        </w:tc>
        <w:tc>
          <w:tcPr>
            <w:tcW w:w="1493" w:type="dxa"/>
            <w:tcBorders>
              <w:top w:val="single" w:sz="4" w:space="0" w:color="auto"/>
              <w:left w:val="single" w:sz="4" w:space="0" w:color="auto"/>
              <w:bottom w:val="single" w:sz="4" w:space="0" w:color="auto"/>
              <w:right w:val="single" w:sz="4" w:space="0" w:color="auto"/>
            </w:tcBorders>
            <w:hideMark/>
          </w:tcPr>
          <w:p w14:paraId="7F13EE69" w14:textId="77777777" w:rsidR="00005E6C" w:rsidRPr="0058432E" w:rsidRDefault="00005E6C" w:rsidP="00056F25">
            <w:pPr>
              <w:keepNext/>
              <w:jc w:val="center"/>
              <w:rPr>
                <w:b/>
                <w:color w:val="000000" w:themeColor="text1"/>
              </w:rPr>
            </w:pPr>
            <w:r w:rsidRPr="0058432E">
              <w:rPr>
                <w:b/>
                <w:color w:val="000000" w:themeColor="text1"/>
              </w:rPr>
              <w:t>Adalimumab</w:t>
            </w:r>
          </w:p>
          <w:p w14:paraId="3AAE2B74" w14:textId="77777777" w:rsidR="00005E6C" w:rsidRPr="0058432E" w:rsidRDefault="00005E6C" w:rsidP="00056F25">
            <w:pPr>
              <w:keepNext/>
              <w:jc w:val="center"/>
              <w:rPr>
                <w:b/>
                <w:color w:val="000000" w:themeColor="text1"/>
              </w:rPr>
            </w:pPr>
            <w:r w:rsidRPr="0058432E">
              <w:rPr>
                <w:b/>
                <w:color w:val="000000" w:themeColor="text1"/>
              </w:rPr>
              <w:t xml:space="preserve">40 mg </w:t>
            </w:r>
            <w:r w:rsidR="00BA7A54" w:rsidRPr="0058432E">
              <w:rPr>
                <w:b/>
                <w:color w:val="000000" w:themeColor="text1"/>
              </w:rPr>
              <w:t>toutes les deux semaines</w:t>
            </w:r>
          </w:p>
          <w:p w14:paraId="46C5DDFA" w14:textId="77777777" w:rsidR="00005E6C" w:rsidRPr="0058432E" w:rsidRDefault="00005E6C" w:rsidP="00056F25">
            <w:pPr>
              <w:keepNext/>
              <w:jc w:val="center"/>
              <w:rPr>
                <w:b/>
                <w:color w:val="000000" w:themeColor="text1"/>
              </w:rPr>
            </w:pPr>
            <w:r w:rsidRPr="0058432E">
              <w:rPr>
                <w:b/>
                <w:color w:val="000000" w:themeColor="text1"/>
              </w:rPr>
              <w:t>N = 109</w:t>
            </w:r>
          </w:p>
        </w:tc>
        <w:tc>
          <w:tcPr>
            <w:tcW w:w="1770" w:type="dxa"/>
            <w:tcBorders>
              <w:top w:val="single" w:sz="4" w:space="0" w:color="auto"/>
              <w:left w:val="single" w:sz="4" w:space="0" w:color="auto"/>
              <w:bottom w:val="single" w:sz="4" w:space="0" w:color="auto"/>
              <w:right w:val="single" w:sz="4" w:space="0" w:color="auto"/>
            </w:tcBorders>
            <w:hideMark/>
          </w:tcPr>
          <w:p w14:paraId="2FE19BAF" w14:textId="77777777" w:rsidR="00005E6C" w:rsidRPr="0058432E" w:rsidRDefault="00005E6C" w:rsidP="00056F25">
            <w:pPr>
              <w:keepNext/>
              <w:jc w:val="center"/>
              <w:rPr>
                <w:b/>
                <w:color w:val="000000" w:themeColor="text1"/>
              </w:rPr>
            </w:pPr>
            <w:r w:rsidRPr="0058432E">
              <w:rPr>
                <w:b/>
                <w:color w:val="000000" w:themeColor="text1"/>
              </w:rPr>
              <w:t>Adalimumab</w:t>
            </w:r>
          </w:p>
          <w:p w14:paraId="7D1E5692" w14:textId="77777777" w:rsidR="00005E6C" w:rsidRPr="0058432E" w:rsidRDefault="00005E6C" w:rsidP="00056F25">
            <w:pPr>
              <w:keepNext/>
              <w:jc w:val="center"/>
              <w:rPr>
                <w:b/>
                <w:color w:val="000000" w:themeColor="text1"/>
              </w:rPr>
            </w:pPr>
            <w:r w:rsidRPr="0058432E">
              <w:rPr>
                <w:b/>
                <w:color w:val="000000" w:themeColor="text1"/>
              </w:rPr>
              <w:t xml:space="preserve">40 mg </w:t>
            </w:r>
            <w:r w:rsidR="00BA7A54" w:rsidRPr="0058432E">
              <w:rPr>
                <w:b/>
                <w:color w:val="000000" w:themeColor="text1"/>
              </w:rPr>
              <w:t>toutes les deux semaines</w:t>
            </w:r>
          </w:p>
          <w:p w14:paraId="0FEC229E" w14:textId="77777777" w:rsidR="00005E6C" w:rsidRPr="0058432E" w:rsidRDefault="00005E6C" w:rsidP="00056F25">
            <w:pPr>
              <w:keepNext/>
              <w:jc w:val="center"/>
              <w:rPr>
                <w:b/>
                <w:color w:val="000000" w:themeColor="text1"/>
              </w:rPr>
            </w:pPr>
            <w:r w:rsidRPr="0058432E">
              <w:rPr>
                <w:b/>
                <w:color w:val="000000" w:themeColor="text1"/>
              </w:rPr>
              <w:t>N = 80</w:t>
            </w:r>
          </w:p>
        </w:tc>
      </w:tr>
      <w:tr w:rsidR="00005E6C" w:rsidRPr="0058432E" w14:paraId="6395A521"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10EC77A3" w14:textId="77777777" w:rsidR="00005E6C" w:rsidRPr="0058432E" w:rsidRDefault="00005E6C" w:rsidP="00056F25">
            <w:pPr>
              <w:keepNext/>
              <w:rPr>
                <w:color w:val="000000" w:themeColor="text1"/>
              </w:rPr>
            </w:pPr>
            <w:r w:rsidRPr="0058432E">
              <w:rPr>
                <w:color w:val="000000" w:themeColor="text1"/>
              </w:rPr>
              <w:sym w:font="Symbol" w:char="F0B3"/>
            </w:r>
            <w:r w:rsidRPr="0058432E">
              <w:rPr>
                <w:color w:val="000000" w:themeColor="text1"/>
              </w:rPr>
              <w:t> </w:t>
            </w:r>
            <w:proofErr w:type="gramStart"/>
            <w:r w:rsidRPr="0058432E">
              <w:rPr>
                <w:color w:val="000000" w:themeColor="text1"/>
              </w:rPr>
              <w:t>mNAPSI</w:t>
            </w:r>
            <w:proofErr w:type="gramEnd"/>
            <w:r w:rsidRPr="0058432E">
              <w:rPr>
                <w:color w:val="000000" w:themeColor="text1"/>
              </w:rPr>
              <w:t> 75 (%)</w:t>
            </w:r>
          </w:p>
        </w:tc>
        <w:tc>
          <w:tcPr>
            <w:tcW w:w="1255" w:type="dxa"/>
            <w:tcBorders>
              <w:top w:val="single" w:sz="4" w:space="0" w:color="auto"/>
              <w:left w:val="single" w:sz="4" w:space="0" w:color="auto"/>
              <w:bottom w:val="single" w:sz="4" w:space="0" w:color="auto"/>
              <w:right w:val="single" w:sz="4" w:space="0" w:color="auto"/>
            </w:tcBorders>
            <w:hideMark/>
          </w:tcPr>
          <w:p w14:paraId="5AB66116" w14:textId="77777777" w:rsidR="00005E6C" w:rsidRPr="0058432E" w:rsidRDefault="00005E6C" w:rsidP="00056F25">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21B75DAA" w14:textId="77777777" w:rsidR="00005E6C" w:rsidRPr="0058432E" w:rsidRDefault="00005E6C" w:rsidP="00056F25">
            <w:pPr>
              <w:keepNext/>
              <w:jc w:val="center"/>
              <w:rPr>
                <w:color w:val="000000" w:themeColor="text1"/>
              </w:rPr>
            </w:pPr>
            <w:r w:rsidRPr="0058432E">
              <w:rPr>
                <w:color w:val="000000" w:themeColor="text1"/>
              </w:rPr>
              <w:t>26,0</w:t>
            </w:r>
            <w:r w:rsidRPr="0058432E">
              <w:rPr>
                <w:color w:val="000000" w:themeColor="text1"/>
                <w:vertAlign w:val="superscript"/>
              </w:rPr>
              <w:t>a</w:t>
            </w:r>
          </w:p>
        </w:tc>
        <w:tc>
          <w:tcPr>
            <w:tcW w:w="1231" w:type="dxa"/>
            <w:tcBorders>
              <w:top w:val="single" w:sz="4" w:space="0" w:color="auto"/>
              <w:left w:val="single" w:sz="4" w:space="0" w:color="auto"/>
              <w:bottom w:val="single" w:sz="4" w:space="0" w:color="auto"/>
              <w:right w:val="single" w:sz="4" w:space="0" w:color="auto"/>
            </w:tcBorders>
            <w:hideMark/>
          </w:tcPr>
          <w:p w14:paraId="1290FFFA" w14:textId="77777777" w:rsidR="00005E6C" w:rsidRPr="0058432E" w:rsidRDefault="00005E6C" w:rsidP="00056F25">
            <w:pPr>
              <w:keepNext/>
              <w:jc w:val="center"/>
              <w:rPr>
                <w:color w:val="000000" w:themeColor="text1"/>
              </w:rPr>
            </w:pPr>
            <w:r w:rsidRPr="0058432E">
              <w:rPr>
                <w:color w:val="000000" w:themeColor="text1"/>
              </w:rPr>
              <w:t>3,4</w:t>
            </w:r>
          </w:p>
        </w:tc>
        <w:tc>
          <w:tcPr>
            <w:tcW w:w="1493" w:type="dxa"/>
            <w:tcBorders>
              <w:top w:val="single" w:sz="4" w:space="0" w:color="auto"/>
              <w:left w:val="single" w:sz="4" w:space="0" w:color="auto"/>
              <w:bottom w:val="single" w:sz="4" w:space="0" w:color="auto"/>
              <w:right w:val="single" w:sz="4" w:space="0" w:color="auto"/>
            </w:tcBorders>
            <w:hideMark/>
          </w:tcPr>
          <w:p w14:paraId="5FB8DCA8" w14:textId="77777777" w:rsidR="00005E6C" w:rsidRPr="0058432E" w:rsidRDefault="00005E6C" w:rsidP="00056F25">
            <w:pPr>
              <w:keepNext/>
              <w:jc w:val="center"/>
              <w:rPr>
                <w:color w:val="000000" w:themeColor="text1"/>
              </w:rPr>
            </w:pPr>
            <w:r w:rsidRPr="0058432E">
              <w:rPr>
                <w:color w:val="000000" w:themeColor="text1"/>
              </w:rPr>
              <w:t>46,6</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51F5F3C5" w14:textId="77777777" w:rsidR="00005E6C" w:rsidRPr="0058432E" w:rsidRDefault="00005E6C" w:rsidP="00056F25">
            <w:pPr>
              <w:keepNext/>
              <w:jc w:val="center"/>
              <w:rPr>
                <w:color w:val="000000" w:themeColor="text1"/>
              </w:rPr>
            </w:pPr>
            <w:r w:rsidRPr="0058432E">
              <w:rPr>
                <w:color w:val="000000" w:themeColor="text1"/>
              </w:rPr>
              <w:t>65,0</w:t>
            </w:r>
          </w:p>
        </w:tc>
      </w:tr>
      <w:tr w:rsidR="00005E6C" w:rsidRPr="0058432E" w14:paraId="16F8E88B"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7EECD7A6" w14:textId="77777777" w:rsidR="00005E6C" w:rsidRPr="0058432E" w:rsidRDefault="00005E6C" w:rsidP="00056F25">
            <w:pPr>
              <w:keepNext/>
              <w:rPr>
                <w:color w:val="000000" w:themeColor="text1"/>
              </w:rPr>
            </w:pPr>
            <w:r w:rsidRPr="0058432E">
              <w:rPr>
                <w:color w:val="000000" w:themeColor="text1"/>
              </w:rPr>
              <w:t>PGA</w:t>
            </w:r>
            <w:r w:rsidRPr="0058432E">
              <w:rPr>
                <w:color w:val="000000" w:themeColor="text1"/>
              </w:rPr>
              <w:noBreakHyphen/>
              <w:t xml:space="preserve">F clair/minimal et </w:t>
            </w:r>
            <w:r w:rsidRPr="0058432E">
              <w:rPr>
                <w:color w:val="000000" w:themeColor="text1"/>
              </w:rPr>
              <w:sym w:font="Symbol" w:char="F0B3"/>
            </w:r>
            <w:r w:rsidRPr="0058432E">
              <w:rPr>
                <w:color w:val="000000" w:themeColor="text1"/>
              </w:rPr>
              <w:t> 2</w:t>
            </w:r>
            <w:r w:rsidRPr="0058432E">
              <w:rPr>
                <w:color w:val="000000" w:themeColor="text1"/>
              </w:rPr>
              <w:noBreakHyphen/>
              <w:t>grade d’amélioration (%)</w:t>
            </w:r>
          </w:p>
        </w:tc>
        <w:tc>
          <w:tcPr>
            <w:tcW w:w="1255" w:type="dxa"/>
            <w:tcBorders>
              <w:top w:val="single" w:sz="4" w:space="0" w:color="auto"/>
              <w:left w:val="single" w:sz="4" w:space="0" w:color="auto"/>
              <w:bottom w:val="single" w:sz="4" w:space="0" w:color="auto"/>
              <w:right w:val="single" w:sz="4" w:space="0" w:color="auto"/>
            </w:tcBorders>
            <w:hideMark/>
          </w:tcPr>
          <w:p w14:paraId="5F19F463" w14:textId="77777777" w:rsidR="00005E6C" w:rsidRPr="0058432E" w:rsidRDefault="00005E6C" w:rsidP="00056F25">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01C16830" w14:textId="77777777" w:rsidR="00005E6C" w:rsidRPr="0058432E" w:rsidRDefault="00005E6C" w:rsidP="00056F25">
            <w:pPr>
              <w:keepNext/>
              <w:jc w:val="center"/>
              <w:rPr>
                <w:color w:val="000000" w:themeColor="text1"/>
              </w:rPr>
            </w:pPr>
            <w:r w:rsidRPr="0058432E">
              <w:rPr>
                <w:color w:val="000000" w:themeColor="text1"/>
              </w:rPr>
              <w:t>29,7</w:t>
            </w:r>
            <w:r w:rsidRPr="0058432E">
              <w:rPr>
                <w:color w:val="000000" w:themeColor="text1"/>
                <w:vertAlign w:val="superscript"/>
              </w:rPr>
              <w:t>a</w:t>
            </w:r>
          </w:p>
        </w:tc>
        <w:tc>
          <w:tcPr>
            <w:tcW w:w="1231" w:type="dxa"/>
            <w:tcBorders>
              <w:top w:val="single" w:sz="4" w:space="0" w:color="auto"/>
              <w:left w:val="single" w:sz="4" w:space="0" w:color="auto"/>
              <w:bottom w:val="single" w:sz="4" w:space="0" w:color="auto"/>
              <w:right w:val="single" w:sz="4" w:space="0" w:color="auto"/>
            </w:tcBorders>
            <w:hideMark/>
          </w:tcPr>
          <w:p w14:paraId="73C6B454" w14:textId="77777777" w:rsidR="00005E6C" w:rsidRPr="0058432E" w:rsidRDefault="00005E6C" w:rsidP="00056F25">
            <w:pPr>
              <w:keepNext/>
              <w:jc w:val="center"/>
              <w:rPr>
                <w:color w:val="000000" w:themeColor="text1"/>
              </w:rPr>
            </w:pPr>
            <w:r w:rsidRPr="0058432E">
              <w:rPr>
                <w:color w:val="000000" w:themeColor="text1"/>
              </w:rPr>
              <w:t>6,9</w:t>
            </w:r>
          </w:p>
        </w:tc>
        <w:tc>
          <w:tcPr>
            <w:tcW w:w="1493" w:type="dxa"/>
            <w:tcBorders>
              <w:top w:val="single" w:sz="4" w:space="0" w:color="auto"/>
              <w:left w:val="single" w:sz="4" w:space="0" w:color="auto"/>
              <w:bottom w:val="single" w:sz="4" w:space="0" w:color="auto"/>
              <w:right w:val="single" w:sz="4" w:space="0" w:color="auto"/>
            </w:tcBorders>
            <w:hideMark/>
          </w:tcPr>
          <w:p w14:paraId="2900F1E1" w14:textId="77777777" w:rsidR="00005E6C" w:rsidRPr="0058432E" w:rsidRDefault="00005E6C" w:rsidP="00056F25">
            <w:pPr>
              <w:keepNext/>
              <w:jc w:val="center"/>
              <w:rPr>
                <w:color w:val="000000" w:themeColor="text1"/>
              </w:rPr>
            </w:pPr>
            <w:r w:rsidRPr="0058432E">
              <w:rPr>
                <w:color w:val="000000" w:themeColor="text1"/>
              </w:rPr>
              <w:t>48,9</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244C1CC8" w14:textId="77777777" w:rsidR="00005E6C" w:rsidRPr="0058432E" w:rsidRDefault="00005E6C" w:rsidP="00056F25">
            <w:pPr>
              <w:keepNext/>
              <w:jc w:val="center"/>
              <w:rPr>
                <w:color w:val="000000" w:themeColor="text1"/>
              </w:rPr>
            </w:pPr>
            <w:r w:rsidRPr="0058432E">
              <w:rPr>
                <w:color w:val="000000" w:themeColor="text1"/>
              </w:rPr>
              <w:t>61,3</w:t>
            </w:r>
          </w:p>
        </w:tc>
      </w:tr>
      <w:tr w:rsidR="00005E6C" w:rsidRPr="0058432E" w14:paraId="4078343A"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65FDE5B3" w14:textId="77777777" w:rsidR="00005E6C" w:rsidRPr="0058432E" w:rsidRDefault="00005E6C" w:rsidP="00056F25">
            <w:pPr>
              <w:keepNext/>
              <w:rPr>
                <w:color w:val="000000" w:themeColor="text1"/>
              </w:rPr>
            </w:pPr>
            <w:r w:rsidRPr="0058432E">
              <w:rPr>
                <w:color w:val="000000" w:themeColor="text1"/>
              </w:rPr>
              <w:t>Pourcentage de variation du NAPSI des ongles des mains total (%)</w:t>
            </w:r>
          </w:p>
        </w:tc>
        <w:tc>
          <w:tcPr>
            <w:tcW w:w="1255" w:type="dxa"/>
            <w:tcBorders>
              <w:top w:val="single" w:sz="4" w:space="0" w:color="auto"/>
              <w:left w:val="single" w:sz="4" w:space="0" w:color="auto"/>
              <w:bottom w:val="single" w:sz="4" w:space="0" w:color="auto"/>
              <w:right w:val="single" w:sz="4" w:space="0" w:color="auto"/>
            </w:tcBorders>
            <w:hideMark/>
          </w:tcPr>
          <w:p w14:paraId="5861EFA0" w14:textId="77777777" w:rsidR="00005E6C" w:rsidRPr="0058432E" w:rsidRDefault="00005E6C" w:rsidP="00056F25">
            <w:pPr>
              <w:keepNext/>
              <w:jc w:val="center"/>
              <w:rPr>
                <w:color w:val="000000" w:themeColor="text1"/>
              </w:rPr>
            </w:pPr>
            <w:r w:rsidRPr="0058432E">
              <w:rPr>
                <w:color w:val="000000" w:themeColor="text1"/>
              </w:rPr>
              <w:t>-7,8</w:t>
            </w:r>
          </w:p>
        </w:tc>
        <w:tc>
          <w:tcPr>
            <w:tcW w:w="1469" w:type="dxa"/>
            <w:tcBorders>
              <w:top w:val="single" w:sz="4" w:space="0" w:color="auto"/>
              <w:left w:val="single" w:sz="4" w:space="0" w:color="auto"/>
              <w:bottom w:val="single" w:sz="4" w:space="0" w:color="auto"/>
              <w:right w:val="single" w:sz="4" w:space="0" w:color="auto"/>
            </w:tcBorders>
            <w:hideMark/>
          </w:tcPr>
          <w:p w14:paraId="4032A0AC" w14:textId="77777777" w:rsidR="00005E6C" w:rsidRPr="0058432E" w:rsidRDefault="00005E6C" w:rsidP="00056F25">
            <w:pPr>
              <w:keepNext/>
              <w:jc w:val="center"/>
              <w:rPr>
                <w:color w:val="000000" w:themeColor="text1"/>
              </w:rPr>
            </w:pPr>
            <w:r w:rsidRPr="0058432E">
              <w:rPr>
                <w:color w:val="000000" w:themeColor="text1"/>
              </w:rPr>
              <w:t>-44,2</w:t>
            </w:r>
            <w:r w:rsidRPr="0058432E">
              <w:rPr>
                <w:color w:val="000000" w:themeColor="text1"/>
                <w:vertAlign w:val="superscript"/>
              </w:rPr>
              <w:t>a</w:t>
            </w:r>
          </w:p>
        </w:tc>
        <w:tc>
          <w:tcPr>
            <w:tcW w:w="1231" w:type="dxa"/>
            <w:tcBorders>
              <w:top w:val="single" w:sz="4" w:space="0" w:color="auto"/>
              <w:left w:val="single" w:sz="4" w:space="0" w:color="auto"/>
              <w:bottom w:val="single" w:sz="4" w:space="0" w:color="auto"/>
              <w:right w:val="single" w:sz="4" w:space="0" w:color="auto"/>
            </w:tcBorders>
            <w:hideMark/>
          </w:tcPr>
          <w:p w14:paraId="714AAE43" w14:textId="77777777" w:rsidR="00005E6C" w:rsidRPr="0058432E" w:rsidRDefault="00005E6C" w:rsidP="00056F25">
            <w:pPr>
              <w:keepNext/>
              <w:jc w:val="center"/>
              <w:rPr>
                <w:color w:val="000000" w:themeColor="text1"/>
              </w:rPr>
            </w:pPr>
            <w:r w:rsidRPr="0058432E">
              <w:rPr>
                <w:color w:val="000000" w:themeColor="text1"/>
              </w:rPr>
              <w:t>-11,5</w:t>
            </w:r>
          </w:p>
        </w:tc>
        <w:tc>
          <w:tcPr>
            <w:tcW w:w="1493" w:type="dxa"/>
            <w:tcBorders>
              <w:top w:val="single" w:sz="4" w:space="0" w:color="auto"/>
              <w:left w:val="single" w:sz="4" w:space="0" w:color="auto"/>
              <w:bottom w:val="single" w:sz="4" w:space="0" w:color="auto"/>
              <w:right w:val="single" w:sz="4" w:space="0" w:color="auto"/>
            </w:tcBorders>
            <w:hideMark/>
          </w:tcPr>
          <w:p w14:paraId="590C40FE" w14:textId="77777777" w:rsidR="00005E6C" w:rsidRPr="0058432E" w:rsidRDefault="00005E6C" w:rsidP="00056F25">
            <w:pPr>
              <w:keepNext/>
              <w:jc w:val="center"/>
              <w:rPr>
                <w:color w:val="000000" w:themeColor="text1"/>
              </w:rPr>
            </w:pPr>
            <w:r w:rsidRPr="0058432E">
              <w:rPr>
                <w:color w:val="000000" w:themeColor="text1"/>
              </w:rPr>
              <w:t>-56,2</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46262578" w14:textId="77777777" w:rsidR="00005E6C" w:rsidRPr="0058432E" w:rsidRDefault="00005E6C" w:rsidP="00056F25">
            <w:pPr>
              <w:keepNext/>
              <w:jc w:val="center"/>
              <w:rPr>
                <w:color w:val="000000" w:themeColor="text1"/>
              </w:rPr>
            </w:pPr>
            <w:r w:rsidRPr="0058432E">
              <w:rPr>
                <w:color w:val="000000" w:themeColor="text1"/>
              </w:rPr>
              <w:t>-72,2</w:t>
            </w:r>
          </w:p>
        </w:tc>
      </w:tr>
      <w:tr w:rsidR="00081A6C" w:rsidRPr="0058432E" w14:paraId="4B3E4998" w14:textId="77777777" w:rsidTr="00B51A46">
        <w:trPr>
          <w:cantSplit/>
        </w:trPr>
        <w:tc>
          <w:tcPr>
            <w:tcW w:w="9077" w:type="dxa"/>
            <w:gridSpan w:val="6"/>
            <w:tcBorders>
              <w:top w:val="single" w:sz="4" w:space="0" w:color="auto"/>
              <w:left w:val="nil"/>
              <w:bottom w:val="nil"/>
              <w:right w:val="nil"/>
            </w:tcBorders>
          </w:tcPr>
          <w:p w14:paraId="5E78616C" w14:textId="77777777" w:rsidR="00081A6C" w:rsidRPr="0058432E" w:rsidRDefault="00081A6C" w:rsidP="00081A6C">
            <w:pPr>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 xml:space="preserve"> </w:t>
            </w:r>
            <w:r w:rsidRPr="0058432E">
              <w:rPr>
                <w:color w:val="000000" w:themeColor="text1"/>
                <w:sz w:val="20"/>
                <w:szCs w:val="20"/>
              </w:rPr>
              <w:tab/>
              <w:t xml:space="preserve">p &lt; 0,001 adalimumab </w:t>
            </w:r>
            <w:r w:rsidRPr="0058432E">
              <w:rPr>
                <w:i/>
                <w:color w:val="000000" w:themeColor="text1"/>
                <w:sz w:val="20"/>
                <w:szCs w:val="20"/>
              </w:rPr>
              <w:t>vs.</w:t>
            </w:r>
            <w:r w:rsidRPr="0058432E">
              <w:rPr>
                <w:color w:val="000000" w:themeColor="text1"/>
                <w:sz w:val="20"/>
                <w:szCs w:val="20"/>
              </w:rPr>
              <w:t xml:space="preserve"> </w:t>
            </w:r>
            <w:proofErr w:type="gramStart"/>
            <w:r w:rsidRPr="0058432E">
              <w:rPr>
                <w:color w:val="000000" w:themeColor="text1"/>
                <w:sz w:val="20"/>
                <w:szCs w:val="20"/>
              </w:rPr>
              <w:t>placebo</w:t>
            </w:r>
            <w:proofErr w:type="gramEnd"/>
          </w:p>
        </w:tc>
      </w:tr>
    </w:tbl>
    <w:p w14:paraId="2F9A327F" w14:textId="77777777" w:rsidR="00C46587" w:rsidRPr="0058432E" w:rsidRDefault="00C46587" w:rsidP="00982118">
      <w:pPr>
        <w:rPr>
          <w:color w:val="000000" w:themeColor="text1"/>
        </w:rPr>
      </w:pPr>
    </w:p>
    <w:p w14:paraId="499009A7" w14:textId="77777777" w:rsidR="00C46587" w:rsidRPr="0058432E" w:rsidRDefault="005A4709" w:rsidP="00982118">
      <w:pPr>
        <w:rPr>
          <w:color w:val="000000" w:themeColor="text1"/>
        </w:rPr>
      </w:pPr>
      <w:r w:rsidRPr="0058432E">
        <w:rPr>
          <w:color w:val="000000" w:themeColor="text1"/>
        </w:rPr>
        <w:t xml:space="preserve">Les patients traités par adalimumab ont montré des améliorations statistiquement significatives du DLQI à la semaine 26 par rapport au placebo. </w:t>
      </w:r>
    </w:p>
    <w:p w14:paraId="35CF2B81" w14:textId="77777777" w:rsidR="00C46587" w:rsidRPr="0058432E" w:rsidRDefault="00C46587" w:rsidP="00982118">
      <w:pPr>
        <w:rPr>
          <w:color w:val="000000" w:themeColor="text1"/>
        </w:rPr>
      </w:pPr>
    </w:p>
    <w:p w14:paraId="67C4B38D" w14:textId="77777777" w:rsidR="00C46587" w:rsidRPr="0058432E" w:rsidRDefault="00C46587" w:rsidP="00982118">
      <w:pPr>
        <w:keepNext/>
        <w:rPr>
          <w:i/>
          <w:color w:val="000000" w:themeColor="text1"/>
        </w:rPr>
      </w:pPr>
      <w:r w:rsidRPr="0058432E">
        <w:rPr>
          <w:i/>
          <w:color w:val="000000" w:themeColor="text1"/>
        </w:rPr>
        <w:t xml:space="preserve">Hidrosadénite suppurée de l’adulte </w:t>
      </w:r>
    </w:p>
    <w:p w14:paraId="00291134" w14:textId="77777777" w:rsidR="00C46587" w:rsidRPr="0058432E" w:rsidRDefault="00C46587" w:rsidP="00982118">
      <w:pPr>
        <w:keepNext/>
        <w:rPr>
          <w:color w:val="000000" w:themeColor="text1"/>
        </w:rPr>
      </w:pPr>
    </w:p>
    <w:p w14:paraId="4285975C" w14:textId="77777777" w:rsidR="00C46587" w:rsidRPr="0058432E" w:rsidRDefault="00C46587" w:rsidP="00982118">
      <w:pPr>
        <w:rPr>
          <w:color w:val="000000" w:themeColor="text1"/>
        </w:rPr>
      </w:pPr>
      <w:r w:rsidRPr="0058432E">
        <w:rPr>
          <w:color w:val="000000" w:themeColor="text1"/>
        </w:rPr>
        <w:t xml:space="preserve">La </w:t>
      </w:r>
      <w:r w:rsidR="008B4556" w:rsidRPr="0058432E">
        <w:rPr>
          <w:color w:val="000000" w:themeColor="text1"/>
        </w:rPr>
        <w:t xml:space="preserve">tolérance </w:t>
      </w:r>
      <w:r w:rsidRPr="0058432E">
        <w:rPr>
          <w:color w:val="000000" w:themeColor="text1"/>
        </w:rPr>
        <w:t xml:space="preserve">et l’efficacité d’adalimumab ont été évaluées au cours d’études randomisées, en double-aveugle, contrôlées </w:t>
      </w:r>
      <w:r w:rsidR="008B4556" w:rsidRPr="0058432E">
        <w:rPr>
          <w:iCs/>
          <w:color w:val="000000" w:themeColor="text1"/>
        </w:rPr>
        <w:t>contre</w:t>
      </w:r>
      <w:r w:rsidR="008B4556" w:rsidRPr="0058432E">
        <w:rPr>
          <w:color w:val="000000" w:themeColor="text1"/>
        </w:rPr>
        <w:t xml:space="preserve"> </w:t>
      </w:r>
      <w:r w:rsidRPr="0058432E">
        <w:rPr>
          <w:color w:val="000000" w:themeColor="text1"/>
        </w:rPr>
        <w:t xml:space="preserve">placebo et d’une étude d’extension en ouvert chez des patients adultes atteints d’hidrosadénite suppurée (HS) modérée à sévère ayant présenté une intolérance, une contre-indication ou une réponse insuffisante à un traitement antibiotique systémique de 3 mois minimum. Les patients des études HS-I et HS-II présentaient une maladie de stade II ou III selon la classification de Hurley, avec au moins 3 abcès ou nodules inflammatoires. </w:t>
      </w:r>
    </w:p>
    <w:p w14:paraId="1A0C895B" w14:textId="77777777" w:rsidR="00C46587" w:rsidRPr="0058432E" w:rsidRDefault="00C46587" w:rsidP="00982118">
      <w:pPr>
        <w:rPr>
          <w:color w:val="000000" w:themeColor="text1"/>
        </w:rPr>
      </w:pPr>
    </w:p>
    <w:p w14:paraId="6DFE1D41" w14:textId="77777777" w:rsidR="00C46587" w:rsidRPr="0058432E" w:rsidRDefault="00C46587" w:rsidP="00982118">
      <w:pPr>
        <w:rPr>
          <w:color w:val="000000" w:themeColor="text1"/>
        </w:rPr>
      </w:pPr>
      <w:r w:rsidRPr="0058432E">
        <w:rPr>
          <w:color w:val="000000" w:themeColor="text1"/>
        </w:rPr>
        <w:t>L’étude HS-I (PIONEER I) a évalué 307</w:t>
      </w:r>
      <w:r w:rsidR="00CA0778" w:rsidRPr="0058432E">
        <w:rPr>
          <w:color w:val="000000" w:themeColor="text1"/>
        </w:rPr>
        <w:t> </w:t>
      </w:r>
      <w:r w:rsidRPr="0058432E">
        <w:rPr>
          <w:color w:val="000000" w:themeColor="text1"/>
        </w:rPr>
        <w:t>patients sur 2 périodes de traitement. Au cours de la période</w:t>
      </w:r>
      <w:r w:rsidR="00CA0778" w:rsidRPr="0058432E">
        <w:rPr>
          <w:color w:val="000000" w:themeColor="text1"/>
        </w:rPr>
        <w:t> </w:t>
      </w:r>
      <w:r w:rsidRPr="0058432E">
        <w:rPr>
          <w:color w:val="000000" w:themeColor="text1"/>
        </w:rPr>
        <w:t>A, les patients recevaient le placebo ou l’adalimumab à une dose initiale de 160 mg à la semaine 0, puis 80 mg à la semaine 2, et 40 mg toutes les semaines de la semaine</w:t>
      </w:r>
      <w:r w:rsidR="00AA24F0" w:rsidRPr="0058432E">
        <w:rPr>
          <w:color w:val="000000" w:themeColor="text1"/>
        </w:rPr>
        <w:t> </w:t>
      </w:r>
      <w:r w:rsidRPr="0058432E">
        <w:rPr>
          <w:color w:val="000000" w:themeColor="text1"/>
        </w:rPr>
        <w:t>4 à la semaine</w:t>
      </w:r>
      <w:r w:rsidR="00AA24F0" w:rsidRPr="0058432E">
        <w:rPr>
          <w:color w:val="000000" w:themeColor="text1"/>
        </w:rPr>
        <w:t> </w:t>
      </w:r>
      <w:r w:rsidRPr="0058432E">
        <w:rPr>
          <w:color w:val="000000" w:themeColor="text1"/>
        </w:rPr>
        <w:t>11. L’utilisation concomitante d’antibiotiques n’était pas autorisée au cours de l’étude. Après 12</w:t>
      </w:r>
      <w:r w:rsidR="00AA24F0" w:rsidRPr="0058432E">
        <w:rPr>
          <w:color w:val="000000" w:themeColor="text1"/>
        </w:rPr>
        <w:t> </w:t>
      </w:r>
      <w:r w:rsidRPr="0058432E">
        <w:rPr>
          <w:color w:val="000000" w:themeColor="text1"/>
        </w:rPr>
        <w:t xml:space="preserve">semaines de traitement, les patients traités par adalimumab au cours de la période A ont été de nouveau randomisés dans la période B dans l’un des 3 groupes de traitement (adalimumab 40 mg toutes les semaines, adalimumab 40 mg toutes les deux semaines, ou placebo de la semaine 12 à la semaine 35). Les patients randomisés pour recevoir le placebo au cours de la période A ont été affectés au groupe adalimumab 40 mg toutes les semaines de la période B. </w:t>
      </w:r>
    </w:p>
    <w:p w14:paraId="48B54577" w14:textId="77777777" w:rsidR="00C46587" w:rsidRPr="0058432E" w:rsidRDefault="00C46587" w:rsidP="00982118">
      <w:pPr>
        <w:rPr>
          <w:color w:val="000000" w:themeColor="text1"/>
        </w:rPr>
      </w:pPr>
    </w:p>
    <w:p w14:paraId="6D36D3FF" w14:textId="77777777" w:rsidR="00C46587" w:rsidRPr="0058432E" w:rsidRDefault="00C46587" w:rsidP="00982118">
      <w:pPr>
        <w:rPr>
          <w:color w:val="000000" w:themeColor="text1"/>
        </w:rPr>
      </w:pPr>
      <w:r w:rsidRPr="0058432E">
        <w:rPr>
          <w:color w:val="000000" w:themeColor="text1"/>
        </w:rPr>
        <w:t>L’étude HS</w:t>
      </w:r>
      <w:r w:rsidRPr="0058432E">
        <w:rPr>
          <w:color w:val="000000" w:themeColor="text1"/>
        </w:rPr>
        <w:noBreakHyphen/>
        <w:t>II (PIONEER II) a évalué 326</w:t>
      </w:r>
      <w:r w:rsidR="00AA24F0" w:rsidRPr="0058432E">
        <w:rPr>
          <w:color w:val="000000" w:themeColor="text1"/>
        </w:rPr>
        <w:t> </w:t>
      </w:r>
      <w:r w:rsidRPr="0058432E">
        <w:rPr>
          <w:color w:val="000000" w:themeColor="text1"/>
        </w:rPr>
        <w:t>patients sur 2 périodes de traitement. Au cours de la période</w:t>
      </w:r>
      <w:r w:rsidR="00AA24F0" w:rsidRPr="0058432E">
        <w:rPr>
          <w:color w:val="000000" w:themeColor="text1"/>
        </w:rPr>
        <w:t> </w:t>
      </w:r>
      <w:r w:rsidRPr="0058432E">
        <w:rPr>
          <w:color w:val="000000" w:themeColor="text1"/>
        </w:rPr>
        <w:t>A, les patients recevaient le placebo ou l’adalimumab à une dose initiale de 160 mg à la semaine 0, puis 80 mg à la semaine 2, et 40 mg toutes les semaines de la semaine</w:t>
      </w:r>
      <w:r w:rsidR="008F115D" w:rsidRPr="0058432E">
        <w:rPr>
          <w:color w:val="000000" w:themeColor="text1"/>
        </w:rPr>
        <w:t> </w:t>
      </w:r>
      <w:r w:rsidRPr="0058432E">
        <w:rPr>
          <w:color w:val="000000" w:themeColor="text1"/>
        </w:rPr>
        <w:t>4 à la semaine</w:t>
      </w:r>
      <w:r w:rsidR="008F115D" w:rsidRPr="0058432E">
        <w:rPr>
          <w:color w:val="000000" w:themeColor="text1"/>
        </w:rPr>
        <w:t> </w:t>
      </w:r>
      <w:r w:rsidRPr="0058432E">
        <w:rPr>
          <w:color w:val="000000" w:themeColor="text1"/>
        </w:rPr>
        <w:t xml:space="preserve">11. 19,3 % des patients ont poursuivi pendant la durée de l’étude le traitement antibiotique oral qu’ils avaient à l’inclusion. Après 12 semaines de traitement, les patients traités par adalimumab au cours de la période A ont été de nouveau randomisés dans la période B dans l’un des 3 groupes de traitement (adalimumab 40 mg toutes les semaines, adalimumab 40 mg toutes les deux semaines, ou placebo de la semaine 12 à la semaine 35). Les patients randomisés pour recevoir le placebo au cours de la période A ont été affectés au groupe placebo de la période B. </w:t>
      </w:r>
    </w:p>
    <w:p w14:paraId="6B6FE1CF" w14:textId="77777777" w:rsidR="00C46587" w:rsidRPr="0058432E" w:rsidRDefault="00C46587" w:rsidP="00982118">
      <w:pPr>
        <w:rPr>
          <w:color w:val="000000" w:themeColor="text1"/>
        </w:rPr>
      </w:pPr>
    </w:p>
    <w:p w14:paraId="3E36ABEC" w14:textId="77777777" w:rsidR="00C46587" w:rsidRPr="0058432E" w:rsidRDefault="00C46587" w:rsidP="00982118">
      <w:pPr>
        <w:rPr>
          <w:color w:val="000000" w:themeColor="text1"/>
        </w:rPr>
      </w:pPr>
      <w:r w:rsidRPr="0058432E">
        <w:rPr>
          <w:color w:val="000000" w:themeColor="text1"/>
        </w:rPr>
        <w:lastRenderedPageBreak/>
        <w:t>Les patients des études HS</w:t>
      </w:r>
      <w:r w:rsidRPr="0058432E">
        <w:rPr>
          <w:color w:val="000000" w:themeColor="text1"/>
        </w:rPr>
        <w:noBreakHyphen/>
        <w:t>I et HS</w:t>
      </w:r>
      <w:r w:rsidRPr="0058432E">
        <w:rPr>
          <w:color w:val="000000" w:themeColor="text1"/>
        </w:rPr>
        <w:noBreakHyphen/>
        <w:t xml:space="preserve">II étaient éligibles à l’inclusion dans une étude d’extension en ouvert au cours de laquelle l’adalimumab 40 mg était administré toutes les semaines. L’exposition moyenne dans toute la population traitée </w:t>
      </w:r>
      <w:r w:rsidR="008E7545" w:rsidRPr="0058432E">
        <w:rPr>
          <w:color w:val="000000" w:themeColor="text1"/>
        </w:rPr>
        <w:t>par adalimumab</w:t>
      </w:r>
      <w:r w:rsidRPr="0058432E">
        <w:rPr>
          <w:color w:val="000000" w:themeColor="text1"/>
        </w:rPr>
        <w:t xml:space="preserve"> a été de 762 jours. Tout au long des 3 études, les patients ont utilisé quotidiennement un antiseptique local sur leurs lésions. </w:t>
      </w:r>
    </w:p>
    <w:p w14:paraId="526E61F6" w14:textId="77777777" w:rsidR="00C46587" w:rsidRPr="0058432E" w:rsidRDefault="00C46587" w:rsidP="00982118">
      <w:pPr>
        <w:rPr>
          <w:color w:val="000000" w:themeColor="text1"/>
        </w:rPr>
      </w:pPr>
    </w:p>
    <w:p w14:paraId="6FB1036A" w14:textId="77777777" w:rsidR="00C46587" w:rsidRPr="0058432E" w:rsidRDefault="00C46587" w:rsidP="00ED34EF">
      <w:pPr>
        <w:keepNext/>
        <w:rPr>
          <w:i/>
          <w:color w:val="000000" w:themeColor="text1"/>
          <w:u w:val="single"/>
        </w:rPr>
      </w:pPr>
      <w:r w:rsidRPr="0058432E">
        <w:rPr>
          <w:i/>
          <w:color w:val="000000" w:themeColor="text1"/>
          <w:u w:val="single"/>
        </w:rPr>
        <w:t xml:space="preserve">Réponse clinique </w:t>
      </w:r>
    </w:p>
    <w:p w14:paraId="74DCECAB" w14:textId="77777777" w:rsidR="00C46587" w:rsidRPr="0058432E" w:rsidRDefault="00C46587" w:rsidP="00ED34EF">
      <w:pPr>
        <w:keepNext/>
        <w:rPr>
          <w:color w:val="000000" w:themeColor="text1"/>
        </w:rPr>
      </w:pPr>
    </w:p>
    <w:p w14:paraId="5A70635E" w14:textId="77777777" w:rsidR="00C46587" w:rsidRPr="0058432E" w:rsidRDefault="00C46587" w:rsidP="00982118">
      <w:pPr>
        <w:rPr>
          <w:color w:val="000000" w:themeColor="text1"/>
        </w:rPr>
      </w:pPr>
      <w:r w:rsidRPr="0058432E">
        <w:rPr>
          <w:color w:val="000000" w:themeColor="text1"/>
        </w:rPr>
        <w:t>La réduction des lésions inflammatoires et la prévention de l’aggravation des abcès et des fistules drainantes ont été évaluées à l’aide du score de réponse clinique dans l’hidrosadénite suppurée (</w:t>
      </w:r>
      <w:r w:rsidR="00275D37" w:rsidRPr="0058432E">
        <w:rPr>
          <w:i/>
          <w:iCs/>
          <w:color w:val="000000" w:themeColor="text1"/>
        </w:rPr>
        <w:t>Hidradenitis Suppurativa Clinical Response</w:t>
      </w:r>
      <w:r w:rsidR="00275D37" w:rsidRPr="0058432E">
        <w:rPr>
          <w:color w:val="000000" w:themeColor="text1"/>
        </w:rPr>
        <w:t xml:space="preserve">, </w:t>
      </w:r>
      <w:r w:rsidRPr="0058432E">
        <w:rPr>
          <w:color w:val="000000" w:themeColor="text1"/>
        </w:rPr>
        <w:t>HiSCR : réduction d’au</w:t>
      </w:r>
      <w:r w:rsidR="00BD617A" w:rsidRPr="0058432E">
        <w:rPr>
          <w:color w:val="000000" w:themeColor="text1"/>
        </w:rPr>
        <w:t xml:space="preserve"> </w:t>
      </w:r>
      <w:r w:rsidRPr="0058432E">
        <w:rPr>
          <w:color w:val="000000" w:themeColor="text1"/>
        </w:rPr>
        <w:t xml:space="preserve">moins 50 % du nombre total d’abcès et de nodules inflammatoires sans augmentation du nombre d’abcès ni du nombre de fistules drainantes par rapport aux valeurs à l’inclusion). La réduction de la douleur cutanée liée à l’HS a été évaluée à l’aide d’une échelle numérique chez les patients de l’étude qui présentaient à l’inclusion un score initial supérieur ou égal à 3 sur une échelle de 11 points. </w:t>
      </w:r>
    </w:p>
    <w:p w14:paraId="24A0E1BF" w14:textId="77777777" w:rsidR="00C46587" w:rsidRPr="0058432E" w:rsidRDefault="00C46587" w:rsidP="00982118">
      <w:pPr>
        <w:rPr>
          <w:color w:val="000000" w:themeColor="text1"/>
        </w:rPr>
      </w:pPr>
    </w:p>
    <w:p w14:paraId="4B0112A2" w14:textId="77777777" w:rsidR="00C46587" w:rsidRPr="0058432E" w:rsidRDefault="00C46587" w:rsidP="00982118">
      <w:pPr>
        <w:rPr>
          <w:color w:val="000000" w:themeColor="text1"/>
        </w:rPr>
      </w:pPr>
      <w:r w:rsidRPr="0058432E">
        <w:rPr>
          <w:color w:val="000000" w:themeColor="text1"/>
        </w:rPr>
        <w:t>À la semaine 12, il y a eu significativement plus de répondeurs HiSCR dans le groupe adalimumab comparativement au groupe placebo. À la semaine 12 de l’étude HS</w:t>
      </w:r>
      <w:r w:rsidRPr="0058432E">
        <w:rPr>
          <w:color w:val="000000" w:themeColor="text1"/>
        </w:rPr>
        <w:noBreakHyphen/>
        <w:t>II, un pourcentage significativement plus élevé de patients a obtenu une réduction cliniquement significative de la douleur liée à l’HS (voir tableau </w:t>
      </w:r>
      <w:r w:rsidR="008F4E17" w:rsidRPr="0058432E">
        <w:rPr>
          <w:color w:val="000000" w:themeColor="text1"/>
        </w:rPr>
        <w:t>15</w:t>
      </w:r>
      <w:r w:rsidRPr="0058432E">
        <w:rPr>
          <w:color w:val="000000" w:themeColor="text1"/>
        </w:rPr>
        <w:t xml:space="preserve">). Les patients traités par adalimumab présentaient une réduction significative du risque de poussée de la maladie au cours des 12 premières semaines de traitement. </w:t>
      </w:r>
    </w:p>
    <w:p w14:paraId="0334BE2D" w14:textId="77777777" w:rsidR="00C46587" w:rsidRPr="0058432E" w:rsidRDefault="00C46587" w:rsidP="00982118">
      <w:pPr>
        <w:rPr>
          <w:color w:val="000000" w:themeColor="text1"/>
        </w:rPr>
      </w:pPr>
    </w:p>
    <w:p w14:paraId="1970785A" w14:textId="77777777" w:rsidR="00966161" w:rsidRPr="0058432E" w:rsidRDefault="00C46587" w:rsidP="00A53E17">
      <w:pPr>
        <w:keepNext/>
        <w:rPr>
          <w:b/>
          <w:bCs/>
          <w:color w:val="000000" w:themeColor="text1"/>
        </w:rPr>
      </w:pPr>
      <w:r w:rsidRPr="0058432E">
        <w:rPr>
          <w:b/>
          <w:bCs/>
          <w:color w:val="000000" w:themeColor="text1"/>
        </w:rPr>
        <w:t>Tableau </w:t>
      </w:r>
      <w:r w:rsidR="008F4E17" w:rsidRPr="0058432E">
        <w:rPr>
          <w:b/>
          <w:bCs/>
          <w:color w:val="000000" w:themeColor="text1"/>
        </w:rPr>
        <w:t>15</w:t>
      </w:r>
      <w:r w:rsidR="002A7CDF" w:rsidRPr="0058432E">
        <w:rPr>
          <w:b/>
          <w:bCs/>
          <w:color w:val="000000" w:themeColor="text1"/>
        </w:rPr>
        <w:t>.</w:t>
      </w:r>
      <w:r w:rsidRPr="0058432E">
        <w:rPr>
          <w:b/>
          <w:bCs/>
          <w:color w:val="000000" w:themeColor="text1"/>
        </w:rPr>
        <w:t xml:space="preserve"> </w:t>
      </w:r>
    </w:p>
    <w:p w14:paraId="0AC5CA6D" w14:textId="77777777" w:rsidR="00C46587" w:rsidRPr="0058432E" w:rsidRDefault="00C46587" w:rsidP="00A53E17">
      <w:pPr>
        <w:keepNext/>
        <w:rPr>
          <w:b/>
          <w:bCs/>
          <w:color w:val="000000" w:themeColor="text1"/>
        </w:rPr>
      </w:pPr>
      <w:r w:rsidRPr="0058432E">
        <w:rPr>
          <w:b/>
          <w:bCs/>
          <w:color w:val="000000" w:themeColor="text1"/>
        </w:rPr>
        <w:t>Résultats d’efficacité à 12 semaines, études HS-I et HS-II</w:t>
      </w:r>
    </w:p>
    <w:p w14:paraId="60F364C7" w14:textId="77777777" w:rsidR="00C46587" w:rsidRPr="0058432E" w:rsidRDefault="00C46587" w:rsidP="003146E9">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484"/>
        <w:gridCol w:w="2012"/>
        <w:gridCol w:w="1476"/>
        <w:gridCol w:w="2012"/>
      </w:tblGrid>
      <w:tr w:rsidR="00C46587" w:rsidRPr="0058432E" w14:paraId="3E3F9316" w14:textId="77777777" w:rsidTr="00081A6C">
        <w:tc>
          <w:tcPr>
            <w:tcW w:w="2135" w:type="dxa"/>
            <w:tcBorders>
              <w:top w:val="single" w:sz="4" w:space="0" w:color="auto"/>
              <w:left w:val="single" w:sz="4" w:space="0" w:color="auto"/>
              <w:bottom w:val="single" w:sz="4" w:space="0" w:color="auto"/>
              <w:right w:val="single" w:sz="4" w:space="0" w:color="auto"/>
            </w:tcBorders>
          </w:tcPr>
          <w:p w14:paraId="746E146F" w14:textId="77777777" w:rsidR="00C46587" w:rsidRPr="0058432E" w:rsidRDefault="00C46587" w:rsidP="003146E9">
            <w:pPr>
              <w:keepNext/>
              <w:rPr>
                <w:color w:val="000000" w:themeColor="text1"/>
              </w:rPr>
            </w:pPr>
          </w:p>
        </w:tc>
        <w:tc>
          <w:tcPr>
            <w:tcW w:w="3588" w:type="dxa"/>
            <w:gridSpan w:val="2"/>
            <w:tcBorders>
              <w:top w:val="single" w:sz="4" w:space="0" w:color="auto"/>
              <w:left w:val="single" w:sz="4" w:space="0" w:color="auto"/>
              <w:bottom w:val="single" w:sz="4" w:space="0" w:color="auto"/>
              <w:right w:val="single" w:sz="4" w:space="0" w:color="auto"/>
            </w:tcBorders>
            <w:vAlign w:val="bottom"/>
            <w:hideMark/>
          </w:tcPr>
          <w:p w14:paraId="3E12E6FA" w14:textId="77777777" w:rsidR="00C46587" w:rsidRPr="0058432E" w:rsidRDefault="00C46587" w:rsidP="003146E9">
            <w:pPr>
              <w:keepNext/>
              <w:jc w:val="center"/>
              <w:rPr>
                <w:b/>
                <w:color w:val="000000" w:themeColor="text1"/>
              </w:rPr>
            </w:pPr>
            <w:r w:rsidRPr="0058432E">
              <w:rPr>
                <w:b/>
                <w:color w:val="000000" w:themeColor="text1"/>
              </w:rPr>
              <w:t>Étude HS-I</w:t>
            </w:r>
          </w:p>
        </w:tc>
        <w:tc>
          <w:tcPr>
            <w:tcW w:w="3580" w:type="dxa"/>
            <w:gridSpan w:val="2"/>
            <w:tcBorders>
              <w:top w:val="single" w:sz="4" w:space="0" w:color="auto"/>
              <w:left w:val="single" w:sz="4" w:space="0" w:color="auto"/>
              <w:bottom w:val="single" w:sz="4" w:space="0" w:color="auto"/>
              <w:right w:val="single" w:sz="4" w:space="0" w:color="auto"/>
            </w:tcBorders>
            <w:vAlign w:val="bottom"/>
            <w:hideMark/>
          </w:tcPr>
          <w:p w14:paraId="7633DA03" w14:textId="77777777" w:rsidR="00C46587" w:rsidRPr="0058432E" w:rsidRDefault="00C46587" w:rsidP="003146E9">
            <w:pPr>
              <w:keepNext/>
              <w:jc w:val="center"/>
              <w:rPr>
                <w:color w:val="000000" w:themeColor="text1"/>
              </w:rPr>
            </w:pPr>
            <w:r w:rsidRPr="0058432E">
              <w:rPr>
                <w:b/>
                <w:color w:val="000000" w:themeColor="text1"/>
              </w:rPr>
              <w:t>Étude HS-II</w:t>
            </w:r>
          </w:p>
        </w:tc>
      </w:tr>
      <w:tr w:rsidR="00C46587" w:rsidRPr="0058432E" w14:paraId="459BB709" w14:textId="77777777" w:rsidTr="00081A6C">
        <w:tc>
          <w:tcPr>
            <w:tcW w:w="2135" w:type="dxa"/>
            <w:tcBorders>
              <w:top w:val="single" w:sz="4" w:space="0" w:color="auto"/>
              <w:left w:val="single" w:sz="4" w:space="0" w:color="auto"/>
              <w:bottom w:val="single" w:sz="4" w:space="0" w:color="auto"/>
              <w:right w:val="single" w:sz="4" w:space="0" w:color="auto"/>
            </w:tcBorders>
            <w:vAlign w:val="center"/>
            <w:hideMark/>
          </w:tcPr>
          <w:p w14:paraId="27FA7F59" w14:textId="77777777" w:rsidR="00C46587" w:rsidRPr="0058432E" w:rsidRDefault="00C46587" w:rsidP="003146E9">
            <w:pPr>
              <w:keepNext/>
              <w:rPr>
                <w:color w:val="000000" w:themeColor="text1"/>
              </w:rPr>
            </w:pPr>
          </w:p>
        </w:tc>
        <w:tc>
          <w:tcPr>
            <w:tcW w:w="1527" w:type="dxa"/>
            <w:tcBorders>
              <w:top w:val="single" w:sz="4" w:space="0" w:color="auto"/>
              <w:left w:val="single" w:sz="4" w:space="0" w:color="auto"/>
              <w:bottom w:val="single" w:sz="4" w:space="0" w:color="auto"/>
              <w:right w:val="single" w:sz="4" w:space="0" w:color="auto"/>
            </w:tcBorders>
            <w:vAlign w:val="bottom"/>
            <w:hideMark/>
          </w:tcPr>
          <w:p w14:paraId="4FF43054" w14:textId="77777777" w:rsidR="00C46587" w:rsidRPr="0058432E" w:rsidRDefault="00C46587" w:rsidP="003146E9">
            <w:pPr>
              <w:keepNext/>
              <w:jc w:val="center"/>
              <w:rPr>
                <w:b/>
                <w:color w:val="000000" w:themeColor="text1"/>
              </w:rPr>
            </w:pPr>
            <w:r w:rsidRPr="0058432E">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vAlign w:val="bottom"/>
            <w:hideMark/>
          </w:tcPr>
          <w:p w14:paraId="65EEECCA" w14:textId="77777777" w:rsidR="00C46587" w:rsidRPr="0058432E" w:rsidRDefault="005A4709" w:rsidP="003146E9">
            <w:pPr>
              <w:keepNext/>
              <w:jc w:val="center"/>
              <w:rPr>
                <w:b/>
                <w:color w:val="000000" w:themeColor="text1"/>
              </w:rPr>
            </w:pPr>
            <w:r w:rsidRPr="0058432E">
              <w:rPr>
                <w:b/>
                <w:color w:val="000000" w:themeColor="text1"/>
              </w:rPr>
              <w:t>Adalimumab 40 mg par semaine</w:t>
            </w:r>
          </w:p>
        </w:tc>
        <w:tc>
          <w:tcPr>
            <w:tcW w:w="1519" w:type="dxa"/>
            <w:tcBorders>
              <w:top w:val="single" w:sz="4" w:space="0" w:color="auto"/>
              <w:left w:val="single" w:sz="4" w:space="0" w:color="auto"/>
              <w:bottom w:val="single" w:sz="4" w:space="0" w:color="auto"/>
              <w:right w:val="single" w:sz="4" w:space="0" w:color="auto"/>
            </w:tcBorders>
            <w:vAlign w:val="bottom"/>
            <w:hideMark/>
          </w:tcPr>
          <w:p w14:paraId="19FEFF44" w14:textId="77777777" w:rsidR="00C46587" w:rsidRPr="0058432E" w:rsidRDefault="00C46587" w:rsidP="003146E9">
            <w:pPr>
              <w:keepNext/>
              <w:jc w:val="center"/>
              <w:rPr>
                <w:b/>
                <w:color w:val="000000" w:themeColor="text1"/>
              </w:rPr>
            </w:pPr>
            <w:r w:rsidRPr="0058432E">
              <w:rPr>
                <w:b/>
                <w:color w:val="000000" w:themeColor="text1"/>
              </w:rPr>
              <w:t>Placebo</w:t>
            </w:r>
          </w:p>
        </w:tc>
        <w:tc>
          <w:tcPr>
            <w:tcW w:w="2061" w:type="dxa"/>
            <w:tcBorders>
              <w:top w:val="single" w:sz="4" w:space="0" w:color="auto"/>
              <w:left w:val="single" w:sz="4" w:space="0" w:color="auto"/>
              <w:bottom w:val="single" w:sz="4" w:space="0" w:color="auto"/>
              <w:right w:val="single" w:sz="4" w:space="0" w:color="auto"/>
            </w:tcBorders>
            <w:vAlign w:val="bottom"/>
            <w:hideMark/>
          </w:tcPr>
          <w:p w14:paraId="66938D2C" w14:textId="77777777" w:rsidR="00C46587" w:rsidRPr="0058432E" w:rsidRDefault="005A4709" w:rsidP="003146E9">
            <w:pPr>
              <w:keepNext/>
              <w:jc w:val="center"/>
              <w:rPr>
                <w:b/>
                <w:color w:val="000000" w:themeColor="text1"/>
              </w:rPr>
            </w:pPr>
            <w:r w:rsidRPr="0058432E">
              <w:rPr>
                <w:b/>
                <w:color w:val="000000" w:themeColor="text1"/>
              </w:rPr>
              <w:t>Adalimumab 40 mg par semaine</w:t>
            </w:r>
          </w:p>
        </w:tc>
      </w:tr>
      <w:tr w:rsidR="00C46587" w:rsidRPr="0058432E" w14:paraId="6983CA44" w14:textId="77777777" w:rsidTr="00081A6C">
        <w:tc>
          <w:tcPr>
            <w:tcW w:w="2135" w:type="dxa"/>
            <w:tcBorders>
              <w:top w:val="single" w:sz="4" w:space="0" w:color="auto"/>
              <w:left w:val="single" w:sz="4" w:space="0" w:color="auto"/>
              <w:bottom w:val="single" w:sz="4" w:space="0" w:color="auto"/>
              <w:right w:val="single" w:sz="4" w:space="0" w:color="auto"/>
            </w:tcBorders>
            <w:hideMark/>
          </w:tcPr>
          <w:p w14:paraId="01C9BD40" w14:textId="77777777" w:rsidR="00C46587" w:rsidRPr="0058432E" w:rsidRDefault="00C46587" w:rsidP="003146E9">
            <w:pPr>
              <w:keepNext/>
              <w:rPr>
                <w:color w:val="000000" w:themeColor="text1"/>
              </w:rPr>
            </w:pPr>
            <w:r w:rsidRPr="0058432E">
              <w:rPr>
                <w:color w:val="000000" w:themeColor="text1"/>
              </w:rPr>
              <w:t>Hidrosadénite suppurée</w:t>
            </w:r>
          </w:p>
          <w:p w14:paraId="336DDFB9" w14:textId="77777777" w:rsidR="00C46587" w:rsidRPr="0058432E" w:rsidRDefault="00C46587" w:rsidP="003146E9">
            <w:pPr>
              <w:keepNext/>
              <w:rPr>
                <w:color w:val="000000" w:themeColor="text1"/>
              </w:rPr>
            </w:pPr>
            <w:r w:rsidRPr="0058432E">
              <w:rPr>
                <w:color w:val="000000" w:themeColor="text1"/>
              </w:rPr>
              <w:t>Réponse clinique (HiSCR)</w:t>
            </w:r>
            <w:r w:rsidRPr="0058432E">
              <w:rPr>
                <w:color w:val="000000" w:themeColor="text1"/>
                <w:vertAlign w:val="superscript"/>
              </w:rPr>
              <w:t>a</w:t>
            </w:r>
          </w:p>
        </w:tc>
        <w:tc>
          <w:tcPr>
            <w:tcW w:w="1527" w:type="dxa"/>
            <w:tcBorders>
              <w:top w:val="single" w:sz="4" w:space="0" w:color="auto"/>
              <w:left w:val="single" w:sz="4" w:space="0" w:color="auto"/>
              <w:bottom w:val="single" w:sz="4" w:space="0" w:color="auto"/>
              <w:right w:val="single" w:sz="4" w:space="0" w:color="auto"/>
            </w:tcBorders>
            <w:vAlign w:val="center"/>
            <w:hideMark/>
          </w:tcPr>
          <w:p w14:paraId="192C7AC7" w14:textId="77777777" w:rsidR="00C46587" w:rsidRPr="0058432E" w:rsidRDefault="00C46587" w:rsidP="003146E9">
            <w:pPr>
              <w:keepNext/>
              <w:jc w:val="center"/>
              <w:rPr>
                <w:color w:val="000000" w:themeColor="text1"/>
              </w:rPr>
            </w:pPr>
            <w:r w:rsidRPr="0058432E">
              <w:rPr>
                <w:color w:val="000000" w:themeColor="text1"/>
              </w:rPr>
              <w:t>N = 154</w:t>
            </w:r>
          </w:p>
          <w:p w14:paraId="5A6EE21C" w14:textId="77777777" w:rsidR="00C46587" w:rsidRPr="0058432E" w:rsidRDefault="00C46587" w:rsidP="003146E9">
            <w:pPr>
              <w:keepNext/>
              <w:jc w:val="center"/>
              <w:rPr>
                <w:color w:val="000000" w:themeColor="text1"/>
              </w:rPr>
            </w:pPr>
            <w:r w:rsidRPr="0058432E">
              <w:rPr>
                <w:color w:val="000000" w:themeColor="text1"/>
              </w:rPr>
              <w:t>40 (26,0 %)</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AE52064" w14:textId="77777777" w:rsidR="00C46587" w:rsidRPr="0058432E" w:rsidRDefault="00C46587" w:rsidP="003146E9">
            <w:pPr>
              <w:keepNext/>
              <w:jc w:val="center"/>
              <w:rPr>
                <w:color w:val="000000" w:themeColor="text1"/>
              </w:rPr>
            </w:pPr>
            <w:r w:rsidRPr="0058432E">
              <w:rPr>
                <w:color w:val="000000" w:themeColor="text1"/>
              </w:rPr>
              <w:t>N = 153</w:t>
            </w:r>
          </w:p>
          <w:p w14:paraId="73187C75" w14:textId="77777777" w:rsidR="00C46587" w:rsidRPr="0058432E" w:rsidRDefault="00C46587" w:rsidP="003146E9">
            <w:pPr>
              <w:keepNext/>
              <w:jc w:val="center"/>
              <w:rPr>
                <w:color w:val="000000" w:themeColor="text1"/>
              </w:rPr>
            </w:pPr>
            <w:r w:rsidRPr="0058432E">
              <w:rPr>
                <w:color w:val="000000" w:themeColor="text1"/>
              </w:rPr>
              <w:t>64 (41,8 </w:t>
            </w:r>
            <w:proofErr w:type="gramStart"/>
            <w:r w:rsidRPr="0058432E">
              <w:rPr>
                <w:color w:val="000000" w:themeColor="text1"/>
              </w:rPr>
              <w:t>%)*</w:t>
            </w:r>
            <w:proofErr w:type="gramEnd"/>
          </w:p>
        </w:tc>
        <w:tc>
          <w:tcPr>
            <w:tcW w:w="1519" w:type="dxa"/>
            <w:tcBorders>
              <w:top w:val="single" w:sz="4" w:space="0" w:color="auto"/>
              <w:left w:val="single" w:sz="4" w:space="0" w:color="auto"/>
              <w:bottom w:val="single" w:sz="4" w:space="0" w:color="auto"/>
              <w:right w:val="single" w:sz="4" w:space="0" w:color="auto"/>
            </w:tcBorders>
            <w:vAlign w:val="center"/>
            <w:hideMark/>
          </w:tcPr>
          <w:p w14:paraId="0D6B9682" w14:textId="77777777" w:rsidR="00C46587" w:rsidRPr="0058432E" w:rsidRDefault="00C46587" w:rsidP="003146E9">
            <w:pPr>
              <w:keepNext/>
              <w:jc w:val="center"/>
              <w:rPr>
                <w:color w:val="000000" w:themeColor="text1"/>
              </w:rPr>
            </w:pPr>
            <w:r w:rsidRPr="0058432E">
              <w:rPr>
                <w:color w:val="000000" w:themeColor="text1"/>
              </w:rPr>
              <w:t>N = 163</w:t>
            </w:r>
          </w:p>
          <w:p w14:paraId="7379B265" w14:textId="77777777" w:rsidR="00C46587" w:rsidRPr="0058432E" w:rsidRDefault="00C46587" w:rsidP="003146E9">
            <w:pPr>
              <w:keepNext/>
              <w:jc w:val="center"/>
              <w:rPr>
                <w:color w:val="000000" w:themeColor="text1"/>
              </w:rPr>
            </w:pPr>
            <w:r w:rsidRPr="0058432E">
              <w:rPr>
                <w:color w:val="000000" w:themeColor="text1"/>
              </w:rPr>
              <w:t>45 (27,6 %)</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EBDBD3C" w14:textId="77777777" w:rsidR="00C46587" w:rsidRPr="0058432E" w:rsidRDefault="00C46587" w:rsidP="003146E9">
            <w:pPr>
              <w:keepNext/>
              <w:jc w:val="center"/>
              <w:rPr>
                <w:color w:val="000000" w:themeColor="text1"/>
              </w:rPr>
            </w:pPr>
            <w:r w:rsidRPr="0058432E">
              <w:rPr>
                <w:color w:val="000000" w:themeColor="text1"/>
              </w:rPr>
              <w:t>N = 163</w:t>
            </w:r>
          </w:p>
          <w:p w14:paraId="70117A0A" w14:textId="77777777" w:rsidR="00C46587" w:rsidRPr="0058432E" w:rsidRDefault="00C46587" w:rsidP="003146E9">
            <w:pPr>
              <w:keepNext/>
              <w:jc w:val="center"/>
              <w:rPr>
                <w:color w:val="000000" w:themeColor="text1"/>
              </w:rPr>
            </w:pPr>
            <w:r w:rsidRPr="0058432E">
              <w:rPr>
                <w:color w:val="000000" w:themeColor="text1"/>
              </w:rPr>
              <w:t>96 (58,9 </w:t>
            </w:r>
            <w:proofErr w:type="gramStart"/>
            <w:r w:rsidRPr="0058432E">
              <w:rPr>
                <w:color w:val="000000" w:themeColor="text1"/>
              </w:rPr>
              <w:t>%)</w:t>
            </w:r>
            <w:r w:rsidRPr="0058432E">
              <w:rPr>
                <w:color w:val="000000" w:themeColor="text1"/>
                <w:vertAlign w:val="superscript"/>
              </w:rPr>
              <w:t>*</w:t>
            </w:r>
            <w:proofErr w:type="gramEnd"/>
            <w:r w:rsidRPr="0058432E">
              <w:rPr>
                <w:color w:val="000000" w:themeColor="text1"/>
                <w:vertAlign w:val="superscript"/>
              </w:rPr>
              <w:t>**</w:t>
            </w:r>
          </w:p>
        </w:tc>
      </w:tr>
      <w:tr w:rsidR="00C46587" w:rsidRPr="0058432E" w14:paraId="100F9510" w14:textId="77777777" w:rsidTr="00081A6C">
        <w:tc>
          <w:tcPr>
            <w:tcW w:w="2135" w:type="dxa"/>
            <w:tcBorders>
              <w:top w:val="single" w:sz="4" w:space="0" w:color="auto"/>
              <w:left w:val="single" w:sz="4" w:space="0" w:color="auto"/>
              <w:bottom w:val="single" w:sz="4" w:space="0" w:color="auto"/>
              <w:right w:val="single" w:sz="4" w:space="0" w:color="auto"/>
            </w:tcBorders>
            <w:hideMark/>
          </w:tcPr>
          <w:p w14:paraId="7FF37D9F" w14:textId="77777777" w:rsidR="00C46587" w:rsidRPr="0058432E" w:rsidRDefault="00C46587" w:rsidP="003146E9">
            <w:pPr>
              <w:keepNext/>
              <w:rPr>
                <w:color w:val="000000" w:themeColor="text1"/>
              </w:rPr>
            </w:pPr>
            <w:r w:rsidRPr="0058432E">
              <w:rPr>
                <w:color w:val="000000" w:themeColor="text1"/>
              </w:rPr>
              <w:t>Réduction ≥ 30 % de la douleur</w:t>
            </w:r>
          </w:p>
          <w:p w14:paraId="3B2744AF" w14:textId="77777777" w:rsidR="00C46587" w:rsidRPr="0058432E" w:rsidRDefault="00C46587" w:rsidP="003146E9">
            <w:pPr>
              <w:keepNext/>
              <w:rPr>
                <w:color w:val="000000" w:themeColor="text1"/>
              </w:rPr>
            </w:pPr>
            <w:proofErr w:type="gramStart"/>
            <w:r w:rsidRPr="0058432E">
              <w:rPr>
                <w:color w:val="000000" w:themeColor="text1"/>
              </w:rPr>
              <w:t>cutanée</w:t>
            </w:r>
            <w:r w:rsidRPr="0058432E">
              <w:rPr>
                <w:color w:val="000000" w:themeColor="text1"/>
                <w:vertAlign w:val="superscript"/>
              </w:rPr>
              <w:t>b</w:t>
            </w:r>
            <w:proofErr w:type="gramEnd"/>
          </w:p>
        </w:tc>
        <w:tc>
          <w:tcPr>
            <w:tcW w:w="1527" w:type="dxa"/>
            <w:tcBorders>
              <w:top w:val="single" w:sz="4" w:space="0" w:color="auto"/>
              <w:left w:val="single" w:sz="4" w:space="0" w:color="auto"/>
              <w:bottom w:val="single" w:sz="4" w:space="0" w:color="auto"/>
              <w:right w:val="single" w:sz="4" w:space="0" w:color="auto"/>
            </w:tcBorders>
            <w:vAlign w:val="center"/>
            <w:hideMark/>
          </w:tcPr>
          <w:p w14:paraId="6C82B43B" w14:textId="77777777" w:rsidR="00C46587" w:rsidRPr="0058432E" w:rsidRDefault="00C46587" w:rsidP="003146E9">
            <w:pPr>
              <w:keepNext/>
              <w:jc w:val="center"/>
              <w:rPr>
                <w:color w:val="000000" w:themeColor="text1"/>
              </w:rPr>
            </w:pPr>
            <w:r w:rsidRPr="0058432E">
              <w:rPr>
                <w:color w:val="000000" w:themeColor="text1"/>
              </w:rPr>
              <w:t>N = 109</w:t>
            </w:r>
          </w:p>
          <w:p w14:paraId="6D492049" w14:textId="77777777" w:rsidR="00C46587" w:rsidRPr="0058432E" w:rsidRDefault="00C46587" w:rsidP="003146E9">
            <w:pPr>
              <w:keepNext/>
              <w:jc w:val="center"/>
              <w:rPr>
                <w:color w:val="000000" w:themeColor="text1"/>
              </w:rPr>
            </w:pPr>
            <w:r w:rsidRPr="0058432E">
              <w:rPr>
                <w:color w:val="000000" w:themeColor="text1"/>
              </w:rPr>
              <w:t>27 (24,8 %)</w:t>
            </w:r>
          </w:p>
        </w:tc>
        <w:tc>
          <w:tcPr>
            <w:tcW w:w="2061" w:type="dxa"/>
            <w:tcBorders>
              <w:top w:val="single" w:sz="4" w:space="0" w:color="auto"/>
              <w:left w:val="single" w:sz="4" w:space="0" w:color="auto"/>
              <w:bottom w:val="single" w:sz="4" w:space="0" w:color="auto"/>
              <w:right w:val="single" w:sz="4" w:space="0" w:color="auto"/>
            </w:tcBorders>
            <w:vAlign w:val="center"/>
            <w:hideMark/>
          </w:tcPr>
          <w:p w14:paraId="29687D3E" w14:textId="77777777" w:rsidR="00C46587" w:rsidRPr="0058432E" w:rsidRDefault="00C46587" w:rsidP="003146E9">
            <w:pPr>
              <w:keepNext/>
              <w:jc w:val="center"/>
              <w:rPr>
                <w:color w:val="000000" w:themeColor="text1"/>
              </w:rPr>
            </w:pPr>
            <w:r w:rsidRPr="0058432E">
              <w:rPr>
                <w:color w:val="000000" w:themeColor="text1"/>
              </w:rPr>
              <w:t>N = 122</w:t>
            </w:r>
          </w:p>
          <w:p w14:paraId="28997C95" w14:textId="77777777" w:rsidR="00C46587" w:rsidRPr="0058432E" w:rsidRDefault="00C46587" w:rsidP="003146E9">
            <w:pPr>
              <w:keepNext/>
              <w:jc w:val="center"/>
              <w:rPr>
                <w:color w:val="000000" w:themeColor="text1"/>
              </w:rPr>
            </w:pPr>
            <w:r w:rsidRPr="0058432E">
              <w:rPr>
                <w:color w:val="000000" w:themeColor="text1"/>
              </w:rPr>
              <w:t>34 (27,9 %)</w:t>
            </w:r>
          </w:p>
        </w:tc>
        <w:tc>
          <w:tcPr>
            <w:tcW w:w="1519" w:type="dxa"/>
            <w:tcBorders>
              <w:top w:val="single" w:sz="4" w:space="0" w:color="auto"/>
              <w:left w:val="single" w:sz="4" w:space="0" w:color="auto"/>
              <w:bottom w:val="single" w:sz="4" w:space="0" w:color="auto"/>
              <w:right w:val="single" w:sz="4" w:space="0" w:color="auto"/>
            </w:tcBorders>
            <w:vAlign w:val="center"/>
            <w:hideMark/>
          </w:tcPr>
          <w:p w14:paraId="234D176E" w14:textId="77777777" w:rsidR="00C46587" w:rsidRPr="0058432E" w:rsidRDefault="00C46587" w:rsidP="003146E9">
            <w:pPr>
              <w:keepNext/>
              <w:jc w:val="center"/>
              <w:rPr>
                <w:color w:val="000000" w:themeColor="text1"/>
              </w:rPr>
            </w:pPr>
            <w:r w:rsidRPr="0058432E">
              <w:rPr>
                <w:color w:val="000000" w:themeColor="text1"/>
              </w:rPr>
              <w:t>N = 111</w:t>
            </w:r>
          </w:p>
          <w:p w14:paraId="5F888C62" w14:textId="77777777" w:rsidR="00C46587" w:rsidRPr="0058432E" w:rsidRDefault="00C46587" w:rsidP="003146E9">
            <w:pPr>
              <w:keepNext/>
              <w:jc w:val="center"/>
              <w:rPr>
                <w:color w:val="000000" w:themeColor="text1"/>
              </w:rPr>
            </w:pPr>
            <w:r w:rsidRPr="0058432E">
              <w:rPr>
                <w:color w:val="000000" w:themeColor="text1"/>
              </w:rPr>
              <w:t>23 (20,7 %)</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47E7900" w14:textId="77777777" w:rsidR="00C46587" w:rsidRPr="0058432E" w:rsidRDefault="00C46587" w:rsidP="003146E9">
            <w:pPr>
              <w:keepNext/>
              <w:jc w:val="center"/>
              <w:rPr>
                <w:color w:val="000000" w:themeColor="text1"/>
              </w:rPr>
            </w:pPr>
            <w:r w:rsidRPr="0058432E">
              <w:rPr>
                <w:color w:val="000000" w:themeColor="text1"/>
              </w:rPr>
              <w:t>N = 105</w:t>
            </w:r>
          </w:p>
          <w:p w14:paraId="52F4AFF8" w14:textId="77777777" w:rsidR="00C46587" w:rsidRPr="0058432E" w:rsidRDefault="00C46587" w:rsidP="003146E9">
            <w:pPr>
              <w:keepNext/>
              <w:jc w:val="center"/>
              <w:rPr>
                <w:color w:val="000000" w:themeColor="text1"/>
              </w:rPr>
            </w:pPr>
            <w:r w:rsidRPr="0058432E">
              <w:rPr>
                <w:color w:val="000000" w:themeColor="text1"/>
              </w:rPr>
              <w:t>48 (45,7 </w:t>
            </w:r>
            <w:proofErr w:type="gramStart"/>
            <w:r w:rsidRPr="0058432E">
              <w:rPr>
                <w:color w:val="000000" w:themeColor="text1"/>
              </w:rPr>
              <w:t>%)</w:t>
            </w:r>
            <w:r w:rsidRPr="0058432E">
              <w:rPr>
                <w:color w:val="000000" w:themeColor="text1"/>
                <w:vertAlign w:val="superscript"/>
              </w:rPr>
              <w:t>*</w:t>
            </w:r>
            <w:proofErr w:type="gramEnd"/>
            <w:r w:rsidRPr="0058432E">
              <w:rPr>
                <w:color w:val="000000" w:themeColor="text1"/>
                <w:vertAlign w:val="superscript"/>
              </w:rPr>
              <w:t>**</w:t>
            </w:r>
          </w:p>
        </w:tc>
      </w:tr>
      <w:tr w:rsidR="00081A6C" w:rsidRPr="0058432E" w14:paraId="621A8B79" w14:textId="77777777" w:rsidTr="00081A6C">
        <w:tc>
          <w:tcPr>
            <w:tcW w:w="9303" w:type="dxa"/>
            <w:gridSpan w:val="5"/>
            <w:tcBorders>
              <w:top w:val="single" w:sz="4" w:space="0" w:color="auto"/>
              <w:left w:val="nil"/>
              <w:bottom w:val="nil"/>
              <w:right w:val="nil"/>
            </w:tcBorders>
          </w:tcPr>
          <w:p w14:paraId="40D643BB" w14:textId="77777777" w:rsidR="00081A6C" w:rsidRPr="0058432E" w:rsidRDefault="00081A6C" w:rsidP="003146E9">
            <w:pPr>
              <w:keepNext/>
              <w:ind w:left="270" w:hanging="270"/>
              <w:rPr>
                <w:color w:val="000000" w:themeColor="text1"/>
                <w:sz w:val="20"/>
              </w:rPr>
            </w:pPr>
            <w:r w:rsidRPr="0058432E">
              <w:rPr>
                <w:color w:val="000000" w:themeColor="text1"/>
                <w:sz w:val="20"/>
              </w:rPr>
              <w:t xml:space="preserve">* </w:t>
            </w:r>
            <w:r w:rsidRPr="0058432E">
              <w:rPr>
                <w:i/>
                <w:color w:val="000000" w:themeColor="text1"/>
                <w:sz w:val="20"/>
              </w:rPr>
              <w:t>P</w:t>
            </w:r>
            <w:r w:rsidRPr="0058432E">
              <w:rPr>
                <w:color w:val="000000" w:themeColor="text1"/>
                <w:sz w:val="20"/>
              </w:rPr>
              <w:t xml:space="preserve"> &lt; 0,05, ***</w:t>
            </w:r>
            <w:r w:rsidRPr="0058432E">
              <w:rPr>
                <w:i/>
                <w:color w:val="000000" w:themeColor="text1"/>
                <w:sz w:val="20"/>
              </w:rPr>
              <w:t>P</w:t>
            </w:r>
            <w:r w:rsidRPr="0058432E">
              <w:rPr>
                <w:color w:val="000000" w:themeColor="text1"/>
                <w:sz w:val="20"/>
              </w:rPr>
              <w:t xml:space="preserve"> &lt; 0,001, adalimumab </w:t>
            </w:r>
            <w:r w:rsidRPr="0058432E">
              <w:rPr>
                <w:i/>
                <w:iCs/>
                <w:color w:val="000000" w:themeColor="text1"/>
                <w:sz w:val="20"/>
              </w:rPr>
              <w:t>versus</w:t>
            </w:r>
            <w:r w:rsidRPr="0058432E">
              <w:rPr>
                <w:color w:val="000000" w:themeColor="text1"/>
                <w:sz w:val="20"/>
              </w:rPr>
              <w:t xml:space="preserve"> placebo</w:t>
            </w:r>
          </w:p>
          <w:p w14:paraId="76F12A42" w14:textId="77777777" w:rsidR="00081A6C" w:rsidRPr="0058432E" w:rsidRDefault="00081A6C" w:rsidP="003146E9">
            <w:pPr>
              <w:keepNext/>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Chez tous les patients randomisés.</w:t>
            </w:r>
          </w:p>
          <w:p w14:paraId="1CEF1134" w14:textId="77777777" w:rsidR="00081A6C" w:rsidRPr="0058432E" w:rsidRDefault="00081A6C" w:rsidP="003146E9">
            <w:pPr>
              <w:keepNext/>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Chez les patients présentant un score de la douleur cutanée liée à l’HS à l’inclusion ≥ 3, sur la base d’une échelle numérique de 0 à 10, avec 0 = aucune douleur cutanée, 10 = pire douleur cutanée imaginable.</w:t>
            </w:r>
          </w:p>
          <w:p w14:paraId="1A73A8AC" w14:textId="77777777" w:rsidR="00081A6C" w:rsidRPr="0058432E" w:rsidRDefault="00081A6C" w:rsidP="003146E9">
            <w:pPr>
              <w:keepNext/>
              <w:ind w:left="270" w:hanging="270"/>
              <w:rPr>
                <w:color w:val="000000" w:themeColor="text1"/>
                <w:sz w:val="20"/>
              </w:rPr>
            </w:pPr>
          </w:p>
        </w:tc>
      </w:tr>
    </w:tbl>
    <w:p w14:paraId="2F659B9E" w14:textId="77777777" w:rsidR="00C46587" w:rsidRPr="0058432E" w:rsidRDefault="00C46587" w:rsidP="00982118">
      <w:pPr>
        <w:rPr>
          <w:color w:val="000000" w:themeColor="text1"/>
        </w:rPr>
      </w:pPr>
    </w:p>
    <w:p w14:paraId="680FBD22" w14:textId="77777777" w:rsidR="00C46587" w:rsidRPr="0058432E" w:rsidRDefault="00C46587" w:rsidP="00982118">
      <w:pPr>
        <w:rPr>
          <w:color w:val="000000" w:themeColor="text1"/>
        </w:rPr>
      </w:pPr>
      <w:r w:rsidRPr="0058432E">
        <w:rPr>
          <w:color w:val="000000" w:themeColor="text1"/>
        </w:rPr>
        <w:t>Le traitement par adalimumab 40 mg toutes les semaines a réduit significativement le risque d’aggravation des abcès et fistules drainantes. Au cours des 12 premières semaines des études HS</w:t>
      </w:r>
      <w:r w:rsidRPr="0058432E">
        <w:rPr>
          <w:color w:val="000000" w:themeColor="text1"/>
        </w:rPr>
        <w:noBreakHyphen/>
        <w:t>I et HS</w:t>
      </w:r>
      <w:r w:rsidRPr="0058432E">
        <w:rPr>
          <w:color w:val="000000" w:themeColor="text1"/>
        </w:rPr>
        <w:noBreakHyphen/>
        <w:t xml:space="preserve">II, environ deux fois plus de patients du groupe placebo ont présenté une aggravation des abcès (23,0 % versus 11,4 %, respectivement) et des fistules drainantes (30,0 % versus 13,9 %, respectivement), comparativement aux groupes adalimumab. </w:t>
      </w:r>
    </w:p>
    <w:p w14:paraId="3ED7BF28" w14:textId="77777777" w:rsidR="00C46587" w:rsidRPr="0058432E" w:rsidRDefault="00C46587" w:rsidP="00982118">
      <w:pPr>
        <w:rPr>
          <w:color w:val="000000" w:themeColor="text1"/>
        </w:rPr>
      </w:pPr>
    </w:p>
    <w:p w14:paraId="75CD3A65" w14:textId="77777777" w:rsidR="00C46587" w:rsidRPr="0058432E" w:rsidRDefault="004C2A9B" w:rsidP="00982118">
      <w:pPr>
        <w:rPr>
          <w:color w:val="000000" w:themeColor="text1"/>
        </w:rPr>
      </w:pPr>
      <w:r w:rsidRPr="0058432E">
        <w:rPr>
          <w:color w:val="000000" w:themeColor="text1"/>
        </w:rPr>
        <w:t xml:space="preserve">Comparé au </w:t>
      </w:r>
      <w:r w:rsidR="00C46587" w:rsidRPr="0058432E">
        <w:rPr>
          <w:color w:val="000000" w:themeColor="text1"/>
        </w:rPr>
        <w:t>placebo, des améliorations plus importantes entre l’inclusion et la semaine 12 ont été observées en termes de qualité de vie liée à la santé spécifique à la peau mesurée par l’indice de qualité de vie dermatologique (DLQI ; études HS</w:t>
      </w:r>
      <w:r w:rsidR="00C46587" w:rsidRPr="0058432E">
        <w:rPr>
          <w:color w:val="000000" w:themeColor="text1"/>
        </w:rPr>
        <w:noBreakHyphen/>
        <w:t>I et HS</w:t>
      </w:r>
      <w:r w:rsidR="00C46587" w:rsidRPr="0058432E">
        <w:rPr>
          <w:color w:val="000000" w:themeColor="text1"/>
        </w:rPr>
        <w:noBreakHyphen/>
        <w:t>II), de satisfaction globale du patient par rapport à son traitement médicamenteux mesurée par le questionnaire de satisfaction relative au traitement médicamenteux (</w:t>
      </w:r>
      <w:r w:rsidR="009D2DF8" w:rsidRPr="0058432E">
        <w:rPr>
          <w:i/>
          <w:iCs/>
          <w:color w:val="000000" w:themeColor="text1"/>
        </w:rPr>
        <w:t xml:space="preserve">Treatment Satisfaction Questionnaire </w:t>
      </w:r>
      <w:r w:rsidR="009D2DF8" w:rsidRPr="0058432E">
        <w:rPr>
          <w:i/>
          <w:iCs/>
          <w:color w:val="000000" w:themeColor="text1"/>
        </w:rPr>
        <w:noBreakHyphen/>
        <w:t>medication,</w:t>
      </w:r>
      <w:r w:rsidR="009D2DF8" w:rsidRPr="0058432E">
        <w:rPr>
          <w:color w:val="000000" w:themeColor="text1"/>
        </w:rPr>
        <w:t xml:space="preserve"> </w:t>
      </w:r>
      <w:r w:rsidR="00C46587" w:rsidRPr="0058432E">
        <w:rPr>
          <w:color w:val="000000" w:themeColor="text1"/>
        </w:rPr>
        <w:t>TSQM ; études HS</w:t>
      </w:r>
      <w:r w:rsidR="00C46587" w:rsidRPr="0058432E">
        <w:rPr>
          <w:color w:val="000000" w:themeColor="text1"/>
        </w:rPr>
        <w:noBreakHyphen/>
        <w:t>I et HS</w:t>
      </w:r>
      <w:r w:rsidR="00C46587" w:rsidRPr="0058432E">
        <w:rPr>
          <w:color w:val="000000" w:themeColor="text1"/>
        </w:rPr>
        <w:noBreakHyphen/>
        <w:t>II), et de santé physique mesurée par la composante physique du score SF-36 (étude HS</w:t>
      </w:r>
      <w:r w:rsidR="00C46587" w:rsidRPr="0058432E">
        <w:rPr>
          <w:color w:val="000000" w:themeColor="text1"/>
        </w:rPr>
        <w:noBreakHyphen/>
        <w:t xml:space="preserve">I). </w:t>
      </w:r>
    </w:p>
    <w:p w14:paraId="5D461EDD" w14:textId="77777777" w:rsidR="00C46587" w:rsidRPr="0058432E" w:rsidRDefault="00C46587" w:rsidP="00982118">
      <w:pPr>
        <w:rPr>
          <w:color w:val="000000" w:themeColor="text1"/>
        </w:rPr>
      </w:pPr>
    </w:p>
    <w:p w14:paraId="661AECF5" w14:textId="77777777" w:rsidR="00C46587" w:rsidRPr="0058432E" w:rsidRDefault="00C46587" w:rsidP="00982118">
      <w:pPr>
        <w:rPr>
          <w:color w:val="000000" w:themeColor="text1"/>
        </w:rPr>
      </w:pPr>
      <w:r w:rsidRPr="0058432E">
        <w:rPr>
          <w:color w:val="000000" w:themeColor="text1"/>
        </w:rPr>
        <w:t xml:space="preserve">Chez les patients présentant au moins une réponse partielle à la semaine 12, traités par adalimumab 40 mg administré toutes les semaines, le taux HiSCR à la semaine 36 était plus élevé chez les patients recevant l’adalimumab toutes les semaines par rapport aux patients chez lesquels la fréquence </w:t>
      </w:r>
      <w:r w:rsidRPr="0058432E">
        <w:rPr>
          <w:color w:val="000000" w:themeColor="text1"/>
        </w:rPr>
        <w:lastRenderedPageBreak/>
        <w:t>d’administration était réduite à toutes les deux semaines ou chez lesquels le traitement était interrompu (voir tableau </w:t>
      </w:r>
      <w:r w:rsidR="008F4E17" w:rsidRPr="0058432E">
        <w:rPr>
          <w:color w:val="000000" w:themeColor="text1"/>
        </w:rPr>
        <w:t>16</w:t>
      </w:r>
      <w:r w:rsidRPr="0058432E">
        <w:rPr>
          <w:color w:val="000000" w:themeColor="text1"/>
        </w:rPr>
        <w:t>).</w:t>
      </w:r>
    </w:p>
    <w:p w14:paraId="320169B1" w14:textId="77777777" w:rsidR="00C46587" w:rsidRPr="0058432E" w:rsidRDefault="00C46587" w:rsidP="00982118">
      <w:pPr>
        <w:rPr>
          <w:color w:val="000000" w:themeColor="text1"/>
        </w:rPr>
      </w:pPr>
    </w:p>
    <w:p w14:paraId="7B407A59" w14:textId="77777777" w:rsidR="00966161" w:rsidRPr="0058432E" w:rsidRDefault="00C46587" w:rsidP="00A53E17">
      <w:pPr>
        <w:rPr>
          <w:b/>
          <w:color w:val="000000" w:themeColor="text1"/>
        </w:rPr>
      </w:pPr>
      <w:r w:rsidRPr="0058432E">
        <w:rPr>
          <w:b/>
          <w:color w:val="000000" w:themeColor="text1"/>
        </w:rPr>
        <w:t>Tableau </w:t>
      </w:r>
      <w:r w:rsidR="008F4E17" w:rsidRPr="0058432E">
        <w:rPr>
          <w:b/>
          <w:color w:val="000000" w:themeColor="text1"/>
        </w:rPr>
        <w:t>16</w:t>
      </w:r>
      <w:r w:rsidR="002A7CDF" w:rsidRPr="0058432E">
        <w:rPr>
          <w:b/>
          <w:color w:val="000000" w:themeColor="text1"/>
        </w:rPr>
        <w:t>.</w:t>
      </w:r>
      <w:r w:rsidRPr="0058432E">
        <w:rPr>
          <w:b/>
          <w:color w:val="000000" w:themeColor="text1"/>
        </w:rPr>
        <w:t xml:space="preserve"> </w:t>
      </w:r>
    </w:p>
    <w:p w14:paraId="73A29A5F" w14:textId="77777777" w:rsidR="00C46587" w:rsidRPr="0058432E" w:rsidRDefault="00C46587" w:rsidP="00A53E17">
      <w:pPr>
        <w:rPr>
          <w:b/>
          <w:color w:val="000000" w:themeColor="text1"/>
        </w:rPr>
      </w:pPr>
      <w:r w:rsidRPr="0058432E">
        <w:rPr>
          <w:b/>
          <w:color w:val="000000" w:themeColor="text1"/>
        </w:rPr>
        <w:t>Pourcentage de patients</w:t>
      </w:r>
      <w:r w:rsidRPr="0058432E">
        <w:rPr>
          <w:b/>
          <w:color w:val="000000" w:themeColor="text1"/>
          <w:vertAlign w:val="superscript"/>
        </w:rPr>
        <w:t>a</w:t>
      </w:r>
      <w:r w:rsidRPr="0058432E">
        <w:rPr>
          <w:b/>
          <w:color w:val="000000" w:themeColor="text1"/>
        </w:rPr>
        <w:t xml:space="preserve"> répondeurs HiSCR</w:t>
      </w:r>
      <w:r w:rsidRPr="0058432E">
        <w:rPr>
          <w:b/>
          <w:color w:val="000000" w:themeColor="text1"/>
          <w:vertAlign w:val="superscript"/>
        </w:rPr>
        <w:t>b</w:t>
      </w:r>
      <w:r w:rsidRPr="0058432E">
        <w:rPr>
          <w:b/>
          <w:color w:val="000000" w:themeColor="text1"/>
        </w:rPr>
        <w:t xml:space="preserve"> aux semaines 24 et 36 après re-randomisation des traitements à la semaine 12, patients issus du groupe </w:t>
      </w:r>
      <w:r w:rsidR="001B1C18" w:rsidRPr="0058432E">
        <w:rPr>
          <w:b/>
          <w:color w:val="000000" w:themeColor="text1"/>
        </w:rPr>
        <w:t>a</w:t>
      </w:r>
      <w:r w:rsidRPr="0058432E">
        <w:rPr>
          <w:b/>
          <w:color w:val="000000" w:themeColor="text1"/>
        </w:rPr>
        <w:t>dalimumab 40 mg par semaine</w:t>
      </w:r>
    </w:p>
    <w:p w14:paraId="40091A09" w14:textId="77777777" w:rsidR="00C46587" w:rsidRPr="0058432E" w:rsidRDefault="00C46587"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2262"/>
        <w:gridCol w:w="2272"/>
        <w:gridCol w:w="2272"/>
      </w:tblGrid>
      <w:tr w:rsidR="00C46587" w:rsidRPr="0058432E" w14:paraId="7B0A5B43" w14:textId="77777777">
        <w:tc>
          <w:tcPr>
            <w:tcW w:w="2325" w:type="dxa"/>
            <w:tcBorders>
              <w:top w:val="single" w:sz="4" w:space="0" w:color="auto"/>
              <w:left w:val="single" w:sz="4" w:space="0" w:color="auto"/>
              <w:bottom w:val="single" w:sz="4" w:space="0" w:color="auto"/>
              <w:right w:val="single" w:sz="4" w:space="0" w:color="auto"/>
            </w:tcBorders>
            <w:vAlign w:val="center"/>
          </w:tcPr>
          <w:p w14:paraId="383897EC" w14:textId="77777777" w:rsidR="00C46587" w:rsidRPr="0058432E" w:rsidRDefault="00C46587" w:rsidP="00982118">
            <w:pPr>
              <w:jc w:val="center"/>
              <w:rPr>
                <w:b/>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6E290B9A" w14:textId="77777777" w:rsidR="00C46587" w:rsidRPr="0058432E" w:rsidRDefault="00C46587" w:rsidP="00982118">
            <w:pPr>
              <w:jc w:val="center"/>
              <w:rPr>
                <w:b/>
                <w:color w:val="000000" w:themeColor="text1"/>
              </w:rPr>
            </w:pPr>
            <w:r w:rsidRPr="0058432E">
              <w:rPr>
                <w:b/>
                <w:color w:val="000000" w:themeColor="text1"/>
              </w:rPr>
              <w:t>Placebo</w:t>
            </w:r>
          </w:p>
          <w:p w14:paraId="37AF0F1A" w14:textId="77777777" w:rsidR="00C46587" w:rsidRPr="0058432E" w:rsidRDefault="00C46587" w:rsidP="00982118">
            <w:pPr>
              <w:jc w:val="center"/>
              <w:rPr>
                <w:b/>
                <w:color w:val="000000" w:themeColor="text1"/>
              </w:rPr>
            </w:pPr>
            <w:r w:rsidRPr="0058432E">
              <w:rPr>
                <w:b/>
                <w:color w:val="000000" w:themeColor="text1"/>
              </w:rPr>
              <w:t>(</w:t>
            </w:r>
            <w:proofErr w:type="gramStart"/>
            <w:r w:rsidRPr="0058432E">
              <w:rPr>
                <w:b/>
                <w:color w:val="000000" w:themeColor="text1"/>
              </w:rPr>
              <w:t>arrêt</w:t>
            </w:r>
            <w:proofErr w:type="gramEnd"/>
            <w:r w:rsidRPr="0058432E">
              <w:rPr>
                <w:b/>
                <w:color w:val="000000" w:themeColor="text1"/>
              </w:rPr>
              <w:t xml:space="preserve"> du traitement)</w:t>
            </w:r>
          </w:p>
          <w:p w14:paraId="51E33189" w14:textId="77777777" w:rsidR="00C46587" w:rsidRPr="0058432E" w:rsidRDefault="00C46587" w:rsidP="00982118">
            <w:pPr>
              <w:jc w:val="center"/>
              <w:rPr>
                <w:b/>
                <w:color w:val="000000" w:themeColor="text1"/>
              </w:rPr>
            </w:pPr>
            <w:r w:rsidRPr="0058432E">
              <w:rPr>
                <w:b/>
                <w:color w:val="000000" w:themeColor="text1"/>
              </w:rPr>
              <w:t>N = 73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3F02D7D" w14:textId="77777777" w:rsidR="00C46587" w:rsidRPr="0058432E" w:rsidRDefault="005A4709" w:rsidP="00982118">
            <w:pPr>
              <w:jc w:val="center"/>
              <w:rPr>
                <w:b/>
                <w:color w:val="000000" w:themeColor="text1"/>
              </w:rPr>
            </w:pPr>
            <w:r w:rsidRPr="0058432E">
              <w:rPr>
                <w:b/>
                <w:color w:val="000000" w:themeColor="text1"/>
              </w:rPr>
              <w:t>Adalimumab 40 mg</w:t>
            </w:r>
          </w:p>
          <w:p w14:paraId="000DCA4A" w14:textId="77777777" w:rsidR="00C46587" w:rsidRPr="0058432E" w:rsidRDefault="00C46587" w:rsidP="00982118">
            <w:pPr>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deux semaines</w:t>
            </w:r>
          </w:p>
          <w:p w14:paraId="2C161D00" w14:textId="77777777" w:rsidR="00C46587" w:rsidRPr="0058432E" w:rsidRDefault="00C46587" w:rsidP="00982118">
            <w:pPr>
              <w:jc w:val="center"/>
              <w:rPr>
                <w:b/>
                <w:color w:val="000000" w:themeColor="text1"/>
              </w:rPr>
            </w:pPr>
            <w:r w:rsidRPr="0058432E">
              <w:rPr>
                <w:b/>
                <w:color w:val="000000" w:themeColor="text1"/>
              </w:rPr>
              <w:t>N = 70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763519B" w14:textId="77777777" w:rsidR="00C46587" w:rsidRPr="0058432E" w:rsidRDefault="005A4709" w:rsidP="00982118">
            <w:pPr>
              <w:jc w:val="center"/>
              <w:rPr>
                <w:b/>
                <w:color w:val="000000" w:themeColor="text1"/>
              </w:rPr>
            </w:pPr>
            <w:r w:rsidRPr="0058432E">
              <w:rPr>
                <w:b/>
                <w:color w:val="000000" w:themeColor="text1"/>
              </w:rPr>
              <w:t>Adalimumab 40 mg</w:t>
            </w:r>
          </w:p>
          <w:p w14:paraId="683E8F28" w14:textId="77777777" w:rsidR="00C46587" w:rsidRPr="0058432E" w:rsidRDefault="00C46587" w:rsidP="00982118">
            <w:pPr>
              <w:jc w:val="center"/>
              <w:rPr>
                <w:b/>
                <w:color w:val="000000" w:themeColor="text1"/>
              </w:rPr>
            </w:pPr>
            <w:proofErr w:type="gramStart"/>
            <w:r w:rsidRPr="0058432E">
              <w:rPr>
                <w:b/>
                <w:color w:val="000000" w:themeColor="text1"/>
              </w:rPr>
              <w:t>par</w:t>
            </w:r>
            <w:proofErr w:type="gramEnd"/>
            <w:r w:rsidRPr="0058432E">
              <w:rPr>
                <w:b/>
                <w:color w:val="000000" w:themeColor="text1"/>
              </w:rPr>
              <w:t xml:space="preserve"> semaine</w:t>
            </w:r>
          </w:p>
          <w:p w14:paraId="4306E84B" w14:textId="77777777" w:rsidR="00C46587" w:rsidRPr="0058432E" w:rsidRDefault="00C46587" w:rsidP="00982118">
            <w:pPr>
              <w:jc w:val="center"/>
              <w:rPr>
                <w:b/>
                <w:color w:val="000000" w:themeColor="text1"/>
              </w:rPr>
            </w:pPr>
            <w:r w:rsidRPr="0058432E">
              <w:rPr>
                <w:b/>
                <w:color w:val="000000" w:themeColor="text1"/>
              </w:rPr>
              <w:t>N = 70</w:t>
            </w:r>
          </w:p>
        </w:tc>
      </w:tr>
      <w:tr w:rsidR="00C46587" w:rsidRPr="0058432E" w14:paraId="31AB2BD9" w14:textId="77777777">
        <w:tc>
          <w:tcPr>
            <w:tcW w:w="2325" w:type="dxa"/>
            <w:tcBorders>
              <w:top w:val="single" w:sz="4" w:space="0" w:color="auto"/>
              <w:left w:val="single" w:sz="4" w:space="0" w:color="auto"/>
              <w:bottom w:val="single" w:sz="4" w:space="0" w:color="auto"/>
              <w:right w:val="single" w:sz="4" w:space="0" w:color="auto"/>
            </w:tcBorders>
            <w:hideMark/>
          </w:tcPr>
          <w:p w14:paraId="575C0742" w14:textId="77777777" w:rsidR="00C46587" w:rsidRPr="0058432E" w:rsidRDefault="00C46587" w:rsidP="00982118">
            <w:pPr>
              <w:rPr>
                <w:color w:val="000000" w:themeColor="text1"/>
              </w:rPr>
            </w:pPr>
            <w:r w:rsidRPr="0058432E">
              <w:rPr>
                <w:color w:val="000000" w:themeColor="text1"/>
              </w:rPr>
              <w:t>Semaine 24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08F5ACD" w14:textId="77777777" w:rsidR="00C46587" w:rsidRPr="0058432E" w:rsidRDefault="00C46587" w:rsidP="00982118">
            <w:pPr>
              <w:jc w:val="center"/>
              <w:rPr>
                <w:color w:val="000000" w:themeColor="text1"/>
              </w:rPr>
            </w:pPr>
            <w:r w:rsidRPr="0058432E">
              <w:rPr>
                <w:color w:val="000000" w:themeColor="text1"/>
              </w:rPr>
              <w:t>24 (32,9 %)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69B2C90" w14:textId="77777777" w:rsidR="00C46587" w:rsidRPr="0058432E" w:rsidRDefault="00C46587" w:rsidP="00982118">
            <w:pPr>
              <w:jc w:val="center"/>
              <w:rPr>
                <w:color w:val="000000" w:themeColor="text1"/>
              </w:rPr>
            </w:pPr>
            <w:r w:rsidRPr="0058432E">
              <w:rPr>
                <w:color w:val="000000" w:themeColor="text1"/>
              </w:rPr>
              <w:t>36 (51,4 %)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A094BBB" w14:textId="77777777" w:rsidR="00C46587" w:rsidRPr="0058432E" w:rsidRDefault="00C46587" w:rsidP="00982118">
            <w:pPr>
              <w:jc w:val="center"/>
              <w:rPr>
                <w:color w:val="000000" w:themeColor="text1"/>
              </w:rPr>
            </w:pPr>
            <w:r w:rsidRPr="0058432E">
              <w:rPr>
                <w:color w:val="000000" w:themeColor="text1"/>
              </w:rPr>
              <w:t>40 (57,1 %)</w:t>
            </w:r>
          </w:p>
        </w:tc>
      </w:tr>
      <w:tr w:rsidR="00C46587" w:rsidRPr="0058432E" w14:paraId="0A5909E1" w14:textId="77777777" w:rsidTr="00081A6C">
        <w:tc>
          <w:tcPr>
            <w:tcW w:w="2325" w:type="dxa"/>
            <w:tcBorders>
              <w:top w:val="single" w:sz="4" w:space="0" w:color="auto"/>
              <w:left w:val="single" w:sz="4" w:space="0" w:color="auto"/>
              <w:bottom w:val="single" w:sz="4" w:space="0" w:color="auto"/>
              <w:right w:val="single" w:sz="4" w:space="0" w:color="auto"/>
            </w:tcBorders>
            <w:hideMark/>
          </w:tcPr>
          <w:p w14:paraId="0EBDFD00" w14:textId="77777777" w:rsidR="00C46587" w:rsidRPr="0058432E" w:rsidRDefault="00C46587" w:rsidP="00982118">
            <w:pPr>
              <w:rPr>
                <w:color w:val="000000" w:themeColor="text1"/>
              </w:rPr>
            </w:pPr>
            <w:r w:rsidRPr="0058432E">
              <w:rPr>
                <w:color w:val="000000" w:themeColor="text1"/>
              </w:rPr>
              <w:t>Semaine 36</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99FA252" w14:textId="77777777" w:rsidR="00C46587" w:rsidRPr="0058432E" w:rsidRDefault="00C46587" w:rsidP="00982118">
            <w:pPr>
              <w:jc w:val="center"/>
              <w:rPr>
                <w:color w:val="000000" w:themeColor="text1"/>
              </w:rPr>
            </w:pPr>
            <w:r w:rsidRPr="0058432E">
              <w:rPr>
                <w:color w:val="000000" w:themeColor="text1"/>
              </w:rPr>
              <w:t>22 (30,1 %)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C22FBE7" w14:textId="77777777" w:rsidR="00C46587" w:rsidRPr="0058432E" w:rsidRDefault="00C46587" w:rsidP="00982118">
            <w:pPr>
              <w:jc w:val="center"/>
              <w:rPr>
                <w:color w:val="000000" w:themeColor="text1"/>
              </w:rPr>
            </w:pPr>
            <w:r w:rsidRPr="0058432E">
              <w:rPr>
                <w:color w:val="000000" w:themeColor="text1"/>
              </w:rPr>
              <w:t>28 (40,0 %)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526BE23" w14:textId="77777777" w:rsidR="00C46587" w:rsidRPr="0058432E" w:rsidRDefault="00C46587" w:rsidP="00982118">
            <w:pPr>
              <w:jc w:val="center"/>
              <w:rPr>
                <w:color w:val="000000" w:themeColor="text1"/>
              </w:rPr>
            </w:pPr>
            <w:r w:rsidRPr="0058432E">
              <w:rPr>
                <w:color w:val="000000" w:themeColor="text1"/>
              </w:rPr>
              <w:t>39 (55,7 %)</w:t>
            </w:r>
          </w:p>
        </w:tc>
      </w:tr>
      <w:tr w:rsidR="00081A6C" w:rsidRPr="0058432E" w14:paraId="728D4C68" w14:textId="77777777" w:rsidTr="00081A6C">
        <w:tc>
          <w:tcPr>
            <w:tcW w:w="9303" w:type="dxa"/>
            <w:gridSpan w:val="4"/>
            <w:tcBorders>
              <w:top w:val="single" w:sz="4" w:space="0" w:color="auto"/>
              <w:left w:val="nil"/>
              <w:bottom w:val="nil"/>
              <w:right w:val="nil"/>
            </w:tcBorders>
          </w:tcPr>
          <w:p w14:paraId="14DCA2F4" w14:textId="77777777" w:rsidR="00081A6C" w:rsidRPr="0058432E" w:rsidRDefault="00081A6C" w:rsidP="00081A6C">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Patients ayant présenté au moins une réponse partielle au traitement par adalimumab 40 mg par semaine après 12 semaines.</w:t>
            </w:r>
          </w:p>
          <w:p w14:paraId="6F64368A" w14:textId="77777777" w:rsidR="00081A6C" w:rsidRPr="0058432E" w:rsidRDefault="00081A6C" w:rsidP="00081A6C">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ab/>
              <w:t>Les patients répondant aux critères spécifiés dans le protocole en termes de perte de réponse ou d’absence d’amélioration devaient sortir de l’étude et étaient comptabilisés comme non-répondeurs.</w:t>
            </w:r>
          </w:p>
        </w:tc>
      </w:tr>
    </w:tbl>
    <w:p w14:paraId="31B930C9" w14:textId="77777777" w:rsidR="00C46587" w:rsidRPr="0058432E" w:rsidRDefault="00C46587" w:rsidP="00982118">
      <w:pPr>
        <w:rPr>
          <w:color w:val="000000" w:themeColor="text1"/>
        </w:rPr>
      </w:pPr>
    </w:p>
    <w:p w14:paraId="2891645D" w14:textId="77777777" w:rsidR="00C46587" w:rsidRPr="0058432E" w:rsidRDefault="00C46587" w:rsidP="00982118">
      <w:pPr>
        <w:rPr>
          <w:color w:val="000000" w:themeColor="text1"/>
        </w:rPr>
      </w:pPr>
      <w:r w:rsidRPr="0058432E">
        <w:rPr>
          <w:color w:val="000000" w:themeColor="text1"/>
        </w:rPr>
        <w:t xml:space="preserve">Parmi les patients présentant au moins une réponse partielle à la semaine 12 et traités en continu par adalimumab toutes les semaines, le taux de répondeurs HiSCR à la semaine 48 était de 68,3 % et de 65,1 % à la semaine 96. Un traitement à plus long terme par adalimumab 40 mg une fois par semaine pendant 96 semaines n’a identifié aucun nouveau signal de </w:t>
      </w:r>
      <w:r w:rsidR="001C58FA" w:rsidRPr="0058432E">
        <w:rPr>
          <w:color w:val="000000" w:themeColor="text1"/>
        </w:rPr>
        <w:t>tolérance</w:t>
      </w:r>
      <w:r w:rsidRPr="0058432E">
        <w:rPr>
          <w:color w:val="000000" w:themeColor="text1"/>
        </w:rPr>
        <w:t xml:space="preserve">. </w:t>
      </w:r>
    </w:p>
    <w:p w14:paraId="6CC4195A" w14:textId="77777777" w:rsidR="00C46587" w:rsidRPr="0058432E" w:rsidRDefault="00C46587" w:rsidP="00982118">
      <w:pPr>
        <w:rPr>
          <w:color w:val="000000" w:themeColor="text1"/>
        </w:rPr>
      </w:pPr>
    </w:p>
    <w:p w14:paraId="3A0D7C2B" w14:textId="77777777" w:rsidR="00C46587" w:rsidRPr="0058432E" w:rsidRDefault="00C46587" w:rsidP="00982118">
      <w:pPr>
        <w:rPr>
          <w:color w:val="000000" w:themeColor="text1"/>
        </w:rPr>
      </w:pPr>
      <w:r w:rsidRPr="0058432E">
        <w:rPr>
          <w:color w:val="000000" w:themeColor="text1"/>
        </w:rPr>
        <w:t>Parmi les patients dont le traitement par adalimumab a été interrompu à la semaine 12 dans les études HS</w:t>
      </w:r>
      <w:r w:rsidRPr="0058432E">
        <w:rPr>
          <w:color w:val="000000" w:themeColor="text1"/>
        </w:rPr>
        <w:noBreakHyphen/>
        <w:t>I et HS</w:t>
      </w:r>
      <w:r w:rsidRPr="0058432E">
        <w:rPr>
          <w:color w:val="000000" w:themeColor="text1"/>
        </w:rPr>
        <w:noBreakHyphen/>
        <w:t xml:space="preserve">II, le taux de répondeurs HiSCR 12 semaines après la ré-introduction de l’adalimumab 40 mg toutes les semaines était revenu à des valeurs similaires à celles observées avant l’interruption du traitement (56,0 %). </w:t>
      </w:r>
    </w:p>
    <w:p w14:paraId="32615BCF" w14:textId="77777777" w:rsidR="00C46587" w:rsidRPr="0058432E" w:rsidRDefault="00C46587" w:rsidP="00982118">
      <w:pPr>
        <w:rPr>
          <w:color w:val="000000" w:themeColor="text1"/>
        </w:rPr>
      </w:pPr>
    </w:p>
    <w:p w14:paraId="5C0BD409" w14:textId="77777777" w:rsidR="00C46587" w:rsidRPr="0058432E" w:rsidRDefault="00C46587" w:rsidP="00966161">
      <w:pPr>
        <w:keepNext/>
        <w:rPr>
          <w:i/>
          <w:color w:val="000000" w:themeColor="text1"/>
        </w:rPr>
      </w:pPr>
      <w:r w:rsidRPr="0058432E">
        <w:rPr>
          <w:i/>
          <w:color w:val="000000" w:themeColor="text1"/>
        </w:rPr>
        <w:t xml:space="preserve">Maladie de Crohn </w:t>
      </w:r>
      <w:r w:rsidR="00DF7121" w:rsidRPr="0058432E">
        <w:rPr>
          <w:i/>
          <w:color w:val="000000" w:themeColor="text1"/>
        </w:rPr>
        <w:t>chez</w:t>
      </w:r>
      <w:r w:rsidRPr="0058432E">
        <w:rPr>
          <w:i/>
          <w:color w:val="000000" w:themeColor="text1"/>
        </w:rPr>
        <w:t xml:space="preserve"> l’adulte </w:t>
      </w:r>
    </w:p>
    <w:p w14:paraId="4CD2542E" w14:textId="77777777" w:rsidR="00C46587" w:rsidRPr="0058432E" w:rsidRDefault="00C46587" w:rsidP="00966161">
      <w:pPr>
        <w:keepNext/>
        <w:rPr>
          <w:color w:val="000000" w:themeColor="text1"/>
        </w:rPr>
      </w:pPr>
    </w:p>
    <w:p w14:paraId="3BF44CAA" w14:textId="77777777" w:rsidR="00C46587" w:rsidRPr="0058432E" w:rsidRDefault="00C46587" w:rsidP="00982118">
      <w:pPr>
        <w:rPr>
          <w:color w:val="000000" w:themeColor="text1"/>
        </w:rPr>
      </w:pPr>
      <w:r w:rsidRPr="0058432E">
        <w:rPr>
          <w:color w:val="000000" w:themeColor="text1"/>
        </w:rPr>
        <w:t xml:space="preserve">La </w:t>
      </w:r>
      <w:r w:rsidR="002D3129" w:rsidRPr="0058432E">
        <w:rPr>
          <w:color w:val="000000" w:themeColor="text1"/>
        </w:rPr>
        <w:t>tolérance</w:t>
      </w:r>
      <w:r w:rsidR="00482D88" w:rsidRPr="0058432E">
        <w:rPr>
          <w:color w:val="000000" w:themeColor="text1"/>
        </w:rPr>
        <w:t xml:space="preserve"> </w:t>
      </w:r>
      <w:r w:rsidRPr="0058432E">
        <w:rPr>
          <w:color w:val="000000" w:themeColor="text1"/>
        </w:rPr>
        <w:t>et l’efficacité de l’adalimumab ont été évaluées chez plus de 1 500 patients ayant une maladie de Crohn active modérée à sévère (indice d’activité de la maladie de Crohn [</w:t>
      </w:r>
      <w:r w:rsidRPr="0058432E">
        <w:rPr>
          <w:i/>
          <w:iCs/>
          <w:color w:val="000000" w:themeColor="text1"/>
        </w:rPr>
        <w:t>Crohn’s Disease Activity Index</w:t>
      </w:r>
      <w:r w:rsidRPr="0058432E">
        <w:rPr>
          <w:color w:val="000000" w:themeColor="text1"/>
        </w:rPr>
        <w:t xml:space="preserve"> (CDAI)] ≥ 220 et ≤ 450) dans des études randomisées, en double-aveugle, contrôlées </w:t>
      </w:r>
      <w:r w:rsidR="001C58FA" w:rsidRPr="0058432E">
        <w:rPr>
          <w:color w:val="000000" w:themeColor="text1"/>
        </w:rPr>
        <w:t xml:space="preserve">contre </w:t>
      </w:r>
      <w:r w:rsidRPr="0058432E">
        <w:rPr>
          <w:color w:val="000000" w:themeColor="text1"/>
        </w:rPr>
        <w:t xml:space="preserve">placebo. Des doses stables concomitantes d’aminosalicylés, de corticoïdes et/ou d’immunomodulateurs étaient autorisées et 80 % des patients ont continué à recevoir au moins un de ces médicaments. </w:t>
      </w:r>
    </w:p>
    <w:p w14:paraId="262DFB70" w14:textId="77777777" w:rsidR="00C46587" w:rsidRPr="0058432E" w:rsidRDefault="00C46587" w:rsidP="00982118">
      <w:pPr>
        <w:rPr>
          <w:color w:val="000000" w:themeColor="text1"/>
        </w:rPr>
      </w:pPr>
    </w:p>
    <w:p w14:paraId="4D13BDD2" w14:textId="77777777" w:rsidR="00C46587" w:rsidRPr="0058432E" w:rsidRDefault="00C46587" w:rsidP="00982118">
      <w:pPr>
        <w:rPr>
          <w:color w:val="000000" w:themeColor="text1"/>
        </w:rPr>
      </w:pPr>
      <w:r w:rsidRPr="0058432E">
        <w:rPr>
          <w:color w:val="000000" w:themeColor="text1"/>
        </w:rPr>
        <w:t xml:space="preserve">L’induction d’une rémission clinique (définie par un indice CDAI &lt; 150) a été évaluée dans deux études, l’étude I sur la MC (CLASSIC I) et l’étude II sur la MC (GAIN). Dans l’étude I sur la MC, 299 patients non précédemment traités par un </w:t>
      </w:r>
      <w:r w:rsidR="00533435" w:rsidRPr="0058432E">
        <w:rPr>
          <w:color w:val="000000" w:themeColor="text1"/>
        </w:rPr>
        <w:t>antagoniste du TNF</w:t>
      </w:r>
      <w:r w:rsidR="001C58FA" w:rsidRPr="0058432E">
        <w:rPr>
          <w:color w:val="000000" w:themeColor="text1"/>
        </w:rPr>
        <w:t xml:space="preserve"> </w:t>
      </w:r>
      <w:r w:rsidRPr="0058432E">
        <w:rPr>
          <w:color w:val="000000" w:themeColor="text1"/>
        </w:rPr>
        <w:t>ont été randomisés vers l’un des quatre groupes de traitement de l’étude ; placebo aux semaines</w:t>
      </w:r>
      <w:r w:rsidR="005F337E" w:rsidRPr="0058432E">
        <w:rPr>
          <w:color w:val="000000" w:themeColor="text1"/>
        </w:rPr>
        <w:t> </w:t>
      </w:r>
      <w:r w:rsidRPr="0058432E">
        <w:rPr>
          <w:color w:val="000000" w:themeColor="text1"/>
        </w:rPr>
        <w:t>0 et 2, 160 mg d’adalimumab à la semaine</w:t>
      </w:r>
      <w:r w:rsidR="005F337E" w:rsidRPr="0058432E">
        <w:rPr>
          <w:color w:val="000000" w:themeColor="text1"/>
        </w:rPr>
        <w:t> </w:t>
      </w:r>
      <w:r w:rsidRPr="0058432E">
        <w:rPr>
          <w:color w:val="000000" w:themeColor="text1"/>
        </w:rPr>
        <w:t>0 et 80 mg à la semaine</w:t>
      </w:r>
      <w:r w:rsidR="005F337E" w:rsidRPr="0058432E">
        <w:rPr>
          <w:color w:val="000000" w:themeColor="text1"/>
        </w:rPr>
        <w:t> </w:t>
      </w:r>
      <w:r w:rsidRPr="0058432E">
        <w:rPr>
          <w:color w:val="000000" w:themeColor="text1"/>
        </w:rPr>
        <w:t>2, 80 mg à la semaine</w:t>
      </w:r>
      <w:r w:rsidR="005F337E" w:rsidRPr="0058432E">
        <w:rPr>
          <w:color w:val="000000" w:themeColor="text1"/>
        </w:rPr>
        <w:t> </w:t>
      </w:r>
      <w:r w:rsidRPr="0058432E">
        <w:rPr>
          <w:color w:val="000000" w:themeColor="text1"/>
        </w:rPr>
        <w:t>0 et 40 mg à la semaine</w:t>
      </w:r>
      <w:r w:rsidR="005F337E" w:rsidRPr="0058432E">
        <w:rPr>
          <w:color w:val="000000" w:themeColor="text1"/>
        </w:rPr>
        <w:t> </w:t>
      </w:r>
      <w:r w:rsidRPr="0058432E">
        <w:rPr>
          <w:color w:val="000000" w:themeColor="text1"/>
        </w:rPr>
        <w:t>2, et 40 mg à la semaine</w:t>
      </w:r>
      <w:r w:rsidR="005F337E" w:rsidRPr="0058432E">
        <w:rPr>
          <w:color w:val="000000" w:themeColor="text1"/>
        </w:rPr>
        <w:t> </w:t>
      </w:r>
      <w:r w:rsidRPr="0058432E">
        <w:rPr>
          <w:color w:val="000000" w:themeColor="text1"/>
        </w:rPr>
        <w:t>0 et 20 mg à la semaine</w:t>
      </w:r>
      <w:r w:rsidR="005F337E" w:rsidRPr="0058432E">
        <w:rPr>
          <w:color w:val="000000" w:themeColor="text1"/>
        </w:rPr>
        <w:t> </w:t>
      </w:r>
      <w:r w:rsidRPr="0058432E">
        <w:rPr>
          <w:color w:val="000000" w:themeColor="text1"/>
        </w:rPr>
        <w:t>2. Dans l’étude II sur la MC, 325 patients ne répondant plus ou étant intolérants à l’infliximab ont été randomisés pour recevoir soit 160 mg d’adalimumab à la semaine</w:t>
      </w:r>
      <w:r w:rsidR="005F337E" w:rsidRPr="0058432E">
        <w:rPr>
          <w:color w:val="000000" w:themeColor="text1"/>
        </w:rPr>
        <w:t> </w:t>
      </w:r>
      <w:r w:rsidRPr="0058432E">
        <w:rPr>
          <w:color w:val="000000" w:themeColor="text1"/>
        </w:rPr>
        <w:t>0 et 80 mg à la semaine</w:t>
      </w:r>
      <w:r w:rsidR="005F337E" w:rsidRPr="0058432E">
        <w:rPr>
          <w:color w:val="000000" w:themeColor="text1"/>
        </w:rPr>
        <w:t> </w:t>
      </w:r>
      <w:r w:rsidRPr="0058432E">
        <w:rPr>
          <w:color w:val="000000" w:themeColor="text1"/>
        </w:rPr>
        <w:t>2 soit un placebo aux semaines</w:t>
      </w:r>
      <w:r w:rsidR="005F337E" w:rsidRPr="0058432E">
        <w:rPr>
          <w:color w:val="000000" w:themeColor="text1"/>
        </w:rPr>
        <w:t> </w:t>
      </w:r>
      <w:r w:rsidRPr="0058432E">
        <w:rPr>
          <w:color w:val="000000" w:themeColor="text1"/>
        </w:rPr>
        <w:t>0 et 2. Les non</w:t>
      </w:r>
      <w:r w:rsidRPr="0058432E">
        <w:rPr>
          <w:color w:val="000000" w:themeColor="text1"/>
        </w:rPr>
        <w:noBreakHyphen/>
        <w:t xml:space="preserve">répondeurs primaires ont été exclus des études et ces patients n’ont par conséquent pas fait l’objet d’autres évaluations. </w:t>
      </w:r>
    </w:p>
    <w:p w14:paraId="0965FBBB" w14:textId="77777777" w:rsidR="00C46587" w:rsidRPr="0058432E" w:rsidRDefault="00C46587" w:rsidP="00982118">
      <w:pPr>
        <w:rPr>
          <w:color w:val="000000" w:themeColor="text1"/>
        </w:rPr>
      </w:pPr>
    </w:p>
    <w:p w14:paraId="2876F1A1" w14:textId="77777777" w:rsidR="00C46587" w:rsidRPr="0058432E" w:rsidRDefault="00C46587" w:rsidP="00982118">
      <w:pPr>
        <w:rPr>
          <w:color w:val="000000" w:themeColor="text1"/>
        </w:rPr>
      </w:pPr>
      <w:r w:rsidRPr="0058432E">
        <w:rPr>
          <w:color w:val="000000" w:themeColor="text1"/>
        </w:rPr>
        <w:t>Le maintien de la rémission clinique a été évalué dans l’étude III sur la MC (CHARM). Dans l’étude</w:t>
      </w:r>
      <w:r w:rsidR="00D76461" w:rsidRPr="0058432E">
        <w:rPr>
          <w:color w:val="000000" w:themeColor="text1"/>
        </w:rPr>
        <w:t> </w:t>
      </w:r>
      <w:r w:rsidRPr="0058432E">
        <w:rPr>
          <w:color w:val="000000" w:themeColor="text1"/>
        </w:rPr>
        <w:t>III sur la MC, 854 patients ont reçu en ouvert 80 mg à la semaine</w:t>
      </w:r>
      <w:r w:rsidR="00B9408E" w:rsidRPr="0058432E">
        <w:rPr>
          <w:color w:val="000000" w:themeColor="text1"/>
        </w:rPr>
        <w:t> </w:t>
      </w:r>
      <w:r w:rsidRPr="0058432E">
        <w:rPr>
          <w:color w:val="000000" w:themeColor="text1"/>
        </w:rPr>
        <w:t>0 et 40 mg à la semaine 2. À la semaine</w:t>
      </w:r>
      <w:r w:rsidR="00B9408E" w:rsidRPr="0058432E">
        <w:rPr>
          <w:color w:val="000000" w:themeColor="text1"/>
        </w:rPr>
        <w:t> </w:t>
      </w:r>
      <w:r w:rsidRPr="0058432E">
        <w:rPr>
          <w:color w:val="000000" w:themeColor="text1"/>
        </w:rPr>
        <w:t>4, les patients ont été randomisés pour recevoir 40 mg toutes les deux semaines</w:t>
      </w:r>
      <w:r w:rsidR="001C58FA" w:rsidRPr="0058432E">
        <w:rPr>
          <w:color w:val="000000" w:themeColor="text1"/>
        </w:rPr>
        <w:t>,</w:t>
      </w:r>
      <w:r w:rsidRPr="0058432E">
        <w:rPr>
          <w:color w:val="000000" w:themeColor="text1"/>
        </w:rPr>
        <w:t xml:space="preserve"> 40 mg </w:t>
      </w:r>
      <w:r w:rsidR="001C58FA" w:rsidRPr="0058432E">
        <w:rPr>
          <w:color w:val="000000" w:themeColor="text1"/>
        </w:rPr>
        <w:t>chaque</w:t>
      </w:r>
      <w:r w:rsidRPr="0058432E">
        <w:rPr>
          <w:color w:val="000000" w:themeColor="text1"/>
        </w:rPr>
        <w:t xml:space="preserve"> semaine</w:t>
      </w:r>
      <w:r w:rsidR="001C58FA" w:rsidRPr="0058432E">
        <w:rPr>
          <w:color w:val="000000" w:themeColor="text1"/>
        </w:rPr>
        <w:t xml:space="preserve"> ou</w:t>
      </w:r>
      <w:r w:rsidRPr="0058432E">
        <w:rPr>
          <w:color w:val="000000" w:themeColor="text1"/>
        </w:rPr>
        <w:t xml:space="preserve"> un placebo pour une durée totale de 56</w:t>
      </w:r>
      <w:r w:rsidR="00050DC2" w:rsidRPr="0058432E">
        <w:rPr>
          <w:color w:val="000000" w:themeColor="text1"/>
        </w:rPr>
        <w:t> </w:t>
      </w:r>
      <w:r w:rsidRPr="0058432E">
        <w:rPr>
          <w:color w:val="000000" w:themeColor="text1"/>
        </w:rPr>
        <w:t>semaines. Les patients présentant une réponse clinique (diminution de l’indice CDAI ≥ 70) à la semaine</w:t>
      </w:r>
      <w:r w:rsidR="005C2191" w:rsidRPr="0058432E">
        <w:rPr>
          <w:color w:val="000000" w:themeColor="text1"/>
        </w:rPr>
        <w:t> </w:t>
      </w:r>
      <w:r w:rsidRPr="0058432E">
        <w:rPr>
          <w:color w:val="000000" w:themeColor="text1"/>
        </w:rPr>
        <w:t>4 ont été stratifiés et analysés séparément de ceux n’ayant pas présenté de réponse clinique à la semaine</w:t>
      </w:r>
      <w:r w:rsidR="007977DE" w:rsidRPr="0058432E">
        <w:rPr>
          <w:color w:val="000000" w:themeColor="text1"/>
        </w:rPr>
        <w:t> </w:t>
      </w:r>
      <w:r w:rsidRPr="0058432E">
        <w:rPr>
          <w:color w:val="000000" w:themeColor="text1"/>
        </w:rPr>
        <w:t xml:space="preserve">4. La diminution progressive des corticoïdes était autorisée après la semaine 8. </w:t>
      </w:r>
    </w:p>
    <w:p w14:paraId="762065E8" w14:textId="77777777" w:rsidR="00C46587" w:rsidRPr="0058432E" w:rsidRDefault="00C46587" w:rsidP="00982118">
      <w:pPr>
        <w:rPr>
          <w:color w:val="000000" w:themeColor="text1"/>
        </w:rPr>
      </w:pPr>
    </w:p>
    <w:p w14:paraId="53F26CDE" w14:textId="77777777" w:rsidR="00C46587" w:rsidRPr="0058432E" w:rsidRDefault="00C46587" w:rsidP="00982118">
      <w:pPr>
        <w:rPr>
          <w:color w:val="000000" w:themeColor="text1"/>
        </w:rPr>
      </w:pPr>
      <w:r w:rsidRPr="0058432E">
        <w:rPr>
          <w:color w:val="000000" w:themeColor="text1"/>
        </w:rPr>
        <w:t>Les taux d’induction d’une rémission et de réponse enregistrés dans les études I et II sur la MC sont présentés dans le tableau </w:t>
      </w:r>
      <w:r w:rsidR="008F4E17" w:rsidRPr="0058432E">
        <w:rPr>
          <w:color w:val="000000" w:themeColor="text1"/>
        </w:rPr>
        <w:t>17</w:t>
      </w:r>
      <w:r w:rsidRPr="0058432E">
        <w:rPr>
          <w:color w:val="000000" w:themeColor="text1"/>
        </w:rPr>
        <w:t xml:space="preserve">. </w:t>
      </w:r>
    </w:p>
    <w:p w14:paraId="16475698" w14:textId="77777777" w:rsidR="00C46587" w:rsidRPr="0058432E" w:rsidRDefault="00C46587" w:rsidP="00982118">
      <w:pPr>
        <w:rPr>
          <w:color w:val="000000" w:themeColor="text1"/>
        </w:rPr>
      </w:pPr>
    </w:p>
    <w:p w14:paraId="49D1C5CF" w14:textId="77777777" w:rsidR="00C46587" w:rsidRPr="0058432E" w:rsidRDefault="00C46587" w:rsidP="000D3575">
      <w:pPr>
        <w:keepNext/>
        <w:keepLines/>
        <w:rPr>
          <w:b/>
          <w:color w:val="000000" w:themeColor="text1"/>
        </w:rPr>
      </w:pPr>
      <w:r w:rsidRPr="0058432E">
        <w:rPr>
          <w:b/>
          <w:color w:val="000000" w:themeColor="text1"/>
        </w:rPr>
        <w:t>Tableau </w:t>
      </w:r>
      <w:r w:rsidR="008F4E17" w:rsidRPr="0058432E">
        <w:rPr>
          <w:b/>
          <w:color w:val="000000" w:themeColor="text1"/>
        </w:rPr>
        <w:t>17</w:t>
      </w:r>
      <w:r w:rsidR="002A7CDF" w:rsidRPr="0058432E">
        <w:rPr>
          <w:b/>
          <w:color w:val="000000" w:themeColor="text1"/>
        </w:rPr>
        <w:t>.</w:t>
      </w:r>
    </w:p>
    <w:p w14:paraId="0F9E5FB5" w14:textId="77777777" w:rsidR="002510E7" w:rsidRPr="0058432E" w:rsidRDefault="002510E7" w:rsidP="000D3575">
      <w:pPr>
        <w:keepNext/>
        <w:keepLines/>
        <w:rPr>
          <w:b/>
          <w:color w:val="000000" w:themeColor="text1"/>
        </w:rPr>
      </w:pPr>
      <w:r w:rsidRPr="0058432E">
        <w:rPr>
          <w:b/>
          <w:color w:val="000000" w:themeColor="text1"/>
        </w:rPr>
        <w:t>Induction d’une rémission clinique et d’une réponse clinique (pourcentage de patients)</w:t>
      </w:r>
    </w:p>
    <w:p w14:paraId="49CA5D7F" w14:textId="77777777" w:rsidR="002510E7" w:rsidRPr="0058432E" w:rsidRDefault="002510E7" w:rsidP="000D3575">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5"/>
        <w:gridCol w:w="1793"/>
        <w:gridCol w:w="1793"/>
        <w:gridCol w:w="1055"/>
        <w:gridCol w:w="1795"/>
      </w:tblGrid>
      <w:tr w:rsidR="002510E7" w:rsidRPr="0058432E" w14:paraId="370DCC7A" w14:textId="77777777" w:rsidTr="003146E9">
        <w:trPr>
          <w:cantSplit/>
          <w:tblHeader/>
        </w:trPr>
        <w:tc>
          <w:tcPr>
            <w:tcW w:w="1668" w:type="dxa"/>
            <w:tcBorders>
              <w:top w:val="single" w:sz="4" w:space="0" w:color="auto"/>
              <w:left w:val="single" w:sz="4" w:space="0" w:color="auto"/>
              <w:bottom w:val="single" w:sz="4" w:space="0" w:color="auto"/>
              <w:right w:val="single" w:sz="4" w:space="0" w:color="auto"/>
            </w:tcBorders>
          </w:tcPr>
          <w:p w14:paraId="7371BA8F" w14:textId="77777777" w:rsidR="002510E7" w:rsidRPr="0058432E" w:rsidRDefault="002510E7" w:rsidP="000D3575">
            <w:pPr>
              <w:keepNext/>
              <w:keepLines/>
              <w:rPr>
                <w:color w:val="000000" w:themeColor="text1"/>
              </w:rPr>
            </w:pPr>
          </w:p>
        </w:tc>
        <w:tc>
          <w:tcPr>
            <w:tcW w:w="4711" w:type="dxa"/>
            <w:gridSpan w:val="3"/>
            <w:tcBorders>
              <w:top w:val="single" w:sz="4" w:space="0" w:color="auto"/>
              <w:left w:val="single" w:sz="4" w:space="0" w:color="auto"/>
              <w:bottom w:val="single" w:sz="4" w:space="0" w:color="auto"/>
              <w:right w:val="single" w:sz="4" w:space="0" w:color="auto"/>
            </w:tcBorders>
            <w:hideMark/>
          </w:tcPr>
          <w:p w14:paraId="6D0EEF97" w14:textId="77777777" w:rsidR="002510E7" w:rsidRPr="0058432E" w:rsidRDefault="002510E7" w:rsidP="000D3575">
            <w:pPr>
              <w:keepNext/>
              <w:keepLines/>
              <w:rPr>
                <w:color w:val="000000" w:themeColor="text1"/>
              </w:rPr>
            </w:pPr>
            <w:r w:rsidRPr="0058432E">
              <w:rPr>
                <w:b/>
                <w:color w:val="000000" w:themeColor="text1"/>
              </w:rPr>
              <w:t>Étude I sur la MC : patients naïfs d’infliximab</w:t>
            </w:r>
          </w:p>
        </w:tc>
        <w:tc>
          <w:tcPr>
            <w:tcW w:w="2924" w:type="dxa"/>
            <w:gridSpan w:val="2"/>
            <w:tcBorders>
              <w:top w:val="single" w:sz="4" w:space="0" w:color="auto"/>
              <w:left w:val="single" w:sz="4" w:space="0" w:color="auto"/>
              <w:bottom w:val="single" w:sz="4" w:space="0" w:color="auto"/>
              <w:right w:val="single" w:sz="4" w:space="0" w:color="auto"/>
            </w:tcBorders>
            <w:hideMark/>
          </w:tcPr>
          <w:p w14:paraId="710A6691" w14:textId="77777777" w:rsidR="002510E7" w:rsidRPr="0058432E" w:rsidRDefault="002510E7" w:rsidP="000D3575">
            <w:pPr>
              <w:keepNext/>
              <w:keepLines/>
              <w:rPr>
                <w:color w:val="000000" w:themeColor="text1"/>
              </w:rPr>
            </w:pPr>
            <w:r w:rsidRPr="0058432E">
              <w:rPr>
                <w:b/>
                <w:color w:val="000000" w:themeColor="text1"/>
              </w:rPr>
              <w:t>Étude II sur la MC : patients précédemment traités par l’infliximab</w:t>
            </w:r>
          </w:p>
        </w:tc>
      </w:tr>
      <w:tr w:rsidR="002510E7" w:rsidRPr="0058432E" w14:paraId="23126368" w14:textId="77777777" w:rsidTr="003146E9">
        <w:trPr>
          <w:cantSplit/>
          <w:tblHeader/>
        </w:trPr>
        <w:tc>
          <w:tcPr>
            <w:tcW w:w="1668" w:type="dxa"/>
            <w:tcBorders>
              <w:top w:val="single" w:sz="4" w:space="0" w:color="auto"/>
              <w:left w:val="single" w:sz="4" w:space="0" w:color="auto"/>
              <w:bottom w:val="single" w:sz="4" w:space="0" w:color="auto"/>
              <w:right w:val="single" w:sz="4" w:space="0" w:color="auto"/>
            </w:tcBorders>
          </w:tcPr>
          <w:p w14:paraId="276A2B47" w14:textId="77777777" w:rsidR="002510E7" w:rsidRPr="0058432E" w:rsidRDefault="002510E7" w:rsidP="000D3575">
            <w:pPr>
              <w:keepNext/>
              <w:keepLines/>
              <w:rPr>
                <w:color w:val="000000" w:themeColor="text1"/>
              </w:rPr>
            </w:pPr>
          </w:p>
        </w:tc>
        <w:tc>
          <w:tcPr>
            <w:tcW w:w="1029" w:type="dxa"/>
            <w:tcBorders>
              <w:top w:val="single" w:sz="4" w:space="0" w:color="auto"/>
              <w:left w:val="single" w:sz="4" w:space="0" w:color="auto"/>
              <w:bottom w:val="single" w:sz="4" w:space="0" w:color="auto"/>
              <w:right w:val="single" w:sz="4" w:space="0" w:color="auto"/>
            </w:tcBorders>
            <w:hideMark/>
          </w:tcPr>
          <w:p w14:paraId="2F0B1D28" w14:textId="77777777" w:rsidR="002510E7" w:rsidRPr="0058432E" w:rsidRDefault="002510E7" w:rsidP="000D3575">
            <w:pPr>
              <w:keepNext/>
              <w:keepLines/>
              <w:jc w:val="center"/>
              <w:rPr>
                <w:b/>
                <w:color w:val="000000" w:themeColor="text1"/>
              </w:rPr>
            </w:pPr>
            <w:r w:rsidRPr="0058432E">
              <w:rPr>
                <w:b/>
                <w:color w:val="000000" w:themeColor="text1"/>
              </w:rPr>
              <w:t>Placebo</w:t>
            </w:r>
          </w:p>
          <w:p w14:paraId="586A639E" w14:textId="77777777" w:rsidR="002510E7" w:rsidRPr="0058432E" w:rsidRDefault="002510E7" w:rsidP="000D3575">
            <w:pPr>
              <w:keepNext/>
              <w:keepLines/>
              <w:jc w:val="center"/>
              <w:rPr>
                <w:b/>
                <w:color w:val="000000" w:themeColor="text1"/>
              </w:rPr>
            </w:pPr>
            <w:r w:rsidRPr="0058432E">
              <w:rPr>
                <w:b/>
                <w:color w:val="000000" w:themeColor="text1"/>
              </w:rPr>
              <w:t>N = 74</w:t>
            </w:r>
          </w:p>
        </w:tc>
        <w:tc>
          <w:tcPr>
            <w:tcW w:w="1841" w:type="dxa"/>
            <w:tcBorders>
              <w:top w:val="single" w:sz="4" w:space="0" w:color="auto"/>
              <w:left w:val="single" w:sz="4" w:space="0" w:color="auto"/>
              <w:bottom w:val="single" w:sz="4" w:space="0" w:color="auto"/>
              <w:right w:val="single" w:sz="4" w:space="0" w:color="auto"/>
            </w:tcBorders>
            <w:hideMark/>
          </w:tcPr>
          <w:p w14:paraId="047C874F" w14:textId="77777777" w:rsidR="002510E7" w:rsidRPr="0058432E" w:rsidRDefault="002510E7" w:rsidP="000D3575">
            <w:pPr>
              <w:keepNext/>
              <w:keepLines/>
              <w:jc w:val="center"/>
              <w:rPr>
                <w:b/>
                <w:color w:val="000000" w:themeColor="text1"/>
              </w:rPr>
            </w:pPr>
            <w:r w:rsidRPr="0058432E">
              <w:rPr>
                <w:b/>
                <w:color w:val="000000" w:themeColor="text1"/>
              </w:rPr>
              <w:t>Adalimumab</w:t>
            </w:r>
          </w:p>
          <w:p w14:paraId="385F8C2F" w14:textId="77777777" w:rsidR="002510E7" w:rsidRPr="0058432E" w:rsidRDefault="002510E7" w:rsidP="000D3575">
            <w:pPr>
              <w:keepNext/>
              <w:keepLines/>
              <w:jc w:val="center"/>
              <w:rPr>
                <w:b/>
                <w:color w:val="000000" w:themeColor="text1"/>
              </w:rPr>
            </w:pPr>
            <w:r w:rsidRPr="0058432E">
              <w:rPr>
                <w:b/>
                <w:color w:val="000000" w:themeColor="text1"/>
              </w:rPr>
              <w:t>80/40 mg</w:t>
            </w:r>
          </w:p>
          <w:p w14:paraId="4491C08A" w14:textId="77777777" w:rsidR="002510E7" w:rsidRPr="0058432E" w:rsidRDefault="002510E7" w:rsidP="000D3575">
            <w:pPr>
              <w:keepNext/>
              <w:keepLines/>
              <w:jc w:val="center"/>
              <w:rPr>
                <w:b/>
                <w:color w:val="000000" w:themeColor="text1"/>
              </w:rPr>
            </w:pPr>
            <w:r w:rsidRPr="0058432E">
              <w:rPr>
                <w:b/>
                <w:color w:val="000000" w:themeColor="text1"/>
              </w:rPr>
              <w:t>N = 75</w:t>
            </w:r>
          </w:p>
        </w:tc>
        <w:tc>
          <w:tcPr>
            <w:tcW w:w="1841" w:type="dxa"/>
            <w:tcBorders>
              <w:top w:val="single" w:sz="4" w:space="0" w:color="auto"/>
              <w:left w:val="single" w:sz="4" w:space="0" w:color="auto"/>
              <w:bottom w:val="single" w:sz="4" w:space="0" w:color="auto"/>
              <w:right w:val="single" w:sz="4" w:space="0" w:color="auto"/>
            </w:tcBorders>
            <w:hideMark/>
          </w:tcPr>
          <w:p w14:paraId="26944354" w14:textId="77777777" w:rsidR="002510E7" w:rsidRPr="0058432E" w:rsidRDefault="002510E7" w:rsidP="000D3575">
            <w:pPr>
              <w:keepNext/>
              <w:keepLines/>
              <w:jc w:val="center"/>
              <w:rPr>
                <w:b/>
                <w:color w:val="000000" w:themeColor="text1"/>
              </w:rPr>
            </w:pPr>
            <w:r w:rsidRPr="0058432E">
              <w:rPr>
                <w:b/>
                <w:color w:val="000000" w:themeColor="text1"/>
              </w:rPr>
              <w:t>Adalimumab</w:t>
            </w:r>
          </w:p>
          <w:p w14:paraId="20E7B526" w14:textId="77777777" w:rsidR="002510E7" w:rsidRPr="0058432E" w:rsidRDefault="002510E7" w:rsidP="000D3575">
            <w:pPr>
              <w:keepNext/>
              <w:keepLines/>
              <w:jc w:val="center"/>
              <w:rPr>
                <w:b/>
                <w:color w:val="000000" w:themeColor="text1"/>
              </w:rPr>
            </w:pPr>
            <w:r w:rsidRPr="0058432E">
              <w:rPr>
                <w:b/>
                <w:color w:val="000000" w:themeColor="text1"/>
              </w:rPr>
              <w:t>160/80 mg</w:t>
            </w:r>
          </w:p>
          <w:p w14:paraId="741D3F27" w14:textId="77777777" w:rsidR="002510E7" w:rsidRPr="0058432E" w:rsidRDefault="002510E7" w:rsidP="000D3575">
            <w:pPr>
              <w:keepNext/>
              <w:keepLines/>
              <w:jc w:val="center"/>
              <w:rPr>
                <w:b/>
                <w:color w:val="000000" w:themeColor="text1"/>
              </w:rPr>
            </w:pPr>
            <w:r w:rsidRPr="0058432E">
              <w:rPr>
                <w:b/>
                <w:color w:val="000000" w:themeColor="text1"/>
              </w:rPr>
              <w:t>N = 76</w:t>
            </w:r>
          </w:p>
        </w:tc>
        <w:tc>
          <w:tcPr>
            <w:tcW w:w="1080" w:type="dxa"/>
            <w:tcBorders>
              <w:top w:val="single" w:sz="4" w:space="0" w:color="auto"/>
              <w:left w:val="single" w:sz="4" w:space="0" w:color="auto"/>
              <w:bottom w:val="single" w:sz="4" w:space="0" w:color="auto"/>
              <w:right w:val="single" w:sz="4" w:space="0" w:color="auto"/>
            </w:tcBorders>
            <w:hideMark/>
          </w:tcPr>
          <w:p w14:paraId="210CBEE5" w14:textId="77777777" w:rsidR="002510E7" w:rsidRPr="0058432E" w:rsidRDefault="002510E7" w:rsidP="000D3575">
            <w:pPr>
              <w:keepNext/>
              <w:keepLines/>
              <w:jc w:val="center"/>
              <w:rPr>
                <w:b/>
                <w:color w:val="000000" w:themeColor="text1"/>
              </w:rPr>
            </w:pPr>
            <w:r w:rsidRPr="0058432E">
              <w:rPr>
                <w:b/>
                <w:color w:val="000000" w:themeColor="text1"/>
              </w:rPr>
              <w:t>Placebo</w:t>
            </w:r>
          </w:p>
          <w:p w14:paraId="01041742" w14:textId="77777777" w:rsidR="002510E7" w:rsidRPr="0058432E" w:rsidRDefault="002510E7" w:rsidP="000D3575">
            <w:pPr>
              <w:keepNext/>
              <w:keepLines/>
              <w:jc w:val="center"/>
              <w:rPr>
                <w:b/>
                <w:color w:val="000000" w:themeColor="text1"/>
              </w:rPr>
            </w:pPr>
            <w:r w:rsidRPr="0058432E">
              <w:rPr>
                <w:b/>
                <w:color w:val="000000" w:themeColor="text1"/>
              </w:rPr>
              <w:t>N = 166</w:t>
            </w:r>
          </w:p>
        </w:tc>
        <w:tc>
          <w:tcPr>
            <w:tcW w:w="1844" w:type="dxa"/>
            <w:tcBorders>
              <w:top w:val="single" w:sz="4" w:space="0" w:color="auto"/>
              <w:left w:val="single" w:sz="4" w:space="0" w:color="auto"/>
              <w:bottom w:val="single" w:sz="4" w:space="0" w:color="auto"/>
              <w:right w:val="single" w:sz="4" w:space="0" w:color="auto"/>
            </w:tcBorders>
            <w:hideMark/>
          </w:tcPr>
          <w:p w14:paraId="14FCFE12" w14:textId="77777777" w:rsidR="002510E7" w:rsidRPr="0058432E" w:rsidRDefault="002510E7" w:rsidP="000D3575">
            <w:pPr>
              <w:keepNext/>
              <w:keepLines/>
              <w:jc w:val="center"/>
              <w:rPr>
                <w:b/>
                <w:color w:val="000000" w:themeColor="text1"/>
              </w:rPr>
            </w:pPr>
            <w:r w:rsidRPr="0058432E">
              <w:rPr>
                <w:b/>
                <w:color w:val="000000" w:themeColor="text1"/>
              </w:rPr>
              <w:t>Adalimumab</w:t>
            </w:r>
          </w:p>
          <w:p w14:paraId="48ABA9C5" w14:textId="77777777" w:rsidR="002510E7" w:rsidRPr="0058432E" w:rsidRDefault="002510E7" w:rsidP="000D3575">
            <w:pPr>
              <w:keepNext/>
              <w:keepLines/>
              <w:jc w:val="center"/>
              <w:rPr>
                <w:b/>
                <w:color w:val="000000" w:themeColor="text1"/>
              </w:rPr>
            </w:pPr>
            <w:r w:rsidRPr="0058432E">
              <w:rPr>
                <w:b/>
                <w:color w:val="000000" w:themeColor="text1"/>
              </w:rPr>
              <w:t>160/80 mg</w:t>
            </w:r>
          </w:p>
          <w:p w14:paraId="7C9CB681" w14:textId="77777777" w:rsidR="002510E7" w:rsidRPr="0058432E" w:rsidRDefault="002510E7" w:rsidP="000D3575">
            <w:pPr>
              <w:keepNext/>
              <w:keepLines/>
              <w:jc w:val="center"/>
              <w:rPr>
                <w:b/>
                <w:color w:val="000000" w:themeColor="text1"/>
              </w:rPr>
            </w:pPr>
            <w:r w:rsidRPr="0058432E">
              <w:rPr>
                <w:b/>
                <w:color w:val="000000" w:themeColor="text1"/>
              </w:rPr>
              <w:t>N = 159</w:t>
            </w:r>
          </w:p>
        </w:tc>
      </w:tr>
      <w:tr w:rsidR="002510E7" w:rsidRPr="0058432E" w14:paraId="5BD3302E"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137C6008" w14:textId="77777777" w:rsidR="002510E7" w:rsidRPr="0058432E" w:rsidRDefault="002510E7" w:rsidP="000D3575">
            <w:pPr>
              <w:keepNext/>
              <w:keepLines/>
              <w:rPr>
                <w:color w:val="000000" w:themeColor="text1"/>
              </w:rPr>
            </w:pPr>
            <w:r w:rsidRPr="0058432E">
              <w:rPr>
                <w:color w:val="000000" w:themeColor="text1"/>
              </w:rPr>
              <w:t>Semaine 4</w:t>
            </w:r>
          </w:p>
        </w:tc>
        <w:tc>
          <w:tcPr>
            <w:tcW w:w="1029" w:type="dxa"/>
            <w:tcBorders>
              <w:top w:val="single" w:sz="4" w:space="0" w:color="auto"/>
              <w:left w:val="single" w:sz="4" w:space="0" w:color="auto"/>
              <w:bottom w:val="single" w:sz="4" w:space="0" w:color="auto"/>
              <w:right w:val="single" w:sz="4" w:space="0" w:color="auto"/>
            </w:tcBorders>
          </w:tcPr>
          <w:p w14:paraId="257CBED1" w14:textId="77777777" w:rsidR="002510E7" w:rsidRPr="0058432E" w:rsidRDefault="002510E7" w:rsidP="000D3575">
            <w:pPr>
              <w:keepNext/>
              <w:keepLines/>
              <w:rPr>
                <w:color w:val="000000" w:themeColor="text1"/>
              </w:rPr>
            </w:pPr>
          </w:p>
        </w:tc>
        <w:tc>
          <w:tcPr>
            <w:tcW w:w="1841" w:type="dxa"/>
            <w:tcBorders>
              <w:top w:val="single" w:sz="4" w:space="0" w:color="auto"/>
              <w:left w:val="single" w:sz="4" w:space="0" w:color="auto"/>
              <w:bottom w:val="single" w:sz="4" w:space="0" w:color="auto"/>
              <w:right w:val="single" w:sz="4" w:space="0" w:color="auto"/>
            </w:tcBorders>
          </w:tcPr>
          <w:p w14:paraId="3DB11C56" w14:textId="77777777" w:rsidR="002510E7" w:rsidRPr="0058432E" w:rsidRDefault="002510E7" w:rsidP="000D3575">
            <w:pPr>
              <w:keepNext/>
              <w:keepLines/>
              <w:rPr>
                <w:color w:val="000000" w:themeColor="text1"/>
              </w:rPr>
            </w:pPr>
          </w:p>
        </w:tc>
        <w:tc>
          <w:tcPr>
            <w:tcW w:w="1841" w:type="dxa"/>
            <w:tcBorders>
              <w:top w:val="single" w:sz="4" w:space="0" w:color="auto"/>
              <w:left w:val="single" w:sz="4" w:space="0" w:color="auto"/>
              <w:bottom w:val="single" w:sz="4" w:space="0" w:color="auto"/>
              <w:right w:val="single" w:sz="4" w:space="0" w:color="auto"/>
            </w:tcBorders>
          </w:tcPr>
          <w:p w14:paraId="4E98E2DD" w14:textId="77777777" w:rsidR="002510E7" w:rsidRPr="0058432E" w:rsidRDefault="002510E7" w:rsidP="000D3575">
            <w:pPr>
              <w:keepNext/>
              <w:keepLines/>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5A440709" w14:textId="77777777" w:rsidR="002510E7" w:rsidRPr="0058432E" w:rsidRDefault="002510E7" w:rsidP="000D3575">
            <w:pPr>
              <w:keepNext/>
              <w:keepLines/>
              <w:rPr>
                <w:color w:val="000000" w:themeColor="text1"/>
              </w:rPr>
            </w:pPr>
          </w:p>
        </w:tc>
        <w:tc>
          <w:tcPr>
            <w:tcW w:w="1844" w:type="dxa"/>
            <w:tcBorders>
              <w:top w:val="single" w:sz="4" w:space="0" w:color="auto"/>
              <w:left w:val="single" w:sz="4" w:space="0" w:color="auto"/>
              <w:bottom w:val="single" w:sz="4" w:space="0" w:color="auto"/>
              <w:right w:val="single" w:sz="4" w:space="0" w:color="auto"/>
            </w:tcBorders>
          </w:tcPr>
          <w:p w14:paraId="7ECEBA6F" w14:textId="77777777" w:rsidR="002510E7" w:rsidRPr="0058432E" w:rsidRDefault="002510E7" w:rsidP="000D3575">
            <w:pPr>
              <w:keepNext/>
              <w:keepLines/>
              <w:rPr>
                <w:color w:val="000000" w:themeColor="text1"/>
              </w:rPr>
            </w:pPr>
          </w:p>
        </w:tc>
      </w:tr>
      <w:tr w:rsidR="002510E7" w:rsidRPr="0058432E" w14:paraId="480D8BE0"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4FEC384A" w14:textId="77777777" w:rsidR="002510E7" w:rsidRPr="0058432E" w:rsidRDefault="002510E7" w:rsidP="000D3575">
            <w:pPr>
              <w:keepNext/>
              <w:keepLines/>
              <w:rPr>
                <w:color w:val="000000" w:themeColor="text1"/>
              </w:rPr>
            </w:pPr>
            <w:r w:rsidRPr="0058432E">
              <w:rPr>
                <w:color w:val="000000" w:themeColor="text1"/>
              </w:rPr>
              <w:t>Rémission clinique</w:t>
            </w:r>
          </w:p>
        </w:tc>
        <w:tc>
          <w:tcPr>
            <w:tcW w:w="1029" w:type="dxa"/>
            <w:tcBorders>
              <w:top w:val="single" w:sz="4" w:space="0" w:color="auto"/>
              <w:left w:val="single" w:sz="4" w:space="0" w:color="auto"/>
              <w:bottom w:val="single" w:sz="4" w:space="0" w:color="auto"/>
              <w:right w:val="single" w:sz="4" w:space="0" w:color="auto"/>
            </w:tcBorders>
            <w:vAlign w:val="center"/>
            <w:hideMark/>
          </w:tcPr>
          <w:p w14:paraId="34385815" w14:textId="77777777" w:rsidR="002510E7" w:rsidRPr="0058432E" w:rsidRDefault="002510E7" w:rsidP="000D3575">
            <w:pPr>
              <w:keepNext/>
              <w:keepLines/>
              <w:jc w:val="center"/>
              <w:rPr>
                <w:color w:val="000000" w:themeColor="text1"/>
              </w:rPr>
            </w:pPr>
            <w:r w:rsidRPr="0058432E">
              <w:rPr>
                <w:color w:val="000000" w:themeColor="text1"/>
              </w:rPr>
              <w:t>12 %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7097F85D" w14:textId="77777777" w:rsidR="002510E7" w:rsidRPr="0058432E" w:rsidRDefault="002510E7" w:rsidP="000D3575">
            <w:pPr>
              <w:keepNext/>
              <w:keepLines/>
              <w:jc w:val="center"/>
              <w:rPr>
                <w:color w:val="000000" w:themeColor="text1"/>
              </w:rPr>
            </w:pPr>
            <w:r w:rsidRPr="0058432E">
              <w:rPr>
                <w:color w:val="000000" w:themeColor="text1"/>
              </w:rPr>
              <w:t>24 %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12006B8" w14:textId="77777777" w:rsidR="002510E7" w:rsidRPr="0058432E" w:rsidRDefault="002510E7" w:rsidP="000D3575">
            <w:pPr>
              <w:keepNext/>
              <w:keepLines/>
              <w:jc w:val="center"/>
              <w:rPr>
                <w:color w:val="000000" w:themeColor="text1"/>
              </w:rPr>
            </w:pPr>
            <w:r w:rsidRPr="0058432E">
              <w:rPr>
                <w:color w:val="000000" w:themeColor="text1"/>
              </w:rPr>
              <w:t>36 %*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4AE68EF" w14:textId="77777777" w:rsidR="002510E7" w:rsidRPr="0058432E" w:rsidRDefault="002510E7" w:rsidP="000D3575">
            <w:pPr>
              <w:keepNext/>
              <w:keepLines/>
              <w:jc w:val="center"/>
              <w:rPr>
                <w:color w:val="000000" w:themeColor="text1"/>
              </w:rPr>
            </w:pPr>
            <w:r w:rsidRPr="0058432E">
              <w:rPr>
                <w:color w:val="000000" w:themeColor="text1"/>
              </w:rPr>
              <w:t>7 %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1FC531F" w14:textId="77777777" w:rsidR="002510E7" w:rsidRPr="0058432E" w:rsidRDefault="002510E7" w:rsidP="000D3575">
            <w:pPr>
              <w:keepNext/>
              <w:keepLines/>
              <w:jc w:val="center"/>
              <w:rPr>
                <w:color w:val="000000" w:themeColor="text1"/>
              </w:rPr>
            </w:pPr>
            <w:r w:rsidRPr="0058432E">
              <w:rPr>
                <w:color w:val="000000" w:themeColor="text1"/>
              </w:rPr>
              <w:t>21 %*</w:t>
            </w:r>
          </w:p>
        </w:tc>
      </w:tr>
      <w:tr w:rsidR="002510E7" w:rsidRPr="0058432E" w14:paraId="6384A4BA"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4ABBF262" w14:textId="77777777" w:rsidR="002510E7" w:rsidRPr="0058432E" w:rsidRDefault="002510E7" w:rsidP="000D3575">
            <w:pPr>
              <w:keepNext/>
              <w:keepLines/>
              <w:rPr>
                <w:color w:val="000000" w:themeColor="text1"/>
              </w:rPr>
            </w:pPr>
            <w:r w:rsidRPr="0058432E">
              <w:rPr>
                <w:color w:val="000000" w:themeColor="text1"/>
              </w:rPr>
              <w:t>Réponse clinique (CR</w:t>
            </w:r>
            <w:r w:rsidRPr="0058432E">
              <w:rPr>
                <w:color w:val="000000" w:themeColor="text1"/>
              </w:rPr>
              <w:noBreakHyphen/>
              <w:t>100)</w:t>
            </w:r>
          </w:p>
        </w:tc>
        <w:tc>
          <w:tcPr>
            <w:tcW w:w="1029" w:type="dxa"/>
            <w:tcBorders>
              <w:top w:val="single" w:sz="4" w:space="0" w:color="auto"/>
              <w:left w:val="single" w:sz="4" w:space="0" w:color="auto"/>
              <w:bottom w:val="single" w:sz="4" w:space="0" w:color="auto"/>
              <w:right w:val="single" w:sz="4" w:space="0" w:color="auto"/>
            </w:tcBorders>
            <w:vAlign w:val="center"/>
            <w:hideMark/>
          </w:tcPr>
          <w:p w14:paraId="274E7A90" w14:textId="77777777" w:rsidR="002510E7" w:rsidRPr="0058432E" w:rsidRDefault="002510E7" w:rsidP="000D3575">
            <w:pPr>
              <w:keepNext/>
              <w:keepLines/>
              <w:jc w:val="center"/>
              <w:rPr>
                <w:color w:val="000000" w:themeColor="text1"/>
              </w:rPr>
            </w:pPr>
            <w:r w:rsidRPr="0058432E">
              <w:rPr>
                <w:color w:val="000000" w:themeColor="text1"/>
              </w:rPr>
              <w:t>24 %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8C09B71" w14:textId="77777777" w:rsidR="002510E7" w:rsidRPr="0058432E" w:rsidRDefault="002510E7" w:rsidP="000D3575">
            <w:pPr>
              <w:keepNext/>
              <w:keepLines/>
              <w:jc w:val="center"/>
              <w:rPr>
                <w:color w:val="000000" w:themeColor="text1"/>
              </w:rPr>
            </w:pPr>
            <w:r w:rsidRPr="0058432E">
              <w:rPr>
                <w:color w:val="000000" w:themeColor="text1"/>
              </w:rPr>
              <w:t>37 %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6017E935" w14:textId="77777777" w:rsidR="002510E7" w:rsidRPr="0058432E" w:rsidRDefault="002510E7" w:rsidP="000D3575">
            <w:pPr>
              <w:keepNext/>
              <w:keepLines/>
              <w:jc w:val="center"/>
              <w:rPr>
                <w:color w:val="000000" w:themeColor="text1"/>
              </w:rPr>
            </w:pPr>
            <w:r w:rsidRPr="0058432E">
              <w:rPr>
                <w:color w:val="000000" w:themeColor="text1"/>
              </w:rPr>
              <w:t>49 %**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05A8813" w14:textId="77777777" w:rsidR="002510E7" w:rsidRPr="0058432E" w:rsidRDefault="002510E7" w:rsidP="000D3575">
            <w:pPr>
              <w:keepNext/>
              <w:keepLines/>
              <w:jc w:val="center"/>
              <w:rPr>
                <w:color w:val="000000" w:themeColor="text1"/>
              </w:rPr>
            </w:pPr>
            <w:r w:rsidRPr="0058432E">
              <w:rPr>
                <w:color w:val="000000" w:themeColor="text1"/>
              </w:rPr>
              <w:t>25 %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C22F101" w14:textId="77777777" w:rsidR="002510E7" w:rsidRPr="0058432E" w:rsidRDefault="002510E7" w:rsidP="000D3575">
            <w:pPr>
              <w:keepNext/>
              <w:keepLines/>
              <w:jc w:val="center"/>
              <w:rPr>
                <w:color w:val="000000" w:themeColor="text1"/>
              </w:rPr>
            </w:pPr>
            <w:r w:rsidRPr="0058432E">
              <w:rPr>
                <w:color w:val="000000" w:themeColor="text1"/>
              </w:rPr>
              <w:t>38 %**</w:t>
            </w:r>
          </w:p>
        </w:tc>
      </w:tr>
      <w:tr w:rsidR="00995D38" w:rsidRPr="0058432E" w14:paraId="796FFC4A" w14:textId="77777777" w:rsidTr="00995D38">
        <w:trPr>
          <w:cantSplit/>
        </w:trPr>
        <w:tc>
          <w:tcPr>
            <w:tcW w:w="9303" w:type="dxa"/>
            <w:gridSpan w:val="6"/>
            <w:tcBorders>
              <w:top w:val="single" w:sz="4" w:space="0" w:color="auto"/>
              <w:left w:val="nil"/>
              <w:bottom w:val="nil"/>
              <w:right w:val="nil"/>
            </w:tcBorders>
          </w:tcPr>
          <w:p w14:paraId="72B06D07" w14:textId="77777777" w:rsidR="00995D38" w:rsidRPr="0058432E" w:rsidRDefault="00995D38" w:rsidP="00995D38">
            <w:pPr>
              <w:ind w:left="270" w:hanging="270"/>
              <w:rPr>
                <w:color w:val="000000" w:themeColor="text1"/>
                <w:sz w:val="20"/>
              </w:rPr>
            </w:pPr>
            <w:r w:rsidRPr="0058432E">
              <w:rPr>
                <w:color w:val="000000" w:themeColor="text1"/>
                <w:sz w:val="20"/>
              </w:rPr>
              <w:t xml:space="preserve">Toutes les valeurs de </w:t>
            </w:r>
            <w:r w:rsidRPr="0058432E">
              <w:rPr>
                <w:i/>
                <w:iCs/>
                <w:color w:val="000000" w:themeColor="text1"/>
                <w:sz w:val="20"/>
              </w:rPr>
              <w:t>p</w:t>
            </w:r>
            <w:r w:rsidRPr="0058432E">
              <w:rPr>
                <w:color w:val="000000" w:themeColor="text1"/>
                <w:sz w:val="20"/>
              </w:rPr>
              <w:t xml:space="preserve"> correspondent à des comparaisons appariées des pourcentages pour l’adalimumab </w:t>
            </w:r>
            <w:r w:rsidRPr="0058432E">
              <w:rPr>
                <w:i/>
                <w:color w:val="000000" w:themeColor="text1"/>
                <w:sz w:val="20"/>
              </w:rPr>
              <w:t>versus</w:t>
            </w:r>
            <w:r w:rsidRPr="0058432E">
              <w:rPr>
                <w:color w:val="000000" w:themeColor="text1"/>
                <w:sz w:val="20"/>
              </w:rPr>
              <w:t xml:space="preserve"> placebo </w:t>
            </w:r>
          </w:p>
          <w:p w14:paraId="7553903D" w14:textId="77777777" w:rsidR="00995D38" w:rsidRPr="0058432E" w:rsidRDefault="00995D38" w:rsidP="00995D38">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w:t>
            </w:r>
          </w:p>
          <w:p w14:paraId="21D1672D" w14:textId="77777777" w:rsidR="00995D38" w:rsidRPr="0058432E" w:rsidRDefault="00995D38" w:rsidP="00995D38">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008F4E17" w:rsidRPr="0058432E">
              <w:rPr>
                <w:color w:val="000000" w:themeColor="text1"/>
                <w:sz w:val="20"/>
              </w:rPr>
              <w:t> </w:t>
            </w:r>
            <w:r w:rsidRPr="0058432E">
              <w:rPr>
                <w:color w:val="000000" w:themeColor="text1"/>
                <w:sz w:val="20"/>
              </w:rPr>
              <w:t>&lt; 0,01 </w:t>
            </w:r>
          </w:p>
        </w:tc>
      </w:tr>
    </w:tbl>
    <w:p w14:paraId="582EA602" w14:textId="77777777" w:rsidR="00C46587" w:rsidRPr="0058432E" w:rsidRDefault="00C46587" w:rsidP="00982118">
      <w:pPr>
        <w:rPr>
          <w:color w:val="000000" w:themeColor="text1"/>
        </w:rPr>
      </w:pPr>
    </w:p>
    <w:p w14:paraId="10A36FC6" w14:textId="77777777" w:rsidR="00C46587" w:rsidRPr="0058432E" w:rsidRDefault="00C46587" w:rsidP="00982118">
      <w:pPr>
        <w:rPr>
          <w:color w:val="000000" w:themeColor="text1"/>
        </w:rPr>
      </w:pPr>
      <w:r w:rsidRPr="0058432E">
        <w:rPr>
          <w:color w:val="000000" w:themeColor="text1"/>
        </w:rPr>
        <w:t xml:space="preserve">Des taux de rémission similaires ont été observés pour les schémas d’induction 160/80 mg et 80/40 mg à la semaine 8 et les événements indésirables ont été plus fréquents dans le groupe 160/80 mg. </w:t>
      </w:r>
    </w:p>
    <w:p w14:paraId="6903B89F" w14:textId="77777777" w:rsidR="00C46587" w:rsidRPr="0058432E" w:rsidRDefault="00C46587" w:rsidP="00982118">
      <w:pPr>
        <w:rPr>
          <w:color w:val="000000" w:themeColor="text1"/>
        </w:rPr>
      </w:pPr>
    </w:p>
    <w:p w14:paraId="4ECEA6B8" w14:textId="77777777" w:rsidR="00C46587" w:rsidRPr="0058432E" w:rsidRDefault="00C46587" w:rsidP="00982118">
      <w:pPr>
        <w:rPr>
          <w:color w:val="000000" w:themeColor="text1"/>
        </w:rPr>
      </w:pPr>
      <w:r w:rsidRPr="0058432E">
        <w:rPr>
          <w:color w:val="000000" w:themeColor="text1"/>
        </w:rPr>
        <w:t xml:space="preserve">Dans l’étude III sur la MC, 58 % (499/854) des patients présentaient une réponse clinique à la semaine 4 et ont été évalués dans l’analyse principale. Parmi les patients présentant une réponse clinique à la semaine 4, 48 % avaient été préalablement exposés à un autre traitement </w:t>
      </w:r>
      <w:r w:rsidR="00643AF8" w:rsidRPr="0058432E">
        <w:rPr>
          <w:color w:val="000000" w:themeColor="text1"/>
        </w:rPr>
        <w:t xml:space="preserve">par antagoniste </w:t>
      </w:r>
      <w:r w:rsidR="005A52F2" w:rsidRPr="0058432E">
        <w:rPr>
          <w:color w:val="000000" w:themeColor="text1"/>
        </w:rPr>
        <w:t xml:space="preserve">du </w:t>
      </w:r>
      <w:r w:rsidRPr="0058432E">
        <w:rPr>
          <w:color w:val="000000" w:themeColor="text1"/>
        </w:rPr>
        <w:t>TNF. Les taux de maintien de la rémission et de réponse sont présentés dans le tableau </w:t>
      </w:r>
      <w:r w:rsidR="008F4E17" w:rsidRPr="0058432E">
        <w:rPr>
          <w:color w:val="000000" w:themeColor="text1"/>
        </w:rPr>
        <w:t>18</w:t>
      </w:r>
      <w:r w:rsidRPr="0058432E">
        <w:rPr>
          <w:color w:val="000000" w:themeColor="text1"/>
        </w:rPr>
        <w:t xml:space="preserve">. Les résultats de rémission clinique sont restés relativement constants, indépendamment de l’exposition antérieure à un </w:t>
      </w:r>
      <w:r w:rsidR="005A52F2" w:rsidRPr="0058432E">
        <w:rPr>
          <w:color w:val="000000" w:themeColor="text1"/>
        </w:rPr>
        <w:t xml:space="preserve">antagoniste du </w:t>
      </w:r>
      <w:r w:rsidRPr="0058432E">
        <w:rPr>
          <w:color w:val="000000" w:themeColor="text1"/>
        </w:rPr>
        <w:t xml:space="preserve">TNF. </w:t>
      </w:r>
    </w:p>
    <w:p w14:paraId="68DEBD74" w14:textId="77777777" w:rsidR="00C46587" w:rsidRPr="0058432E" w:rsidRDefault="00C46587" w:rsidP="00982118">
      <w:pPr>
        <w:rPr>
          <w:color w:val="000000" w:themeColor="text1"/>
        </w:rPr>
      </w:pPr>
    </w:p>
    <w:p w14:paraId="4416F876" w14:textId="77777777" w:rsidR="00C46587" w:rsidRPr="0058432E" w:rsidRDefault="00C46587" w:rsidP="00982118">
      <w:pPr>
        <w:rPr>
          <w:color w:val="000000" w:themeColor="text1"/>
        </w:rPr>
      </w:pPr>
      <w:r w:rsidRPr="0058432E">
        <w:rPr>
          <w:color w:val="000000" w:themeColor="text1"/>
        </w:rPr>
        <w:t xml:space="preserve">Les hospitalisations et interventions chirurgicales liées à la maladie ont été réduites de manière statistiquement significative avec l’adalimumab comparé au placebo à la semaine 56. </w:t>
      </w:r>
    </w:p>
    <w:p w14:paraId="4046A13B" w14:textId="77777777" w:rsidR="00C46587" w:rsidRPr="0058432E" w:rsidRDefault="00C46587" w:rsidP="00982118">
      <w:pPr>
        <w:rPr>
          <w:color w:val="000000" w:themeColor="text1"/>
        </w:rPr>
      </w:pPr>
    </w:p>
    <w:p w14:paraId="70A43085" w14:textId="77777777" w:rsidR="00C46587" w:rsidRPr="0058432E" w:rsidRDefault="00C46587" w:rsidP="00A53E17">
      <w:pPr>
        <w:keepNext/>
        <w:rPr>
          <w:b/>
          <w:color w:val="000000" w:themeColor="text1"/>
        </w:rPr>
      </w:pPr>
      <w:r w:rsidRPr="0058432E">
        <w:rPr>
          <w:b/>
          <w:color w:val="000000" w:themeColor="text1"/>
        </w:rPr>
        <w:t>Tableau </w:t>
      </w:r>
      <w:r w:rsidR="008F4E17" w:rsidRPr="0058432E">
        <w:rPr>
          <w:b/>
          <w:color w:val="000000" w:themeColor="text1"/>
        </w:rPr>
        <w:t>18</w:t>
      </w:r>
      <w:r w:rsidR="002A7CDF" w:rsidRPr="0058432E">
        <w:rPr>
          <w:b/>
          <w:color w:val="000000" w:themeColor="text1"/>
        </w:rPr>
        <w:t>.</w:t>
      </w:r>
    </w:p>
    <w:p w14:paraId="65E64138" w14:textId="77777777" w:rsidR="00C46587" w:rsidRPr="0058432E" w:rsidRDefault="00C46587" w:rsidP="00A53E17">
      <w:pPr>
        <w:keepNext/>
        <w:rPr>
          <w:b/>
          <w:color w:val="000000" w:themeColor="text1"/>
        </w:rPr>
      </w:pPr>
      <w:r w:rsidRPr="0058432E">
        <w:rPr>
          <w:b/>
          <w:color w:val="000000" w:themeColor="text1"/>
        </w:rPr>
        <w:t>Maintien de la rémission clinique et de la réponse clinique (pourcentage de patients)</w:t>
      </w:r>
    </w:p>
    <w:p w14:paraId="4D60F88E" w14:textId="77777777" w:rsidR="00C46587" w:rsidRPr="0058432E" w:rsidRDefault="00C46587" w:rsidP="00982118">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087"/>
        <w:gridCol w:w="2128"/>
        <w:gridCol w:w="2128"/>
      </w:tblGrid>
      <w:tr w:rsidR="00C46587" w:rsidRPr="0058432E" w14:paraId="134CDD03" w14:textId="77777777" w:rsidTr="006D1A33">
        <w:tc>
          <w:tcPr>
            <w:tcW w:w="2808" w:type="dxa"/>
            <w:tcBorders>
              <w:top w:val="single" w:sz="4" w:space="0" w:color="auto"/>
              <w:left w:val="single" w:sz="4" w:space="0" w:color="auto"/>
              <w:bottom w:val="single" w:sz="4" w:space="0" w:color="auto"/>
              <w:right w:val="single" w:sz="4" w:space="0" w:color="auto"/>
            </w:tcBorders>
          </w:tcPr>
          <w:p w14:paraId="1C2C390E" w14:textId="77777777" w:rsidR="00C46587" w:rsidRPr="0058432E" w:rsidRDefault="00C46587" w:rsidP="00982118">
            <w:pPr>
              <w:keepNext/>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67957CEA" w14:textId="77777777" w:rsidR="00C46587" w:rsidRPr="0058432E" w:rsidRDefault="00C46587" w:rsidP="00982118">
            <w:pPr>
              <w:keepNext/>
              <w:jc w:val="center"/>
              <w:rPr>
                <w:b/>
                <w:color w:val="000000" w:themeColor="text1"/>
              </w:rPr>
            </w:pPr>
            <w:r w:rsidRPr="0058432E">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6CE60B00" w14:textId="77777777" w:rsidR="00C46587" w:rsidRPr="0058432E" w:rsidRDefault="00C46587" w:rsidP="00982118">
            <w:pPr>
              <w:keepNext/>
              <w:jc w:val="center"/>
              <w:rPr>
                <w:b/>
                <w:color w:val="000000" w:themeColor="text1"/>
              </w:rPr>
            </w:pPr>
            <w:r w:rsidRPr="0058432E">
              <w:rPr>
                <w:b/>
                <w:color w:val="000000" w:themeColor="text1"/>
              </w:rPr>
              <w:t>40 mg d’adalimumab</w:t>
            </w:r>
          </w:p>
          <w:p w14:paraId="5040F1B7" w14:textId="77777777" w:rsidR="00C46587" w:rsidRPr="0058432E" w:rsidRDefault="00C46587" w:rsidP="00982118">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deux semaines</w:t>
            </w:r>
          </w:p>
        </w:tc>
        <w:tc>
          <w:tcPr>
            <w:tcW w:w="2165" w:type="dxa"/>
            <w:tcBorders>
              <w:top w:val="single" w:sz="4" w:space="0" w:color="auto"/>
              <w:left w:val="single" w:sz="4" w:space="0" w:color="auto"/>
              <w:bottom w:val="single" w:sz="4" w:space="0" w:color="auto"/>
              <w:right w:val="single" w:sz="4" w:space="0" w:color="auto"/>
            </w:tcBorders>
            <w:vAlign w:val="center"/>
            <w:hideMark/>
          </w:tcPr>
          <w:p w14:paraId="6685D6EA" w14:textId="77777777" w:rsidR="00C46587" w:rsidRPr="0058432E" w:rsidRDefault="00C46587" w:rsidP="00982118">
            <w:pPr>
              <w:keepNext/>
              <w:jc w:val="center"/>
              <w:rPr>
                <w:b/>
                <w:color w:val="000000" w:themeColor="text1"/>
              </w:rPr>
            </w:pPr>
            <w:r w:rsidRPr="0058432E">
              <w:rPr>
                <w:b/>
                <w:color w:val="000000" w:themeColor="text1"/>
              </w:rPr>
              <w:t>40 mg d’adalimumab</w:t>
            </w:r>
          </w:p>
          <w:p w14:paraId="3792BC41" w14:textId="77777777" w:rsidR="00C46587" w:rsidRPr="0058432E" w:rsidRDefault="00C46587" w:rsidP="00982118">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semaines</w:t>
            </w:r>
          </w:p>
        </w:tc>
      </w:tr>
      <w:tr w:rsidR="00C46587" w:rsidRPr="0058432E" w14:paraId="6D113D70"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06C775F0" w14:textId="77777777" w:rsidR="00C46587" w:rsidRPr="0058432E" w:rsidRDefault="00C46587" w:rsidP="00982118">
            <w:pPr>
              <w:keepNext/>
              <w:rPr>
                <w:b/>
                <w:color w:val="000000" w:themeColor="text1"/>
              </w:rPr>
            </w:pPr>
            <w:r w:rsidRPr="0058432E">
              <w:rPr>
                <w:b/>
                <w:color w:val="000000" w:themeColor="text1"/>
              </w:rPr>
              <w:t>Semaine 26</w:t>
            </w:r>
          </w:p>
        </w:tc>
        <w:tc>
          <w:tcPr>
            <w:tcW w:w="2165" w:type="dxa"/>
            <w:tcBorders>
              <w:top w:val="single" w:sz="4" w:space="0" w:color="auto"/>
              <w:left w:val="single" w:sz="4" w:space="0" w:color="auto"/>
              <w:bottom w:val="single" w:sz="4" w:space="0" w:color="auto"/>
              <w:right w:val="single" w:sz="4" w:space="0" w:color="auto"/>
            </w:tcBorders>
            <w:hideMark/>
          </w:tcPr>
          <w:p w14:paraId="2D04345B" w14:textId="77777777" w:rsidR="00C46587" w:rsidRPr="0058432E" w:rsidRDefault="00C46587" w:rsidP="00982118">
            <w:pPr>
              <w:keepNext/>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15595B6E" w14:textId="77777777" w:rsidR="00C46587" w:rsidRPr="0058432E" w:rsidRDefault="00C46587" w:rsidP="00982118">
            <w:pPr>
              <w:keepNext/>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201552AB" w14:textId="77777777" w:rsidR="00C46587" w:rsidRPr="0058432E" w:rsidRDefault="00C46587" w:rsidP="00982118">
            <w:pPr>
              <w:keepNext/>
              <w:jc w:val="center"/>
              <w:rPr>
                <w:b/>
                <w:color w:val="000000" w:themeColor="text1"/>
              </w:rPr>
            </w:pPr>
            <w:r w:rsidRPr="0058432E">
              <w:rPr>
                <w:b/>
                <w:color w:val="000000" w:themeColor="text1"/>
              </w:rPr>
              <w:t>N = 157</w:t>
            </w:r>
          </w:p>
        </w:tc>
      </w:tr>
      <w:tr w:rsidR="00C46587" w:rsidRPr="0058432E" w14:paraId="14001B18"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496EF14A" w14:textId="77777777" w:rsidR="00C46587" w:rsidRPr="0058432E" w:rsidRDefault="00C46587" w:rsidP="00982118">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402B8A9C" w14:textId="77777777" w:rsidR="00C46587" w:rsidRPr="0058432E" w:rsidRDefault="00C46587" w:rsidP="00982118">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61715DA2" w14:textId="77777777" w:rsidR="00C46587" w:rsidRPr="0058432E" w:rsidRDefault="00C46587" w:rsidP="00982118">
            <w:pPr>
              <w:jc w:val="center"/>
              <w:rPr>
                <w:color w:val="000000" w:themeColor="text1"/>
              </w:rPr>
            </w:pPr>
            <w:r w:rsidRPr="0058432E">
              <w:rPr>
                <w:color w:val="000000" w:themeColor="text1"/>
              </w:rPr>
              <w:t>40 %*</w:t>
            </w:r>
          </w:p>
        </w:tc>
        <w:tc>
          <w:tcPr>
            <w:tcW w:w="2165" w:type="dxa"/>
            <w:tcBorders>
              <w:top w:val="single" w:sz="4" w:space="0" w:color="auto"/>
              <w:left w:val="single" w:sz="4" w:space="0" w:color="auto"/>
              <w:bottom w:val="single" w:sz="4" w:space="0" w:color="auto"/>
              <w:right w:val="single" w:sz="4" w:space="0" w:color="auto"/>
            </w:tcBorders>
            <w:hideMark/>
          </w:tcPr>
          <w:p w14:paraId="5521FD52" w14:textId="77777777" w:rsidR="00C46587" w:rsidRPr="0058432E" w:rsidRDefault="00C46587" w:rsidP="00982118">
            <w:pPr>
              <w:jc w:val="center"/>
              <w:rPr>
                <w:color w:val="000000" w:themeColor="text1"/>
              </w:rPr>
            </w:pPr>
            <w:r w:rsidRPr="0058432E">
              <w:rPr>
                <w:color w:val="000000" w:themeColor="text1"/>
              </w:rPr>
              <w:t>47 %</w:t>
            </w:r>
            <w:r w:rsidR="00CB04CA" w:rsidRPr="0058432E">
              <w:rPr>
                <w:color w:val="000000" w:themeColor="text1"/>
              </w:rPr>
              <w:t>*</w:t>
            </w:r>
          </w:p>
        </w:tc>
      </w:tr>
      <w:tr w:rsidR="00C46587" w:rsidRPr="0058432E" w14:paraId="763452FF"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631C1533" w14:textId="77777777" w:rsidR="00C46587" w:rsidRPr="0058432E" w:rsidRDefault="00C46587" w:rsidP="00982118">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4766292F" w14:textId="77777777" w:rsidR="00C46587" w:rsidRPr="0058432E" w:rsidRDefault="00C46587" w:rsidP="00982118">
            <w:pPr>
              <w:jc w:val="center"/>
              <w:rPr>
                <w:color w:val="000000" w:themeColor="text1"/>
              </w:rPr>
            </w:pPr>
            <w:r w:rsidRPr="0058432E">
              <w:rPr>
                <w:color w:val="000000" w:themeColor="text1"/>
              </w:rPr>
              <w:t>27 %</w:t>
            </w:r>
          </w:p>
        </w:tc>
        <w:tc>
          <w:tcPr>
            <w:tcW w:w="2165" w:type="dxa"/>
            <w:tcBorders>
              <w:top w:val="single" w:sz="4" w:space="0" w:color="auto"/>
              <w:left w:val="single" w:sz="4" w:space="0" w:color="auto"/>
              <w:bottom w:val="single" w:sz="4" w:space="0" w:color="auto"/>
              <w:right w:val="single" w:sz="4" w:space="0" w:color="auto"/>
            </w:tcBorders>
            <w:hideMark/>
          </w:tcPr>
          <w:p w14:paraId="3546B9E1" w14:textId="77777777" w:rsidR="00C46587" w:rsidRPr="0058432E" w:rsidRDefault="00C46587" w:rsidP="00982118">
            <w:pPr>
              <w:jc w:val="center"/>
              <w:rPr>
                <w:color w:val="000000" w:themeColor="text1"/>
              </w:rPr>
            </w:pPr>
            <w:r w:rsidRPr="0058432E">
              <w:rPr>
                <w:color w:val="000000" w:themeColor="text1"/>
              </w:rPr>
              <w:t>52 %*</w:t>
            </w:r>
          </w:p>
        </w:tc>
        <w:tc>
          <w:tcPr>
            <w:tcW w:w="2165" w:type="dxa"/>
            <w:tcBorders>
              <w:top w:val="single" w:sz="4" w:space="0" w:color="auto"/>
              <w:left w:val="single" w:sz="4" w:space="0" w:color="auto"/>
              <w:bottom w:val="single" w:sz="4" w:space="0" w:color="auto"/>
              <w:right w:val="single" w:sz="4" w:space="0" w:color="auto"/>
            </w:tcBorders>
            <w:hideMark/>
          </w:tcPr>
          <w:p w14:paraId="7555C35A" w14:textId="77777777" w:rsidR="00C46587" w:rsidRPr="0058432E" w:rsidRDefault="00C46587" w:rsidP="00982118">
            <w:pPr>
              <w:jc w:val="center"/>
              <w:rPr>
                <w:color w:val="000000" w:themeColor="text1"/>
              </w:rPr>
            </w:pPr>
            <w:r w:rsidRPr="0058432E">
              <w:rPr>
                <w:color w:val="000000" w:themeColor="text1"/>
              </w:rPr>
              <w:t>52 %*</w:t>
            </w:r>
          </w:p>
        </w:tc>
      </w:tr>
      <w:tr w:rsidR="00C46587" w:rsidRPr="0058432E" w14:paraId="4AE08DA1"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5060F1DA" w14:textId="77777777" w:rsidR="00C46587" w:rsidRPr="0058432E" w:rsidRDefault="00C46587" w:rsidP="00982118">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322B23B8" w14:textId="77777777" w:rsidR="00C46587" w:rsidRPr="0058432E" w:rsidRDefault="00C46587" w:rsidP="00982118">
            <w:pPr>
              <w:jc w:val="center"/>
              <w:rPr>
                <w:color w:val="000000" w:themeColor="text1"/>
              </w:rPr>
            </w:pPr>
            <w:r w:rsidRPr="0058432E">
              <w:rPr>
                <w:color w:val="000000" w:themeColor="text1"/>
              </w:rPr>
              <w:t>3 % (2/66)</w:t>
            </w:r>
          </w:p>
        </w:tc>
        <w:tc>
          <w:tcPr>
            <w:tcW w:w="2165" w:type="dxa"/>
            <w:tcBorders>
              <w:top w:val="single" w:sz="4" w:space="0" w:color="auto"/>
              <w:left w:val="single" w:sz="4" w:space="0" w:color="auto"/>
              <w:bottom w:val="single" w:sz="4" w:space="0" w:color="auto"/>
              <w:right w:val="single" w:sz="4" w:space="0" w:color="auto"/>
            </w:tcBorders>
            <w:hideMark/>
          </w:tcPr>
          <w:p w14:paraId="3C06166C" w14:textId="77777777" w:rsidR="00C46587" w:rsidRPr="0058432E" w:rsidRDefault="00C46587" w:rsidP="00982118">
            <w:pPr>
              <w:jc w:val="center"/>
              <w:rPr>
                <w:color w:val="000000" w:themeColor="text1"/>
              </w:rPr>
            </w:pPr>
            <w:r w:rsidRPr="0058432E">
              <w:rPr>
                <w:color w:val="000000" w:themeColor="text1"/>
              </w:rPr>
              <w:t>19 % (11/</w:t>
            </w:r>
            <w:proofErr w:type="gramStart"/>
            <w:r w:rsidRPr="0058432E">
              <w:rPr>
                <w:color w:val="000000" w:themeColor="text1"/>
              </w:rPr>
              <w:t>58)*</w:t>
            </w:r>
            <w:proofErr w:type="gramEnd"/>
            <w:r w:rsidRPr="0058432E">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5096F923" w14:textId="77777777" w:rsidR="00C46587" w:rsidRPr="0058432E" w:rsidRDefault="00C46587" w:rsidP="00982118">
            <w:pPr>
              <w:jc w:val="center"/>
              <w:rPr>
                <w:color w:val="000000" w:themeColor="text1"/>
              </w:rPr>
            </w:pPr>
            <w:r w:rsidRPr="0058432E">
              <w:rPr>
                <w:color w:val="000000" w:themeColor="text1"/>
              </w:rPr>
              <w:t>15 % (11/</w:t>
            </w:r>
            <w:proofErr w:type="gramStart"/>
            <w:r w:rsidRPr="0058432E">
              <w:rPr>
                <w:color w:val="000000" w:themeColor="text1"/>
              </w:rPr>
              <w:t>74)*</w:t>
            </w:r>
            <w:proofErr w:type="gramEnd"/>
            <w:r w:rsidRPr="0058432E">
              <w:rPr>
                <w:color w:val="000000" w:themeColor="text1"/>
              </w:rPr>
              <w:t>*</w:t>
            </w:r>
          </w:p>
        </w:tc>
      </w:tr>
      <w:tr w:rsidR="00C46587" w:rsidRPr="0058432E" w14:paraId="241D8C60"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23A63221" w14:textId="77777777" w:rsidR="00C46587" w:rsidRPr="0058432E" w:rsidRDefault="00C46587" w:rsidP="00982118">
            <w:pPr>
              <w:rPr>
                <w:b/>
                <w:color w:val="000000" w:themeColor="text1"/>
              </w:rPr>
            </w:pPr>
            <w:r w:rsidRPr="0058432E">
              <w:rPr>
                <w:b/>
                <w:color w:val="000000" w:themeColor="text1"/>
              </w:rPr>
              <w:t>Semaine 56</w:t>
            </w:r>
          </w:p>
        </w:tc>
        <w:tc>
          <w:tcPr>
            <w:tcW w:w="2165" w:type="dxa"/>
            <w:tcBorders>
              <w:top w:val="single" w:sz="4" w:space="0" w:color="auto"/>
              <w:left w:val="single" w:sz="4" w:space="0" w:color="auto"/>
              <w:bottom w:val="single" w:sz="4" w:space="0" w:color="auto"/>
              <w:right w:val="single" w:sz="4" w:space="0" w:color="auto"/>
            </w:tcBorders>
            <w:hideMark/>
          </w:tcPr>
          <w:p w14:paraId="39DDF142" w14:textId="77777777" w:rsidR="00C46587" w:rsidRPr="0058432E" w:rsidRDefault="00C46587" w:rsidP="00982118">
            <w:pPr>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127D3F94" w14:textId="77777777" w:rsidR="00C46587" w:rsidRPr="0058432E" w:rsidRDefault="00C46587" w:rsidP="00982118">
            <w:pPr>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69FCD8FF" w14:textId="77777777" w:rsidR="00C46587" w:rsidRPr="0058432E" w:rsidRDefault="00C46587" w:rsidP="00982118">
            <w:pPr>
              <w:jc w:val="center"/>
              <w:rPr>
                <w:b/>
                <w:color w:val="000000" w:themeColor="text1"/>
              </w:rPr>
            </w:pPr>
            <w:r w:rsidRPr="0058432E">
              <w:rPr>
                <w:b/>
                <w:color w:val="000000" w:themeColor="text1"/>
              </w:rPr>
              <w:t>N = 157</w:t>
            </w:r>
          </w:p>
        </w:tc>
      </w:tr>
      <w:tr w:rsidR="00C46587" w:rsidRPr="0058432E" w14:paraId="6E9E7D28"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1C9EFB45" w14:textId="77777777" w:rsidR="00C46587" w:rsidRPr="0058432E" w:rsidRDefault="00C46587" w:rsidP="00982118">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1A1A48FB" w14:textId="77777777" w:rsidR="00C46587" w:rsidRPr="0058432E" w:rsidRDefault="00C46587" w:rsidP="00982118">
            <w:pPr>
              <w:jc w:val="center"/>
              <w:rPr>
                <w:color w:val="000000" w:themeColor="text1"/>
              </w:rPr>
            </w:pPr>
            <w:r w:rsidRPr="0058432E">
              <w:rPr>
                <w:color w:val="000000" w:themeColor="text1"/>
              </w:rPr>
              <w:t>12 %</w:t>
            </w:r>
          </w:p>
        </w:tc>
        <w:tc>
          <w:tcPr>
            <w:tcW w:w="2165" w:type="dxa"/>
            <w:tcBorders>
              <w:top w:val="single" w:sz="4" w:space="0" w:color="auto"/>
              <w:left w:val="single" w:sz="4" w:space="0" w:color="auto"/>
              <w:bottom w:val="single" w:sz="4" w:space="0" w:color="auto"/>
              <w:right w:val="single" w:sz="4" w:space="0" w:color="auto"/>
            </w:tcBorders>
            <w:hideMark/>
          </w:tcPr>
          <w:p w14:paraId="7D6E8086" w14:textId="77777777" w:rsidR="00C46587" w:rsidRPr="0058432E" w:rsidRDefault="00C46587" w:rsidP="00982118">
            <w:pPr>
              <w:jc w:val="center"/>
              <w:rPr>
                <w:color w:val="000000" w:themeColor="text1"/>
              </w:rPr>
            </w:pPr>
            <w:r w:rsidRPr="0058432E">
              <w:rPr>
                <w:color w:val="000000" w:themeColor="text1"/>
              </w:rPr>
              <w:t>36 %*</w:t>
            </w:r>
          </w:p>
        </w:tc>
        <w:tc>
          <w:tcPr>
            <w:tcW w:w="2165" w:type="dxa"/>
            <w:tcBorders>
              <w:top w:val="single" w:sz="4" w:space="0" w:color="auto"/>
              <w:left w:val="single" w:sz="4" w:space="0" w:color="auto"/>
              <w:bottom w:val="single" w:sz="4" w:space="0" w:color="auto"/>
              <w:right w:val="single" w:sz="4" w:space="0" w:color="auto"/>
            </w:tcBorders>
            <w:hideMark/>
          </w:tcPr>
          <w:p w14:paraId="13458F7D" w14:textId="77777777" w:rsidR="00C46587" w:rsidRPr="0058432E" w:rsidRDefault="00C46587" w:rsidP="00982118">
            <w:pPr>
              <w:jc w:val="center"/>
              <w:rPr>
                <w:color w:val="000000" w:themeColor="text1"/>
              </w:rPr>
            </w:pPr>
            <w:r w:rsidRPr="0058432E">
              <w:rPr>
                <w:color w:val="000000" w:themeColor="text1"/>
              </w:rPr>
              <w:t>41 %*</w:t>
            </w:r>
          </w:p>
        </w:tc>
      </w:tr>
      <w:tr w:rsidR="00C46587" w:rsidRPr="0058432E" w14:paraId="39290A82"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51346410" w14:textId="77777777" w:rsidR="00C46587" w:rsidRPr="0058432E" w:rsidRDefault="00C46587" w:rsidP="00982118">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61EF8F74" w14:textId="77777777" w:rsidR="00C46587" w:rsidRPr="0058432E" w:rsidRDefault="00C46587" w:rsidP="00982118">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3E5F4695" w14:textId="77777777" w:rsidR="00C46587" w:rsidRPr="0058432E" w:rsidRDefault="00C46587" w:rsidP="00982118">
            <w:pPr>
              <w:jc w:val="center"/>
              <w:rPr>
                <w:color w:val="000000" w:themeColor="text1"/>
              </w:rPr>
            </w:pPr>
            <w:r w:rsidRPr="0058432E">
              <w:rPr>
                <w:color w:val="000000" w:themeColor="text1"/>
              </w:rPr>
              <w:t>41 %*</w:t>
            </w:r>
          </w:p>
        </w:tc>
        <w:tc>
          <w:tcPr>
            <w:tcW w:w="2165" w:type="dxa"/>
            <w:tcBorders>
              <w:top w:val="single" w:sz="4" w:space="0" w:color="auto"/>
              <w:left w:val="single" w:sz="4" w:space="0" w:color="auto"/>
              <w:bottom w:val="single" w:sz="4" w:space="0" w:color="auto"/>
              <w:right w:val="single" w:sz="4" w:space="0" w:color="auto"/>
            </w:tcBorders>
            <w:hideMark/>
          </w:tcPr>
          <w:p w14:paraId="68239C1E" w14:textId="77777777" w:rsidR="00C46587" w:rsidRPr="0058432E" w:rsidRDefault="00C46587" w:rsidP="00982118">
            <w:pPr>
              <w:jc w:val="center"/>
              <w:rPr>
                <w:color w:val="000000" w:themeColor="text1"/>
              </w:rPr>
            </w:pPr>
            <w:r w:rsidRPr="0058432E">
              <w:rPr>
                <w:color w:val="000000" w:themeColor="text1"/>
              </w:rPr>
              <w:t>48 %*</w:t>
            </w:r>
          </w:p>
        </w:tc>
      </w:tr>
      <w:tr w:rsidR="00C46587" w:rsidRPr="0058432E" w14:paraId="4095178E" w14:textId="77777777" w:rsidTr="006D1A33">
        <w:tc>
          <w:tcPr>
            <w:tcW w:w="2808" w:type="dxa"/>
            <w:tcBorders>
              <w:top w:val="single" w:sz="4" w:space="0" w:color="auto"/>
              <w:left w:val="single" w:sz="4" w:space="0" w:color="auto"/>
              <w:bottom w:val="single" w:sz="4" w:space="0" w:color="auto"/>
              <w:right w:val="single" w:sz="4" w:space="0" w:color="auto"/>
            </w:tcBorders>
            <w:hideMark/>
          </w:tcPr>
          <w:p w14:paraId="7684EE5F" w14:textId="77777777" w:rsidR="00C46587" w:rsidRPr="0058432E" w:rsidRDefault="00C46587" w:rsidP="00982118">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64B9A7D9" w14:textId="77777777" w:rsidR="00C46587" w:rsidRPr="0058432E" w:rsidRDefault="00C46587" w:rsidP="00982118">
            <w:pPr>
              <w:jc w:val="center"/>
              <w:rPr>
                <w:color w:val="000000" w:themeColor="text1"/>
              </w:rPr>
            </w:pPr>
            <w:r w:rsidRPr="0058432E">
              <w:rPr>
                <w:color w:val="000000" w:themeColor="text1"/>
              </w:rPr>
              <w:t>5 % (3/66)</w:t>
            </w:r>
          </w:p>
        </w:tc>
        <w:tc>
          <w:tcPr>
            <w:tcW w:w="2165" w:type="dxa"/>
            <w:tcBorders>
              <w:top w:val="single" w:sz="4" w:space="0" w:color="auto"/>
              <w:left w:val="single" w:sz="4" w:space="0" w:color="auto"/>
              <w:bottom w:val="single" w:sz="4" w:space="0" w:color="auto"/>
              <w:right w:val="single" w:sz="4" w:space="0" w:color="auto"/>
            </w:tcBorders>
            <w:hideMark/>
          </w:tcPr>
          <w:p w14:paraId="41691B0E" w14:textId="77777777" w:rsidR="00C46587" w:rsidRPr="0058432E" w:rsidRDefault="00C46587" w:rsidP="00982118">
            <w:pPr>
              <w:jc w:val="center"/>
              <w:rPr>
                <w:color w:val="000000" w:themeColor="text1"/>
              </w:rPr>
            </w:pPr>
            <w:r w:rsidRPr="0058432E">
              <w:rPr>
                <w:color w:val="000000" w:themeColor="text1"/>
              </w:rPr>
              <w:t>29 % (17/</w:t>
            </w:r>
            <w:proofErr w:type="gramStart"/>
            <w:r w:rsidRPr="0058432E">
              <w:rPr>
                <w:color w:val="000000" w:themeColor="text1"/>
              </w:rPr>
              <w:t>58)*</w:t>
            </w:r>
            <w:proofErr w:type="gramEnd"/>
          </w:p>
        </w:tc>
        <w:tc>
          <w:tcPr>
            <w:tcW w:w="2165" w:type="dxa"/>
            <w:tcBorders>
              <w:top w:val="single" w:sz="4" w:space="0" w:color="auto"/>
              <w:left w:val="single" w:sz="4" w:space="0" w:color="auto"/>
              <w:bottom w:val="single" w:sz="4" w:space="0" w:color="auto"/>
              <w:right w:val="single" w:sz="4" w:space="0" w:color="auto"/>
            </w:tcBorders>
            <w:hideMark/>
          </w:tcPr>
          <w:p w14:paraId="783FBF26" w14:textId="77777777" w:rsidR="00C46587" w:rsidRPr="0058432E" w:rsidRDefault="00C46587" w:rsidP="00982118">
            <w:pPr>
              <w:jc w:val="center"/>
              <w:rPr>
                <w:color w:val="000000" w:themeColor="text1"/>
              </w:rPr>
            </w:pPr>
            <w:r w:rsidRPr="0058432E">
              <w:rPr>
                <w:color w:val="000000" w:themeColor="text1"/>
              </w:rPr>
              <w:t>20 % (15/</w:t>
            </w:r>
            <w:proofErr w:type="gramStart"/>
            <w:r w:rsidRPr="0058432E">
              <w:rPr>
                <w:color w:val="000000" w:themeColor="text1"/>
              </w:rPr>
              <w:t>74)*</w:t>
            </w:r>
            <w:proofErr w:type="gramEnd"/>
            <w:r w:rsidRPr="0058432E">
              <w:rPr>
                <w:color w:val="000000" w:themeColor="text1"/>
              </w:rPr>
              <w:t>*</w:t>
            </w:r>
          </w:p>
        </w:tc>
      </w:tr>
      <w:tr w:rsidR="007F42F7" w:rsidRPr="0058432E" w14:paraId="0B672E28" w14:textId="77777777" w:rsidTr="006D1A33">
        <w:tc>
          <w:tcPr>
            <w:tcW w:w="9303" w:type="dxa"/>
            <w:gridSpan w:val="4"/>
            <w:tcBorders>
              <w:top w:val="single" w:sz="4" w:space="0" w:color="auto"/>
              <w:left w:val="nil"/>
              <w:bottom w:val="nil"/>
              <w:right w:val="nil"/>
            </w:tcBorders>
          </w:tcPr>
          <w:p w14:paraId="32B57B14" w14:textId="77777777" w:rsidR="007F42F7" w:rsidRPr="0058432E" w:rsidRDefault="007F42F7" w:rsidP="007F42F7">
            <w:pPr>
              <w:ind w:left="270" w:hanging="270"/>
              <w:rPr>
                <w:color w:val="000000" w:themeColor="text1"/>
                <w:sz w:val="20"/>
              </w:rPr>
            </w:pPr>
            <w:r w:rsidRPr="0058432E">
              <w:rPr>
                <w:color w:val="000000" w:themeColor="text1"/>
                <w:sz w:val="20"/>
              </w:rPr>
              <w:t xml:space="preserve">* </w:t>
            </w:r>
            <w:r w:rsidRPr="0058432E">
              <w:rPr>
                <w:color w:val="000000" w:themeColor="text1"/>
                <w:sz w:val="20"/>
              </w:rPr>
              <w:tab/>
              <w:t xml:space="preserve">p &lt; 0,001 pour l’adalimumab </w:t>
            </w:r>
            <w:r w:rsidRPr="0058432E">
              <w:rPr>
                <w:i/>
                <w:color w:val="000000" w:themeColor="text1"/>
                <w:sz w:val="20"/>
              </w:rPr>
              <w:t>versus</w:t>
            </w:r>
            <w:r w:rsidRPr="0058432E">
              <w:rPr>
                <w:color w:val="000000" w:themeColor="text1"/>
                <w:sz w:val="20"/>
              </w:rPr>
              <w:t xml:space="preserve"> placebo, comparaisons </w:t>
            </w:r>
            <w:r w:rsidR="00132033" w:rsidRPr="0058432E">
              <w:rPr>
                <w:color w:val="000000" w:themeColor="text1"/>
                <w:sz w:val="20"/>
              </w:rPr>
              <w:t xml:space="preserve">appariées </w:t>
            </w:r>
            <w:r w:rsidRPr="0058432E">
              <w:rPr>
                <w:color w:val="000000" w:themeColor="text1"/>
                <w:sz w:val="20"/>
              </w:rPr>
              <w:t xml:space="preserve">des pourcentages </w:t>
            </w:r>
          </w:p>
          <w:p w14:paraId="773F7598" w14:textId="77777777" w:rsidR="007F42F7" w:rsidRPr="0058432E" w:rsidRDefault="007F42F7" w:rsidP="007F42F7">
            <w:pPr>
              <w:ind w:left="270" w:hanging="270"/>
              <w:rPr>
                <w:color w:val="000000" w:themeColor="text1"/>
                <w:sz w:val="20"/>
              </w:rPr>
            </w:pPr>
            <w:r w:rsidRPr="0058432E">
              <w:rPr>
                <w:color w:val="000000" w:themeColor="text1"/>
                <w:sz w:val="20"/>
              </w:rPr>
              <w:t>**</w:t>
            </w:r>
            <w:r w:rsidRPr="0058432E">
              <w:rPr>
                <w:color w:val="000000" w:themeColor="text1"/>
                <w:sz w:val="20"/>
              </w:rPr>
              <w:tab/>
              <w:t xml:space="preserve">p &lt; 0,02 pour l’adalimumab </w:t>
            </w:r>
            <w:r w:rsidRPr="0058432E">
              <w:rPr>
                <w:i/>
                <w:color w:val="000000" w:themeColor="text1"/>
                <w:sz w:val="20"/>
              </w:rPr>
              <w:t>versus</w:t>
            </w:r>
            <w:r w:rsidRPr="0058432E">
              <w:rPr>
                <w:color w:val="000000" w:themeColor="text1"/>
                <w:sz w:val="20"/>
              </w:rPr>
              <w:t xml:space="preserve"> placebo, comparaisons </w:t>
            </w:r>
            <w:r w:rsidR="00132033" w:rsidRPr="0058432E">
              <w:rPr>
                <w:color w:val="000000" w:themeColor="text1"/>
                <w:sz w:val="20"/>
              </w:rPr>
              <w:t xml:space="preserve">appariées </w:t>
            </w:r>
            <w:r w:rsidRPr="0058432E">
              <w:rPr>
                <w:color w:val="000000" w:themeColor="text1"/>
                <w:sz w:val="20"/>
              </w:rPr>
              <w:t xml:space="preserve">des pourcentages </w:t>
            </w:r>
          </w:p>
          <w:p w14:paraId="588F456C" w14:textId="77777777" w:rsidR="007F42F7" w:rsidRPr="0058432E" w:rsidRDefault="007F42F7" w:rsidP="007F42F7">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Parmi ceux initialement traités par corticoïdes </w:t>
            </w:r>
          </w:p>
        </w:tc>
      </w:tr>
    </w:tbl>
    <w:p w14:paraId="106279EB" w14:textId="77777777" w:rsidR="00C46587" w:rsidRPr="0058432E" w:rsidRDefault="00C46587" w:rsidP="00982118">
      <w:pPr>
        <w:rPr>
          <w:color w:val="000000" w:themeColor="text1"/>
        </w:rPr>
      </w:pPr>
    </w:p>
    <w:p w14:paraId="2CEBE77E" w14:textId="77777777" w:rsidR="00C46587" w:rsidRPr="0058432E" w:rsidRDefault="00C46587" w:rsidP="00982118">
      <w:pPr>
        <w:rPr>
          <w:color w:val="000000" w:themeColor="text1"/>
        </w:rPr>
      </w:pPr>
      <w:r w:rsidRPr="0058432E">
        <w:rPr>
          <w:color w:val="000000" w:themeColor="text1"/>
        </w:rPr>
        <w:lastRenderedPageBreak/>
        <w:t xml:space="preserve">Parmi les patients non répondeurs à la semaine 4, 43 % des patients recevant un traitement d’entretien par adalimumab ont répondu à la semaine 12 contre 30 % des patients recevant le placebo en traitement d’entretien. Ces résultats suggèrent que certains patients n’ayant pas répondu à la semaine 4 bénéficient de la poursuite du traitement d’entretien jusqu’à la semaine 12. La poursuite du traitement au-delà de 12 semaines n’est pas significativement associée à plus de réponses (voir rubrique 4.2). </w:t>
      </w:r>
    </w:p>
    <w:p w14:paraId="711C8C4F" w14:textId="77777777" w:rsidR="00C46587" w:rsidRPr="0058432E" w:rsidRDefault="00C46587" w:rsidP="00982118">
      <w:pPr>
        <w:rPr>
          <w:color w:val="000000" w:themeColor="text1"/>
        </w:rPr>
      </w:pPr>
    </w:p>
    <w:p w14:paraId="6F3FB419" w14:textId="77777777" w:rsidR="00C46587" w:rsidRPr="0058432E" w:rsidRDefault="00C46587" w:rsidP="00982118">
      <w:pPr>
        <w:rPr>
          <w:color w:val="000000" w:themeColor="text1"/>
        </w:rPr>
      </w:pPr>
      <w:r w:rsidRPr="0058432E">
        <w:rPr>
          <w:color w:val="000000" w:themeColor="text1"/>
        </w:rPr>
        <w:t xml:space="preserve">117/276 patients de l’étude I sur la MC et 272/777 patients des études II et III sur la MC ont été suivis pendant au moins 3 ans de traitement en ouvert </w:t>
      </w:r>
      <w:r w:rsidR="008E7545" w:rsidRPr="0058432E">
        <w:rPr>
          <w:color w:val="000000" w:themeColor="text1"/>
        </w:rPr>
        <w:t>par adalimumab</w:t>
      </w:r>
      <w:r w:rsidRPr="0058432E">
        <w:rPr>
          <w:color w:val="000000" w:themeColor="text1"/>
        </w:rPr>
        <w:t>. 88 et 189 patients, respectivement, sont restés en rémission clinique. La réponse clinique (CR</w:t>
      </w:r>
      <w:r w:rsidRPr="0058432E">
        <w:rPr>
          <w:color w:val="000000" w:themeColor="text1"/>
        </w:rPr>
        <w:noBreakHyphen/>
        <w:t xml:space="preserve">100) a été maintenue chez 102 et 233 patients, respectivement. </w:t>
      </w:r>
    </w:p>
    <w:p w14:paraId="79ED1798" w14:textId="77777777" w:rsidR="00C46587" w:rsidRPr="0058432E" w:rsidRDefault="00C46587" w:rsidP="00982118">
      <w:pPr>
        <w:rPr>
          <w:color w:val="000000" w:themeColor="text1"/>
        </w:rPr>
      </w:pPr>
    </w:p>
    <w:p w14:paraId="17AF0D72" w14:textId="77777777" w:rsidR="00C46587" w:rsidRPr="0058432E" w:rsidRDefault="00C46587" w:rsidP="00982118">
      <w:pPr>
        <w:keepNext/>
        <w:rPr>
          <w:i/>
          <w:color w:val="000000" w:themeColor="text1"/>
          <w:u w:val="single"/>
        </w:rPr>
      </w:pPr>
      <w:r w:rsidRPr="0058432E">
        <w:rPr>
          <w:i/>
          <w:color w:val="000000" w:themeColor="text1"/>
          <w:u w:val="single"/>
        </w:rPr>
        <w:t xml:space="preserve">Qualité de vie </w:t>
      </w:r>
    </w:p>
    <w:p w14:paraId="31A37F32" w14:textId="77777777" w:rsidR="00C46587" w:rsidRPr="0058432E" w:rsidRDefault="00C46587" w:rsidP="00982118">
      <w:pPr>
        <w:keepNext/>
        <w:rPr>
          <w:color w:val="000000" w:themeColor="text1"/>
        </w:rPr>
      </w:pPr>
    </w:p>
    <w:p w14:paraId="68535E27" w14:textId="77777777" w:rsidR="00C46587" w:rsidRPr="0058432E" w:rsidRDefault="00C46587" w:rsidP="00982118">
      <w:pPr>
        <w:rPr>
          <w:color w:val="000000" w:themeColor="text1"/>
        </w:rPr>
      </w:pPr>
      <w:r w:rsidRPr="0058432E">
        <w:rPr>
          <w:color w:val="000000" w:themeColor="text1"/>
        </w:rPr>
        <w:t xml:space="preserve">Dans les études I et II sur la MC, une amélioration statistiquement significative du score total du questionnaire sur les maladies inflammatoires de l’intestin (IBDQ) spécifique de la maladie a été obtenue à la semaine 4 chez les patients traités par adalimumab 80/40 mg et 160/80 mg versus placebo et également aux semaines 26 et 56 dans l’étude III sur la MC dans tous les groupes traités </w:t>
      </w:r>
      <w:r w:rsidR="008E7545" w:rsidRPr="0058432E">
        <w:rPr>
          <w:color w:val="000000" w:themeColor="text1"/>
        </w:rPr>
        <w:t>par adalimumab</w:t>
      </w:r>
      <w:r w:rsidRPr="0058432E">
        <w:rPr>
          <w:color w:val="000000" w:themeColor="text1"/>
        </w:rPr>
        <w:t xml:space="preserve"> </w:t>
      </w:r>
      <w:r w:rsidRPr="0058432E">
        <w:rPr>
          <w:i/>
          <w:color w:val="000000" w:themeColor="text1"/>
        </w:rPr>
        <w:t>versus</w:t>
      </w:r>
      <w:r w:rsidRPr="0058432E">
        <w:rPr>
          <w:color w:val="000000" w:themeColor="text1"/>
        </w:rPr>
        <w:t xml:space="preserve"> placebo. </w:t>
      </w:r>
    </w:p>
    <w:p w14:paraId="614FF8D3" w14:textId="77777777" w:rsidR="00C46587" w:rsidRPr="0058432E" w:rsidRDefault="00C46587" w:rsidP="00982118">
      <w:pPr>
        <w:rPr>
          <w:color w:val="000000" w:themeColor="text1"/>
        </w:rPr>
      </w:pPr>
    </w:p>
    <w:p w14:paraId="54099DC1" w14:textId="77777777" w:rsidR="008A732E" w:rsidRPr="0058432E" w:rsidRDefault="008A732E" w:rsidP="00982118">
      <w:pPr>
        <w:keepNext/>
        <w:rPr>
          <w:i/>
          <w:color w:val="000000" w:themeColor="text1"/>
        </w:rPr>
      </w:pPr>
      <w:r w:rsidRPr="0058432E">
        <w:rPr>
          <w:i/>
          <w:color w:val="000000" w:themeColor="text1"/>
        </w:rPr>
        <w:t>Uvéite chez l’adulte</w:t>
      </w:r>
    </w:p>
    <w:p w14:paraId="0FF5CC8F" w14:textId="77777777" w:rsidR="00C46587" w:rsidRPr="0058432E" w:rsidRDefault="00C46587" w:rsidP="00982118">
      <w:pPr>
        <w:keepNext/>
        <w:rPr>
          <w:color w:val="000000" w:themeColor="text1"/>
        </w:rPr>
      </w:pPr>
    </w:p>
    <w:p w14:paraId="63B53C73" w14:textId="77777777" w:rsidR="008A732E" w:rsidRPr="0058432E" w:rsidRDefault="00C46587" w:rsidP="00982118">
      <w:pPr>
        <w:rPr>
          <w:color w:val="000000" w:themeColor="text1"/>
        </w:rPr>
      </w:pPr>
      <w:r w:rsidRPr="0058432E">
        <w:rPr>
          <w:color w:val="000000" w:themeColor="text1"/>
        </w:rPr>
        <w:t xml:space="preserve">La </w:t>
      </w:r>
      <w:r w:rsidR="002D3129" w:rsidRPr="0058432E">
        <w:rPr>
          <w:color w:val="000000" w:themeColor="text1"/>
        </w:rPr>
        <w:t>tolérance</w:t>
      </w:r>
      <w:r w:rsidR="004F1AFE" w:rsidRPr="0058432E">
        <w:rPr>
          <w:color w:val="000000" w:themeColor="text1"/>
        </w:rPr>
        <w:t xml:space="preserve"> </w:t>
      </w:r>
      <w:r w:rsidRPr="0058432E">
        <w:rPr>
          <w:color w:val="000000" w:themeColor="text1"/>
        </w:rPr>
        <w:t>et l’efficacité de l’adalimumab ont été évaluées chez des patients adultes atteints d’uvéite non infectieuse, intermédiaire, postérieure et de panuvéite, à l’exclusion des patients présentant une uvéite antérieure isolée, dans deux études randomisées, en double aveugle, contrôlées contre placebo (UV I et II). Les patients recevaient un placebo ou l’adalimumab à la dose initiale de 80 mg puis de 40 mg toutes les deux semaines en commençant une semaine après l’administration de la première dose. L’administration concomitante d’un immunosuppresseur non biologique à dose stable était autorisée.</w:t>
      </w:r>
    </w:p>
    <w:p w14:paraId="3ADCF1F4" w14:textId="77777777" w:rsidR="00C46587" w:rsidRPr="0058432E" w:rsidRDefault="00C46587" w:rsidP="00982118">
      <w:pPr>
        <w:rPr>
          <w:color w:val="000000" w:themeColor="text1"/>
        </w:rPr>
      </w:pPr>
    </w:p>
    <w:p w14:paraId="493ADFE1" w14:textId="77777777" w:rsidR="008A732E" w:rsidRPr="0058432E" w:rsidRDefault="00C46587" w:rsidP="00982118">
      <w:pPr>
        <w:rPr>
          <w:color w:val="000000" w:themeColor="text1"/>
        </w:rPr>
      </w:pPr>
      <w:r w:rsidRPr="0058432E">
        <w:rPr>
          <w:color w:val="000000" w:themeColor="text1"/>
        </w:rPr>
        <w:t xml:space="preserve">L’étude UV I a évalué 217 patients présentant une uvéite active malgré un traitement par corticoïdes (prednisone par voie orale à la dose de 10 à 60 mg/jour). Au moment de l’inclusion dans l’étude, tous les patients ont reçu une dose </w:t>
      </w:r>
      <w:r w:rsidR="00132033" w:rsidRPr="0058432E">
        <w:rPr>
          <w:color w:val="000000" w:themeColor="text1"/>
        </w:rPr>
        <w:t xml:space="preserve">standardisée </w:t>
      </w:r>
      <w:r w:rsidRPr="0058432E">
        <w:rPr>
          <w:color w:val="000000" w:themeColor="text1"/>
        </w:rPr>
        <w:t xml:space="preserve">de 60 mg/jour de prednisone pendant deux semaines, progressivement réduite selon un schéma </w:t>
      </w:r>
      <w:r w:rsidR="00DF7121" w:rsidRPr="0058432E">
        <w:rPr>
          <w:color w:val="000000" w:themeColor="text1"/>
        </w:rPr>
        <w:t>imposé</w:t>
      </w:r>
      <w:r w:rsidRPr="0058432E">
        <w:rPr>
          <w:color w:val="000000" w:themeColor="text1"/>
        </w:rPr>
        <w:t xml:space="preserve"> jusqu’à l’arrêt complet de la corticothérapie à la semaine 15.</w:t>
      </w:r>
    </w:p>
    <w:p w14:paraId="72AB8417" w14:textId="77777777" w:rsidR="00C46587" w:rsidRPr="0058432E" w:rsidRDefault="00C46587" w:rsidP="00982118">
      <w:pPr>
        <w:rPr>
          <w:color w:val="000000" w:themeColor="text1"/>
        </w:rPr>
      </w:pPr>
    </w:p>
    <w:p w14:paraId="38F75FE4" w14:textId="77777777" w:rsidR="008A732E" w:rsidRPr="0058432E" w:rsidRDefault="00C46587" w:rsidP="00982118">
      <w:pPr>
        <w:rPr>
          <w:color w:val="000000" w:themeColor="text1"/>
        </w:rPr>
      </w:pPr>
      <w:r w:rsidRPr="0058432E">
        <w:rPr>
          <w:color w:val="000000" w:themeColor="text1"/>
        </w:rPr>
        <w:t xml:space="preserve">L’étude UV II a évalué 226 patients présentant une uvéite inactive nécessitant une corticothérapie chronique (prednisone par voie orale à la dose de 10 à 35 mg/jour) au moment de l’inclusion pour contrôler leur maladie. La dose de corticoïdes était progressivement réduite selon un schéma </w:t>
      </w:r>
      <w:r w:rsidR="00132033" w:rsidRPr="0058432E">
        <w:rPr>
          <w:color w:val="000000" w:themeColor="text1"/>
        </w:rPr>
        <w:t xml:space="preserve">imposé </w:t>
      </w:r>
      <w:r w:rsidRPr="0058432E">
        <w:rPr>
          <w:color w:val="000000" w:themeColor="text1"/>
        </w:rPr>
        <w:t>jusqu’à l’arrêt complet de la corticothérapie à la semaine 19.</w:t>
      </w:r>
    </w:p>
    <w:p w14:paraId="05267949" w14:textId="77777777" w:rsidR="00C46587" w:rsidRPr="0058432E" w:rsidRDefault="00C46587" w:rsidP="00982118">
      <w:pPr>
        <w:rPr>
          <w:color w:val="000000" w:themeColor="text1"/>
        </w:rPr>
      </w:pPr>
    </w:p>
    <w:p w14:paraId="300795A0" w14:textId="77777777" w:rsidR="008A732E" w:rsidRPr="0058432E" w:rsidRDefault="00C46587" w:rsidP="00982118">
      <w:pPr>
        <w:rPr>
          <w:color w:val="000000" w:themeColor="text1"/>
        </w:rPr>
      </w:pPr>
      <w:r w:rsidRPr="0058432E">
        <w:rPr>
          <w:color w:val="000000" w:themeColor="text1"/>
        </w:rPr>
        <w:t xml:space="preserve">Le critère </w:t>
      </w:r>
      <w:r w:rsidR="00132033" w:rsidRPr="0058432E">
        <w:rPr>
          <w:color w:val="000000" w:themeColor="text1"/>
        </w:rPr>
        <w:t xml:space="preserve">d’évaluation </w:t>
      </w:r>
      <w:r w:rsidRPr="0058432E">
        <w:rPr>
          <w:color w:val="000000" w:themeColor="text1"/>
        </w:rPr>
        <w:t xml:space="preserve">principal de l’efficacité dans les deux études était le « délai de survenue de </w:t>
      </w:r>
      <w:r w:rsidR="00DF7121" w:rsidRPr="0058432E">
        <w:rPr>
          <w:color w:val="000000" w:themeColor="text1"/>
        </w:rPr>
        <w:t xml:space="preserve">la </w:t>
      </w:r>
      <w:r w:rsidRPr="0058432E">
        <w:rPr>
          <w:color w:val="000000" w:themeColor="text1"/>
        </w:rPr>
        <w:t xml:space="preserve">rechute ». La rechute était définie par un </w:t>
      </w:r>
      <w:r w:rsidR="00132033" w:rsidRPr="0058432E">
        <w:rPr>
          <w:color w:val="000000" w:themeColor="text1"/>
        </w:rPr>
        <w:t xml:space="preserve">résultat </w:t>
      </w:r>
      <w:r w:rsidRPr="0058432E">
        <w:rPr>
          <w:color w:val="000000" w:themeColor="text1"/>
        </w:rPr>
        <w:t>composite basé sur la présence de lésions vasculaires rétiniennes et/ou choriorétiniennes inflammatoires, le Tyndall cellulaire de la chambre antérieure, l’inflammation vitréenne et la meilleure acuité visuelle corrigée.</w:t>
      </w:r>
    </w:p>
    <w:p w14:paraId="2E03E621" w14:textId="77777777" w:rsidR="001430BA" w:rsidRPr="0058432E" w:rsidRDefault="001430BA" w:rsidP="00982118">
      <w:pPr>
        <w:rPr>
          <w:color w:val="000000" w:themeColor="text1"/>
        </w:rPr>
      </w:pPr>
    </w:p>
    <w:p w14:paraId="66A05302" w14:textId="77777777" w:rsidR="002A7CDF" w:rsidRPr="0058432E" w:rsidRDefault="002A7CDF" w:rsidP="002A7CDF">
      <w:pPr>
        <w:pStyle w:val="BodyText"/>
        <w:widowControl/>
        <w:tabs>
          <w:tab w:val="left" w:pos="90"/>
        </w:tabs>
        <w:kinsoku w:val="0"/>
        <w:overflowPunct w:val="0"/>
        <w:ind w:left="0"/>
        <w:rPr>
          <w:color w:val="000000" w:themeColor="text1"/>
        </w:rPr>
      </w:pPr>
      <w:r w:rsidRPr="0058432E">
        <w:rPr>
          <w:color w:val="000000" w:themeColor="text1"/>
        </w:rPr>
        <w:t>Les patients ayant terminé les études UV I et UV II étaient éligible</w:t>
      </w:r>
      <w:r w:rsidR="000B7CC1" w:rsidRPr="0058432E">
        <w:rPr>
          <w:color w:val="000000" w:themeColor="text1"/>
        </w:rPr>
        <w:t>s</w:t>
      </w:r>
      <w:r w:rsidRPr="0058432E">
        <w:rPr>
          <w:color w:val="000000" w:themeColor="text1"/>
        </w:rPr>
        <w:t xml:space="preserve"> pour participer à une étude d’extension à long terme non contrôlée d'une durée initialement prévue de 78 semaines. Les patients ont été autorisés à continuer à prendre le médicament de l’étude au-delà de la semaine 78 jusqu'à ce qu'ils aient accès à l'adalimumab.</w:t>
      </w:r>
    </w:p>
    <w:p w14:paraId="2F9D5775" w14:textId="77777777" w:rsidR="008A732E" w:rsidRPr="0058432E" w:rsidRDefault="008A732E" w:rsidP="00982118">
      <w:pPr>
        <w:rPr>
          <w:i/>
          <w:color w:val="000000" w:themeColor="text1"/>
          <w:u w:val="single"/>
        </w:rPr>
      </w:pPr>
    </w:p>
    <w:p w14:paraId="4230F447" w14:textId="77777777" w:rsidR="008A732E" w:rsidRPr="0058432E" w:rsidRDefault="008A732E" w:rsidP="00982118">
      <w:pPr>
        <w:keepNext/>
        <w:rPr>
          <w:i/>
          <w:color w:val="000000" w:themeColor="text1"/>
          <w:u w:val="single"/>
        </w:rPr>
      </w:pPr>
      <w:r w:rsidRPr="0058432E">
        <w:rPr>
          <w:i/>
          <w:color w:val="000000" w:themeColor="text1"/>
          <w:u w:val="single"/>
        </w:rPr>
        <w:t>Réponse clinique</w:t>
      </w:r>
    </w:p>
    <w:p w14:paraId="6B181A49" w14:textId="77777777" w:rsidR="00C46587" w:rsidRPr="0058432E" w:rsidRDefault="00C46587" w:rsidP="00982118">
      <w:pPr>
        <w:keepNext/>
        <w:rPr>
          <w:color w:val="000000" w:themeColor="text1"/>
        </w:rPr>
      </w:pPr>
    </w:p>
    <w:p w14:paraId="16B56233" w14:textId="77777777" w:rsidR="008A732E" w:rsidRPr="0058432E" w:rsidRDefault="00C46587" w:rsidP="00982118">
      <w:pPr>
        <w:rPr>
          <w:color w:val="000000" w:themeColor="text1"/>
        </w:rPr>
      </w:pPr>
      <w:r w:rsidRPr="0058432E">
        <w:rPr>
          <w:color w:val="000000" w:themeColor="text1"/>
        </w:rPr>
        <w:t xml:space="preserve">Les résultats des deux études ont mis en évidence une réduction statistiquement significative du risque de rechute chez les patients traités </w:t>
      </w:r>
      <w:r w:rsidR="008E7545" w:rsidRPr="0058432E">
        <w:rPr>
          <w:color w:val="000000" w:themeColor="text1"/>
        </w:rPr>
        <w:t>par adalimumab</w:t>
      </w:r>
      <w:r w:rsidRPr="0058432E">
        <w:rPr>
          <w:color w:val="000000" w:themeColor="text1"/>
        </w:rPr>
        <w:t xml:space="preserve"> comparativement aux patients recevant le placebo (voir tableau </w:t>
      </w:r>
      <w:r w:rsidR="008F4E17" w:rsidRPr="0058432E">
        <w:rPr>
          <w:color w:val="000000" w:themeColor="text1"/>
        </w:rPr>
        <w:t>19</w:t>
      </w:r>
      <w:r w:rsidRPr="0058432E">
        <w:rPr>
          <w:color w:val="000000" w:themeColor="text1"/>
        </w:rPr>
        <w:t>). Les deux études ont montré un effet précoce et durable sur le taux de rechute sous adalimumab comparativement au placebo (voir figure </w:t>
      </w:r>
      <w:r w:rsidR="008F4E17" w:rsidRPr="0058432E">
        <w:rPr>
          <w:color w:val="000000" w:themeColor="text1"/>
        </w:rPr>
        <w:t>1</w:t>
      </w:r>
      <w:r w:rsidRPr="0058432E">
        <w:rPr>
          <w:color w:val="000000" w:themeColor="text1"/>
        </w:rPr>
        <w:t>).</w:t>
      </w:r>
    </w:p>
    <w:p w14:paraId="478505C9" w14:textId="77777777" w:rsidR="008A732E" w:rsidRPr="0058432E" w:rsidRDefault="008A732E" w:rsidP="00982118">
      <w:pPr>
        <w:rPr>
          <w:color w:val="000000" w:themeColor="text1"/>
        </w:rPr>
      </w:pPr>
    </w:p>
    <w:p w14:paraId="553BBFE4" w14:textId="77777777" w:rsidR="008A732E" w:rsidRPr="0058432E" w:rsidRDefault="008A732E" w:rsidP="00A53E17">
      <w:pPr>
        <w:rPr>
          <w:b/>
          <w:color w:val="000000" w:themeColor="text1"/>
        </w:rPr>
      </w:pPr>
      <w:r w:rsidRPr="0058432E">
        <w:rPr>
          <w:b/>
          <w:color w:val="000000" w:themeColor="text1"/>
        </w:rPr>
        <w:lastRenderedPageBreak/>
        <w:t>Tableau </w:t>
      </w:r>
      <w:r w:rsidR="008F4E17" w:rsidRPr="0058432E">
        <w:rPr>
          <w:b/>
          <w:color w:val="000000" w:themeColor="text1"/>
        </w:rPr>
        <w:t>19</w:t>
      </w:r>
      <w:r w:rsidR="002A7CDF" w:rsidRPr="0058432E">
        <w:rPr>
          <w:b/>
          <w:color w:val="000000" w:themeColor="text1"/>
        </w:rPr>
        <w:t>.</w:t>
      </w:r>
    </w:p>
    <w:p w14:paraId="703D7FCB" w14:textId="77777777" w:rsidR="00C46587" w:rsidRPr="0058432E" w:rsidRDefault="00C46587" w:rsidP="00A53E17">
      <w:pPr>
        <w:rPr>
          <w:b/>
          <w:color w:val="000000" w:themeColor="text1"/>
        </w:rPr>
      </w:pPr>
      <w:r w:rsidRPr="0058432E">
        <w:rPr>
          <w:b/>
          <w:color w:val="000000" w:themeColor="text1"/>
        </w:rPr>
        <w:t>Délai de survenue de la rechute dans les études UV I et UV II</w:t>
      </w:r>
    </w:p>
    <w:p w14:paraId="025C7327" w14:textId="77777777" w:rsidR="00C46587" w:rsidRPr="0058432E" w:rsidRDefault="00C46587" w:rsidP="00982118">
      <w:pPr>
        <w:rPr>
          <w:color w:val="000000" w:themeColor="text1"/>
        </w:rPr>
      </w:pP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3"/>
        <w:gridCol w:w="710"/>
        <w:gridCol w:w="1256"/>
        <w:gridCol w:w="1264"/>
        <w:gridCol w:w="1225"/>
        <w:gridCol w:w="1234"/>
        <w:gridCol w:w="1253"/>
      </w:tblGrid>
      <w:tr w:rsidR="008A732E" w:rsidRPr="0058432E" w14:paraId="79F4F79E" w14:textId="77777777" w:rsidTr="002510E7">
        <w:tc>
          <w:tcPr>
            <w:tcW w:w="2178" w:type="dxa"/>
            <w:tcBorders>
              <w:top w:val="single" w:sz="4" w:space="0" w:color="auto"/>
              <w:left w:val="nil"/>
              <w:bottom w:val="single" w:sz="4" w:space="0" w:color="auto"/>
              <w:right w:val="nil"/>
            </w:tcBorders>
            <w:hideMark/>
          </w:tcPr>
          <w:p w14:paraId="2FBA61EE" w14:textId="77777777" w:rsidR="008A732E" w:rsidRPr="0058432E" w:rsidRDefault="008A732E" w:rsidP="00982118">
            <w:pPr>
              <w:rPr>
                <w:b/>
                <w:color w:val="000000" w:themeColor="text1"/>
              </w:rPr>
            </w:pPr>
            <w:r w:rsidRPr="0058432E">
              <w:rPr>
                <w:b/>
                <w:color w:val="000000" w:themeColor="text1"/>
              </w:rPr>
              <w:t>Analyse</w:t>
            </w:r>
          </w:p>
          <w:p w14:paraId="1C4BBB3C" w14:textId="77777777" w:rsidR="008A732E" w:rsidRPr="0058432E" w:rsidRDefault="004C70DE" w:rsidP="00982118">
            <w:pPr>
              <w:rPr>
                <w:b/>
                <w:color w:val="000000" w:themeColor="text1"/>
              </w:rPr>
            </w:pPr>
            <w:r w:rsidRPr="0058432E">
              <w:rPr>
                <w:b/>
                <w:color w:val="000000" w:themeColor="text1"/>
              </w:rPr>
              <w:t>     Traitement</w:t>
            </w:r>
          </w:p>
        </w:tc>
        <w:tc>
          <w:tcPr>
            <w:tcW w:w="720" w:type="dxa"/>
            <w:tcBorders>
              <w:top w:val="single" w:sz="4" w:space="0" w:color="auto"/>
              <w:left w:val="nil"/>
              <w:bottom w:val="single" w:sz="4" w:space="0" w:color="auto"/>
              <w:right w:val="nil"/>
            </w:tcBorders>
            <w:hideMark/>
          </w:tcPr>
          <w:p w14:paraId="205ABA20" w14:textId="77777777" w:rsidR="008A732E" w:rsidRPr="0058432E" w:rsidRDefault="008A732E" w:rsidP="00982118">
            <w:pPr>
              <w:rPr>
                <w:b/>
                <w:color w:val="000000" w:themeColor="text1"/>
              </w:rPr>
            </w:pPr>
            <w:r w:rsidRPr="0058432E">
              <w:rPr>
                <w:b/>
                <w:color w:val="000000" w:themeColor="text1"/>
              </w:rPr>
              <w:t>N</w:t>
            </w:r>
          </w:p>
        </w:tc>
        <w:tc>
          <w:tcPr>
            <w:tcW w:w="1281" w:type="dxa"/>
            <w:tcBorders>
              <w:top w:val="single" w:sz="4" w:space="0" w:color="auto"/>
              <w:left w:val="nil"/>
              <w:bottom w:val="single" w:sz="4" w:space="0" w:color="auto"/>
              <w:right w:val="nil"/>
            </w:tcBorders>
            <w:hideMark/>
          </w:tcPr>
          <w:p w14:paraId="53A3227C" w14:textId="77777777" w:rsidR="008A732E" w:rsidRPr="0058432E" w:rsidRDefault="008A732E" w:rsidP="00982118">
            <w:pPr>
              <w:rPr>
                <w:b/>
                <w:color w:val="000000" w:themeColor="text1"/>
              </w:rPr>
            </w:pPr>
            <w:r w:rsidRPr="0058432E">
              <w:rPr>
                <w:b/>
                <w:color w:val="000000" w:themeColor="text1"/>
              </w:rPr>
              <w:t>Rechute</w:t>
            </w:r>
          </w:p>
          <w:p w14:paraId="346EC61D" w14:textId="77777777" w:rsidR="008A732E" w:rsidRPr="0058432E" w:rsidRDefault="008A732E" w:rsidP="00982118">
            <w:pPr>
              <w:rPr>
                <w:b/>
                <w:color w:val="000000" w:themeColor="text1"/>
              </w:rPr>
            </w:pPr>
            <w:r w:rsidRPr="0058432E">
              <w:rPr>
                <w:b/>
                <w:color w:val="000000" w:themeColor="text1"/>
              </w:rPr>
              <w:t>N (%)</w:t>
            </w:r>
          </w:p>
        </w:tc>
        <w:tc>
          <w:tcPr>
            <w:tcW w:w="1281" w:type="dxa"/>
            <w:tcBorders>
              <w:top w:val="single" w:sz="4" w:space="0" w:color="auto"/>
              <w:left w:val="nil"/>
              <w:bottom w:val="single" w:sz="4" w:space="0" w:color="auto"/>
              <w:right w:val="nil"/>
            </w:tcBorders>
            <w:hideMark/>
          </w:tcPr>
          <w:p w14:paraId="18B322ED" w14:textId="77777777" w:rsidR="008A732E" w:rsidRPr="0058432E" w:rsidRDefault="008A732E" w:rsidP="00982118">
            <w:pPr>
              <w:rPr>
                <w:b/>
                <w:color w:val="000000" w:themeColor="text1"/>
              </w:rPr>
            </w:pPr>
            <w:r w:rsidRPr="0058432E">
              <w:rPr>
                <w:b/>
                <w:color w:val="000000" w:themeColor="text1"/>
              </w:rPr>
              <w:t>Délai médian de survenue de la rechute (mois)</w:t>
            </w:r>
          </w:p>
        </w:tc>
        <w:tc>
          <w:tcPr>
            <w:tcW w:w="1281" w:type="dxa"/>
            <w:tcBorders>
              <w:top w:val="single" w:sz="4" w:space="0" w:color="auto"/>
              <w:left w:val="nil"/>
              <w:bottom w:val="single" w:sz="4" w:space="0" w:color="auto"/>
              <w:right w:val="nil"/>
            </w:tcBorders>
            <w:hideMark/>
          </w:tcPr>
          <w:p w14:paraId="2B4F9027" w14:textId="77777777" w:rsidR="008A732E" w:rsidRPr="0058432E" w:rsidRDefault="008A732E" w:rsidP="00982118">
            <w:pPr>
              <w:rPr>
                <w:b/>
                <w:color w:val="000000" w:themeColor="text1"/>
              </w:rPr>
            </w:pPr>
            <w:r w:rsidRPr="0058432E">
              <w:rPr>
                <w:b/>
                <w:color w:val="000000" w:themeColor="text1"/>
              </w:rPr>
              <w:t>HR</w:t>
            </w:r>
            <w:r w:rsidRPr="0058432E">
              <w:rPr>
                <w:b/>
                <w:color w:val="000000" w:themeColor="text1"/>
                <w:vertAlign w:val="superscript"/>
              </w:rPr>
              <w:t>a</w:t>
            </w:r>
          </w:p>
        </w:tc>
        <w:tc>
          <w:tcPr>
            <w:tcW w:w="1281" w:type="dxa"/>
            <w:tcBorders>
              <w:top w:val="single" w:sz="4" w:space="0" w:color="auto"/>
              <w:left w:val="nil"/>
              <w:bottom w:val="single" w:sz="4" w:space="0" w:color="auto"/>
              <w:right w:val="nil"/>
            </w:tcBorders>
            <w:hideMark/>
          </w:tcPr>
          <w:p w14:paraId="2659E889" w14:textId="77777777" w:rsidR="008A732E" w:rsidRPr="0058432E" w:rsidRDefault="008A732E" w:rsidP="00982118">
            <w:pPr>
              <w:rPr>
                <w:b/>
                <w:color w:val="000000" w:themeColor="text1"/>
              </w:rPr>
            </w:pPr>
            <w:r w:rsidRPr="0058432E">
              <w:rPr>
                <w:b/>
                <w:color w:val="000000" w:themeColor="text1"/>
              </w:rPr>
              <w:t>IC à 95 % pour le HR</w:t>
            </w:r>
            <w:r w:rsidRPr="0058432E">
              <w:rPr>
                <w:b/>
                <w:color w:val="000000" w:themeColor="text1"/>
                <w:vertAlign w:val="superscript"/>
              </w:rPr>
              <w:t>a</w:t>
            </w:r>
            <w:r w:rsidRPr="0058432E">
              <w:rPr>
                <w:b/>
                <w:color w:val="000000" w:themeColor="text1"/>
              </w:rPr>
              <w:t xml:space="preserve"> </w:t>
            </w:r>
          </w:p>
        </w:tc>
        <w:tc>
          <w:tcPr>
            <w:tcW w:w="1281" w:type="dxa"/>
            <w:tcBorders>
              <w:top w:val="single" w:sz="4" w:space="0" w:color="auto"/>
              <w:left w:val="nil"/>
              <w:bottom w:val="single" w:sz="4" w:space="0" w:color="auto"/>
              <w:right w:val="nil"/>
            </w:tcBorders>
            <w:hideMark/>
          </w:tcPr>
          <w:p w14:paraId="623A845E" w14:textId="77777777" w:rsidR="008A732E" w:rsidRPr="0058432E" w:rsidRDefault="008A732E" w:rsidP="00982118">
            <w:pPr>
              <w:rPr>
                <w:b/>
                <w:color w:val="000000" w:themeColor="text1"/>
              </w:rPr>
            </w:pPr>
            <w:r w:rsidRPr="0058432E">
              <w:rPr>
                <w:b/>
                <w:color w:val="000000" w:themeColor="text1"/>
              </w:rPr>
              <w:t xml:space="preserve">Valeur de </w:t>
            </w:r>
            <w:r w:rsidRPr="0058432E">
              <w:rPr>
                <w:b/>
                <w:i/>
                <w:color w:val="000000" w:themeColor="text1"/>
              </w:rPr>
              <w:t>p</w:t>
            </w:r>
            <w:r w:rsidRPr="0058432E">
              <w:rPr>
                <w:b/>
                <w:color w:val="000000" w:themeColor="text1"/>
                <w:vertAlign w:val="superscript"/>
              </w:rPr>
              <w:t>b</w:t>
            </w:r>
          </w:p>
        </w:tc>
      </w:tr>
      <w:tr w:rsidR="008A732E" w:rsidRPr="0058432E" w14:paraId="4A40B6DF" w14:textId="77777777" w:rsidTr="002510E7">
        <w:tc>
          <w:tcPr>
            <w:tcW w:w="9303" w:type="dxa"/>
            <w:gridSpan w:val="7"/>
            <w:tcBorders>
              <w:top w:val="single" w:sz="4" w:space="0" w:color="auto"/>
              <w:left w:val="nil"/>
              <w:bottom w:val="nil"/>
              <w:right w:val="nil"/>
            </w:tcBorders>
            <w:hideMark/>
          </w:tcPr>
          <w:p w14:paraId="45CC50B3" w14:textId="77777777" w:rsidR="008A732E" w:rsidRPr="0058432E" w:rsidRDefault="008A732E" w:rsidP="00982118">
            <w:pPr>
              <w:rPr>
                <w:b/>
                <w:color w:val="000000" w:themeColor="text1"/>
              </w:rPr>
            </w:pPr>
            <w:r w:rsidRPr="0058432E">
              <w:rPr>
                <w:b/>
                <w:color w:val="000000" w:themeColor="text1"/>
              </w:rPr>
              <w:t xml:space="preserve">Délai de survenue de la rechute à ou après la semaine 6 dans l’étude UV I  </w:t>
            </w:r>
          </w:p>
        </w:tc>
      </w:tr>
      <w:tr w:rsidR="008A732E" w:rsidRPr="0058432E" w14:paraId="37B9A5ED" w14:textId="77777777" w:rsidTr="002510E7">
        <w:tc>
          <w:tcPr>
            <w:tcW w:w="9303" w:type="dxa"/>
            <w:gridSpan w:val="7"/>
            <w:tcBorders>
              <w:top w:val="nil"/>
              <w:left w:val="nil"/>
              <w:bottom w:val="nil"/>
              <w:right w:val="nil"/>
            </w:tcBorders>
            <w:hideMark/>
          </w:tcPr>
          <w:p w14:paraId="2FB46CAB" w14:textId="77777777" w:rsidR="008A732E" w:rsidRPr="0058432E" w:rsidRDefault="008A732E" w:rsidP="00982118">
            <w:pPr>
              <w:rPr>
                <w:color w:val="000000" w:themeColor="text1"/>
              </w:rPr>
            </w:pPr>
            <w:r w:rsidRPr="0058432E">
              <w:rPr>
                <w:color w:val="000000" w:themeColor="text1"/>
              </w:rPr>
              <w:t>Analyse principale (ITT)</w:t>
            </w:r>
          </w:p>
        </w:tc>
      </w:tr>
      <w:tr w:rsidR="008A732E" w:rsidRPr="0058432E" w14:paraId="5A3E8B45" w14:textId="77777777" w:rsidTr="002510E7">
        <w:tc>
          <w:tcPr>
            <w:tcW w:w="2178" w:type="dxa"/>
            <w:tcBorders>
              <w:top w:val="nil"/>
              <w:left w:val="nil"/>
              <w:bottom w:val="nil"/>
              <w:right w:val="nil"/>
            </w:tcBorders>
            <w:hideMark/>
          </w:tcPr>
          <w:p w14:paraId="681F4BB6" w14:textId="77777777" w:rsidR="008A732E" w:rsidRPr="0058432E" w:rsidRDefault="008A732E" w:rsidP="00982118">
            <w:pPr>
              <w:rPr>
                <w:color w:val="000000" w:themeColor="text1"/>
              </w:rPr>
            </w:pPr>
            <w:r w:rsidRPr="0058432E">
              <w:rPr>
                <w:color w:val="000000" w:themeColor="text1"/>
              </w:rPr>
              <w:t>     Placebo</w:t>
            </w:r>
          </w:p>
        </w:tc>
        <w:tc>
          <w:tcPr>
            <w:tcW w:w="720" w:type="dxa"/>
            <w:tcBorders>
              <w:top w:val="nil"/>
              <w:left w:val="nil"/>
              <w:bottom w:val="nil"/>
              <w:right w:val="nil"/>
            </w:tcBorders>
            <w:hideMark/>
          </w:tcPr>
          <w:p w14:paraId="13A8846C" w14:textId="77777777" w:rsidR="008A732E" w:rsidRPr="0058432E" w:rsidRDefault="008A732E" w:rsidP="00982118">
            <w:pPr>
              <w:rPr>
                <w:color w:val="000000" w:themeColor="text1"/>
              </w:rPr>
            </w:pPr>
            <w:r w:rsidRPr="0058432E">
              <w:rPr>
                <w:color w:val="000000" w:themeColor="text1"/>
              </w:rPr>
              <w:t>107</w:t>
            </w:r>
          </w:p>
        </w:tc>
        <w:tc>
          <w:tcPr>
            <w:tcW w:w="1281" w:type="dxa"/>
            <w:tcBorders>
              <w:top w:val="nil"/>
              <w:left w:val="nil"/>
              <w:bottom w:val="nil"/>
              <w:right w:val="nil"/>
            </w:tcBorders>
            <w:hideMark/>
          </w:tcPr>
          <w:p w14:paraId="42ECEE03" w14:textId="77777777" w:rsidR="008A732E" w:rsidRPr="0058432E" w:rsidRDefault="008A732E" w:rsidP="00982118">
            <w:pPr>
              <w:rPr>
                <w:color w:val="000000" w:themeColor="text1"/>
              </w:rPr>
            </w:pPr>
            <w:r w:rsidRPr="0058432E">
              <w:rPr>
                <w:color w:val="000000" w:themeColor="text1"/>
              </w:rPr>
              <w:t>84 (78,5)</w:t>
            </w:r>
          </w:p>
        </w:tc>
        <w:tc>
          <w:tcPr>
            <w:tcW w:w="1281" w:type="dxa"/>
            <w:tcBorders>
              <w:top w:val="nil"/>
              <w:left w:val="nil"/>
              <w:bottom w:val="nil"/>
              <w:right w:val="nil"/>
            </w:tcBorders>
            <w:hideMark/>
          </w:tcPr>
          <w:p w14:paraId="1673CD92" w14:textId="77777777" w:rsidR="008A732E" w:rsidRPr="0058432E" w:rsidRDefault="008A732E" w:rsidP="00982118">
            <w:pPr>
              <w:rPr>
                <w:color w:val="000000" w:themeColor="text1"/>
              </w:rPr>
            </w:pPr>
            <w:r w:rsidRPr="0058432E">
              <w:rPr>
                <w:color w:val="000000" w:themeColor="text1"/>
              </w:rPr>
              <w:t>3,0 </w:t>
            </w:r>
          </w:p>
        </w:tc>
        <w:tc>
          <w:tcPr>
            <w:tcW w:w="1281" w:type="dxa"/>
            <w:tcBorders>
              <w:top w:val="nil"/>
              <w:left w:val="nil"/>
              <w:bottom w:val="nil"/>
              <w:right w:val="nil"/>
            </w:tcBorders>
            <w:hideMark/>
          </w:tcPr>
          <w:p w14:paraId="73A223C4"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2E430C37"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5D38771D"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r>
      <w:tr w:rsidR="008A732E" w:rsidRPr="0058432E" w14:paraId="7AC0B721" w14:textId="77777777" w:rsidTr="002510E7">
        <w:tc>
          <w:tcPr>
            <w:tcW w:w="2178" w:type="dxa"/>
            <w:tcBorders>
              <w:top w:val="nil"/>
              <w:left w:val="nil"/>
              <w:bottom w:val="single" w:sz="4" w:space="0" w:color="auto"/>
              <w:right w:val="nil"/>
            </w:tcBorders>
            <w:hideMark/>
          </w:tcPr>
          <w:p w14:paraId="2C71B9F3" w14:textId="77777777" w:rsidR="008A732E" w:rsidRPr="0058432E" w:rsidRDefault="008A732E" w:rsidP="00982118">
            <w:pPr>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21F757A0" w14:textId="77777777" w:rsidR="008A732E" w:rsidRPr="0058432E" w:rsidRDefault="008A732E" w:rsidP="00982118">
            <w:pPr>
              <w:rPr>
                <w:color w:val="000000" w:themeColor="text1"/>
              </w:rPr>
            </w:pPr>
            <w:r w:rsidRPr="0058432E">
              <w:rPr>
                <w:color w:val="000000" w:themeColor="text1"/>
              </w:rPr>
              <w:t>110 </w:t>
            </w:r>
          </w:p>
        </w:tc>
        <w:tc>
          <w:tcPr>
            <w:tcW w:w="1281" w:type="dxa"/>
            <w:tcBorders>
              <w:top w:val="nil"/>
              <w:left w:val="nil"/>
              <w:bottom w:val="single" w:sz="4" w:space="0" w:color="auto"/>
              <w:right w:val="nil"/>
            </w:tcBorders>
            <w:hideMark/>
          </w:tcPr>
          <w:p w14:paraId="28E95F61" w14:textId="77777777" w:rsidR="008A732E" w:rsidRPr="0058432E" w:rsidRDefault="008A732E" w:rsidP="00982118">
            <w:pPr>
              <w:rPr>
                <w:color w:val="000000" w:themeColor="text1"/>
              </w:rPr>
            </w:pPr>
            <w:r w:rsidRPr="0058432E">
              <w:rPr>
                <w:color w:val="000000" w:themeColor="text1"/>
              </w:rPr>
              <w:t>60 (54,5)</w:t>
            </w:r>
          </w:p>
        </w:tc>
        <w:tc>
          <w:tcPr>
            <w:tcW w:w="1281" w:type="dxa"/>
            <w:tcBorders>
              <w:top w:val="nil"/>
              <w:left w:val="nil"/>
              <w:bottom w:val="single" w:sz="4" w:space="0" w:color="auto"/>
              <w:right w:val="nil"/>
            </w:tcBorders>
            <w:hideMark/>
          </w:tcPr>
          <w:p w14:paraId="1BFCE64E" w14:textId="77777777" w:rsidR="008A732E" w:rsidRPr="0058432E" w:rsidRDefault="008A732E" w:rsidP="00982118">
            <w:pPr>
              <w:rPr>
                <w:color w:val="000000" w:themeColor="text1"/>
              </w:rPr>
            </w:pPr>
            <w:r w:rsidRPr="0058432E">
              <w:rPr>
                <w:color w:val="000000" w:themeColor="text1"/>
              </w:rPr>
              <w:t>5,6 </w:t>
            </w:r>
          </w:p>
        </w:tc>
        <w:tc>
          <w:tcPr>
            <w:tcW w:w="1281" w:type="dxa"/>
            <w:tcBorders>
              <w:top w:val="nil"/>
              <w:left w:val="nil"/>
              <w:bottom w:val="single" w:sz="4" w:space="0" w:color="auto"/>
              <w:right w:val="nil"/>
            </w:tcBorders>
            <w:hideMark/>
          </w:tcPr>
          <w:p w14:paraId="501BFE8D" w14:textId="77777777" w:rsidR="008A732E" w:rsidRPr="0058432E" w:rsidRDefault="008A732E" w:rsidP="00982118">
            <w:pPr>
              <w:rPr>
                <w:color w:val="000000" w:themeColor="text1"/>
              </w:rPr>
            </w:pPr>
            <w:r w:rsidRPr="0058432E">
              <w:rPr>
                <w:color w:val="000000" w:themeColor="text1"/>
              </w:rPr>
              <w:t>0,50</w:t>
            </w:r>
          </w:p>
        </w:tc>
        <w:tc>
          <w:tcPr>
            <w:tcW w:w="1281" w:type="dxa"/>
            <w:tcBorders>
              <w:top w:val="nil"/>
              <w:left w:val="nil"/>
              <w:bottom w:val="single" w:sz="4" w:space="0" w:color="auto"/>
              <w:right w:val="nil"/>
            </w:tcBorders>
            <w:hideMark/>
          </w:tcPr>
          <w:p w14:paraId="5D01343F" w14:textId="77777777" w:rsidR="008A732E" w:rsidRPr="0058432E" w:rsidRDefault="008A732E" w:rsidP="00982118">
            <w:pPr>
              <w:rPr>
                <w:color w:val="000000" w:themeColor="text1"/>
              </w:rPr>
            </w:pPr>
            <w:r w:rsidRPr="0058432E">
              <w:rPr>
                <w:color w:val="000000" w:themeColor="text1"/>
              </w:rPr>
              <w:t>0,36 ; 0,70 </w:t>
            </w:r>
          </w:p>
        </w:tc>
        <w:tc>
          <w:tcPr>
            <w:tcW w:w="1281" w:type="dxa"/>
            <w:tcBorders>
              <w:top w:val="nil"/>
              <w:left w:val="nil"/>
              <w:bottom w:val="single" w:sz="4" w:space="0" w:color="auto"/>
              <w:right w:val="nil"/>
            </w:tcBorders>
            <w:hideMark/>
          </w:tcPr>
          <w:p w14:paraId="123E4A9A" w14:textId="77777777" w:rsidR="008A732E" w:rsidRPr="0058432E" w:rsidRDefault="008A732E" w:rsidP="00982118">
            <w:pPr>
              <w:rPr>
                <w:color w:val="000000" w:themeColor="text1"/>
              </w:rPr>
            </w:pPr>
            <w:r w:rsidRPr="0058432E">
              <w:rPr>
                <w:color w:val="000000" w:themeColor="text1"/>
              </w:rPr>
              <w:t>&lt; 0,001 </w:t>
            </w:r>
          </w:p>
        </w:tc>
      </w:tr>
      <w:tr w:rsidR="008A732E" w:rsidRPr="0058432E" w14:paraId="4C1800BD" w14:textId="77777777" w:rsidTr="002510E7">
        <w:tc>
          <w:tcPr>
            <w:tcW w:w="9303" w:type="dxa"/>
            <w:gridSpan w:val="7"/>
            <w:tcBorders>
              <w:top w:val="single" w:sz="4" w:space="0" w:color="auto"/>
              <w:left w:val="nil"/>
              <w:bottom w:val="nil"/>
              <w:right w:val="nil"/>
            </w:tcBorders>
            <w:hideMark/>
          </w:tcPr>
          <w:p w14:paraId="4E3E6E3D" w14:textId="77777777" w:rsidR="008A732E" w:rsidRPr="0058432E" w:rsidRDefault="008A732E" w:rsidP="00982118">
            <w:pPr>
              <w:rPr>
                <w:b/>
                <w:color w:val="000000" w:themeColor="text1"/>
              </w:rPr>
            </w:pPr>
            <w:r w:rsidRPr="0058432E">
              <w:rPr>
                <w:b/>
                <w:color w:val="000000" w:themeColor="text1"/>
              </w:rPr>
              <w:t>Délai de survenue de la rechute à ou après la semaine 2 dans l’étude UV II</w:t>
            </w:r>
          </w:p>
        </w:tc>
      </w:tr>
      <w:tr w:rsidR="008A732E" w:rsidRPr="0058432E" w14:paraId="0A89724A" w14:textId="77777777" w:rsidTr="002510E7">
        <w:tc>
          <w:tcPr>
            <w:tcW w:w="9303" w:type="dxa"/>
            <w:gridSpan w:val="7"/>
            <w:tcBorders>
              <w:top w:val="nil"/>
              <w:left w:val="nil"/>
              <w:bottom w:val="nil"/>
              <w:right w:val="nil"/>
            </w:tcBorders>
            <w:hideMark/>
          </w:tcPr>
          <w:p w14:paraId="4FE11FB0" w14:textId="77777777" w:rsidR="008A732E" w:rsidRPr="0058432E" w:rsidRDefault="008A732E" w:rsidP="00982118">
            <w:pPr>
              <w:rPr>
                <w:color w:val="000000" w:themeColor="text1"/>
              </w:rPr>
            </w:pPr>
            <w:r w:rsidRPr="0058432E">
              <w:rPr>
                <w:color w:val="000000" w:themeColor="text1"/>
              </w:rPr>
              <w:t>Analyse principale (ITT)</w:t>
            </w:r>
          </w:p>
        </w:tc>
      </w:tr>
      <w:tr w:rsidR="008A732E" w:rsidRPr="0058432E" w14:paraId="372B79E2" w14:textId="77777777" w:rsidTr="002510E7">
        <w:tc>
          <w:tcPr>
            <w:tcW w:w="2178" w:type="dxa"/>
            <w:tcBorders>
              <w:top w:val="nil"/>
              <w:left w:val="nil"/>
              <w:bottom w:val="nil"/>
              <w:right w:val="nil"/>
            </w:tcBorders>
            <w:hideMark/>
          </w:tcPr>
          <w:p w14:paraId="55F24212" w14:textId="77777777" w:rsidR="008A732E" w:rsidRPr="0058432E" w:rsidRDefault="008A732E" w:rsidP="00982118">
            <w:pPr>
              <w:rPr>
                <w:color w:val="000000" w:themeColor="text1"/>
              </w:rPr>
            </w:pPr>
            <w:r w:rsidRPr="0058432E">
              <w:rPr>
                <w:color w:val="000000" w:themeColor="text1"/>
              </w:rPr>
              <w:t>     Placebo</w:t>
            </w:r>
          </w:p>
        </w:tc>
        <w:tc>
          <w:tcPr>
            <w:tcW w:w="720" w:type="dxa"/>
            <w:tcBorders>
              <w:top w:val="nil"/>
              <w:left w:val="nil"/>
              <w:bottom w:val="nil"/>
              <w:right w:val="nil"/>
            </w:tcBorders>
            <w:hideMark/>
          </w:tcPr>
          <w:p w14:paraId="49DD876D" w14:textId="77777777" w:rsidR="008A732E" w:rsidRPr="0058432E" w:rsidRDefault="008A732E" w:rsidP="00982118">
            <w:pPr>
              <w:rPr>
                <w:color w:val="000000" w:themeColor="text1"/>
              </w:rPr>
            </w:pPr>
            <w:r w:rsidRPr="0058432E">
              <w:rPr>
                <w:color w:val="000000" w:themeColor="text1"/>
              </w:rPr>
              <w:t>111 </w:t>
            </w:r>
          </w:p>
        </w:tc>
        <w:tc>
          <w:tcPr>
            <w:tcW w:w="1281" w:type="dxa"/>
            <w:tcBorders>
              <w:top w:val="nil"/>
              <w:left w:val="nil"/>
              <w:bottom w:val="nil"/>
              <w:right w:val="nil"/>
            </w:tcBorders>
            <w:hideMark/>
          </w:tcPr>
          <w:p w14:paraId="52A14719" w14:textId="77777777" w:rsidR="008A732E" w:rsidRPr="0058432E" w:rsidRDefault="008A732E" w:rsidP="00982118">
            <w:pPr>
              <w:rPr>
                <w:color w:val="000000" w:themeColor="text1"/>
              </w:rPr>
            </w:pPr>
            <w:r w:rsidRPr="0058432E">
              <w:rPr>
                <w:color w:val="000000" w:themeColor="text1"/>
              </w:rPr>
              <w:t>61 (55,0)</w:t>
            </w:r>
          </w:p>
        </w:tc>
        <w:tc>
          <w:tcPr>
            <w:tcW w:w="1281" w:type="dxa"/>
            <w:tcBorders>
              <w:top w:val="nil"/>
              <w:left w:val="nil"/>
              <w:bottom w:val="nil"/>
              <w:right w:val="nil"/>
            </w:tcBorders>
            <w:hideMark/>
          </w:tcPr>
          <w:p w14:paraId="10317682" w14:textId="77777777" w:rsidR="008A732E" w:rsidRPr="0058432E" w:rsidRDefault="008A732E" w:rsidP="00982118">
            <w:pPr>
              <w:rPr>
                <w:color w:val="000000" w:themeColor="text1"/>
              </w:rPr>
            </w:pPr>
            <w:r w:rsidRPr="0058432E">
              <w:rPr>
                <w:color w:val="000000" w:themeColor="text1"/>
              </w:rPr>
              <w:t>8,3 </w:t>
            </w:r>
          </w:p>
        </w:tc>
        <w:tc>
          <w:tcPr>
            <w:tcW w:w="1281" w:type="dxa"/>
            <w:tcBorders>
              <w:top w:val="nil"/>
              <w:left w:val="nil"/>
              <w:bottom w:val="nil"/>
              <w:right w:val="nil"/>
            </w:tcBorders>
            <w:hideMark/>
          </w:tcPr>
          <w:p w14:paraId="549C0655"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00ABD20F"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5AA6417F" w14:textId="77777777" w:rsidR="008A732E" w:rsidRPr="0058432E" w:rsidRDefault="008A732E" w:rsidP="00982118">
            <w:pPr>
              <w:rPr>
                <w:color w:val="000000" w:themeColor="text1"/>
              </w:rPr>
            </w:pPr>
            <w:r w:rsidRPr="0058432E">
              <w:rPr>
                <w:color w:val="000000" w:themeColor="text1"/>
              </w:rPr>
              <w:noBreakHyphen/>
            </w:r>
            <w:r w:rsidRPr="0058432E">
              <w:rPr>
                <w:color w:val="000000" w:themeColor="text1"/>
              </w:rPr>
              <w:noBreakHyphen/>
            </w:r>
          </w:p>
        </w:tc>
      </w:tr>
      <w:tr w:rsidR="008A732E" w:rsidRPr="0058432E" w14:paraId="2223DEA3" w14:textId="77777777" w:rsidTr="007F42F7">
        <w:tc>
          <w:tcPr>
            <w:tcW w:w="2178" w:type="dxa"/>
            <w:tcBorders>
              <w:top w:val="nil"/>
              <w:left w:val="nil"/>
              <w:bottom w:val="single" w:sz="4" w:space="0" w:color="auto"/>
              <w:right w:val="nil"/>
            </w:tcBorders>
            <w:hideMark/>
          </w:tcPr>
          <w:p w14:paraId="19EFA2C1" w14:textId="77777777" w:rsidR="008A732E" w:rsidRPr="0058432E" w:rsidRDefault="008A732E" w:rsidP="00982118">
            <w:pPr>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19437CD0" w14:textId="77777777" w:rsidR="008A732E" w:rsidRPr="0058432E" w:rsidRDefault="008A732E" w:rsidP="00982118">
            <w:pPr>
              <w:rPr>
                <w:color w:val="000000" w:themeColor="text1"/>
              </w:rPr>
            </w:pPr>
            <w:r w:rsidRPr="0058432E">
              <w:rPr>
                <w:color w:val="000000" w:themeColor="text1"/>
              </w:rPr>
              <w:t>115 </w:t>
            </w:r>
          </w:p>
        </w:tc>
        <w:tc>
          <w:tcPr>
            <w:tcW w:w="1281" w:type="dxa"/>
            <w:tcBorders>
              <w:top w:val="nil"/>
              <w:left w:val="nil"/>
              <w:bottom w:val="single" w:sz="4" w:space="0" w:color="auto"/>
              <w:right w:val="nil"/>
            </w:tcBorders>
            <w:hideMark/>
          </w:tcPr>
          <w:p w14:paraId="4D1801F7" w14:textId="77777777" w:rsidR="008A732E" w:rsidRPr="0058432E" w:rsidRDefault="008A732E" w:rsidP="00982118">
            <w:pPr>
              <w:rPr>
                <w:color w:val="000000" w:themeColor="text1"/>
              </w:rPr>
            </w:pPr>
            <w:r w:rsidRPr="0058432E">
              <w:rPr>
                <w:color w:val="000000" w:themeColor="text1"/>
              </w:rPr>
              <w:t>45 (39,1)</w:t>
            </w:r>
          </w:p>
        </w:tc>
        <w:tc>
          <w:tcPr>
            <w:tcW w:w="1281" w:type="dxa"/>
            <w:tcBorders>
              <w:top w:val="nil"/>
              <w:left w:val="nil"/>
              <w:bottom w:val="single" w:sz="4" w:space="0" w:color="auto"/>
              <w:right w:val="nil"/>
            </w:tcBorders>
            <w:hideMark/>
          </w:tcPr>
          <w:p w14:paraId="2D1048BB" w14:textId="77777777" w:rsidR="008A732E" w:rsidRPr="0058432E" w:rsidRDefault="008A732E" w:rsidP="00982118">
            <w:pPr>
              <w:rPr>
                <w:color w:val="000000" w:themeColor="text1"/>
              </w:rPr>
            </w:pPr>
            <w:r w:rsidRPr="0058432E">
              <w:rPr>
                <w:color w:val="000000" w:themeColor="text1"/>
              </w:rPr>
              <w:t>NE</w:t>
            </w:r>
            <w:r w:rsidRPr="0058432E">
              <w:rPr>
                <w:color w:val="000000" w:themeColor="text1"/>
                <w:vertAlign w:val="superscript"/>
              </w:rPr>
              <w:t>c</w:t>
            </w:r>
          </w:p>
        </w:tc>
        <w:tc>
          <w:tcPr>
            <w:tcW w:w="1281" w:type="dxa"/>
            <w:tcBorders>
              <w:top w:val="nil"/>
              <w:left w:val="nil"/>
              <w:bottom w:val="single" w:sz="4" w:space="0" w:color="auto"/>
              <w:right w:val="nil"/>
            </w:tcBorders>
            <w:hideMark/>
          </w:tcPr>
          <w:p w14:paraId="64C30C44" w14:textId="77777777" w:rsidR="008A732E" w:rsidRPr="0058432E" w:rsidRDefault="008A732E" w:rsidP="00982118">
            <w:pPr>
              <w:rPr>
                <w:color w:val="000000" w:themeColor="text1"/>
              </w:rPr>
            </w:pPr>
            <w:r w:rsidRPr="0058432E">
              <w:rPr>
                <w:color w:val="000000" w:themeColor="text1"/>
              </w:rPr>
              <w:t>0,57</w:t>
            </w:r>
          </w:p>
        </w:tc>
        <w:tc>
          <w:tcPr>
            <w:tcW w:w="1281" w:type="dxa"/>
            <w:tcBorders>
              <w:top w:val="nil"/>
              <w:left w:val="nil"/>
              <w:bottom w:val="single" w:sz="4" w:space="0" w:color="auto"/>
              <w:right w:val="nil"/>
            </w:tcBorders>
            <w:hideMark/>
          </w:tcPr>
          <w:p w14:paraId="29BA80D8" w14:textId="77777777" w:rsidR="008A732E" w:rsidRPr="0058432E" w:rsidRDefault="008A732E" w:rsidP="00982118">
            <w:pPr>
              <w:rPr>
                <w:color w:val="000000" w:themeColor="text1"/>
              </w:rPr>
            </w:pPr>
            <w:r w:rsidRPr="0058432E">
              <w:rPr>
                <w:color w:val="000000" w:themeColor="text1"/>
              </w:rPr>
              <w:t>0,39 ; 0,84</w:t>
            </w:r>
          </w:p>
        </w:tc>
        <w:tc>
          <w:tcPr>
            <w:tcW w:w="1281" w:type="dxa"/>
            <w:tcBorders>
              <w:top w:val="nil"/>
              <w:left w:val="nil"/>
              <w:bottom w:val="single" w:sz="4" w:space="0" w:color="auto"/>
              <w:right w:val="nil"/>
            </w:tcBorders>
            <w:hideMark/>
          </w:tcPr>
          <w:p w14:paraId="72EDA6C6" w14:textId="77777777" w:rsidR="008A732E" w:rsidRPr="0058432E" w:rsidRDefault="008A732E" w:rsidP="00982118">
            <w:pPr>
              <w:rPr>
                <w:color w:val="000000" w:themeColor="text1"/>
              </w:rPr>
            </w:pPr>
            <w:r w:rsidRPr="0058432E">
              <w:rPr>
                <w:color w:val="000000" w:themeColor="text1"/>
              </w:rPr>
              <w:t>0,004 </w:t>
            </w:r>
          </w:p>
        </w:tc>
      </w:tr>
      <w:tr w:rsidR="007F42F7" w:rsidRPr="0058432E" w14:paraId="3EDD93D1" w14:textId="77777777" w:rsidTr="007F42F7">
        <w:tc>
          <w:tcPr>
            <w:tcW w:w="9303" w:type="dxa"/>
            <w:gridSpan w:val="7"/>
            <w:tcBorders>
              <w:top w:val="single" w:sz="4" w:space="0" w:color="auto"/>
              <w:left w:val="nil"/>
              <w:bottom w:val="nil"/>
              <w:right w:val="nil"/>
            </w:tcBorders>
          </w:tcPr>
          <w:p w14:paraId="5520CB7C" w14:textId="77777777" w:rsidR="007F42F7" w:rsidRPr="0058432E" w:rsidRDefault="007F42F7" w:rsidP="007F42F7">
            <w:pPr>
              <w:rPr>
                <w:color w:val="000000" w:themeColor="text1"/>
                <w:sz w:val="20"/>
              </w:rPr>
            </w:pPr>
            <w:r w:rsidRPr="0058432E">
              <w:rPr>
                <w:color w:val="000000" w:themeColor="text1"/>
                <w:sz w:val="20"/>
              </w:rPr>
              <w:t xml:space="preserve">Remarque : la rechute à ou après la semaine 6 (étude UV I) ou la semaine 2 (étude UV II) était comptabilisée comme un événement. Les sorties d’étude pour d’autres raisons qu’une rechute étaient censurées au moment de la sortie d’étude. </w:t>
            </w:r>
          </w:p>
          <w:p w14:paraId="662B3DB2" w14:textId="77777777" w:rsidR="007F42F7" w:rsidRPr="0058432E" w:rsidRDefault="007F42F7" w:rsidP="007F42F7">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 xml:space="preserve">HR pour l’adalimumab </w:t>
            </w:r>
            <w:r w:rsidRPr="0058432E">
              <w:rPr>
                <w:i/>
                <w:iCs/>
                <w:color w:val="000000" w:themeColor="text1"/>
                <w:sz w:val="20"/>
              </w:rPr>
              <w:t>versus</w:t>
            </w:r>
            <w:r w:rsidRPr="0058432E">
              <w:rPr>
                <w:color w:val="000000" w:themeColor="text1"/>
                <w:sz w:val="20"/>
              </w:rPr>
              <w:t xml:space="preserve"> placebo par une analyse de régression à risque proportionnel ajusté sur le traitement. </w:t>
            </w:r>
          </w:p>
          <w:p w14:paraId="23EAB3DA" w14:textId="77777777" w:rsidR="007F42F7" w:rsidRPr="0058432E" w:rsidRDefault="007F42F7" w:rsidP="007F42F7">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bilatérale selon le test de log-rank. </w:t>
            </w:r>
          </w:p>
          <w:p w14:paraId="7E027208" w14:textId="77777777" w:rsidR="007F42F7" w:rsidRPr="0058432E" w:rsidRDefault="007F42F7" w:rsidP="007F42F7">
            <w:pPr>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ab/>
              <w:t xml:space="preserve">NE = non estimable. Moins de la moitié des patients à risque ont présenté un événement. </w:t>
            </w:r>
          </w:p>
        </w:tc>
      </w:tr>
    </w:tbl>
    <w:p w14:paraId="557C9CF4" w14:textId="77777777" w:rsidR="008A732E" w:rsidRPr="0058432E" w:rsidRDefault="008A732E" w:rsidP="00982118">
      <w:pPr>
        <w:rPr>
          <w:color w:val="000000" w:themeColor="text1"/>
        </w:rPr>
      </w:pPr>
    </w:p>
    <w:p w14:paraId="289E294A" w14:textId="77777777" w:rsidR="00A84E59" w:rsidRPr="0058432E" w:rsidRDefault="00A84E59" w:rsidP="00A53E17">
      <w:pPr>
        <w:keepNext/>
        <w:rPr>
          <w:color w:val="000000" w:themeColor="text1"/>
        </w:rPr>
      </w:pPr>
      <w:r w:rsidRPr="0058432E">
        <w:rPr>
          <w:b/>
          <w:color w:val="000000" w:themeColor="text1"/>
        </w:rPr>
        <w:t xml:space="preserve">Figure </w:t>
      </w:r>
      <w:r w:rsidR="008F4E17" w:rsidRPr="0058432E">
        <w:rPr>
          <w:b/>
          <w:color w:val="000000" w:themeColor="text1"/>
        </w:rPr>
        <w:t>1</w:t>
      </w:r>
      <w:r w:rsidR="004557C0" w:rsidRPr="0058432E">
        <w:rPr>
          <w:b/>
          <w:color w:val="000000" w:themeColor="text1"/>
        </w:rPr>
        <w:t>.</w:t>
      </w:r>
      <w:r w:rsidRPr="0058432E">
        <w:rPr>
          <w:b/>
          <w:color w:val="000000" w:themeColor="text1"/>
        </w:rPr>
        <w:t xml:space="preserve"> Courbes de Kaplan-Meier illustrant le délai de survenue de la rechute à ou après la semaine 6 (étude UV I) ou la semaine 2 (étude UV II)</w:t>
      </w:r>
    </w:p>
    <w:p w14:paraId="56A2BDE5" w14:textId="77777777" w:rsidR="008A732E" w:rsidRPr="0058432E" w:rsidRDefault="008A732E" w:rsidP="00982118">
      <w:pPr>
        <w:keepNext/>
        <w:rPr>
          <w:color w:val="000000" w:themeColor="text1"/>
        </w:rPr>
      </w:pPr>
    </w:p>
    <w:p w14:paraId="3C5BD501" w14:textId="77777777" w:rsidR="00C37077" w:rsidRPr="0058432E" w:rsidRDefault="00C37077" w:rsidP="00C37077">
      <w:pPr>
        <w:keepNext/>
        <w:jc w:val="center"/>
        <w:rPr>
          <w:color w:val="000000" w:themeColor="text1"/>
        </w:rPr>
      </w:pPr>
    </w:p>
    <w:p w14:paraId="2A0766E6" w14:textId="061658F9" w:rsidR="00C37077" w:rsidRPr="0058432E" w:rsidRDefault="009D65D0" w:rsidP="00C37077">
      <w:pPr>
        <w:keepNext/>
        <w:rPr>
          <w:color w:val="000000" w:themeColor="text1"/>
        </w:rPr>
      </w:pPr>
      <w:r w:rsidRPr="0058432E">
        <w:rPr>
          <w:noProof/>
          <w:color w:val="000000" w:themeColor="text1"/>
        </w:rPr>
        <mc:AlternateContent>
          <mc:Choice Requires="wps">
            <w:drawing>
              <wp:anchor distT="0" distB="0" distL="114300" distR="114300" simplePos="0" relativeHeight="251618816" behindDoc="0" locked="0" layoutInCell="1" allowOverlap="1" wp14:anchorId="2F404A67" wp14:editId="11BFCC89">
                <wp:simplePos x="0" y="0"/>
                <wp:positionH relativeFrom="column">
                  <wp:posOffset>-95885</wp:posOffset>
                </wp:positionH>
                <wp:positionV relativeFrom="paragraph">
                  <wp:posOffset>82550</wp:posOffset>
                </wp:positionV>
                <wp:extent cx="369570" cy="2330450"/>
                <wp:effectExtent l="0" t="0" r="0" b="0"/>
                <wp:wrapNone/>
                <wp:docPr id="127" name="Zone de text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330450"/>
                        </a:xfrm>
                        <a:prstGeom prst="rect">
                          <a:avLst/>
                        </a:prstGeom>
                        <a:solidFill>
                          <a:srgbClr val="FFFFFF"/>
                        </a:solidFill>
                        <a:ln>
                          <a:noFill/>
                        </a:ln>
                      </wps:spPr>
                      <wps:txbx>
                        <w:txbxContent>
                          <w:p w14:paraId="6BD9E2B4" w14:textId="77777777" w:rsidR="009A26D2" w:rsidRPr="00DD4287" w:rsidRDefault="009A26D2" w:rsidP="00C37077">
                            <w:pPr>
                              <w:jc w:val="center"/>
                              <w:rPr>
                                <w:b/>
                                <w:bCs/>
                                <w:sz w:val="18"/>
                                <w:szCs w:val="18"/>
                              </w:rPr>
                            </w:pPr>
                            <w:r w:rsidRPr="00D87436">
                              <w:rPr>
                                <w:b/>
                                <w:sz w:val="18"/>
                                <w:szCs w:val="18"/>
                              </w:rPr>
                              <w:t>TAUX DE RECHUTE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04A67" id="Zone de texte 55" o:spid="_x0000_s1038" type="#_x0000_t202" style="position:absolute;margin-left:-7.55pt;margin-top:6.5pt;width:29.1pt;height:183.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" stroked="f">
                <v:textbox style="layout-flow:vertical;mso-layout-flow-alt:bottom-to-top">
                  <w:txbxContent>
                    <w:p w14:paraId="6BD9E2B4" w14:textId="77777777" w:rsidR="009A26D2" w:rsidRPr="00DD4287" w:rsidRDefault="009A26D2" w:rsidP="00C37077">
                      <w:pPr>
                        <w:jc w:val="center"/>
                        <w:rPr>
                          <w:b/>
                          <w:bCs/>
                          <w:sz w:val="18"/>
                          <w:szCs w:val="18"/>
                        </w:rPr>
                      </w:pPr>
                      <w:r w:rsidRPr="00D87436">
                        <w:rPr>
                          <w:b/>
                          <w:sz w:val="18"/>
                          <w:szCs w:val="18"/>
                        </w:rPr>
                        <w:t>TAUX DE RECHUTE (%)</w:t>
                      </w:r>
                    </w:p>
                  </w:txbxContent>
                </v:textbox>
              </v:shape>
            </w:pict>
          </mc:Fallback>
        </mc:AlternateContent>
      </w:r>
    </w:p>
    <w:p w14:paraId="79034FBB" w14:textId="2F4BD3C1" w:rsidR="00C37077" w:rsidRPr="0058432E" w:rsidRDefault="009D65D0" w:rsidP="00C37077">
      <w:pPr>
        <w:rPr>
          <w:color w:val="000000" w:themeColor="text1"/>
        </w:rPr>
      </w:pPr>
      <w:r w:rsidRPr="0058432E">
        <w:rPr>
          <w:noProof/>
          <w:color w:val="000000" w:themeColor="text1"/>
        </w:rPr>
        <mc:AlternateContent>
          <mc:Choice Requires="wps">
            <w:drawing>
              <wp:anchor distT="0" distB="0" distL="114300" distR="114300" simplePos="0" relativeHeight="251621888" behindDoc="0" locked="0" layoutInCell="1" allowOverlap="1" wp14:anchorId="5073226A" wp14:editId="2AD10223">
                <wp:simplePos x="0" y="0"/>
                <wp:positionH relativeFrom="column">
                  <wp:posOffset>3165475</wp:posOffset>
                </wp:positionH>
                <wp:positionV relativeFrom="paragraph">
                  <wp:posOffset>2550160</wp:posOffset>
                </wp:positionV>
                <wp:extent cx="713105" cy="201930"/>
                <wp:effectExtent l="0" t="0" r="0" b="0"/>
                <wp:wrapNone/>
                <wp:docPr id="125" name="Zone de text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0BD40AB3" w14:textId="77777777" w:rsidR="009A26D2" w:rsidRPr="007C4B2C" w:rsidRDefault="009A26D2" w:rsidP="00C3707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3226A" id="Zone de texte 58" o:spid="_x0000_s1039" type="#_x0000_t202" style="position:absolute;margin-left:249.25pt;margin-top:200.8pt;width:56.15pt;height:15.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iMS9wEAANEDAAAOAAAAZHJzL2Uyb0RvYy54bWysU8Fu2zAMvQ/YPwi6L46Td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" stroked="f">
                <v:textbox>
                  <w:txbxContent>
                    <w:p w14:paraId="0BD40AB3" w14:textId="77777777" w:rsidR="009A26D2" w:rsidRPr="007C4B2C" w:rsidRDefault="009A26D2" w:rsidP="00C3707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2912" behindDoc="0" locked="0" layoutInCell="1" allowOverlap="1" wp14:anchorId="6BFC23E8" wp14:editId="53E5CC47">
                <wp:simplePos x="0" y="0"/>
                <wp:positionH relativeFrom="column">
                  <wp:posOffset>4540250</wp:posOffset>
                </wp:positionH>
                <wp:positionV relativeFrom="paragraph">
                  <wp:posOffset>2522855</wp:posOffset>
                </wp:positionV>
                <wp:extent cx="840740" cy="212725"/>
                <wp:effectExtent l="0" t="0" r="0" b="0"/>
                <wp:wrapNone/>
                <wp:docPr id="123"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245FAA75" w14:textId="77777777" w:rsidR="009A26D2" w:rsidRPr="007C4B2C" w:rsidRDefault="009A26D2" w:rsidP="00C3707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C23E8" id="Zone de texte 56" o:spid="_x0000_s1040" type="#_x0000_t202" style="position:absolute;margin-left:357.5pt;margin-top:198.65pt;width:66.2pt;height:16.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" stroked="f">
                <v:textbox>
                  <w:txbxContent>
                    <w:p w14:paraId="245FAA75" w14:textId="77777777" w:rsidR="009A26D2" w:rsidRPr="007C4B2C" w:rsidRDefault="009A26D2" w:rsidP="00C3707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0864" behindDoc="0" locked="0" layoutInCell="1" allowOverlap="1" wp14:anchorId="42FA6E99" wp14:editId="15497EDE">
                <wp:simplePos x="0" y="0"/>
                <wp:positionH relativeFrom="column">
                  <wp:posOffset>1694815</wp:posOffset>
                </wp:positionH>
                <wp:positionV relativeFrom="paragraph">
                  <wp:posOffset>2547620</wp:posOffset>
                </wp:positionV>
                <wp:extent cx="713105" cy="201930"/>
                <wp:effectExtent l="0" t="0" r="0" b="0"/>
                <wp:wrapNone/>
                <wp:docPr id="121"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77A836B0" w14:textId="77777777" w:rsidR="009A26D2" w:rsidRPr="007C4B2C" w:rsidRDefault="009A26D2" w:rsidP="00C37077">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A6E99" id="Zone de texte 57" o:spid="_x0000_s1041" type="#_x0000_t202" style="position:absolute;margin-left:133.45pt;margin-top:200.6pt;width:56.15pt;height:15.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48V9wEAANEDAAAOAAAAZHJzL2Uyb0RvYy54bWysU8Fu2zAMvQ/YPwi6L47TZ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" stroked="f">
                <v:textbox>
                  <w:txbxContent>
                    <w:p w14:paraId="77A836B0" w14:textId="77777777" w:rsidR="009A26D2" w:rsidRPr="007C4B2C" w:rsidRDefault="009A26D2" w:rsidP="00C37077">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19840" behindDoc="0" locked="0" layoutInCell="1" allowOverlap="1" wp14:anchorId="1C71AC0A" wp14:editId="7EF7724A">
                <wp:simplePos x="0" y="0"/>
                <wp:positionH relativeFrom="column">
                  <wp:posOffset>2434590</wp:posOffset>
                </wp:positionH>
                <wp:positionV relativeFrom="paragraph">
                  <wp:posOffset>2411095</wp:posOffset>
                </wp:positionV>
                <wp:extent cx="1181100" cy="196215"/>
                <wp:effectExtent l="0" t="0" r="0" b="0"/>
                <wp:wrapNone/>
                <wp:docPr id="119" name="Zone de text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3DB01B7A" w14:textId="77777777" w:rsidR="009A26D2" w:rsidRPr="007C4B2C" w:rsidRDefault="009A26D2" w:rsidP="00C3707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1AC0A" id="Zone de texte 59" o:spid="_x0000_s1042" type="#_x0000_t202" style="position:absolute;margin-left:191.7pt;margin-top:189.85pt;width:93pt;height:15.4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" stroked="f">
                <v:textbox>
                  <w:txbxContent>
                    <w:p w14:paraId="3DB01B7A" w14:textId="77777777" w:rsidR="009A26D2" w:rsidRPr="007C4B2C" w:rsidRDefault="009A26D2" w:rsidP="00C3707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23936" behindDoc="0" locked="0" layoutInCell="1" allowOverlap="1" wp14:anchorId="4FE1C7E9" wp14:editId="68427EF4">
                <wp:simplePos x="0" y="0"/>
                <wp:positionH relativeFrom="column">
                  <wp:posOffset>274320</wp:posOffset>
                </wp:positionH>
                <wp:positionV relativeFrom="paragraph">
                  <wp:posOffset>2550160</wp:posOffset>
                </wp:positionV>
                <wp:extent cx="713105" cy="201930"/>
                <wp:effectExtent l="0" t="0" r="0" b="0"/>
                <wp:wrapNone/>
                <wp:docPr id="115"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2D9C9851" w14:textId="77777777" w:rsidR="009A26D2" w:rsidRPr="007C4B2C" w:rsidRDefault="009A26D2" w:rsidP="00C37077">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1C7E9" id="Zone de texte 60" o:spid="_x0000_s1043" type="#_x0000_t202" style="position:absolute;margin-left:21.6pt;margin-top:200.8pt;width:56.15pt;height:15.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BQX9wEAANEDAAAOAAAAZHJzL2Uyb0RvYy54bWysU8Fu2zAMvQ/YPwi6L47TdFm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" stroked="f">
                <v:textbox>
                  <w:txbxContent>
                    <w:p w14:paraId="2D9C9851" w14:textId="77777777" w:rsidR="009A26D2" w:rsidRPr="007C4B2C" w:rsidRDefault="009A26D2" w:rsidP="00C37077">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w:drawing>
          <wp:inline distT="0" distB="0" distL="0" distR="0" wp14:anchorId="3CA1938F" wp14:editId="055F2276">
            <wp:extent cx="5767705" cy="2750185"/>
            <wp:effectExtent l="0" t="0" r="0" b="0"/>
            <wp:docPr id="8"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705" cy="2750185"/>
                    </a:xfrm>
                    <a:prstGeom prst="rect">
                      <a:avLst/>
                    </a:prstGeom>
                    <a:noFill/>
                    <a:ln>
                      <a:noFill/>
                    </a:ln>
                  </pic:spPr>
                </pic:pic>
              </a:graphicData>
            </a:graphic>
          </wp:inline>
        </w:drawing>
      </w:r>
    </w:p>
    <w:p w14:paraId="0F16B265" w14:textId="77777777" w:rsidR="00C37077" w:rsidRPr="0058432E" w:rsidRDefault="00C37077" w:rsidP="00C37077">
      <w:pPr>
        <w:rPr>
          <w:color w:val="000000" w:themeColor="text1"/>
        </w:rPr>
      </w:pPr>
    </w:p>
    <w:p w14:paraId="74C69119" w14:textId="7B18ECDE" w:rsidR="00A84E59" w:rsidRPr="0058432E" w:rsidRDefault="009D65D0" w:rsidP="00C37077">
      <w:pPr>
        <w:rPr>
          <w:color w:val="000000" w:themeColor="text1"/>
        </w:rPr>
      </w:pPr>
      <w:r w:rsidRPr="0058432E">
        <w:rPr>
          <w:noProof/>
          <w:color w:val="000000" w:themeColor="text1"/>
        </w:rPr>
        <w:lastRenderedPageBreak/>
        <mc:AlternateContent>
          <mc:Choice Requires="wps">
            <w:drawing>
              <wp:anchor distT="0" distB="0" distL="114300" distR="114300" simplePos="0" relativeHeight="251630080" behindDoc="0" locked="0" layoutInCell="1" allowOverlap="1" wp14:anchorId="23BF0C0A" wp14:editId="3F2B4C3F">
                <wp:simplePos x="0" y="0"/>
                <wp:positionH relativeFrom="column">
                  <wp:posOffset>4612640</wp:posOffset>
                </wp:positionH>
                <wp:positionV relativeFrom="paragraph">
                  <wp:posOffset>2517775</wp:posOffset>
                </wp:positionV>
                <wp:extent cx="814705" cy="204470"/>
                <wp:effectExtent l="0" t="0" r="0" b="0"/>
                <wp:wrapNone/>
                <wp:docPr id="113" name="Zone de text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7AD63B0A" w14:textId="77777777" w:rsidR="009A26D2" w:rsidRPr="007C4B2C" w:rsidRDefault="009A26D2" w:rsidP="00C3707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F0C0A" id="Zone de texte 61" o:spid="_x0000_s1044" type="#_x0000_t202" style="position:absolute;margin-left:363.2pt;margin-top:198.25pt;width:64.15pt;height:16.1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" stroked="f">
                <v:textbox>
                  <w:txbxContent>
                    <w:p w14:paraId="7AD63B0A" w14:textId="77777777" w:rsidR="009A26D2" w:rsidRPr="007C4B2C" w:rsidRDefault="009A26D2" w:rsidP="00C37077">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9056" behindDoc="0" locked="0" layoutInCell="1" allowOverlap="1" wp14:anchorId="733D9FAA" wp14:editId="27950C71">
                <wp:simplePos x="0" y="0"/>
                <wp:positionH relativeFrom="column">
                  <wp:posOffset>3226435</wp:posOffset>
                </wp:positionH>
                <wp:positionV relativeFrom="paragraph">
                  <wp:posOffset>2526030</wp:posOffset>
                </wp:positionV>
                <wp:extent cx="814705" cy="204470"/>
                <wp:effectExtent l="0" t="0" r="0" b="0"/>
                <wp:wrapNone/>
                <wp:docPr id="111"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3508F0C5" w14:textId="77777777" w:rsidR="009A26D2" w:rsidRPr="007C4B2C" w:rsidRDefault="009A26D2" w:rsidP="00C3707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D9FAA" id="Zone de texte 62" o:spid="_x0000_s1045" type="#_x0000_t202" style="position:absolute;margin-left:254.05pt;margin-top:198.9pt;width:64.15pt;height:16.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" stroked="f">
                <v:textbox>
                  <w:txbxContent>
                    <w:p w14:paraId="3508F0C5" w14:textId="77777777" w:rsidR="009A26D2" w:rsidRPr="007C4B2C" w:rsidRDefault="009A26D2" w:rsidP="00C37077">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5984" behindDoc="0" locked="0" layoutInCell="1" allowOverlap="1" wp14:anchorId="1E233A44" wp14:editId="193A09B0">
                <wp:simplePos x="0" y="0"/>
                <wp:positionH relativeFrom="column">
                  <wp:posOffset>373380</wp:posOffset>
                </wp:positionH>
                <wp:positionV relativeFrom="paragraph">
                  <wp:posOffset>2534285</wp:posOffset>
                </wp:positionV>
                <wp:extent cx="814705" cy="204470"/>
                <wp:effectExtent l="0" t="0" r="0" b="0"/>
                <wp:wrapNone/>
                <wp:docPr id="99"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0DF81B2D" w14:textId="77777777" w:rsidR="009A26D2" w:rsidRPr="007C4B2C" w:rsidRDefault="009A26D2" w:rsidP="00C37077">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33A44" id="Zone de texte 63" o:spid="_x0000_s1046" type="#_x0000_t202" style="position:absolute;margin-left:29.4pt;margin-top:199.55pt;width:64.15pt;height:16.1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x1Y9Q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" stroked="f">
                <v:textbox>
                  <w:txbxContent>
                    <w:p w14:paraId="0DF81B2D" w14:textId="77777777" w:rsidR="009A26D2" w:rsidRPr="007C4B2C" w:rsidRDefault="009A26D2" w:rsidP="00C37077">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8032" behindDoc="0" locked="0" layoutInCell="1" allowOverlap="1" wp14:anchorId="487EFFC5" wp14:editId="163BA820">
                <wp:simplePos x="0" y="0"/>
                <wp:positionH relativeFrom="column">
                  <wp:posOffset>1727200</wp:posOffset>
                </wp:positionH>
                <wp:positionV relativeFrom="paragraph">
                  <wp:posOffset>2542540</wp:posOffset>
                </wp:positionV>
                <wp:extent cx="814705" cy="204470"/>
                <wp:effectExtent l="0" t="0" r="0" b="0"/>
                <wp:wrapNone/>
                <wp:docPr id="96"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1DB30555" w14:textId="77777777" w:rsidR="009A26D2" w:rsidRPr="007C4B2C" w:rsidRDefault="009A26D2" w:rsidP="00C37077">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EFFC5" id="Zone de texte 64" o:spid="_x0000_s1047" type="#_x0000_t202" style="position:absolute;margin-left:136pt;margin-top:200.2pt;width:64.15pt;height:16.1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ei09Q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" stroked="f">
                <v:textbox>
                  <w:txbxContent>
                    <w:p w14:paraId="1DB30555" w14:textId="77777777" w:rsidR="009A26D2" w:rsidRPr="007C4B2C" w:rsidRDefault="009A26D2" w:rsidP="00C37077">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27008" behindDoc="0" locked="0" layoutInCell="1" allowOverlap="1" wp14:anchorId="4B2703D4" wp14:editId="087C8B25">
                <wp:simplePos x="0" y="0"/>
                <wp:positionH relativeFrom="column">
                  <wp:posOffset>2447925</wp:posOffset>
                </wp:positionH>
                <wp:positionV relativeFrom="paragraph">
                  <wp:posOffset>2378710</wp:posOffset>
                </wp:positionV>
                <wp:extent cx="1181100" cy="196215"/>
                <wp:effectExtent l="0" t="0" r="0" b="0"/>
                <wp:wrapNone/>
                <wp:docPr id="94"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76260FF5" w14:textId="77777777" w:rsidR="009A26D2" w:rsidRPr="007C4B2C" w:rsidRDefault="009A26D2" w:rsidP="00C3707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703D4" id="Zone de texte 65" o:spid="_x0000_s1048" type="#_x0000_t202" style="position:absolute;margin-left:192.75pt;margin-top:187.3pt;width:93pt;height:15.4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" stroked="f">
                <v:textbox>
                  <w:txbxContent>
                    <w:p w14:paraId="76260FF5" w14:textId="77777777" w:rsidR="009A26D2" w:rsidRPr="007C4B2C" w:rsidRDefault="009A26D2" w:rsidP="00C37077">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24960" behindDoc="0" locked="0" layoutInCell="1" allowOverlap="1" wp14:anchorId="32CABEFF" wp14:editId="1D093C89">
                <wp:simplePos x="0" y="0"/>
                <wp:positionH relativeFrom="column">
                  <wp:posOffset>67310</wp:posOffset>
                </wp:positionH>
                <wp:positionV relativeFrom="paragraph">
                  <wp:posOffset>81915</wp:posOffset>
                </wp:positionV>
                <wp:extent cx="306070" cy="2510155"/>
                <wp:effectExtent l="0" t="0" r="0" b="0"/>
                <wp:wrapNone/>
                <wp:docPr id="92" name="Zone de texte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68ED1FE6" w14:textId="77777777" w:rsidR="009A26D2" w:rsidRPr="00DD4287" w:rsidRDefault="009A26D2" w:rsidP="00C37077">
                            <w:pPr>
                              <w:jc w:val="center"/>
                              <w:rPr>
                                <w:b/>
                                <w:bCs/>
                                <w:sz w:val="18"/>
                                <w:szCs w:val="18"/>
                              </w:rPr>
                            </w:pPr>
                            <w:r w:rsidRPr="00D87436">
                              <w:rPr>
                                <w:b/>
                                <w:sz w:val="18"/>
                                <w:szCs w:val="18"/>
                              </w:rPr>
                              <w:t>TAUX DE RECHUTE</w:t>
                            </w:r>
                            <w:r w:rsidRPr="00DD4287" w:rsidDel="00DD4287">
                              <w:rPr>
                                <w:b/>
                                <w:bCs/>
                                <w:sz w:val="18"/>
                                <w:szCs w:val="18"/>
                              </w:rPr>
                              <w:t xml:space="preserve"> </w:t>
                            </w:r>
                            <w:r w:rsidRPr="00DD4287">
                              <w:rPr>
                                <w:b/>
                                <w:bCs/>
                                <w:sz w:val="18"/>
                                <w:szCs w:val="18"/>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ABEFF" id="Zone de texte 66" o:spid="_x0000_s1049" type="#_x0000_t202" style="position:absolute;margin-left:5.3pt;margin-top:6.45pt;width:24.1pt;height:197.6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" stroked="f">
                <v:textbox style="layout-flow:vertical;mso-layout-flow-alt:bottom-to-top">
                  <w:txbxContent>
                    <w:p w14:paraId="68ED1FE6" w14:textId="77777777" w:rsidR="009A26D2" w:rsidRPr="00DD4287" w:rsidRDefault="009A26D2" w:rsidP="00C37077">
                      <w:pPr>
                        <w:jc w:val="center"/>
                        <w:rPr>
                          <w:b/>
                          <w:bCs/>
                          <w:sz w:val="18"/>
                          <w:szCs w:val="18"/>
                        </w:rPr>
                      </w:pPr>
                      <w:r w:rsidRPr="00D87436">
                        <w:rPr>
                          <w:b/>
                          <w:sz w:val="18"/>
                          <w:szCs w:val="18"/>
                        </w:rPr>
                        <w:t>TAUX DE RECHUTE</w:t>
                      </w:r>
                      <w:r w:rsidRPr="00DD4287" w:rsidDel="00DD4287">
                        <w:rPr>
                          <w:b/>
                          <w:bCs/>
                          <w:sz w:val="18"/>
                          <w:szCs w:val="18"/>
                        </w:rPr>
                        <w:t xml:space="preserve"> </w:t>
                      </w:r>
                      <w:r w:rsidRPr="00DD4287">
                        <w:rPr>
                          <w:b/>
                          <w:bCs/>
                          <w:sz w:val="18"/>
                          <w:szCs w:val="18"/>
                        </w:rPr>
                        <w:t>(%)</w:t>
                      </w:r>
                    </w:p>
                  </w:txbxContent>
                </v:textbox>
              </v:shape>
            </w:pict>
          </mc:Fallback>
        </mc:AlternateContent>
      </w:r>
      <w:r w:rsidRPr="0058432E">
        <w:rPr>
          <w:noProof/>
          <w:color w:val="000000" w:themeColor="text1"/>
        </w:rPr>
        <w:drawing>
          <wp:inline distT="0" distB="0" distL="0" distR="0" wp14:anchorId="1DA6B070" wp14:editId="6F3C1A87">
            <wp:extent cx="5767705" cy="2715260"/>
            <wp:effectExtent l="0" t="0" r="0" b="0"/>
            <wp:docPr id="9"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7705" cy="2715260"/>
                    </a:xfrm>
                    <a:prstGeom prst="rect">
                      <a:avLst/>
                    </a:prstGeom>
                    <a:noFill/>
                    <a:ln>
                      <a:noFill/>
                    </a:ln>
                  </pic:spPr>
                </pic:pic>
              </a:graphicData>
            </a:graphic>
          </wp:inline>
        </w:drawing>
      </w:r>
    </w:p>
    <w:p w14:paraId="00B96612" w14:textId="77777777" w:rsidR="00A84E59" w:rsidRPr="0058432E" w:rsidRDefault="00A84E59" w:rsidP="00982118">
      <w:pPr>
        <w:rPr>
          <w:color w:val="000000" w:themeColor="text1"/>
          <w:sz w:val="20"/>
        </w:rPr>
      </w:pPr>
      <w:r w:rsidRPr="0058432E">
        <w:rPr>
          <w:color w:val="000000" w:themeColor="text1"/>
          <w:sz w:val="20"/>
        </w:rPr>
        <w:t>Remarque : P# = Placebo (Nombre d’événements/Nombre de patients à risque) ; A# = Adalimumab (Nombre d’événements/Nombre de patients à risque)</w:t>
      </w:r>
    </w:p>
    <w:p w14:paraId="638D68EC" w14:textId="77777777" w:rsidR="00A84E59" w:rsidRPr="0058432E" w:rsidRDefault="00A84E59" w:rsidP="00982118">
      <w:pPr>
        <w:rPr>
          <w:color w:val="000000" w:themeColor="text1"/>
        </w:rPr>
      </w:pPr>
    </w:p>
    <w:p w14:paraId="42FF2244" w14:textId="77777777" w:rsidR="00A84E59" w:rsidRPr="0058432E" w:rsidRDefault="00C46587" w:rsidP="00982118">
      <w:pPr>
        <w:rPr>
          <w:color w:val="000000" w:themeColor="text1"/>
        </w:rPr>
      </w:pPr>
      <w:r w:rsidRPr="0058432E">
        <w:rPr>
          <w:color w:val="000000" w:themeColor="text1"/>
        </w:rPr>
        <w:t>Dans l’étude UV I, des différences statistiquement significatives en faveur de l’adalimumab versus placebo ont été observées pour chaque composante du critère de rechute. Dans l’étude UV II, des différences statistiquement significatives ont été observées</w:t>
      </w:r>
      <w:r w:rsidR="00DF7121" w:rsidRPr="0058432E">
        <w:rPr>
          <w:color w:val="000000" w:themeColor="text1"/>
        </w:rPr>
        <w:t xml:space="preserve"> seulement</w:t>
      </w:r>
      <w:r w:rsidRPr="0058432E">
        <w:rPr>
          <w:color w:val="000000" w:themeColor="text1"/>
        </w:rPr>
        <w:t xml:space="preserve"> pour l’acuité visuelle, toutes les autres composantes étaient cependant numériquement en faveur de l’adalimumab.</w:t>
      </w:r>
    </w:p>
    <w:p w14:paraId="50D26BA9" w14:textId="77777777" w:rsidR="00EA77A5" w:rsidRPr="0058432E" w:rsidRDefault="00EA77A5" w:rsidP="00982118">
      <w:pPr>
        <w:rPr>
          <w:color w:val="000000" w:themeColor="text1"/>
        </w:rPr>
      </w:pPr>
    </w:p>
    <w:p w14:paraId="33790DE2" w14:textId="77777777" w:rsidR="00C46587" w:rsidRPr="0058432E" w:rsidRDefault="00EA77A5" w:rsidP="00982118">
      <w:pPr>
        <w:rPr>
          <w:color w:val="000000" w:themeColor="text1"/>
        </w:rPr>
      </w:pPr>
      <w:r w:rsidRPr="0058432E">
        <w:rPr>
          <w:color w:val="000000" w:themeColor="text1"/>
        </w:rPr>
        <w:t>Sur les 4</w:t>
      </w:r>
      <w:r w:rsidR="001430BA" w:rsidRPr="0058432E">
        <w:rPr>
          <w:color w:val="000000" w:themeColor="text1"/>
        </w:rPr>
        <w:t>24</w:t>
      </w:r>
      <w:r w:rsidRPr="0058432E">
        <w:rPr>
          <w:color w:val="000000" w:themeColor="text1"/>
        </w:rPr>
        <w:t xml:space="preserve"> patients inclus dans l’extension à long-terme non contrôlée des études UV I et UV II, </w:t>
      </w:r>
      <w:r w:rsidR="001430BA" w:rsidRPr="0058432E">
        <w:rPr>
          <w:color w:val="000000" w:themeColor="text1"/>
        </w:rPr>
        <w:t>60</w:t>
      </w:r>
      <w:r w:rsidR="004F5825" w:rsidRPr="0058432E">
        <w:rPr>
          <w:color w:val="000000" w:themeColor="text1"/>
        </w:rPr>
        <w:t> </w:t>
      </w:r>
      <w:r w:rsidRPr="0058432E">
        <w:rPr>
          <w:color w:val="000000" w:themeColor="text1"/>
        </w:rPr>
        <w:t xml:space="preserve">patients ont été considérés inéligibles (par </w:t>
      </w:r>
      <w:r w:rsidR="00F13377" w:rsidRPr="0058432E">
        <w:rPr>
          <w:color w:val="000000" w:themeColor="text1"/>
        </w:rPr>
        <w:t>ex</w:t>
      </w:r>
      <w:r w:rsidR="009B056F" w:rsidRPr="0058432E">
        <w:rPr>
          <w:color w:val="000000" w:themeColor="text1"/>
        </w:rPr>
        <w:t>emple,</w:t>
      </w:r>
      <w:r w:rsidR="00F13377" w:rsidRPr="0058432E">
        <w:rPr>
          <w:color w:val="000000" w:themeColor="text1"/>
        </w:rPr>
        <w:t xml:space="preserve"> </w:t>
      </w:r>
      <w:r w:rsidR="001430BA" w:rsidRPr="0058432E">
        <w:rPr>
          <w:color w:val="000000" w:themeColor="text1"/>
        </w:rPr>
        <w:t>en raison d</w:t>
      </w:r>
      <w:r w:rsidR="002A7CDF" w:rsidRPr="0058432E">
        <w:rPr>
          <w:color w:val="000000" w:themeColor="text1"/>
        </w:rPr>
        <w:t>e déviations</w:t>
      </w:r>
      <w:r w:rsidR="001430BA" w:rsidRPr="0058432E">
        <w:rPr>
          <w:color w:val="000000" w:themeColor="text1"/>
        </w:rPr>
        <w:t xml:space="preserve"> ou en raison de </w:t>
      </w:r>
      <w:r w:rsidRPr="0058432E">
        <w:rPr>
          <w:color w:val="000000" w:themeColor="text1"/>
        </w:rPr>
        <w:t xml:space="preserve">complications secondaires à une rétinopathie diabétique, </w:t>
      </w:r>
      <w:proofErr w:type="gramStart"/>
      <w:r w:rsidRPr="0058432E">
        <w:rPr>
          <w:color w:val="000000" w:themeColor="text1"/>
        </w:rPr>
        <w:t>suite à une</w:t>
      </w:r>
      <w:proofErr w:type="gramEnd"/>
      <w:r w:rsidRPr="0058432E">
        <w:rPr>
          <w:color w:val="000000" w:themeColor="text1"/>
        </w:rPr>
        <w:t xml:space="preserve"> chirurgie de la cataracte ou une vitrectomie) et ont été exclus de l’analyse des critères </w:t>
      </w:r>
      <w:r w:rsidR="00132033" w:rsidRPr="0058432E">
        <w:rPr>
          <w:color w:val="000000" w:themeColor="text1"/>
        </w:rPr>
        <w:t xml:space="preserve">d’efficacité </w:t>
      </w:r>
      <w:r w:rsidRPr="0058432E">
        <w:rPr>
          <w:color w:val="000000" w:themeColor="text1"/>
        </w:rPr>
        <w:t>primaires. Sur les 3</w:t>
      </w:r>
      <w:r w:rsidR="00A610FE" w:rsidRPr="0058432E">
        <w:rPr>
          <w:color w:val="000000" w:themeColor="text1"/>
        </w:rPr>
        <w:t>64</w:t>
      </w:r>
      <w:r w:rsidRPr="0058432E">
        <w:rPr>
          <w:color w:val="000000" w:themeColor="text1"/>
        </w:rPr>
        <w:t xml:space="preserve"> patients restants, 2</w:t>
      </w:r>
      <w:r w:rsidR="00A610FE" w:rsidRPr="0058432E">
        <w:rPr>
          <w:color w:val="000000" w:themeColor="text1"/>
        </w:rPr>
        <w:t>69</w:t>
      </w:r>
      <w:r w:rsidRPr="0058432E">
        <w:rPr>
          <w:color w:val="000000" w:themeColor="text1"/>
        </w:rPr>
        <w:t xml:space="preserve"> patients évaluables</w:t>
      </w:r>
      <w:r w:rsidR="00A610FE" w:rsidRPr="0058432E">
        <w:rPr>
          <w:color w:val="000000" w:themeColor="text1"/>
        </w:rPr>
        <w:t xml:space="preserve"> (74%)</w:t>
      </w:r>
      <w:r w:rsidRPr="0058432E">
        <w:rPr>
          <w:color w:val="000000" w:themeColor="text1"/>
        </w:rPr>
        <w:t xml:space="preserve"> ont été traités pendant 78 semaines en ouvert </w:t>
      </w:r>
      <w:r w:rsidR="008E7545" w:rsidRPr="0058432E">
        <w:rPr>
          <w:color w:val="000000" w:themeColor="text1"/>
        </w:rPr>
        <w:t>par adalimumab</w:t>
      </w:r>
      <w:r w:rsidRPr="0058432E">
        <w:rPr>
          <w:color w:val="000000" w:themeColor="text1"/>
        </w:rPr>
        <w:t>. Sur la base des données observées, 2</w:t>
      </w:r>
      <w:r w:rsidR="00A610FE" w:rsidRPr="0058432E">
        <w:rPr>
          <w:color w:val="000000" w:themeColor="text1"/>
        </w:rPr>
        <w:t>16</w:t>
      </w:r>
      <w:r w:rsidRPr="0058432E">
        <w:rPr>
          <w:color w:val="000000" w:themeColor="text1"/>
        </w:rPr>
        <w:t xml:space="preserve"> (80,</w:t>
      </w:r>
      <w:r w:rsidR="00A610FE" w:rsidRPr="0058432E">
        <w:rPr>
          <w:color w:val="000000" w:themeColor="text1"/>
        </w:rPr>
        <w:t>3</w:t>
      </w:r>
      <w:r w:rsidRPr="0058432E">
        <w:rPr>
          <w:color w:val="000000" w:themeColor="text1"/>
        </w:rPr>
        <w:t> %) étaient en phase de quiescence (absence de lésions inflammatoires actives, Tyndall cellulaire ≤ 0,5+, inflammation vitrée</w:t>
      </w:r>
      <w:r w:rsidR="00132033" w:rsidRPr="0058432E">
        <w:rPr>
          <w:color w:val="000000" w:themeColor="text1"/>
        </w:rPr>
        <w:t>nne</w:t>
      </w:r>
      <w:r w:rsidRPr="0058432E">
        <w:rPr>
          <w:color w:val="000000" w:themeColor="text1"/>
        </w:rPr>
        <w:t xml:space="preserve"> ≤ 0,5+) avec corticothérapie </w:t>
      </w:r>
      <w:r w:rsidR="009328E0" w:rsidRPr="0058432E">
        <w:rPr>
          <w:color w:val="000000" w:themeColor="text1"/>
        </w:rPr>
        <w:t>concomitante</w:t>
      </w:r>
      <w:r w:rsidRPr="0058432E">
        <w:rPr>
          <w:color w:val="000000" w:themeColor="text1"/>
        </w:rPr>
        <w:t xml:space="preserve"> à une dose ≤ 7,5 mg par jour, et 1</w:t>
      </w:r>
      <w:r w:rsidR="00A610FE" w:rsidRPr="0058432E">
        <w:rPr>
          <w:color w:val="000000" w:themeColor="text1"/>
        </w:rPr>
        <w:t>78</w:t>
      </w:r>
      <w:r w:rsidRPr="0058432E">
        <w:rPr>
          <w:color w:val="000000" w:themeColor="text1"/>
        </w:rPr>
        <w:t xml:space="preserve"> (66,</w:t>
      </w:r>
      <w:r w:rsidR="00A610FE" w:rsidRPr="0058432E">
        <w:rPr>
          <w:color w:val="000000" w:themeColor="text1"/>
        </w:rPr>
        <w:t>2</w:t>
      </w:r>
      <w:r w:rsidRPr="0058432E">
        <w:rPr>
          <w:color w:val="000000" w:themeColor="text1"/>
        </w:rPr>
        <w:t> %) étaient en phase de quiescence sans corticoïdes. La meilleure acuité visuelle corrigée était soit améliorée soit maintenue (détérioration &lt; 5 lettres) pour 88,</w:t>
      </w:r>
      <w:r w:rsidR="00A610FE" w:rsidRPr="0058432E">
        <w:rPr>
          <w:color w:val="000000" w:themeColor="text1"/>
        </w:rPr>
        <w:t>6</w:t>
      </w:r>
      <w:r w:rsidRPr="0058432E">
        <w:rPr>
          <w:color w:val="000000" w:themeColor="text1"/>
        </w:rPr>
        <w:t xml:space="preserve"> % des yeux évalués à la semaine 78. </w:t>
      </w:r>
      <w:r w:rsidR="00A610FE" w:rsidRPr="0058432E">
        <w:rPr>
          <w:color w:val="000000" w:themeColor="text1"/>
        </w:rPr>
        <w:t>Les données au-delà de la semaine 78 concordaient généralement avec ces résultats, mais le nombre de sujets inscrits a diminué après cette période, En général p</w:t>
      </w:r>
      <w:r w:rsidRPr="0058432E">
        <w:rPr>
          <w:color w:val="000000" w:themeColor="text1"/>
        </w:rPr>
        <w:t>armi les patients sortis de l’étude avant la semaine 78, 1</w:t>
      </w:r>
      <w:r w:rsidR="00A610FE" w:rsidRPr="0058432E">
        <w:rPr>
          <w:color w:val="000000" w:themeColor="text1"/>
        </w:rPr>
        <w:t>8</w:t>
      </w:r>
      <w:r w:rsidRPr="0058432E">
        <w:rPr>
          <w:color w:val="000000" w:themeColor="text1"/>
        </w:rPr>
        <w:t xml:space="preserve"> % ont arrêté l’étude en raison d’événements indésirables et </w:t>
      </w:r>
      <w:r w:rsidR="00A610FE" w:rsidRPr="0058432E">
        <w:rPr>
          <w:color w:val="000000" w:themeColor="text1"/>
        </w:rPr>
        <w:t>8</w:t>
      </w:r>
      <w:r w:rsidRPr="0058432E">
        <w:rPr>
          <w:color w:val="000000" w:themeColor="text1"/>
        </w:rPr>
        <w:t xml:space="preserve"> % en raison d’une réponse insuffisante au traitement </w:t>
      </w:r>
      <w:r w:rsidR="008E7545" w:rsidRPr="0058432E">
        <w:rPr>
          <w:color w:val="000000" w:themeColor="text1"/>
        </w:rPr>
        <w:t>par adalimumab</w:t>
      </w:r>
      <w:r w:rsidRPr="0058432E">
        <w:rPr>
          <w:color w:val="000000" w:themeColor="text1"/>
        </w:rPr>
        <w:t>.</w:t>
      </w:r>
    </w:p>
    <w:p w14:paraId="461668A0" w14:textId="77777777" w:rsidR="00EA77A5" w:rsidRPr="0058432E" w:rsidRDefault="00EA77A5" w:rsidP="00982118">
      <w:pPr>
        <w:rPr>
          <w:color w:val="000000" w:themeColor="text1"/>
        </w:rPr>
      </w:pPr>
    </w:p>
    <w:p w14:paraId="64B88D93" w14:textId="77777777" w:rsidR="00A84E59" w:rsidRPr="0058432E" w:rsidRDefault="00C46587" w:rsidP="00ED34EF">
      <w:pPr>
        <w:keepNext/>
        <w:rPr>
          <w:i/>
          <w:color w:val="000000" w:themeColor="text1"/>
          <w:u w:val="single"/>
        </w:rPr>
      </w:pPr>
      <w:r w:rsidRPr="0058432E">
        <w:rPr>
          <w:i/>
          <w:color w:val="000000" w:themeColor="text1"/>
          <w:u w:val="single"/>
        </w:rPr>
        <w:t>Qualité de vie</w:t>
      </w:r>
    </w:p>
    <w:p w14:paraId="171C3D3C" w14:textId="77777777" w:rsidR="00C46587" w:rsidRPr="0058432E" w:rsidRDefault="00C46587" w:rsidP="00ED34EF">
      <w:pPr>
        <w:keepNext/>
        <w:rPr>
          <w:color w:val="000000" w:themeColor="text1"/>
        </w:rPr>
      </w:pPr>
    </w:p>
    <w:p w14:paraId="3165F1CD" w14:textId="77777777" w:rsidR="00A84E59" w:rsidRPr="0058432E" w:rsidRDefault="00C46587" w:rsidP="00982118">
      <w:pPr>
        <w:rPr>
          <w:color w:val="000000" w:themeColor="text1"/>
        </w:rPr>
      </w:pPr>
      <w:r w:rsidRPr="0058432E">
        <w:rPr>
          <w:color w:val="000000" w:themeColor="text1"/>
        </w:rPr>
        <w:t>Les résultats rapportés par les patients en termes de fonction visuelle ont fait l’objet d’une évaluation dans les deux études cliniques, à l’aide du questionnaire de qualité de vie NEI VFQ-25. La majorité des sous-scores étaient numériquement en faveur de l’adalimumab, avec des différences moyennes statistiquement significatives en termes de vision générale, douleur oculaire, vision de près, santé mentale, et de score total dans l’étude UV I, et en termes de vision générale et santé mentale dans l’étude UV II. Les effets lié</w:t>
      </w:r>
      <w:r w:rsidR="00132033" w:rsidRPr="0058432E">
        <w:rPr>
          <w:color w:val="000000" w:themeColor="text1"/>
        </w:rPr>
        <w:t>s</w:t>
      </w:r>
      <w:r w:rsidRPr="0058432E">
        <w:rPr>
          <w:color w:val="000000" w:themeColor="text1"/>
        </w:rPr>
        <w:t xml:space="preserve"> à la </w:t>
      </w:r>
      <w:r w:rsidR="00132033" w:rsidRPr="0058432E">
        <w:rPr>
          <w:color w:val="000000" w:themeColor="text1"/>
        </w:rPr>
        <w:t>vision</w:t>
      </w:r>
      <w:r w:rsidRPr="0058432E">
        <w:rPr>
          <w:color w:val="000000" w:themeColor="text1"/>
        </w:rPr>
        <w:t xml:space="preserve"> n’étaient pas numériquement en faveur de l’adalimumab pour </w:t>
      </w:r>
      <w:r w:rsidR="00132033" w:rsidRPr="0058432E">
        <w:rPr>
          <w:color w:val="000000" w:themeColor="text1"/>
        </w:rPr>
        <w:t>la</w:t>
      </w:r>
      <w:r w:rsidRPr="0058432E">
        <w:rPr>
          <w:color w:val="000000" w:themeColor="text1"/>
        </w:rPr>
        <w:t xml:space="preserve"> vision des couleurs dans l’étude UV I et pour </w:t>
      </w:r>
      <w:r w:rsidR="00132033" w:rsidRPr="0058432E">
        <w:rPr>
          <w:color w:val="000000" w:themeColor="text1"/>
        </w:rPr>
        <w:t>la</w:t>
      </w:r>
      <w:r w:rsidRPr="0058432E">
        <w:rPr>
          <w:color w:val="000000" w:themeColor="text1"/>
        </w:rPr>
        <w:t xml:space="preserve"> vision des couleurs, </w:t>
      </w:r>
      <w:r w:rsidR="00491C18" w:rsidRPr="0058432E">
        <w:rPr>
          <w:color w:val="000000" w:themeColor="text1"/>
        </w:rPr>
        <w:t xml:space="preserve">la </w:t>
      </w:r>
      <w:r w:rsidRPr="0058432E">
        <w:rPr>
          <w:color w:val="000000" w:themeColor="text1"/>
        </w:rPr>
        <w:t xml:space="preserve">vision périphérique et </w:t>
      </w:r>
      <w:r w:rsidR="00491C18" w:rsidRPr="0058432E">
        <w:rPr>
          <w:color w:val="000000" w:themeColor="text1"/>
        </w:rPr>
        <w:t xml:space="preserve">la </w:t>
      </w:r>
      <w:r w:rsidRPr="0058432E">
        <w:rPr>
          <w:color w:val="000000" w:themeColor="text1"/>
        </w:rPr>
        <w:t>vision de près dans l’étude UV II.</w:t>
      </w:r>
    </w:p>
    <w:p w14:paraId="2EFA187F" w14:textId="77777777" w:rsidR="00A84E59" w:rsidRPr="0058432E" w:rsidRDefault="00A84E59" w:rsidP="00982118">
      <w:pPr>
        <w:rPr>
          <w:color w:val="000000" w:themeColor="text1"/>
        </w:rPr>
      </w:pPr>
    </w:p>
    <w:p w14:paraId="4B8A7D81" w14:textId="77777777" w:rsidR="00C46587" w:rsidRPr="0058432E" w:rsidRDefault="00C46587" w:rsidP="00ED34EF">
      <w:pPr>
        <w:keepNext/>
        <w:rPr>
          <w:color w:val="000000" w:themeColor="text1"/>
          <w:u w:val="single"/>
        </w:rPr>
      </w:pPr>
      <w:r w:rsidRPr="0058432E">
        <w:rPr>
          <w:color w:val="000000" w:themeColor="text1"/>
          <w:u w:val="single"/>
        </w:rPr>
        <w:t>Immunogénicité</w:t>
      </w:r>
    </w:p>
    <w:p w14:paraId="1AFD8EA3" w14:textId="77777777" w:rsidR="00C46587" w:rsidRPr="0058432E" w:rsidRDefault="00C46587" w:rsidP="00ED34EF">
      <w:pPr>
        <w:keepNext/>
        <w:rPr>
          <w:color w:val="000000" w:themeColor="text1"/>
        </w:rPr>
      </w:pPr>
    </w:p>
    <w:p w14:paraId="0C55D5B7" w14:textId="77777777" w:rsidR="00C46587" w:rsidRPr="0058432E" w:rsidRDefault="00C27FEF" w:rsidP="00982118">
      <w:pPr>
        <w:rPr>
          <w:color w:val="000000" w:themeColor="text1"/>
        </w:rPr>
      </w:pPr>
      <w:r w:rsidRPr="0058432E">
        <w:rPr>
          <w:color w:val="000000" w:themeColor="text1"/>
        </w:rPr>
        <w:t xml:space="preserve">Des anticorps anti-adalimumab peuvent se développer pendant le traitement </w:t>
      </w:r>
      <w:r w:rsidR="008E7545" w:rsidRPr="0058432E">
        <w:rPr>
          <w:color w:val="000000" w:themeColor="text1"/>
        </w:rPr>
        <w:t>par adalimumab</w:t>
      </w:r>
      <w:r w:rsidRPr="0058432E">
        <w:rPr>
          <w:color w:val="000000" w:themeColor="text1"/>
        </w:rPr>
        <w:t>. La formation d’anticorps anti</w:t>
      </w:r>
      <w:r w:rsidRPr="0058432E">
        <w:rPr>
          <w:color w:val="000000" w:themeColor="text1"/>
        </w:rPr>
        <w:noBreakHyphen/>
        <w:t>adalimumab est associée à une augmentation de la clairance et à une diminution de l’efficacité de l’adalimumab. Il n’y a pas de corrélation apparente entre la présence d’anticorps anti</w:t>
      </w:r>
      <w:r w:rsidRPr="0058432E">
        <w:rPr>
          <w:color w:val="000000" w:themeColor="text1"/>
        </w:rPr>
        <w:noBreakHyphen/>
        <w:t xml:space="preserve">adalimumab et la survenue d’effets indésirables. </w:t>
      </w:r>
    </w:p>
    <w:p w14:paraId="53F4806E" w14:textId="77777777" w:rsidR="00C46587" w:rsidRPr="0058432E" w:rsidRDefault="00C46587" w:rsidP="00982118">
      <w:pPr>
        <w:rPr>
          <w:color w:val="000000" w:themeColor="text1"/>
        </w:rPr>
      </w:pPr>
    </w:p>
    <w:p w14:paraId="65EFE994" w14:textId="77777777" w:rsidR="00C46587" w:rsidRPr="0058432E" w:rsidRDefault="00C46587" w:rsidP="002510E7">
      <w:pPr>
        <w:keepNext/>
        <w:kinsoku w:val="0"/>
        <w:overflowPunct w:val="0"/>
        <w:rPr>
          <w:color w:val="000000" w:themeColor="text1"/>
          <w:u w:val="single"/>
        </w:rPr>
      </w:pPr>
      <w:r w:rsidRPr="0058432E">
        <w:rPr>
          <w:color w:val="000000" w:themeColor="text1"/>
          <w:u w:val="single"/>
        </w:rPr>
        <w:t xml:space="preserve">Population pédiatrique </w:t>
      </w:r>
    </w:p>
    <w:p w14:paraId="3FE0C901" w14:textId="77777777" w:rsidR="00C46587" w:rsidRPr="0058432E" w:rsidRDefault="00C46587" w:rsidP="00491257">
      <w:pPr>
        <w:kinsoku w:val="0"/>
        <w:overflowPunct w:val="0"/>
        <w:rPr>
          <w:color w:val="000000" w:themeColor="text1"/>
        </w:rPr>
      </w:pPr>
    </w:p>
    <w:p w14:paraId="2D8BF6F8"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Arthrite juvénile idiopathique (AJI)</w:t>
      </w:r>
    </w:p>
    <w:p w14:paraId="6D8E4622" w14:textId="77777777" w:rsidR="001456CD" w:rsidRPr="0058432E" w:rsidRDefault="001456CD" w:rsidP="001456CD">
      <w:pPr>
        <w:pStyle w:val="BodyText"/>
        <w:keepNext/>
        <w:widowControl/>
        <w:kinsoku w:val="0"/>
        <w:overflowPunct w:val="0"/>
        <w:ind w:left="0"/>
        <w:rPr>
          <w:i/>
          <w:iCs/>
          <w:color w:val="000000" w:themeColor="text1"/>
        </w:rPr>
      </w:pPr>
    </w:p>
    <w:p w14:paraId="06256F7B"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Arthrite juvénile idiopathique polyarticulaire (AJIp)</w:t>
      </w:r>
    </w:p>
    <w:p w14:paraId="65326F2A" w14:textId="77777777" w:rsidR="001456CD" w:rsidRPr="0058432E" w:rsidRDefault="001456CD" w:rsidP="001456CD">
      <w:pPr>
        <w:pStyle w:val="BodyText"/>
        <w:keepNext/>
        <w:widowControl/>
        <w:kinsoku w:val="0"/>
        <w:overflowPunct w:val="0"/>
        <w:ind w:left="0"/>
        <w:rPr>
          <w:i/>
          <w:iCs/>
          <w:color w:val="000000" w:themeColor="text1"/>
        </w:rPr>
      </w:pPr>
    </w:p>
    <w:p w14:paraId="5ADF81E9"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deux études (AJIp I et II) chez des enfants ayant une arthrite juvénile idiopathique polyarticulaire active ou une AJI d’évolution polyarticulaire, qui présentaient différentes formes de début de la maladie (le plus souvent polyarthrite avec facteur rhumatoïde négatif ou positif et oligoarthrite étendue).</w:t>
      </w:r>
    </w:p>
    <w:p w14:paraId="4B87B7D0" w14:textId="77777777" w:rsidR="001456CD" w:rsidRPr="0058432E" w:rsidRDefault="001456CD" w:rsidP="001456CD">
      <w:pPr>
        <w:pStyle w:val="BodyText"/>
        <w:widowControl/>
        <w:kinsoku w:val="0"/>
        <w:overflowPunct w:val="0"/>
        <w:ind w:left="0"/>
        <w:rPr>
          <w:color w:val="000000" w:themeColor="text1"/>
        </w:rPr>
      </w:pPr>
    </w:p>
    <w:p w14:paraId="30A37D2E" w14:textId="77777777" w:rsidR="001456CD" w:rsidRPr="0058432E" w:rsidRDefault="001456CD" w:rsidP="001456CD">
      <w:pPr>
        <w:pStyle w:val="BodyText"/>
        <w:keepNext/>
        <w:widowControl/>
        <w:kinsoku w:val="0"/>
        <w:overflowPunct w:val="0"/>
        <w:ind w:left="0"/>
        <w:rPr>
          <w:color w:val="000000" w:themeColor="text1"/>
        </w:rPr>
      </w:pPr>
      <w:r w:rsidRPr="0058432E">
        <w:rPr>
          <w:color w:val="000000" w:themeColor="text1"/>
        </w:rPr>
        <w:t>AJIp I</w:t>
      </w:r>
    </w:p>
    <w:p w14:paraId="0B0626A8" w14:textId="77777777" w:rsidR="001456CD" w:rsidRPr="0058432E" w:rsidRDefault="001456CD" w:rsidP="001456CD">
      <w:pPr>
        <w:pStyle w:val="BodyText"/>
        <w:keepNext/>
        <w:widowControl/>
        <w:kinsoku w:val="0"/>
        <w:overflowPunct w:val="0"/>
        <w:ind w:left="0"/>
        <w:rPr>
          <w:color w:val="000000" w:themeColor="text1"/>
        </w:rPr>
      </w:pPr>
    </w:p>
    <w:p w14:paraId="06059F73"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multicentrique randomisée en double aveugle en groupes parallèles menée chez 171 enfants (de 4 à 17 ans) présentant une AJI polyarticulaire. Dans la phase de pré-inclusion en ouvert (PI-O), les patients ont été stratifiés en deux groupes : patients traités par MTX (méthotrexate) ou non traités par MTX. Les patients de la strate « sans MTX » étaient naïfs de traitement ou le MTX avait été arrêté deux semaines au moins avant l’administration du médicament à l’étude. Les patients sont restés sous doses stables d’anti-inflammatoires non stéroïdiens (AINS) et/ou de prednisone (≤ 0,2 mg/kg/jour ou 10 mg/jour au maximum). Dans la phase de pré-inclusion en ouvert, tous les patients ont reçu 24 mg/m</w:t>
      </w:r>
      <w:r w:rsidRPr="0058432E">
        <w:rPr>
          <w:color w:val="000000" w:themeColor="text1"/>
          <w:vertAlign w:val="superscript"/>
        </w:rPr>
        <w:t>2</w:t>
      </w:r>
      <w:r w:rsidRPr="0058432E">
        <w:rPr>
          <w:color w:val="000000" w:themeColor="text1"/>
        </w:rPr>
        <w:t xml:space="preserve"> d’adalimumab, jusqu’à un maximum de 40 mg, toutes les deux semaines pendant 16 semaines. Le tableau </w:t>
      </w:r>
      <w:r w:rsidR="001237B9" w:rsidRPr="0058432E">
        <w:rPr>
          <w:color w:val="000000" w:themeColor="text1"/>
        </w:rPr>
        <w:t>20</w:t>
      </w:r>
      <w:r w:rsidRPr="0058432E">
        <w:rPr>
          <w:color w:val="000000" w:themeColor="text1"/>
        </w:rPr>
        <w:t xml:space="preserve"> présente la distribution des patients par âge et doses minimales, médianes et maximales reçues pendant la phase de pré-inclusion en ouvert.</w:t>
      </w:r>
    </w:p>
    <w:p w14:paraId="20C2BCE5" w14:textId="77777777" w:rsidR="001456CD" w:rsidRPr="0058432E" w:rsidRDefault="001456CD" w:rsidP="001456CD">
      <w:pPr>
        <w:pStyle w:val="BodyText"/>
        <w:widowControl/>
        <w:kinsoku w:val="0"/>
        <w:overflowPunct w:val="0"/>
        <w:ind w:left="0"/>
        <w:rPr>
          <w:color w:val="000000" w:themeColor="text1"/>
        </w:rPr>
      </w:pPr>
    </w:p>
    <w:p w14:paraId="69D566EB" w14:textId="77777777" w:rsidR="00E967BD" w:rsidRPr="0058432E" w:rsidRDefault="001456CD" w:rsidP="005E2E36">
      <w:pPr>
        <w:pStyle w:val="BodyText"/>
        <w:widowControl/>
        <w:kinsoku w:val="0"/>
        <w:overflowPunct w:val="0"/>
        <w:ind w:left="0"/>
        <w:rPr>
          <w:b/>
          <w:color w:val="000000" w:themeColor="text1"/>
        </w:rPr>
      </w:pPr>
      <w:r w:rsidRPr="0058432E">
        <w:rPr>
          <w:b/>
          <w:color w:val="000000" w:themeColor="text1"/>
        </w:rPr>
        <w:t>Tableau </w:t>
      </w:r>
      <w:r w:rsidR="001237B9" w:rsidRPr="0058432E">
        <w:rPr>
          <w:b/>
          <w:color w:val="000000" w:themeColor="text1"/>
        </w:rPr>
        <w:t>20</w:t>
      </w:r>
      <w:r w:rsidRPr="0058432E">
        <w:rPr>
          <w:b/>
          <w:color w:val="000000" w:themeColor="text1"/>
        </w:rPr>
        <w:t>.</w:t>
      </w:r>
    </w:p>
    <w:p w14:paraId="3ADA3B62" w14:textId="77777777" w:rsidR="001456CD" w:rsidRPr="0058432E" w:rsidRDefault="001456CD" w:rsidP="00491257">
      <w:pPr>
        <w:pStyle w:val="BodyText"/>
        <w:widowControl/>
        <w:kinsoku w:val="0"/>
        <w:overflowPunct w:val="0"/>
        <w:ind w:left="0"/>
        <w:rPr>
          <w:b/>
          <w:color w:val="000000" w:themeColor="text1"/>
        </w:rPr>
      </w:pPr>
      <w:r w:rsidRPr="0058432E">
        <w:rPr>
          <w:b/>
          <w:color w:val="000000" w:themeColor="text1"/>
        </w:rPr>
        <w:t>Distribution des patients par âge et doses d’adalimumab reçues pendant la phase de pré-inclusion en ouvert</w:t>
      </w:r>
    </w:p>
    <w:p w14:paraId="6124FBA9" w14:textId="77777777" w:rsidR="001456CD" w:rsidRPr="0058432E" w:rsidRDefault="001456CD" w:rsidP="001456CD">
      <w:pPr>
        <w:pStyle w:val="BodyText"/>
        <w:keepNext/>
        <w:widowControl/>
        <w:kinsoku w:val="0"/>
        <w:overflowPunct w:val="0"/>
        <w:ind w:left="0"/>
        <w:rPr>
          <w:b/>
          <w:bCs/>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3477"/>
        <w:gridCol w:w="3200"/>
      </w:tblGrid>
      <w:tr w:rsidR="001456CD" w:rsidRPr="0058432E" w14:paraId="2A070E78" w14:textId="77777777" w:rsidTr="004A24CF">
        <w:trPr>
          <w:tblHeader/>
        </w:trPr>
        <w:tc>
          <w:tcPr>
            <w:tcW w:w="2397" w:type="dxa"/>
            <w:shd w:val="clear" w:color="auto" w:fill="auto"/>
          </w:tcPr>
          <w:p w14:paraId="62D77329" w14:textId="77777777" w:rsidR="001456CD" w:rsidRPr="0058432E" w:rsidRDefault="001456CD" w:rsidP="00491257">
            <w:pPr>
              <w:pStyle w:val="TableParagraph"/>
              <w:keepNext/>
              <w:widowControl/>
              <w:kinsoku w:val="0"/>
              <w:overflowPunct w:val="0"/>
              <w:ind w:left="102"/>
              <w:jc w:val="center"/>
              <w:rPr>
                <w:rFonts w:ascii="Times New Roman" w:hAnsi="Times New Roman"/>
                <w:b/>
                <w:color w:val="000000" w:themeColor="text1"/>
              </w:rPr>
            </w:pPr>
            <w:r w:rsidRPr="0058432E">
              <w:rPr>
                <w:rFonts w:ascii="Times New Roman" w:hAnsi="Times New Roman"/>
                <w:b/>
                <w:color w:val="000000" w:themeColor="text1"/>
              </w:rPr>
              <w:t>Groupe d’âge</w:t>
            </w:r>
          </w:p>
        </w:tc>
        <w:tc>
          <w:tcPr>
            <w:tcW w:w="3489" w:type="dxa"/>
            <w:shd w:val="clear" w:color="auto" w:fill="auto"/>
          </w:tcPr>
          <w:p w14:paraId="7E69D3E4" w14:textId="77777777" w:rsidR="001456CD" w:rsidRPr="0058432E" w:rsidRDefault="001456CD" w:rsidP="00491257">
            <w:pPr>
              <w:pStyle w:val="TableParagraph"/>
              <w:keepNext/>
              <w:widowControl/>
              <w:kinsoku w:val="0"/>
              <w:overflowPunct w:val="0"/>
              <w:ind w:left="101" w:right="45"/>
              <w:jc w:val="center"/>
              <w:rPr>
                <w:rFonts w:ascii="Times New Roman" w:hAnsi="Times New Roman"/>
                <w:b/>
                <w:color w:val="000000" w:themeColor="text1"/>
              </w:rPr>
            </w:pPr>
            <w:r w:rsidRPr="0058432E">
              <w:rPr>
                <w:rFonts w:ascii="Times New Roman" w:hAnsi="Times New Roman"/>
                <w:b/>
                <w:color w:val="000000" w:themeColor="text1"/>
              </w:rPr>
              <w:t>Nombre de patients au début de l’étude</w:t>
            </w:r>
          </w:p>
          <w:p w14:paraId="3CF2D687" w14:textId="77777777" w:rsidR="001456CD" w:rsidRPr="0058432E" w:rsidRDefault="001456CD" w:rsidP="00491257">
            <w:pPr>
              <w:pStyle w:val="TableParagraph"/>
              <w:keepNext/>
              <w:widowControl/>
              <w:kinsoku w:val="0"/>
              <w:overflowPunct w:val="0"/>
              <w:ind w:left="101" w:right="45"/>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xml:space="preserve"> (%)</w:t>
            </w:r>
          </w:p>
        </w:tc>
        <w:tc>
          <w:tcPr>
            <w:tcW w:w="3211" w:type="dxa"/>
            <w:shd w:val="clear" w:color="auto" w:fill="auto"/>
          </w:tcPr>
          <w:p w14:paraId="4B1CC6E5" w14:textId="77777777" w:rsidR="001456CD" w:rsidRPr="0058432E" w:rsidRDefault="001456CD" w:rsidP="00491257">
            <w:pPr>
              <w:pStyle w:val="TableParagraph"/>
              <w:keepNext/>
              <w:kinsoku w:val="0"/>
              <w:overflowPunct w:val="0"/>
              <w:ind w:left="102" w:right="165"/>
              <w:jc w:val="center"/>
              <w:rPr>
                <w:rFonts w:ascii="Times New Roman" w:hAnsi="Times New Roman"/>
                <w:b/>
                <w:color w:val="000000" w:themeColor="text1"/>
              </w:rPr>
            </w:pPr>
            <w:r w:rsidRPr="0058432E">
              <w:rPr>
                <w:rFonts w:ascii="Times New Roman" w:hAnsi="Times New Roman"/>
                <w:b/>
                <w:color w:val="000000" w:themeColor="text1"/>
              </w:rPr>
              <w:t>Dose minimale, médiane et maximale</w:t>
            </w:r>
          </w:p>
        </w:tc>
      </w:tr>
      <w:tr w:rsidR="001456CD" w:rsidRPr="0058432E" w14:paraId="099B5734" w14:textId="77777777" w:rsidTr="004A24CF">
        <w:tc>
          <w:tcPr>
            <w:tcW w:w="2397" w:type="dxa"/>
            <w:shd w:val="clear" w:color="auto" w:fill="auto"/>
          </w:tcPr>
          <w:p w14:paraId="6BC2CBD0"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4 à 7 ans</w:t>
            </w:r>
          </w:p>
        </w:tc>
        <w:tc>
          <w:tcPr>
            <w:tcW w:w="3489" w:type="dxa"/>
            <w:shd w:val="clear" w:color="auto" w:fill="auto"/>
          </w:tcPr>
          <w:p w14:paraId="2B11C993" w14:textId="77777777" w:rsidR="001456CD" w:rsidRPr="0058432E" w:rsidRDefault="001456CD" w:rsidP="00491257">
            <w:pPr>
              <w:pStyle w:val="TableParagraph"/>
              <w:keepNext/>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31 (18,1)</w:t>
            </w:r>
          </w:p>
        </w:tc>
        <w:tc>
          <w:tcPr>
            <w:tcW w:w="3211" w:type="dxa"/>
            <w:shd w:val="clear" w:color="auto" w:fill="auto"/>
          </w:tcPr>
          <w:p w14:paraId="646ECC2A"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10, 20 et 25 mg</w:t>
            </w:r>
          </w:p>
        </w:tc>
      </w:tr>
      <w:tr w:rsidR="001456CD" w:rsidRPr="0058432E" w14:paraId="1A3DB0F7" w14:textId="77777777" w:rsidTr="004A24CF">
        <w:tc>
          <w:tcPr>
            <w:tcW w:w="2397" w:type="dxa"/>
            <w:shd w:val="clear" w:color="auto" w:fill="auto"/>
          </w:tcPr>
          <w:p w14:paraId="276D279B"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8 à 12 ans</w:t>
            </w:r>
          </w:p>
        </w:tc>
        <w:tc>
          <w:tcPr>
            <w:tcW w:w="3489" w:type="dxa"/>
            <w:shd w:val="clear" w:color="auto" w:fill="auto"/>
          </w:tcPr>
          <w:p w14:paraId="21952440" w14:textId="77777777" w:rsidR="001456CD" w:rsidRPr="0058432E" w:rsidRDefault="001456CD" w:rsidP="00491257">
            <w:pPr>
              <w:pStyle w:val="TableParagraph"/>
              <w:keepNext/>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71 (41,5)</w:t>
            </w:r>
          </w:p>
        </w:tc>
        <w:tc>
          <w:tcPr>
            <w:tcW w:w="3211" w:type="dxa"/>
            <w:shd w:val="clear" w:color="auto" w:fill="auto"/>
          </w:tcPr>
          <w:p w14:paraId="719C74E7"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20, 25 et 40 mg</w:t>
            </w:r>
          </w:p>
        </w:tc>
      </w:tr>
      <w:tr w:rsidR="001456CD" w:rsidRPr="0058432E" w14:paraId="39F23BEA" w14:textId="77777777" w:rsidTr="004A24CF">
        <w:tc>
          <w:tcPr>
            <w:tcW w:w="2397" w:type="dxa"/>
            <w:shd w:val="clear" w:color="auto" w:fill="auto"/>
          </w:tcPr>
          <w:p w14:paraId="4BBAAEB3"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13 à 17 ans</w:t>
            </w:r>
          </w:p>
        </w:tc>
        <w:tc>
          <w:tcPr>
            <w:tcW w:w="3489" w:type="dxa"/>
            <w:shd w:val="clear" w:color="auto" w:fill="auto"/>
          </w:tcPr>
          <w:p w14:paraId="53CCE0FE" w14:textId="77777777" w:rsidR="001456CD" w:rsidRPr="0058432E" w:rsidRDefault="001456CD" w:rsidP="00491257">
            <w:pPr>
              <w:pStyle w:val="TableParagraph"/>
              <w:keepNext/>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69 (40,4)</w:t>
            </w:r>
          </w:p>
        </w:tc>
        <w:tc>
          <w:tcPr>
            <w:tcW w:w="3211" w:type="dxa"/>
            <w:shd w:val="clear" w:color="auto" w:fill="auto"/>
          </w:tcPr>
          <w:p w14:paraId="75E0538D" w14:textId="77777777" w:rsidR="001456CD" w:rsidRPr="0058432E" w:rsidRDefault="001456CD" w:rsidP="00491257">
            <w:pPr>
              <w:pStyle w:val="TableParagraph"/>
              <w:keepNext/>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25, 40 et 40 mg</w:t>
            </w:r>
          </w:p>
        </w:tc>
      </w:tr>
    </w:tbl>
    <w:p w14:paraId="1CF144DF" w14:textId="77777777" w:rsidR="001456CD" w:rsidRPr="0058432E" w:rsidRDefault="001456CD" w:rsidP="001456CD">
      <w:pPr>
        <w:pStyle w:val="BodyText"/>
        <w:widowControl/>
        <w:kinsoku w:val="0"/>
        <w:overflowPunct w:val="0"/>
        <w:ind w:left="0"/>
        <w:rPr>
          <w:bCs/>
          <w:color w:val="000000" w:themeColor="text1"/>
        </w:rPr>
      </w:pPr>
    </w:p>
    <w:p w14:paraId="6EEBCFB6"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patients présentant une réponse ACR 30 pédiatrique en semaine 16 étaient éligibles pour être randomisés dans la phase en double aveugle (DA) et ils ont reçu l’adalimumab à raison de 24 mg/m</w:t>
      </w:r>
      <w:r w:rsidRPr="0058432E">
        <w:rPr>
          <w:color w:val="000000" w:themeColor="text1"/>
          <w:vertAlign w:val="superscript"/>
        </w:rPr>
        <w:t>2</w:t>
      </w:r>
      <w:r w:rsidRPr="0058432E">
        <w:rPr>
          <w:color w:val="000000" w:themeColor="text1"/>
        </w:rPr>
        <w:t xml:space="preserve"> jusqu’à un maximum de 40 mg ou le placebo toutes les deux semaines pendant 32 semaines de plus ou jusqu’à une poussée de la maladie. Une poussée était définie comme une aggravation d’au moins 30 % d’au moins 3 des 6 critères du score ACR pédiatrique, la présence d’au moins 2 articulations actives et une amélioration supérieure à 30 % d’un critère seulement sur les six. Après 32 semaines ou au moment d’une poussée de la maladie, les patients étaient éligibles pour entrer dans la phase d’extension en ouvert.</w:t>
      </w:r>
    </w:p>
    <w:p w14:paraId="678C7BDD" w14:textId="77777777" w:rsidR="001456CD" w:rsidRPr="0058432E" w:rsidRDefault="001456CD" w:rsidP="001456CD">
      <w:pPr>
        <w:rPr>
          <w:color w:val="000000" w:themeColor="text1"/>
        </w:rPr>
      </w:pPr>
    </w:p>
    <w:p w14:paraId="1378CC24" w14:textId="77777777" w:rsidR="00E967BD" w:rsidRPr="0058432E" w:rsidRDefault="001456CD" w:rsidP="001456CD">
      <w:pPr>
        <w:keepNext/>
        <w:rPr>
          <w:b/>
          <w:color w:val="000000" w:themeColor="text1"/>
        </w:rPr>
      </w:pPr>
      <w:r w:rsidRPr="0058432E">
        <w:rPr>
          <w:b/>
          <w:color w:val="000000" w:themeColor="text1"/>
        </w:rPr>
        <w:t>Tableau </w:t>
      </w:r>
      <w:r w:rsidR="001237B9" w:rsidRPr="0058432E">
        <w:rPr>
          <w:b/>
          <w:color w:val="000000" w:themeColor="text1"/>
        </w:rPr>
        <w:t>21</w:t>
      </w:r>
      <w:r w:rsidRPr="0058432E">
        <w:rPr>
          <w:b/>
          <w:color w:val="000000" w:themeColor="text1"/>
        </w:rPr>
        <w:t>.</w:t>
      </w:r>
    </w:p>
    <w:p w14:paraId="1C3C486A" w14:textId="77777777" w:rsidR="001456CD" w:rsidRPr="0058432E" w:rsidRDefault="001456CD" w:rsidP="001456CD">
      <w:pPr>
        <w:keepNext/>
        <w:rPr>
          <w:b/>
          <w:color w:val="000000" w:themeColor="text1"/>
        </w:rPr>
      </w:pPr>
      <w:r w:rsidRPr="0058432E">
        <w:rPr>
          <w:b/>
          <w:color w:val="000000" w:themeColor="text1"/>
        </w:rPr>
        <w:t>Réponses ACR 30 Pédiatrique dans l’étude de l’AJI</w:t>
      </w:r>
    </w:p>
    <w:p w14:paraId="4FB2BAFC" w14:textId="77777777" w:rsidR="001456CD" w:rsidRPr="0058432E" w:rsidRDefault="001456CD" w:rsidP="001456CD">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359"/>
        <w:gridCol w:w="1915"/>
        <w:gridCol w:w="1654"/>
        <w:gridCol w:w="1826"/>
        <w:gridCol w:w="1311"/>
      </w:tblGrid>
      <w:tr w:rsidR="001456CD" w:rsidRPr="0058432E" w14:paraId="701026AB" w14:textId="77777777" w:rsidTr="004A24CF">
        <w:trPr>
          <w:tblHeader/>
        </w:trPr>
        <w:tc>
          <w:tcPr>
            <w:tcW w:w="1311" w:type="pct"/>
            <w:tcBorders>
              <w:top w:val="single" w:sz="4" w:space="0" w:color="auto"/>
              <w:left w:val="single" w:sz="4" w:space="0" w:color="auto"/>
              <w:bottom w:val="single" w:sz="4" w:space="0" w:color="auto"/>
              <w:right w:val="single" w:sz="4" w:space="0" w:color="auto"/>
            </w:tcBorders>
            <w:hideMark/>
          </w:tcPr>
          <w:p w14:paraId="16BC4365" w14:textId="77777777" w:rsidR="001456CD" w:rsidRPr="0058432E" w:rsidRDefault="001456CD" w:rsidP="004A24CF">
            <w:pPr>
              <w:keepNext/>
              <w:rPr>
                <w:b/>
                <w:color w:val="000000" w:themeColor="text1"/>
              </w:rPr>
            </w:pPr>
            <w:r w:rsidRPr="0058432E">
              <w:rPr>
                <w:b/>
                <w:color w:val="000000" w:themeColor="text1"/>
              </w:rPr>
              <w:t>Strate</w:t>
            </w:r>
          </w:p>
        </w:tc>
        <w:tc>
          <w:tcPr>
            <w:tcW w:w="1939" w:type="pct"/>
            <w:gridSpan w:val="2"/>
            <w:tcBorders>
              <w:top w:val="single" w:sz="4" w:space="0" w:color="auto"/>
              <w:left w:val="single" w:sz="4" w:space="0" w:color="auto"/>
              <w:bottom w:val="single" w:sz="4" w:space="0" w:color="auto"/>
              <w:right w:val="single" w:sz="4" w:space="0" w:color="auto"/>
            </w:tcBorders>
            <w:hideMark/>
          </w:tcPr>
          <w:p w14:paraId="4F72381B" w14:textId="77777777" w:rsidR="001456CD" w:rsidRPr="0058432E" w:rsidRDefault="001456CD" w:rsidP="004A24CF">
            <w:pPr>
              <w:keepNext/>
              <w:jc w:val="center"/>
              <w:rPr>
                <w:b/>
                <w:color w:val="000000" w:themeColor="text1"/>
              </w:rPr>
            </w:pPr>
            <w:r w:rsidRPr="0058432E">
              <w:rPr>
                <w:b/>
                <w:color w:val="000000" w:themeColor="text1"/>
              </w:rPr>
              <w:t>MTX</w:t>
            </w:r>
          </w:p>
        </w:tc>
        <w:tc>
          <w:tcPr>
            <w:tcW w:w="1750" w:type="pct"/>
            <w:gridSpan w:val="2"/>
            <w:tcBorders>
              <w:top w:val="single" w:sz="4" w:space="0" w:color="auto"/>
              <w:left w:val="single" w:sz="4" w:space="0" w:color="auto"/>
              <w:bottom w:val="single" w:sz="4" w:space="0" w:color="auto"/>
              <w:right w:val="single" w:sz="4" w:space="0" w:color="auto"/>
            </w:tcBorders>
            <w:hideMark/>
          </w:tcPr>
          <w:p w14:paraId="6BDF4969" w14:textId="77777777" w:rsidR="001456CD" w:rsidRPr="0058432E" w:rsidRDefault="001456CD" w:rsidP="004A24CF">
            <w:pPr>
              <w:keepNext/>
              <w:jc w:val="center"/>
              <w:rPr>
                <w:b/>
                <w:color w:val="000000" w:themeColor="text1"/>
              </w:rPr>
            </w:pPr>
            <w:r w:rsidRPr="0058432E">
              <w:rPr>
                <w:b/>
                <w:color w:val="000000" w:themeColor="text1"/>
              </w:rPr>
              <w:t>Sans MTX</w:t>
            </w:r>
          </w:p>
        </w:tc>
      </w:tr>
      <w:tr w:rsidR="001456CD" w:rsidRPr="0058432E" w14:paraId="116BB23E" w14:textId="77777777" w:rsidTr="004A24CF">
        <w:trPr>
          <w:tblHeader/>
        </w:trPr>
        <w:tc>
          <w:tcPr>
            <w:tcW w:w="1311" w:type="pct"/>
            <w:tcBorders>
              <w:top w:val="single" w:sz="4" w:space="0" w:color="auto"/>
              <w:left w:val="single" w:sz="4" w:space="0" w:color="auto"/>
              <w:bottom w:val="single" w:sz="4" w:space="0" w:color="auto"/>
              <w:right w:val="single" w:sz="4" w:space="0" w:color="auto"/>
            </w:tcBorders>
            <w:hideMark/>
          </w:tcPr>
          <w:p w14:paraId="36A8731F" w14:textId="77777777" w:rsidR="001456CD" w:rsidRPr="0058432E" w:rsidRDefault="001456CD" w:rsidP="004A24CF">
            <w:pPr>
              <w:keepNext/>
              <w:rPr>
                <w:b/>
                <w:color w:val="000000" w:themeColor="text1"/>
              </w:rPr>
            </w:pPr>
            <w:r w:rsidRPr="0058432E">
              <w:rPr>
                <w:b/>
                <w:color w:val="000000" w:themeColor="text1"/>
              </w:rPr>
              <w:t>Phase</w:t>
            </w:r>
          </w:p>
        </w:tc>
        <w:tc>
          <w:tcPr>
            <w:tcW w:w="1939" w:type="pct"/>
            <w:gridSpan w:val="2"/>
            <w:tcBorders>
              <w:top w:val="single" w:sz="4" w:space="0" w:color="auto"/>
              <w:left w:val="single" w:sz="4" w:space="0" w:color="auto"/>
              <w:bottom w:val="single" w:sz="4" w:space="0" w:color="auto"/>
              <w:right w:val="single" w:sz="4" w:space="0" w:color="auto"/>
            </w:tcBorders>
          </w:tcPr>
          <w:p w14:paraId="77552F9F" w14:textId="77777777" w:rsidR="001456CD" w:rsidRPr="0058432E" w:rsidRDefault="001456CD" w:rsidP="004A24CF">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1A10CBEB" w14:textId="77777777" w:rsidR="001456CD" w:rsidRPr="0058432E" w:rsidRDefault="001456CD" w:rsidP="004A24CF">
            <w:pPr>
              <w:keepNext/>
              <w:jc w:val="center"/>
              <w:rPr>
                <w:color w:val="000000" w:themeColor="text1"/>
              </w:rPr>
            </w:pPr>
          </w:p>
        </w:tc>
      </w:tr>
      <w:tr w:rsidR="001456CD" w:rsidRPr="0058432E" w14:paraId="1091610F"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6BA1AD04" w14:textId="77777777" w:rsidR="001456CD" w:rsidRPr="0058432E" w:rsidRDefault="001456CD" w:rsidP="004A24CF">
            <w:pPr>
              <w:keepNext/>
              <w:rPr>
                <w:color w:val="000000" w:themeColor="text1"/>
              </w:rPr>
            </w:pPr>
            <w:r w:rsidRPr="0058432E">
              <w:rPr>
                <w:color w:val="000000" w:themeColor="text1"/>
              </w:rPr>
              <w:t>Pré-inclusion en ouvert de 16 semaines</w:t>
            </w:r>
          </w:p>
        </w:tc>
        <w:tc>
          <w:tcPr>
            <w:tcW w:w="1939" w:type="pct"/>
            <w:gridSpan w:val="2"/>
            <w:tcBorders>
              <w:top w:val="single" w:sz="4" w:space="0" w:color="auto"/>
              <w:left w:val="single" w:sz="4" w:space="0" w:color="auto"/>
              <w:bottom w:val="single" w:sz="4" w:space="0" w:color="auto"/>
              <w:right w:val="single" w:sz="4" w:space="0" w:color="auto"/>
            </w:tcBorders>
          </w:tcPr>
          <w:p w14:paraId="34777102" w14:textId="77777777" w:rsidR="001456CD" w:rsidRPr="0058432E" w:rsidRDefault="001456CD" w:rsidP="004A24CF">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65372B9F" w14:textId="77777777" w:rsidR="001456CD" w:rsidRPr="0058432E" w:rsidRDefault="001456CD" w:rsidP="004A24CF">
            <w:pPr>
              <w:keepNext/>
              <w:jc w:val="center"/>
              <w:rPr>
                <w:color w:val="000000" w:themeColor="text1"/>
              </w:rPr>
            </w:pPr>
          </w:p>
        </w:tc>
      </w:tr>
      <w:tr w:rsidR="001456CD" w:rsidRPr="0058432E" w14:paraId="7E8B7A28"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34453E50" w14:textId="77777777" w:rsidR="001456CD" w:rsidRPr="0000463E" w:rsidRDefault="001456CD" w:rsidP="004A24CF">
            <w:pPr>
              <w:keepNext/>
              <w:ind w:left="180"/>
              <w:rPr>
                <w:color w:val="000000" w:themeColor="text1"/>
                <w:lang w:val="pt-PT"/>
              </w:rPr>
            </w:pPr>
            <w:r w:rsidRPr="0000463E">
              <w:rPr>
                <w:color w:val="000000" w:themeColor="text1"/>
                <w:lang w:val="pt-PT"/>
              </w:rPr>
              <w:t>Réponse ACR 30 Péd. (n/N)</w:t>
            </w:r>
          </w:p>
        </w:tc>
        <w:tc>
          <w:tcPr>
            <w:tcW w:w="1939" w:type="pct"/>
            <w:gridSpan w:val="2"/>
            <w:tcBorders>
              <w:top w:val="single" w:sz="4" w:space="0" w:color="auto"/>
              <w:left w:val="single" w:sz="4" w:space="0" w:color="auto"/>
              <w:bottom w:val="single" w:sz="4" w:space="0" w:color="auto"/>
              <w:right w:val="single" w:sz="4" w:space="0" w:color="auto"/>
            </w:tcBorders>
            <w:hideMark/>
          </w:tcPr>
          <w:p w14:paraId="5F744FF0" w14:textId="77777777" w:rsidR="001456CD" w:rsidRPr="0058432E" w:rsidRDefault="001456CD" w:rsidP="004A24CF">
            <w:pPr>
              <w:keepNext/>
              <w:jc w:val="center"/>
              <w:rPr>
                <w:color w:val="000000" w:themeColor="text1"/>
              </w:rPr>
            </w:pPr>
            <w:r w:rsidRPr="0058432E">
              <w:rPr>
                <w:color w:val="000000" w:themeColor="text1"/>
              </w:rPr>
              <w:t>94,1 % (80/85)</w:t>
            </w:r>
          </w:p>
        </w:tc>
        <w:tc>
          <w:tcPr>
            <w:tcW w:w="1750" w:type="pct"/>
            <w:gridSpan w:val="2"/>
            <w:tcBorders>
              <w:top w:val="single" w:sz="4" w:space="0" w:color="auto"/>
              <w:left w:val="single" w:sz="4" w:space="0" w:color="auto"/>
              <w:bottom w:val="single" w:sz="4" w:space="0" w:color="auto"/>
              <w:right w:val="single" w:sz="4" w:space="0" w:color="auto"/>
            </w:tcBorders>
            <w:hideMark/>
          </w:tcPr>
          <w:p w14:paraId="0C2B91F7" w14:textId="77777777" w:rsidR="001456CD" w:rsidRPr="0058432E" w:rsidRDefault="001456CD" w:rsidP="004A24CF">
            <w:pPr>
              <w:keepNext/>
              <w:jc w:val="center"/>
              <w:rPr>
                <w:color w:val="000000" w:themeColor="text1"/>
              </w:rPr>
            </w:pPr>
            <w:r w:rsidRPr="0058432E">
              <w:rPr>
                <w:color w:val="000000" w:themeColor="text1"/>
              </w:rPr>
              <w:t>74,4 % (64/86)</w:t>
            </w:r>
          </w:p>
        </w:tc>
      </w:tr>
      <w:tr w:rsidR="001456CD" w:rsidRPr="0058432E" w14:paraId="1D638D87" w14:textId="77777777" w:rsidTr="004A24CF">
        <w:tc>
          <w:tcPr>
            <w:tcW w:w="5000" w:type="pct"/>
            <w:gridSpan w:val="5"/>
            <w:tcBorders>
              <w:top w:val="single" w:sz="4" w:space="0" w:color="auto"/>
              <w:left w:val="single" w:sz="4" w:space="0" w:color="auto"/>
              <w:bottom w:val="single" w:sz="4" w:space="0" w:color="auto"/>
              <w:right w:val="single" w:sz="4" w:space="0" w:color="auto"/>
            </w:tcBorders>
            <w:hideMark/>
          </w:tcPr>
          <w:p w14:paraId="47DA5108" w14:textId="77777777" w:rsidR="001456CD" w:rsidRPr="0058432E" w:rsidRDefault="002A3A97" w:rsidP="004A24CF">
            <w:pPr>
              <w:jc w:val="center"/>
              <w:rPr>
                <w:color w:val="000000" w:themeColor="text1"/>
              </w:rPr>
            </w:pPr>
            <w:r w:rsidRPr="0058432E">
              <w:rPr>
                <w:color w:val="000000" w:themeColor="text1"/>
              </w:rPr>
              <w:t>Résultats</w:t>
            </w:r>
            <w:r w:rsidR="001456CD" w:rsidRPr="0058432E">
              <w:rPr>
                <w:color w:val="000000" w:themeColor="text1"/>
              </w:rPr>
              <w:t xml:space="preserve"> d’efficacité</w:t>
            </w:r>
          </w:p>
        </w:tc>
      </w:tr>
      <w:tr w:rsidR="001456CD" w:rsidRPr="0058432E" w14:paraId="239DFF8A"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0F3943EB" w14:textId="77777777" w:rsidR="001456CD" w:rsidRPr="0058432E" w:rsidRDefault="001456CD" w:rsidP="004A24CF">
            <w:pPr>
              <w:rPr>
                <w:color w:val="000000" w:themeColor="text1"/>
              </w:rPr>
            </w:pPr>
            <w:r w:rsidRPr="0058432E">
              <w:rPr>
                <w:color w:val="000000" w:themeColor="text1"/>
              </w:rPr>
              <w:lastRenderedPageBreak/>
              <w:t>Phase en double aveugle de 32 semaines</w:t>
            </w:r>
          </w:p>
        </w:tc>
        <w:tc>
          <w:tcPr>
            <w:tcW w:w="1017" w:type="pct"/>
            <w:tcBorders>
              <w:top w:val="single" w:sz="4" w:space="0" w:color="auto"/>
              <w:left w:val="single" w:sz="4" w:space="0" w:color="auto"/>
              <w:bottom w:val="single" w:sz="4" w:space="0" w:color="auto"/>
              <w:right w:val="single" w:sz="4" w:space="0" w:color="auto"/>
            </w:tcBorders>
            <w:hideMark/>
          </w:tcPr>
          <w:p w14:paraId="22EF59FA" w14:textId="77777777" w:rsidR="001456CD" w:rsidRPr="0058432E" w:rsidRDefault="001456CD" w:rsidP="004A24CF">
            <w:pPr>
              <w:jc w:val="center"/>
              <w:rPr>
                <w:color w:val="000000" w:themeColor="text1"/>
              </w:rPr>
            </w:pPr>
            <w:r w:rsidRPr="0058432E">
              <w:rPr>
                <w:color w:val="000000" w:themeColor="text1"/>
              </w:rPr>
              <w:t>Adalimumab/MTX</w:t>
            </w:r>
          </w:p>
          <w:p w14:paraId="535B89DC" w14:textId="77777777" w:rsidR="001456CD" w:rsidRPr="0058432E" w:rsidRDefault="001456CD" w:rsidP="004A24CF">
            <w:pPr>
              <w:jc w:val="center"/>
              <w:rPr>
                <w:color w:val="000000" w:themeColor="text1"/>
              </w:rPr>
            </w:pPr>
            <w:r w:rsidRPr="0058432E">
              <w:rPr>
                <w:color w:val="000000" w:themeColor="text1"/>
              </w:rPr>
              <w:t>(N = 38)</w:t>
            </w:r>
          </w:p>
        </w:tc>
        <w:tc>
          <w:tcPr>
            <w:tcW w:w="922" w:type="pct"/>
            <w:tcBorders>
              <w:top w:val="single" w:sz="4" w:space="0" w:color="auto"/>
              <w:left w:val="single" w:sz="4" w:space="0" w:color="auto"/>
              <w:bottom w:val="single" w:sz="4" w:space="0" w:color="auto"/>
              <w:right w:val="single" w:sz="4" w:space="0" w:color="auto"/>
            </w:tcBorders>
            <w:hideMark/>
          </w:tcPr>
          <w:p w14:paraId="79C4A60B" w14:textId="77777777" w:rsidR="001456CD" w:rsidRPr="0058432E" w:rsidRDefault="001456CD" w:rsidP="004A24CF">
            <w:pPr>
              <w:jc w:val="center"/>
              <w:rPr>
                <w:color w:val="000000" w:themeColor="text1"/>
              </w:rPr>
            </w:pPr>
            <w:r w:rsidRPr="0058432E">
              <w:rPr>
                <w:color w:val="000000" w:themeColor="text1"/>
              </w:rPr>
              <w:t>Placebo/MTX</w:t>
            </w:r>
          </w:p>
          <w:p w14:paraId="0822EE22" w14:textId="77777777" w:rsidR="001456CD" w:rsidRPr="0058432E" w:rsidRDefault="001456CD" w:rsidP="004A24CF">
            <w:pPr>
              <w:jc w:val="center"/>
              <w:rPr>
                <w:color w:val="000000" w:themeColor="text1"/>
              </w:rPr>
            </w:pPr>
            <w:r w:rsidRPr="0058432E">
              <w:rPr>
                <w:color w:val="000000" w:themeColor="text1"/>
              </w:rPr>
              <w:t>(N = 37)</w:t>
            </w:r>
          </w:p>
        </w:tc>
        <w:tc>
          <w:tcPr>
            <w:tcW w:w="1017" w:type="pct"/>
            <w:tcBorders>
              <w:top w:val="single" w:sz="4" w:space="0" w:color="auto"/>
              <w:left w:val="single" w:sz="4" w:space="0" w:color="auto"/>
              <w:bottom w:val="single" w:sz="4" w:space="0" w:color="auto"/>
              <w:right w:val="single" w:sz="4" w:space="0" w:color="auto"/>
            </w:tcBorders>
            <w:hideMark/>
          </w:tcPr>
          <w:p w14:paraId="3F1644D3" w14:textId="77777777" w:rsidR="001456CD" w:rsidRPr="0058432E" w:rsidRDefault="001456CD" w:rsidP="004A24CF">
            <w:pPr>
              <w:jc w:val="center"/>
              <w:rPr>
                <w:color w:val="000000" w:themeColor="text1"/>
              </w:rPr>
            </w:pPr>
            <w:r w:rsidRPr="0058432E">
              <w:rPr>
                <w:color w:val="000000" w:themeColor="text1"/>
              </w:rPr>
              <w:t>Adalimumab</w:t>
            </w:r>
          </w:p>
          <w:p w14:paraId="545B2E83" w14:textId="77777777" w:rsidR="001456CD" w:rsidRPr="0058432E" w:rsidRDefault="001456CD" w:rsidP="004A24CF">
            <w:pPr>
              <w:jc w:val="center"/>
              <w:rPr>
                <w:color w:val="000000" w:themeColor="text1"/>
              </w:rPr>
            </w:pPr>
            <w:r w:rsidRPr="0058432E">
              <w:rPr>
                <w:color w:val="000000" w:themeColor="text1"/>
              </w:rPr>
              <w:t>(N = 30)</w:t>
            </w:r>
          </w:p>
        </w:tc>
        <w:tc>
          <w:tcPr>
            <w:tcW w:w="733" w:type="pct"/>
            <w:tcBorders>
              <w:top w:val="single" w:sz="4" w:space="0" w:color="auto"/>
              <w:left w:val="single" w:sz="4" w:space="0" w:color="auto"/>
              <w:bottom w:val="single" w:sz="4" w:space="0" w:color="auto"/>
              <w:right w:val="single" w:sz="4" w:space="0" w:color="auto"/>
            </w:tcBorders>
            <w:hideMark/>
          </w:tcPr>
          <w:p w14:paraId="49144BF4" w14:textId="77777777" w:rsidR="001456CD" w:rsidRPr="0058432E" w:rsidRDefault="001456CD" w:rsidP="004A24CF">
            <w:pPr>
              <w:jc w:val="center"/>
              <w:rPr>
                <w:color w:val="000000" w:themeColor="text1"/>
              </w:rPr>
            </w:pPr>
            <w:r w:rsidRPr="0058432E">
              <w:rPr>
                <w:color w:val="000000" w:themeColor="text1"/>
              </w:rPr>
              <w:t>Placebo</w:t>
            </w:r>
          </w:p>
          <w:p w14:paraId="2AB2ACDA" w14:textId="77777777" w:rsidR="001456CD" w:rsidRPr="0058432E" w:rsidRDefault="001456CD" w:rsidP="004A24CF">
            <w:pPr>
              <w:jc w:val="center"/>
              <w:rPr>
                <w:color w:val="000000" w:themeColor="text1"/>
              </w:rPr>
            </w:pPr>
            <w:r w:rsidRPr="0058432E">
              <w:rPr>
                <w:color w:val="000000" w:themeColor="text1"/>
              </w:rPr>
              <w:t>(N = 28)</w:t>
            </w:r>
          </w:p>
        </w:tc>
      </w:tr>
      <w:tr w:rsidR="001456CD" w:rsidRPr="0058432E" w14:paraId="2272BF3D"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7F610A86" w14:textId="77777777" w:rsidR="001456CD" w:rsidRPr="0058432E" w:rsidRDefault="001456CD" w:rsidP="004A24CF">
            <w:pPr>
              <w:ind w:left="180"/>
              <w:rPr>
                <w:color w:val="000000" w:themeColor="text1"/>
              </w:rPr>
            </w:pPr>
            <w:r w:rsidRPr="0058432E">
              <w:rPr>
                <w:color w:val="000000" w:themeColor="text1"/>
              </w:rPr>
              <w:t>Poussées de la maladie à la fin des 32 semaines</w:t>
            </w:r>
            <w:r w:rsidRPr="0058432E">
              <w:rPr>
                <w:color w:val="000000" w:themeColor="text1"/>
                <w:vertAlign w:val="superscript"/>
              </w:rPr>
              <w:t>a</w:t>
            </w:r>
            <w:r w:rsidRPr="0058432E">
              <w:rPr>
                <w:color w:val="000000" w:themeColor="text1"/>
              </w:rPr>
              <w:t xml:space="preserve"> (n/N)</w:t>
            </w:r>
          </w:p>
        </w:tc>
        <w:tc>
          <w:tcPr>
            <w:tcW w:w="1017" w:type="pct"/>
            <w:tcBorders>
              <w:top w:val="single" w:sz="4" w:space="0" w:color="auto"/>
              <w:left w:val="single" w:sz="4" w:space="0" w:color="auto"/>
              <w:bottom w:val="single" w:sz="4" w:space="0" w:color="auto"/>
              <w:right w:val="single" w:sz="4" w:space="0" w:color="auto"/>
            </w:tcBorders>
            <w:hideMark/>
          </w:tcPr>
          <w:p w14:paraId="48DDBC20" w14:textId="77777777" w:rsidR="001456CD" w:rsidRPr="0058432E" w:rsidRDefault="001456CD" w:rsidP="004A24CF">
            <w:pPr>
              <w:jc w:val="center"/>
              <w:rPr>
                <w:color w:val="000000" w:themeColor="text1"/>
              </w:rPr>
            </w:pPr>
            <w:r w:rsidRPr="0058432E">
              <w:rPr>
                <w:color w:val="000000" w:themeColor="text1"/>
              </w:rPr>
              <w:t>36,8 % (14/38)</w:t>
            </w:r>
          </w:p>
        </w:tc>
        <w:tc>
          <w:tcPr>
            <w:tcW w:w="922" w:type="pct"/>
            <w:tcBorders>
              <w:top w:val="single" w:sz="4" w:space="0" w:color="auto"/>
              <w:left w:val="single" w:sz="4" w:space="0" w:color="auto"/>
              <w:bottom w:val="single" w:sz="4" w:space="0" w:color="auto"/>
              <w:right w:val="single" w:sz="4" w:space="0" w:color="auto"/>
            </w:tcBorders>
            <w:hideMark/>
          </w:tcPr>
          <w:p w14:paraId="7D8704CB" w14:textId="77777777" w:rsidR="001456CD" w:rsidRPr="0058432E" w:rsidRDefault="001456CD" w:rsidP="004A24CF">
            <w:pPr>
              <w:jc w:val="center"/>
              <w:rPr>
                <w:color w:val="000000" w:themeColor="text1"/>
              </w:rPr>
            </w:pPr>
            <w:r w:rsidRPr="0058432E">
              <w:rPr>
                <w:color w:val="000000" w:themeColor="text1"/>
              </w:rPr>
              <w:t>64,9 % (24/</w:t>
            </w:r>
            <w:proofErr w:type="gramStart"/>
            <w:r w:rsidRPr="0058432E">
              <w:rPr>
                <w:color w:val="000000" w:themeColor="text1"/>
              </w:rPr>
              <w:t>37)</w:t>
            </w:r>
            <w:r w:rsidRPr="0058432E">
              <w:rPr>
                <w:color w:val="000000" w:themeColor="text1"/>
                <w:vertAlign w:val="superscript"/>
              </w:rPr>
              <w:t>b</w:t>
            </w:r>
            <w:proofErr w:type="gramEnd"/>
          </w:p>
        </w:tc>
        <w:tc>
          <w:tcPr>
            <w:tcW w:w="1017" w:type="pct"/>
            <w:tcBorders>
              <w:top w:val="single" w:sz="4" w:space="0" w:color="auto"/>
              <w:left w:val="single" w:sz="4" w:space="0" w:color="auto"/>
              <w:bottom w:val="single" w:sz="4" w:space="0" w:color="auto"/>
              <w:right w:val="single" w:sz="4" w:space="0" w:color="auto"/>
            </w:tcBorders>
            <w:hideMark/>
          </w:tcPr>
          <w:p w14:paraId="3FCFD289" w14:textId="77777777" w:rsidR="001456CD" w:rsidRPr="0058432E" w:rsidRDefault="001456CD" w:rsidP="004A24CF">
            <w:pPr>
              <w:jc w:val="center"/>
              <w:rPr>
                <w:color w:val="000000" w:themeColor="text1"/>
              </w:rPr>
            </w:pPr>
            <w:r w:rsidRPr="0058432E">
              <w:rPr>
                <w:color w:val="000000" w:themeColor="text1"/>
              </w:rPr>
              <w:t>43,3 % (13/30)</w:t>
            </w:r>
          </w:p>
        </w:tc>
        <w:tc>
          <w:tcPr>
            <w:tcW w:w="733" w:type="pct"/>
            <w:tcBorders>
              <w:top w:val="single" w:sz="4" w:space="0" w:color="auto"/>
              <w:left w:val="single" w:sz="4" w:space="0" w:color="auto"/>
              <w:bottom w:val="single" w:sz="4" w:space="0" w:color="auto"/>
              <w:right w:val="single" w:sz="4" w:space="0" w:color="auto"/>
            </w:tcBorders>
            <w:hideMark/>
          </w:tcPr>
          <w:p w14:paraId="22CCB61A" w14:textId="77777777" w:rsidR="001456CD" w:rsidRPr="0058432E" w:rsidRDefault="001456CD" w:rsidP="004A24CF">
            <w:pPr>
              <w:jc w:val="center"/>
              <w:rPr>
                <w:color w:val="000000" w:themeColor="text1"/>
              </w:rPr>
            </w:pPr>
            <w:r w:rsidRPr="0058432E">
              <w:rPr>
                <w:color w:val="000000" w:themeColor="text1"/>
              </w:rPr>
              <w:t>71,4 % (20/</w:t>
            </w:r>
            <w:proofErr w:type="gramStart"/>
            <w:r w:rsidRPr="0058432E">
              <w:rPr>
                <w:color w:val="000000" w:themeColor="text1"/>
              </w:rPr>
              <w:t>28)</w:t>
            </w:r>
            <w:r w:rsidRPr="0058432E">
              <w:rPr>
                <w:color w:val="000000" w:themeColor="text1"/>
                <w:vertAlign w:val="superscript"/>
              </w:rPr>
              <w:t>c</w:t>
            </w:r>
            <w:proofErr w:type="gramEnd"/>
          </w:p>
        </w:tc>
      </w:tr>
      <w:tr w:rsidR="001456CD" w:rsidRPr="0058432E" w14:paraId="22886054"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271F5F0E" w14:textId="77777777" w:rsidR="001456CD" w:rsidRPr="0058432E" w:rsidRDefault="001456CD" w:rsidP="004A24CF">
            <w:pPr>
              <w:ind w:left="180"/>
              <w:rPr>
                <w:color w:val="000000" w:themeColor="text1"/>
              </w:rPr>
            </w:pPr>
            <w:r w:rsidRPr="0058432E">
              <w:rPr>
                <w:color w:val="000000" w:themeColor="text1"/>
              </w:rPr>
              <w:t>Délai médian jusqu’à une poussée de la maladie</w:t>
            </w:r>
          </w:p>
        </w:tc>
        <w:tc>
          <w:tcPr>
            <w:tcW w:w="1017" w:type="pct"/>
            <w:tcBorders>
              <w:top w:val="single" w:sz="4" w:space="0" w:color="auto"/>
              <w:left w:val="single" w:sz="4" w:space="0" w:color="auto"/>
              <w:bottom w:val="single" w:sz="4" w:space="0" w:color="auto"/>
              <w:right w:val="single" w:sz="4" w:space="0" w:color="auto"/>
            </w:tcBorders>
            <w:hideMark/>
          </w:tcPr>
          <w:p w14:paraId="798E5208" w14:textId="77777777" w:rsidR="001456CD" w:rsidRPr="0058432E" w:rsidRDefault="001456CD" w:rsidP="004A24CF">
            <w:pPr>
              <w:jc w:val="center"/>
              <w:rPr>
                <w:color w:val="000000" w:themeColor="text1"/>
              </w:rPr>
            </w:pPr>
            <w:r w:rsidRPr="0058432E">
              <w:rPr>
                <w:color w:val="000000" w:themeColor="text1"/>
              </w:rPr>
              <w:t>&gt; 32 semaines</w:t>
            </w:r>
          </w:p>
        </w:tc>
        <w:tc>
          <w:tcPr>
            <w:tcW w:w="922" w:type="pct"/>
            <w:tcBorders>
              <w:top w:val="single" w:sz="4" w:space="0" w:color="auto"/>
              <w:left w:val="single" w:sz="4" w:space="0" w:color="auto"/>
              <w:bottom w:val="single" w:sz="4" w:space="0" w:color="auto"/>
              <w:right w:val="single" w:sz="4" w:space="0" w:color="auto"/>
            </w:tcBorders>
            <w:hideMark/>
          </w:tcPr>
          <w:p w14:paraId="63EDF4B7" w14:textId="77777777" w:rsidR="001456CD" w:rsidRPr="0058432E" w:rsidRDefault="001456CD" w:rsidP="004A24CF">
            <w:pPr>
              <w:jc w:val="center"/>
              <w:rPr>
                <w:color w:val="000000" w:themeColor="text1"/>
              </w:rPr>
            </w:pPr>
            <w:r w:rsidRPr="0058432E">
              <w:rPr>
                <w:color w:val="000000" w:themeColor="text1"/>
              </w:rPr>
              <w:t>20 semaines</w:t>
            </w:r>
          </w:p>
        </w:tc>
        <w:tc>
          <w:tcPr>
            <w:tcW w:w="1017" w:type="pct"/>
            <w:tcBorders>
              <w:top w:val="single" w:sz="4" w:space="0" w:color="auto"/>
              <w:left w:val="single" w:sz="4" w:space="0" w:color="auto"/>
              <w:bottom w:val="single" w:sz="4" w:space="0" w:color="auto"/>
              <w:right w:val="single" w:sz="4" w:space="0" w:color="auto"/>
            </w:tcBorders>
            <w:hideMark/>
          </w:tcPr>
          <w:p w14:paraId="3AD1FB67" w14:textId="77777777" w:rsidR="001456CD" w:rsidRPr="0058432E" w:rsidRDefault="001456CD" w:rsidP="004A24CF">
            <w:pPr>
              <w:jc w:val="center"/>
              <w:rPr>
                <w:color w:val="000000" w:themeColor="text1"/>
              </w:rPr>
            </w:pPr>
            <w:r w:rsidRPr="0058432E">
              <w:rPr>
                <w:color w:val="000000" w:themeColor="text1"/>
              </w:rPr>
              <w:t>&gt; 32 semaines</w:t>
            </w:r>
          </w:p>
        </w:tc>
        <w:tc>
          <w:tcPr>
            <w:tcW w:w="733" w:type="pct"/>
            <w:tcBorders>
              <w:top w:val="single" w:sz="4" w:space="0" w:color="auto"/>
              <w:left w:val="single" w:sz="4" w:space="0" w:color="auto"/>
              <w:bottom w:val="single" w:sz="4" w:space="0" w:color="auto"/>
              <w:right w:val="single" w:sz="4" w:space="0" w:color="auto"/>
            </w:tcBorders>
            <w:hideMark/>
          </w:tcPr>
          <w:p w14:paraId="24A67FFA" w14:textId="77777777" w:rsidR="001456CD" w:rsidRPr="0058432E" w:rsidRDefault="001456CD" w:rsidP="004A24CF">
            <w:pPr>
              <w:jc w:val="center"/>
              <w:rPr>
                <w:color w:val="000000" w:themeColor="text1"/>
              </w:rPr>
            </w:pPr>
            <w:r w:rsidRPr="0058432E">
              <w:rPr>
                <w:color w:val="000000" w:themeColor="text1"/>
              </w:rPr>
              <w:t>14 semaines</w:t>
            </w:r>
          </w:p>
        </w:tc>
      </w:tr>
      <w:tr w:rsidR="001456CD" w:rsidRPr="0058432E" w14:paraId="2BCAAD79" w14:textId="77777777" w:rsidTr="004A24CF">
        <w:tc>
          <w:tcPr>
            <w:tcW w:w="5000" w:type="pct"/>
            <w:gridSpan w:val="5"/>
            <w:tcBorders>
              <w:top w:val="single" w:sz="4" w:space="0" w:color="auto"/>
              <w:left w:val="nil"/>
              <w:bottom w:val="nil"/>
              <w:right w:val="nil"/>
            </w:tcBorders>
          </w:tcPr>
          <w:p w14:paraId="64E44D6E" w14:textId="77777777" w:rsidR="001456CD" w:rsidRPr="0058432E" w:rsidRDefault="001456CD" w:rsidP="004A24CF">
            <w:pPr>
              <w:pStyle w:val="BodyText"/>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Réponses ACR Péd. 30/50/70 en semaine 48 significativement plus élevées que celles des patients sous placebo</w:t>
            </w:r>
          </w:p>
          <w:p w14:paraId="257B69C7" w14:textId="77777777" w:rsidR="001456CD" w:rsidRPr="0058432E" w:rsidRDefault="001456CD" w:rsidP="004A24CF">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0,015</w:t>
            </w:r>
          </w:p>
          <w:p w14:paraId="0A95B197" w14:textId="77777777" w:rsidR="001456CD" w:rsidRPr="0058432E" w:rsidRDefault="001456CD" w:rsidP="004A24CF">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0,031</w:t>
            </w:r>
          </w:p>
        </w:tc>
      </w:tr>
    </w:tbl>
    <w:p w14:paraId="196DB69A" w14:textId="77777777" w:rsidR="001456CD" w:rsidRPr="0058432E" w:rsidRDefault="001456CD" w:rsidP="001456CD">
      <w:pPr>
        <w:pStyle w:val="BodyText"/>
        <w:widowControl/>
        <w:kinsoku w:val="0"/>
        <w:overflowPunct w:val="0"/>
        <w:ind w:left="0"/>
        <w:rPr>
          <w:color w:val="000000" w:themeColor="text1"/>
        </w:rPr>
      </w:pPr>
    </w:p>
    <w:p w14:paraId="2102FBE7"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Chez les sujets qui avaient répondu en semaine 16 (n = 144), les réponses ACR pédiatriques 30/50/70/90 ont été maintenues pendant des durées allant jusqu’à six ans dans la phase d’extension en ouvert chez les patients qui avaient reçu l’adalimumab pendant toute l’étude. Dix-neuf patients dont 11 du groupe d’âge de 4 à 12 ans et 8 du groupe d’âge de 13 à 17 ans ont été traités pendant 6 ans ou plus.</w:t>
      </w:r>
    </w:p>
    <w:p w14:paraId="0A868B1D" w14:textId="77777777" w:rsidR="001456CD" w:rsidRPr="0058432E" w:rsidRDefault="001456CD" w:rsidP="001456CD">
      <w:pPr>
        <w:pStyle w:val="BodyText"/>
        <w:widowControl/>
        <w:kinsoku w:val="0"/>
        <w:overflowPunct w:val="0"/>
        <w:ind w:left="0"/>
        <w:rPr>
          <w:color w:val="000000" w:themeColor="text1"/>
        </w:rPr>
      </w:pPr>
    </w:p>
    <w:p w14:paraId="669381DE"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réponses globales ont été généralement supérieures et le nombre de patients ayant développé des anticorps a été plus faible avec l’association adalimumab plus MTX qu’avec l’adalimumab en monothérapie. En tenant compte de ces résultats, l’adalimumab est recommandé en association avec le MTX et en monothérapie chez les patients pour lesquels le traitement par MTX est inadapté (voir rubrique 4.2).</w:t>
      </w:r>
    </w:p>
    <w:p w14:paraId="43EA138A" w14:textId="77777777" w:rsidR="001456CD" w:rsidRPr="0058432E" w:rsidRDefault="001456CD" w:rsidP="001456CD">
      <w:pPr>
        <w:rPr>
          <w:color w:val="000000" w:themeColor="text1"/>
        </w:rPr>
      </w:pPr>
    </w:p>
    <w:p w14:paraId="05FC7292" w14:textId="77777777" w:rsidR="001456CD" w:rsidRPr="0058432E" w:rsidRDefault="001456CD" w:rsidP="001456CD">
      <w:pPr>
        <w:pStyle w:val="BodyText"/>
        <w:keepNext/>
        <w:widowControl/>
        <w:kinsoku w:val="0"/>
        <w:overflowPunct w:val="0"/>
        <w:ind w:left="0"/>
        <w:rPr>
          <w:color w:val="000000" w:themeColor="text1"/>
        </w:rPr>
      </w:pPr>
      <w:r w:rsidRPr="0058432E">
        <w:rPr>
          <w:color w:val="000000" w:themeColor="text1"/>
        </w:rPr>
        <w:t>AJIp II</w:t>
      </w:r>
    </w:p>
    <w:p w14:paraId="40C411EC" w14:textId="77777777" w:rsidR="001456CD" w:rsidRPr="0058432E" w:rsidRDefault="001456CD" w:rsidP="001456CD">
      <w:pPr>
        <w:pStyle w:val="BodyText"/>
        <w:keepNext/>
        <w:widowControl/>
        <w:kinsoku w:val="0"/>
        <w:overflowPunct w:val="0"/>
        <w:ind w:left="0"/>
        <w:rPr>
          <w:color w:val="000000" w:themeColor="text1"/>
        </w:rPr>
      </w:pPr>
    </w:p>
    <w:p w14:paraId="3CF05E21"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en ouvert, multicentrique chez 32 enfants (âgés de 2 à 4 ans ou âgés de 4 ans et plus, de poids &lt; 15 kg) présentant une AJI polyarticulaire modérément à sévèrement active. Les patients ont reçu l’adalimumab à la dose de 24 mg/m</w:t>
      </w:r>
      <w:r w:rsidRPr="0058432E">
        <w:rPr>
          <w:color w:val="000000" w:themeColor="text1"/>
          <w:vertAlign w:val="superscript"/>
        </w:rPr>
        <w:t>2</w:t>
      </w:r>
      <w:r w:rsidRPr="0058432E">
        <w:rPr>
          <w:color w:val="000000" w:themeColor="text1"/>
        </w:rPr>
        <w:t xml:space="preserve"> de surface corporelle jusqu’à une dose maximale de 20 mg en une seule injection sous-cutanée toutes les 2 semaines pendant au moins 24 semaines. Durant l’étude, la plupart des patients avaient un traitement concomitant par MTX, une plus faible proportion avait des corticoïdes ou des AINS.</w:t>
      </w:r>
    </w:p>
    <w:p w14:paraId="6C57F832" w14:textId="77777777" w:rsidR="001456CD" w:rsidRPr="0058432E" w:rsidRDefault="001456CD" w:rsidP="001456CD">
      <w:pPr>
        <w:pStyle w:val="BodyText"/>
        <w:widowControl/>
        <w:kinsoku w:val="0"/>
        <w:overflowPunct w:val="0"/>
        <w:ind w:left="0"/>
        <w:rPr>
          <w:color w:val="000000" w:themeColor="text1"/>
          <w:szCs w:val="21"/>
        </w:rPr>
      </w:pPr>
    </w:p>
    <w:p w14:paraId="05D978B3" w14:textId="77777777" w:rsidR="001456CD" w:rsidRPr="0058432E" w:rsidRDefault="001456CD" w:rsidP="001456CD">
      <w:pPr>
        <w:pStyle w:val="BodyText"/>
        <w:kinsoku w:val="0"/>
        <w:overflowPunct w:val="0"/>
        <w:ind w:left="0"/>
        <w:rPr>
          <w:color w:val="000000" w:themeColor="text1"/>
        </w:rPr>
      </w:pPr>
      <w:r w:rsidRPr="0058432E">
        <w:rPr>
          <w:color w:val="000000" w:themeColor="text1"/>
        </w:rPr>
        <w:t xml:space="preserve">À la semaine 12 et à la semaine 24, la réponse ACR 30 </w:t>
      </w:r>
      <w:r w:rsidR="00352EDF" w:rsidRPr="0058432E">
        <w:rPr>
          <w:color w:val="000000" w:themeColor="text1"/>
        </w:rPr>
        <w:t>p</w:t>
      </w:r>
      <w:r w:rsidRPr="0058432E">
        <w:rPr>
          <w:color w:val="000000" w:themeColor="text1"/>
        </w:rPr>
        <w:t xml:space="preserve">édiatrique était de 93,5 % et de 90,0 %, respectivement, en utilisant les données observées. La proportion de patients avec ACR 50/70/90 Pédiatrique à la semaine 12 et à la semaine 24 était respectivement de 90,3 %/61,3 %/38,7 % et 83,3 %/73,3 %/36,7 %. Parmi ceux ayant répondu (ACR 30 </w:t>
      </w:r>
      <w:r w:rsidR="00352EDF" w:rsidRPr="0058432E">
        <w:rPr>
          <w:color w:val="000000" w:themeColor="text1"/>
        </w:rPr>
        <w:t>p</w:t>
      </w:r>
      <w:r w:rsidRPr="0058432E">
        <w:rPr>
          <w:color w:val="000000" w:themeColor="text1"/>
        </w:rPr>
        <w:t xml:space="preserve">édiatrique) à la semaine 24 (n = 27 sur les 30 patients), la réponse ACR 30 </w:t>
      </w:r>
      <w:r w:rsidR="00352EDF" w:rsidRPr="0058432E">
        <w:rPr>
          <w:color w:val="000000" w:themeColor="text1"/>
        </w:rPr>
        <w:t>p</w:t>
      </w:r>
      <w:r w:rsidRPr="0058432E">
        <w:rPr>
          <w:color w:val="000000" w:themeColor="text1"/>
        </w:rPr>
        <w:t>édiatrique était maintenue jusqu’à 60 semaines dans la phase d’extension en ouvert chez les patients qui ont reçu l’adalimumab durant toute cette période. Globalement, 20 patients ont été traités pendant 60 semaines ou plus.</w:t>
      </w:r>
    </w:p>
    <w:p w14:paraId="02F8191D" w14:textId="77777777" w:rsidR="001456CD" w:rsidRPr="0058432E" w:rsidRDefault="001456CD" w:rsidP="001456CD">
      <w:pPr>
        <w:pStyle w:val="BodyText"/>
        <w:widowControl/>
        <w:kinsoku w:val="0"/>
        <w:overflowPunct w:val="0"/>
        <w:ind w:left="0"/>
        <w:rPr>
          <w:color w:val="000000" w:themeColor="text1"/>
        </w:rPr>
      </w:pPr>
    </w:p>
    <w:p w14:paraId="02E815DA"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Arthrite liée à l’enthésite</w:t>
      </w:r>
    </w:p>
    <w:p w14:paraId="1C9AF509" w14:textId="77777777" w:rsidR="001456CD" w:rsidRPr="0058432E" w:rsidRDefault="001456CD" w:rsidP="001456CD">
      <w:pPr>
        <w:pStyle w:val="BodyText"/>
        <w:keepNext/>
        <w:widowControl/>
        <w:kinsoku w:val="0"/>
        <w:overflowPunct w:val="0"/>
        <w:ind w:left="0"/>
        <w:rPr>
          <w:i/>
          <w:iCs/>
          <w:color w:val="000000" w:themeColor="text1"/>
        </w:rPr>
      </w:pPr>
    </w:p>
    <w:p w14:paraId="7FB72484"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multicentrique, randomisée en double aveugle chez 46 patients pédiatriques (âgés de 6 à 17 ans) présentant une arthrite liée à l’enthésite modérée. Les patients ont été randomisés pour recevoir, toutes les deux semaines pendant 12 semaines, soit une dose d’adalimumab de 24 mg/m</w:t>
      </w:r>
      <w:r w:rsidRPr="0058432E">
        <w:rPr>
          <w:color w:val="000000" w:themeColor="text1"/>
          <w:vertAlign w:val="superscript"/>
        </w:rPr>
        <w:t>2</w:t>
      </w:r>
      <w:r w:rsidRPr="0058432E">
        <w:rPr>
          <w:color w:val="000000" w:themeColor="text1"/>
        </w:rPr>
        <w:t xml:space="preserve"> de surface corporelle jusqu’à une dose maximale de 40 mg, soit un placebo. La phase en double aveugle a été suivie d’une phase en ouvert durant laquelle les patients recevaient une dose d’adalimumab de 24 mg/m</w:t>
      </w:r>
      <w:r w:rsidRPr="0058432E">
        <w:rPr>
          <w:color w:val="000000" w:themeColor="text1"/>
          <w:vertAlign w:val="superscript"/>
        </w:rPr>
        <w:t>2</w:t>
      </w:r>
      <w:r w:rsidRPr="0058432E">
        <w:rPr>
          <w:color w:val="000000" w:themeColor="text1"/>
        </w:rPr>
        <w:t xml:space="preserve"> de surface corporelle jusqu’à une dose maximale de 40 mg toutes les deux semaines par voie sous-cutanée pendant 192 semaines supplémentaires. Le critère d’évaluation principal était la variation en pourcentage du nombre d’articulations actives touchées par l’arthrite (gonflement non lié à une malformation ou articulations avec perte de mouvement et douleur et/ou sensibilité) entre l’inclusion et la semaine 12. Une réduction moyenne de -62,6 % (variation médiane : -88,9 %) a été observée chez </w:t>
      </w:r>
      <w:r w:rsidRPr="0058432E">
        <w:rPr>
          <w:color w:val="000000" w:themeColor="text1"/>
        </w:rPr>
        <w:lastRenderedPageBreak/>
        <w:t>les patients traités par l’adalimumab par rapport à -11,6 % (variation médiane : -50,0 %) chez les patients recevant le placebo. L’amélioration relative au nombre d’articulations actives touchées par l’arthrite a été maintenue au cours de la phase en ouvert jusqu’à la semaine 156 pour les 26 patients sur 31 (84 %) du groupe adalimumab qui sont restés dans l’étude. Une amélioration clinique mais non statistiquement significative a été observée chez la majorité des patients pour les critères secondaires tels que le nombre de sites d’enthésite, le nombre d’articulations douloureuses, le nombre d’articulations gonflées, et la réponse selon les critères ACR 50 et 70 pédiatriques.</w:t>
      </w:r>
    </w:p>
    <w:p w14:paraId="3000D4BD" w14:textId="77777777" w:rsidR="001456CD" w:rsidRPr="0058432E" w:rsidRDefault="001456CD" w:rsidP="001456CD">
      <w:pPr>
        <w:pStyle w:val="BodyText"/>
        <w:widowControl/>
        <w:kinsoku w:val="0"/>
        <w:overflowPunct w:val="0"/>
        <w:ind w:left="0"/>
        <w:rPr>
          <w:color w:val="000000" w:themeColor="text1"/>
        </w:rPr>
      </w:pPr>
    </w:p>
    <w:p w14:paraId="2AEE2902"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Psoriasis en plaques pédiatrique</w:t>
      </w:r>
    </w:p>
    <w:p w14:paraId="0DA7FD1C" w14:textId="77777777" w:rsidR="001456CD" w:rsidRPr="0058432E" w:rsidRDefault="001456CD" w:rsidP="001456CD">
      <w:pPr>
        <w:pStyle w:val="BodyText"/>
        <w:keepNext/>
        <w:widowControl/>
        <w:kinsoku w:val="0"/>
        <w:overflowPunct w:val="0"/>
        <w:ind w:left="0"/>
        <w:rPr>
          <w:i/>
          <w:iCs/>
          <w:color w:val="000000" w:themeColor="text1"/>
        </w:rPr>
      </w:pPr>
    </w:p>
    <w:p w14:paraId="00A5C450" w14:textId="77777777" w:rsidR="003C6824" w:rsidRPr="0058432E" w:rsidRDefault="001456CD" w:rsidP="001456CD">
      <w:pPr>
        <w:pStyle w:val="BodyText"/>
        <w:kinsoku w:val="0"/>
        <w:overflowPunct w:val="0"/>
        <w:ind w:left="0"/>
        <w:rPr>
          <w:color w:val="000000" w:themeColor="text1"/>
        </w:rPr>
      </w:pPr>
      <w:r w:rsidRPr="0058432E">
        <w:rPr>
          <w:color w:val="000000" w:themeColor="text1"/>
        </w:rPr>
        <w:t>L’efficacité de l’adalimumab a été évaluée dans une étude contrôlée, randomisée en double aveugle chez 114 patients pédiatriques âgés de 4 ans et plus présentant un psoriasis en plaques chronique sévère (défini par un score PGA</w:t>
      </w:r>
      <w:r w:rsidR="003C6824" w:rsidRPr="0058432E">
        <w:rPr>
          <w:color w:val="000000" w:themeColor="text1"/>
        </w:rPr>
        <w:t xml:space="preserve"> [</w:t>
      </w:r>
      <w:r w:rsidR="003C6824" w:rsidRPr="0058432E">
        <w:rPr>
          <w:i/>
          <w:iCs/>
          <w:color w:val="000000" w:themeColor="text1"/>
        </w:rPr>
        <w:t>Physician’s Global Assessment</w:t>
      </w:r>
      <w:r w:rsidR="003C6824" w:rsidRPr="0058432E">
        <w:rPr>
          <w:color w:val="000000" w:themeColor="text1"/>
        </w:rPr>
        <w:t>]</w:t>
      </w:r>
      <w:r w:rsidRPr="0058432E">
        <w:rPr>
          <w:color w:val="000000" w:themeColor="text1"/>
        </w:rPr>
        <w:t xml:space="preserve"> ≥ 4 ou une atteinte de la surface corporelle &gt; 20 % ou &gt; 10 % avec des lésions très épaisses ou un score du </w:t>
      </w:r>
      <w:r w:rsidR="003C6824" w:rsidRPr="0058432E">
        <w:rPr>
          <w:color w:val="000000" w:themeColor="text1"/>
        </w:rPr>
        <w:t>PASI [</w:t>
      </w:r>
      <w:r w:rsidR="003C6824" w:rsidRPr="0058432E">
        <w:rPr>
          <w:i/>
          <w:iCs/>
          <w:color w:val="000000" w:themeColor="text1"/>
        </w:rPr>
        <w:t>Psoriasis Area and Severity Index</w:t>
      </w:r>
      <w:r w:rsidR="003C6824" w:rsidRPr="0058432E">
        <w:rPr>
          <w:color w:val="000000" w:themeColor="text1"/>
        </w:rPr>
        <w:t>]</w:t>
      </w:r>
      <w:r w:rsidRPr="0058432E">
        <w:rPr>
          <w:color w:val="000000" w:themeColor="text1"/>
        </w:rPr>
        <w:t xml:space="preserve"> ≥ 20 ou ≥ 10 avec atteinte cliniquement significative du visage, des organes génitaux ou des mains et/ou pieds) qui n’était pas suffisamment contrôlé par un traitement topique et l’héliothérapie ou la photothérapie.</w:t>
      </w:r>
    </w:p>
    <w:p w14:paraId="7268D9D2" w14:textId="77777777" w:rsidR="001456CD" w:rsidRPr="0058432E" w:rsidRDefault="001456CD" w:rsidP="001456CD">
      <w:pPr>
        <w:pStyle w:val="BodyText"/>
        <w:widowControl/>
        <w:kinsoku w:val="0"/>
        <w:overflowPunct w:val="0"/>
        <w:ind w:left="0"/>
        <w:rPr>
          <w:color w:val="000000" w:themeColor="text1"/>
        </w:rPr>
      </w:pPr>
    </w:p>
    <w:p w14:paraId="3B79464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patients ont reçu l’adalimumab à la dose de 0,8 mg/kg toutes les deux semaines (jusqu’à 40 mg) ou 0,4 mg/kg toutes les deux semaines (jusqu’à 20 mg) ou le méthotrexate à la dose de 0,1 à 0,4 mg/kg une fois par semaine (jusqu’à 25 mg). À la semaine 16, il y a eu p</w:t>
      </w:r>
      <w:r w:rsidR="001237B9" w:rsidRPr="0058432E">
        <w:rPr>
          <w:color w:val="000000" w:themeColor="text1"/>
        </w:rPr>
        <w:t>lus de répondeurs (par ex. PASI </w:t>
      </w:r>
      <w:r w:rsidRPr="0058432E">
        <w:rPr>
          <w:color w:val="000000" w:themeColor="text1"/>
        </w:rPr>
        <w:t>75) chez les patients randomisés dans le groupe adalimumab 0,8 mg/kg toutes les deux semaines par rapport aux patients randomisés dans le groupe adalimumab 0,4 mg/kg toutes les deux semaines ou le MTX.</w:t>
      </w:r>
    </w:p>
    <w:p w14:paraId="368AC47A" w14:textId="77777777" w:rsidR="001456CD" w:rsidRPr="0058432E" w:rsidRDefault="001456CD" w:rsidP="001456CD">
      <w:pPr>
        <w:pStyle w:val="BodyText"/>
        <w:widowControl/>
        <w:kinsoku w:val="0"/>
        <w:overflowPunct w:val="0"/>
        <w:ind w:left="0"/>
        <w:rPr>
          <w:color w:val="000000" w:themeColor="text1"/>
          <w:szCs w:val="23"/>
        </w:rPr>
      </w:pPr>
    </w:p>
    <w:p w14:paraId="04A04142" w14:textId="77777777" w:rsidR="00E967BD" w:rsidRPr="0058432E" w:rsidRDefault="001456CD" w:rsidP="001456CD">
      <w:pPr>
        <w:keepNext/>
        <w:rPr>
          <w:b/>
          <w:color w:val="000000" w:themeColor="text1"/>
        </w:rPr>
      </w:pPr>
      <w:r w:rsidRPr="0058432E">
        <w:rPr>
          <w:b/>
          <w:color w:val="000000" w:themeColor="text1"/>
        </w:rPr>
        <w:t>Tableau </w:t>
      </w:r>
      <w:r w:rsidR="004A24CF" w:rsidRPr="0058432E">
        <w:rPr>
          <w:b/>
          <w:color w:val="000000" w:themeColor="text1"/>
        </w:rPr>
        <w:t>22</w:t>
      </w:r>
      <w:r w:rsidRPr="0058432E">
        <w:rPr>
          <w:b/>
          <w:color w:val="000000" w:themeColor="text1"/>
        </w:rPr>
        <w:t>.</w:t>
      </w:r>
    </w:p>
    <w:p w14:paraId="12F438A7" w14:textId="77777777" w:rsidR="001456CD" w:rsidRPr="0058432E" w:rsidRDefault="001456CD" w:rsidP="001456CD">
      <w:pPr>
        <w:keepNext/>
        <w:rPr>
          <w:b/>
          <w:bCs/>
          <w:color w:val="000000" w:themeColor="text1"/>
        </w:rPr>
      </w:pPr>
      <w:r w:rsidRPr="0058432E">
        <w:rPr>
          <w:b/>
          <w:color w:val="000000" w:themeColor="text1"/>
        </w:rPr>
        <w:t>Psoriasis en plaques pédiatrique — Résultats d’efficacité à 16 semaines</w:t>
      </w:r>
    </w:p>
    <w:p w14:paraId="3E2E1092" w14:textId="77777777" w:rsidR="001456CD" w:rsidRPr="0058432E" w:rsidRDefault="001456CD" w:rsidP="001456CD">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2991"/>
        <w:gridCol w:w="3035"/>
      </w:tblGrid>
      <w:tr w:rsidR="001456CD" w:rsidRPr="0058432E" w14:paraId="7D9BDA5A" w14:textId="77777777" w:rsidTr="004A24CF">
        <w:trPr>
          <w:cantSplit/>
          <w:tblHeader/>
        </w:trPr>
        <w:tc>
          <w:tcPr>
            <w:tcW w:w="3118" w:type="dxa"/>
            <w:tcBorders>
              <w:top w:val="single" w:sz="4" w:space="0" w:color="auto"/>
              <w:left w:val="single" w:sz="4" w:space="0" w:color="auto"/>
              <w:bottom w:val="single" w:sz="4" w:space="0" w:color="auto"/>
              <w:right w:val="single" w:sz="4" w:space="0" w:color="auto"/>
            </w:tcBorders>
          </w:tcPr>
          <w:p w14:paraId="083E89D5" w14:textId="77777777" w:rsidR="001456CD" w:rsidRPr="0058432E" w:rsidRDefault="001456CD" w:rsidP="004A24CF">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623A6D38" w14:textId="77777777" w:rsidR="001456CD" w:rsidRPr="0058432E" w:rsidRDefault="001456CD" w:rsidP="004A24CF">
            <w:pPr>
              <w:keepNext/>
              <w:jc w:val="center"/>
              <w:rPr>
                <w:b/>
                <w:color w:val="000000" w:themeColor="text1"/>
                <w:vertAlign w:val="superscript"/>
              </w:rPr>
            </w:pPr>
            <w:r w:rsidRPr="0058432E">
              <w:rPr>
                <w:b/>
                <w:color w:val="000000" w:themeColor="text1"/>
              </w:rPr>
              <w:t>MTX</w:t>
            </w:r>
            <w:r w:rsidRPr="0058432E">
              <w:rPr>
                <w:b/>
                <w:color w:val="000000" w:themeColor="text1"/>
                <w:vertAlign w:val="superscript"/>
              </w:rPr>
              <w:t>a</w:t>
            </w:r>
          </w:p>
          <w:p w14:paraId="767CEA10" w14:textId="77777777" w:rsidR="001456CD" w:rsidRPr="0058432E" w:rsidRDefault="001456CD" w:rsidP="004A24CF">
            <w:pPr>
              <w:keepNext/>
              <w:jc w:val="center"/>
              <w:rPr>
                <w:b/>
                <w:color w:val="000000" w:themeColor="text1"/>
              </w:rPr>
            </w:pPr>
            <w:r w:rsidRPr="0058432E">
              <w:rPr>
                <w:b/>
                <w:color w:val="000000" w:themeColor="text1"/>
              </w:rPr>
              <w:t>N = 37</w:t>
            </w:r>
          </w:p>
        </w:tc>
        <w:tc>
          <w:tcPr>
            <w:tcW w:w="3108" w:type="dxa"/>
            <w:tcBorders>
              <w:top w:val="single" w:sz="4" w:space="0" w:color="auto"/>
              <w:left w:val="single" w:sz="4" w:space="0" w:color="auto"/>
              <w:bottom w:val="single" w:sz="4" w:space="0" w:color="auto"/>
              <w:right w:val="single" w:sz="4" w:space="0" w:color="auto"/>
            </w:tcBorders>
            <w:hideMark/>
          </w:tcPr>
          <w:p w14:paraId="312C5728" w14:textId="77777777" w:rsidR="001456CD" w:rsidRPr="0058432E" w:rsidRDefault="001456CD" w:rsidP="004A24CF">
            <w:pPr>
              <w:keepNext/>
              <w:jc w:val="center"/>
              <w:rPr>
                <w:b/>
                <w:color w:val="000000" w:themeColor="text1"/>
              </w:rPr>
            </w:pPr>
            <w:r w:rsidRPr="0058432E">
              <w:rPr>
                <w:b/>
                <w:color w:val="000000" w:themeColor="text1"/>
              </w:rPr>
              <w:t xml:space="preserve">Adalimumab 0,8 mg/kg toutes les </w:t>
            </w:r>
            <w:r w:rsidR="00352EDF" w:rsidRPr="0058432E">
              <w:rPr>
                <w:b/>
                <w:color w:val="000000" w:themeColor="text1"/>
              </w:rPr>
              <w:t>deux</w:t>
            </w:r>
            <w:r w:rsidRPr="0058432E">
              <w:rPr>
                <w:b/>
                <w:color w:val="000000" w:themeColor="text1"/>
              </w:rPr>
              <w:t> semaines</w:t>
            </w:r>
          </w:p>
          <w:p w14:paraId="0D187060" w14:textId="77777777" w:rsidR="001456CD" w:rsidRPr="0058432E" w:rsidRDefault="001456CD" w:rsidP="004A24CF">
            <w:pPr>
              <w:keepNext/>
              <w:jc w:val="center"/>
              <w:rPr>
                <w:b/>
                <w:color w:val="000000" w:themeColor="text1"/>
              </w:rPr>
            </w:pPr>
            <w:r w:rsidRPr="0058432E">
              <w:rPr>
                <w:b/>
                <w:color w:val="000000" w:themeColor="text1"/>
              </w:rPr>
              <w:t>N = 38</w:t>
            </w:r>
          </w:p>
        </w:tc>
      </w:tr>
      <w:tr w:rsidR="001456CD" w:rsidRPr="0058432E" w14:paraId="19967D97" w14:textId="77777777" w:rsidTr="004A24CF">
        <w:trPr>
          <w:cantSplit/>
        </w:trPr>
        <w:tc>
          <w:tcPr>
            <w:tcW w:w="3118" w:type="dxa"/>
            <w:tcBorders>
              <w:top w:val="single" w:sz="4" w:space="0" w:color="auto"/>
              <w:left w:val="single" w:sz="4" w:space="0" w:color="auto"/>
              <w:bottom w:val="single" w:sz="4" w:space="0" w:color="auto"/>
              <w:right w:val="single" w:sz="4" w:space="0" w:color="auto"/>
            </w:tcBorders>
            <w:hideMark/>
          </w:tcPr>
          <w:p w14:paraId="5F14B9D6" w14:textId="77777777" w:rsidR="001456CD" w:rsidRPr="0058432E" w:rsidRDefault="001456CD" w:rsidP="004A24CF">
            <w:pPr>
              <w:rPr>
                <w:color w:val="000000" w:themeColor="text1"/>
              </w:rPr>
            </w:pPr>
            <w:r w:rsidRPr="0058432E">
              <w:rPr>
                <w:color w:val="000000" w:themeColor="text1"/>
              </w:rPr>
              <w:t>PASI 75</w:t>
            </w:r>
            <w:r w:rsidRPr="0058432E">
              <w:rPr>
                <w:color w:val="000000" w:themeColor="text1"/>
                <w:vertAlign w:val="superscript"/>
              </w:rPr>
              <w:t>b</w:t>
            </w:r>
          </w:p>
        </w:tc>
        <w:tc>
          <w:tcPr>
            <w:tcW w:w="3077" w:type="dxa"/>
            <w:tcBorders>
              <w:top w:val="single" w:sz="4" w:space="0" w:color="auto"/>
              <w:left w:val="single" w:sz="4" w:space="0" w:color="auto"/>
              <w:bottom w:val="single" w:sz="4" w:space="0" w:color="auto"/>
              <w:right w:val="single" w:sz="4" w:space="0" w:color="auto"/>
            </w:tcBorders>
            <w:hideMark/>
          </w:tcPr>
          <w:p w14:paraId="392A2C6C" w14:textId="77777777" w:rsidR="001456CD" w:rsidRPr="0058432E" w:rsidRDefault="001456CD" w:rsidP="004A24CF">
            <w:pPr>
              <w:jc w:val="center"/>
              <w:rPr>
                <w:color w:val="000000" w:themeColor="text1"/>
              </w:rPr>
            </w:pPr>
            <w:r w:rsidRPr="0058432E">
              <w:rPr>
                <w:color w:val="000000" w:themeColor="text1"/>
              </w:rPr>
              <w:t>12 (32,4 %)</w:t>
            </w:r>
          </w:p>
        </w:tc>
        <w:tc>
          <w:tcPr>
            <w:tcW w:w="3108" w:type="dxa"/>
            <w:tcBorders>
              <w:top w:val="single" w:sz="4" w:space="0" w:color="auto"/>
              <w:left w:val="single" w:sz="4" w:space="0" w:color="auto"/>
              <w:bottom w:val="single" w:sz="4" w:space="0" w:color="auto"/>
              <w:right w:val="single" w:sz="4" w:space="0" w:color="auto"/>
            </w:tcBorders>
            <w:hideMark/>
          </w:tcPr>
          <w:p w14:paraId="21F6F15F" w14:textId="77777777" w:rsidR="001456CD" w:rsidRPr="0058432E" w:rsidRDefault="001456CD" w:rsidP="004A24CF">
            <w:pPr>
              <w:jc w:val="center"/>
              <w:rPr>
                <w:color w:val="000000" w:themeColor="text1"/>
              </w:rPr>
            </w:pPr>
            <w:r w:rsidRPr="0058432E">
              <w:rPr>
                <w:color w:val="000000" w:themeColor="text1"/>
              </w:rPr>
              <w:t>22 (57,9 %)</w:t>
            </w:r>
          </w:p>
        </w:tc>
      </w:tr>
      <w:tr w:rsidR="001456CD" w:rsidRPr="0058432E" w14:paraId="1BA0DF34" w14:textId="77777777" w:rsidTr="004A24CF">
        <w:trPr>
          <w:cantSplit/>
        </w:trPr>
        <w:tc>
          <w:tcPr>
            <w:tcW w:w="3118" w:type="dxa"/>
            <w:tcBorders>
              <w:top w:val="single" w:sz="4" w:space="0" w:color="auto"/>
              <w:left w:val="single" w:sz="4" w:space="0" w:color="auto"/>
              <w:bottom w:val="single" w:sz="4" w:space="0" w:color="auto"/>
              <w:right w:val="single" w:sz="4" w:space="0" w:color="auto"/>
            </w:tcBorders>
            <w:hideMark/>
          </w:tcPr>
          <w:p w14:paraId="3D5CC68C" w14:textId="77777777" w:rsidR="001456CD" w:rsidRPr="0058432E" w:rsidRDefault="001456CD" w:rsidP="004A24CF">
            <w:pPr>
              <w:rPr>
                <w:color w:val="000000" w:themeColor="text1"/>
              </w:rPr>
            </w:pPr>
            <w:r w:rsidRPr="0058432E">
              <w:rPr>
                <w:color w:val="000000" w:themeColor="text1"/>
              </w:rPr>
              <w:t>PGA : clair/minimal</w:t>
            </w:r>
            <w:r w:rsidRPr="0058432E">
              <w:rPr>
                <w:color w:val="000000" w:themeColor="text1"/>
                <w:vertAlign w:val="superscript"/>
              </w:rPr>
              <w:t>c</w:t>
            </w:r>
          </w:p>
        </w:tc>
        <w:tc>
          <w:tcPr>
            <w:tcW w:w="3077" w:type="dxa"/>
            <w:tcBorders>
              <w:top w:val="single" w:sz="4" w:space="0" w:color="auto"/>
              <w:left w:val="single" w:sz="4" w:space="0" w:color="auto"/>
              <w:bottom w:val="single" w:sz="4" w:space="0" w:color="auto"/>
              <w:right w:val="single" w:sz="4" w:space="0" w:color="auto"/>
            </w:tcBorders>
            <w:hideMark/>
          </w:tcPr>
          <w:p w14:paraId="2B39C7A5" w14:textId="77777777" w:rsidR="001456CD" w:rsidRPr="0058432E" w:rsidRDefault="001456CD" w:rsidP="004A24CF">
            <w:pPr>
              <w:jc w:val="center"/>
              <w:rPr>
                <w:color w:val="000000" w:themeColor="text1"/>
              </w:rPr>
            </w:pPr>
            <w:r w:rsidRPr="0058432E">
              <w:rPr>
                <w:color w:val="000000" w:themeColor="text1"/>
              </w:rPr>
              <w:t>15 (40,5 %)</w:t>
            </w:r>
          </w:p>
        </w:tc>
        <w:tc>
          <w:tcPr>
            <w:tcW w:w="3108" w:type="dxa"/>
            <w:tcBorders>
              <w:top w:val="single" w:sz="4" w:space="0" w:color="auto"/>
              <w:left w:val="single" w:sz="4" w:space="0" w:color="auto"/>
              <w:bottom w:val="single" w:sz="4" w:space="0" w:color="auto"/>
              <w:right w:val="single" w:sz="4" w:space="0" w:color="auto"/>
            </w:tcBorders>
            <w:hideMark/>
          </w:tcPr>
          <w:p w14:paraId="62ACD629" w14:textId="77777777" w:rsidR="001456CD" w:rsidRPr="0058432E" w:rsidRDefault="001456CD" w:rsidP="004A24CF">
            <w:pPr>
              <w:jc w:val="center"/>
              <w:rPr>
                <w:color w:val="000000" w:themeColor="text1"/>
              </w:rPr>
            </w:pPr>
            <w:r w:rsidRPr="0058432E">
              <w:rPr>
                <w:color w:val="000000" w:themeColor="text1"/>
              </w:rPr>
              <w:t>23 (60,5 %)</w:t>
            </w:r>
          </w:p>
        </w:tc>
      </w:tr>
      <w:tr w:rsidR="001456CD" w:rsidRPr="0058432E" w14:paraId="590105EB" w14:textId="77777777" w:rsidTr="004A24CF">
        <w:trPr>
          <w:cantSplit/>
        </w:trPr>
        <w:tc>
          <w:tcPr>
            <w:tcW w:w="9303" w:type="dxa"/>
            <w:gridSpan w:val="3"/>
            <w:tcBorders>
              <w:top w:val="single" w:sz="4" w:space="0" w:color="auto"/>
              <w:left w:val="nil"/>
              <w:bottom w:val="nil"/>
              <w:right w:val="nil"/>
            </w:tcBorders>
          </w:tcPr>
          <w:p w14:paraId="059F8E7C"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MTX = méthotrexate</w:t>
            </w:r>
          </w:p>
          <w:p w14:paraId="5529CE30"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003D0DDE" w:rsidRPr="0058432E">
              <w:rPr>
                <w:i/>
                <w:color w:val="000000" w:themeColor="text1"/>
                <w:sz w:val="20"/>
              </w:rPr>
              <w:t>p</w:t>
            </w:r>
            <w:r w:rsidRPr="0058432E">
              <w:rPr>
                <w:color w:val="000000" w:themeColor="text1"/>
                <w:sz w:val="20"/>
              </w:rPr>
              <w:t xml:space="preserve"> = 0,027, adalimumab 0,8 mg/kg </w:t>
            </w:r>
            <w:r w:rsidRPr="0058432E">
              <w:rPr>
                <w:i/>
                <w:color w:val="000000" w:themeColor="text1"/>
                <w:sz w:val="20"/>
              </w:rPr>
              <w:t>versus</w:t>
            </w:r>
            <w:r w:rsidRPr="0058432E">
              <w:rPr>
                <w:color w:val="000000" w:themeColor="text1"/>
                <w:sz w:val="20"/>
              </w:rPr>
              <w:t xml:space="preserve"> MTX</w:t>
            </w:r>
          </w:p>
          <w:p w14:paraId="3FD7E88B"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003D0DDE" w:rsidRPr="0058432E">
              <w:rPr>
                <w:i/>
                <w:color w:val="000000" w:themeColor="text1"/>
                <w:sz w:val="20"/>
              </w:rPr>
              <w:t>p</w:t>
            </w:r>
            <w:r w:rsidRPr="0058432E">
              <w:rPr>
                <w:color w:val="000000" w:themeColor="text1"/>
                <w:sz w:val="20"/>
              </w:rPr>
              <w:t xml:space="preserve"> = 0,083, adalimumab 0,8 mg/kg </w:t>
            </w:r>
            <w:r w:rsidRPr="0058432E">
              <w:rPr>
                <w:i/>
                <w:color w:val="000000" w:themeColor="text1"/>
                <w:sz w:val="20"/>
              </w:rPr>
              <w:t>versus</w:t>
            </w:r>
            <w:r w:rsidRPr="0058432E">
              <w:rPr>
                <w:color w:val="000000" w:themeColor="text1"/>
                <w:sz w:val="20"/>
              </w:rPr>
              <w:t xml:space="preserve"> MTX</w:t>
            </w:r>
          </w:p>
        </w:tc>
      </w:tr>
    </w:tbl>
    <w:p w14:paraId="174CF804" w14:textId="77777777" w:rsidR="001456CD" w:rsidRPr="0058432E" w:rsidRDefault="001456CD" w:rsidP="001456CD">
      <w:pPr>
        <w:rPr>
          <w:color w:val="000000" w:themeColor="text1"/>
        </w:rPr>
      </w:pPr>
    </w:p>
    <w:p w14:paraId="7ED37DA7"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Chez les patients ayant obtenu un score PASI 75 et un score PGA « clair ou minimal », le traitement a été arrêté pendant une durée allant jusqu’à 36 semaines et ils ont été suivis pour détecter une perte de contrôle de la maladie (c’est-à-dire une aggravation d’au moins 2 grades du score PGA). Les patients ont ensuite été retraités par l’adalimumab 0,8 mg/kg toutes les deux semaines pendant 16 semaines supplémentaires et les taux de réponse observés pendant le retraitement ont été comparables à ceux rapportés pendant la phase en double aveugle antérieure : réponse PASI 75 chez 78,9 % des patients (15 sur 19) et score PGA « clair ou minimal » chez 52,6 % (10 sur 19).</w:t>
      </w:r>
    </w:p>
    <w:p w14:paraId="12886575" w14:textId="77777777" w:rsidR="001456CD" w:rsidRPr="0058432E" w:rsidRDefault="001456CD" w:rsidP="001456CD">
      <w:pPr>
        <w:pStyle w:val="BodyText"/>
        <w:widowControl/>
        <w:kinsoku w:val="0"/>
        <w:overflowPunct w:val="0"/>
        <w:ind w:left="0"/>
        <w:rPr>
          <w:color w:val="000000" w:themeColor="text1"/>
        </w:rPr>
      </w:pPr>
    </w:p>
    <w:p w14:paraId="15A901AA" w14:textId="77777777" w:rsidR="001456CD" w:rsidRPr="0058432E" w:rsidRDefault="001456CD" w:rsidP="00A31313">
      <w:pPr>
        <w:pStyle w:val="BodyText"/>
        <w:kinsoku w:val="0"/>
        <w:overflowPunct w:val="0"/>
        <w:ind w:left="0"/>
        <w:rPr>
          <w:color w:val="000000" w:themeColor="text1"/>
        </w:rPr>
      </w:pPr>
      <w:r w:rsidRPr="0058432E">
        <w:rPr>
          <w:color w:val="000000" w:themeColor="text1"/>
        </w:rPr>
        <w:t>Dans la phase en ouvert de l’étude, les réponses PASI 75 et PGA « clair ou minimal » ont été maintenues pendant une durée allant jusqu’à 52 semaines supplémentaires sans nouveaux signaux de sécurité.</w:t>
      </w:r>
    </w:p>
    <w:p w14:paraId="0FB1872A" w14:textId="77777777" w:rsidR="001456CD" w:rsidRPr="0058432E" w:rsidRDefault="001456CD" w:rsidP="00A31313">
      <w:pPr>
        <w:pStyle w:val="BodyText"/>
        <w:widowControl/>
        <w:kinsoku w:val="0"/>
        <w:overflowPunct w:val="0"/>
        <w:ind w:left="0"/>
        <w:rPr>
          <w:color w:val="000000" w:themeColor="text1"/>
        </w:rPr>
      </w:pPr>
    </w:p>
    <w:p w14:paraId="289B16C6" w14:textId="77777777" w:rsidR="00A31313" w:rsidRPr="0058432E" w:rsidRDefault="00A31313" w:rsidP="00A31313">
      <w:pPr>
        <w:pStyle w:val="BodyText"/>
        <w:kinsoku w:val="0"/>
        <w:overflowPunct w:val="0"/>
        <w:ind w:left="0"/>
        <w:rPr>
          <w:i/>
          <w:color w:val="000000" w:themeColor="text1"/>
        </w:rPr>
      </w:pPr>
      <w:r w:rsidRPr="0058432E">
        <w:rPr>
          <w:i/>
          <w:color w:val="000000" w:themeColor="text1"/>
        </w:rPr>
        <w:t>Hidrosadénite suppurée de l’adolescent</w:t>
      </w:r>
    </w:p>
    <w:p w14:paraId="60C56C77" w14:textId="77777777" w:rsidR="00A31313" w:rsidRPr="0058432E" w:rsidRDefault="00A31313" w:rsidP="00A31313">
      <w:pPr>
        <w:pStyle w:val="BodyText"/>
        <w:kinsoku w:val="0"/>
        <w:overflowPunct w:val="0"/>
        <w:ind w:left="0"/>
        <w:rPr>
          <w:color w:val="000000" w:themeColor="text1"/>
        </w:rPr>
      </w:pPr>
    </w:p>
    <w:p w14:paraId="10DEF676" w14:textId="77777777" w:rsidR="00A31313" w:rsidRPr="0058432E" w:rsidRDefault="00A31313" w:rsidP="00491257">
      <w:pPr>
        <w:pStyle w:val="BodyText"/>
        <w:kinsoku w:val="0"/>
        <w:overflowPunct w:val="0"/>
        <w:ind w:left="0"/>
        <w:rPr>
          <w:color w:val="000000" w:themeColor="text1"/>
        </w:rPr>
      </w:pPr>
      <w:r w:rsidRPr="0058432E">
        <w:rPr>
          <w:color w:val="000000" w:themeColor="text1"/>
        </w:rPr>
        <w:t xml:space="preserve">Il n’existe pas d’essai clinique conduit avec l’adalimumab chez des adolescents atteints d’HS. L’efficacité de l’adalimumab pour le traitement des adolescents atteints d’HS est prédite sur la base de l’efficacité et de la relation exposition-réponse démontrées chez des patients adultes atteints d’HS ainsi que de la probabilité que l’évolution de la maladie, sa physiopathologie et les effets du médicament soient sensiblement similaires à ceux observés chez les adultes aux mêmes niveaux d’exposition. La tolérance de la dose recommandée d’adalimumab chez les adolescents atteints d’HS est basée sur le </w:t>
      </w:r>
      <w:r w:rsidRPr="0058432E">
        <w:rPr>
          <w:color w:val="000000" w:themeColor="text1"/>
        </w:rPr>
        <w:lastRenderedPageBreak/>
        <w:t>profil de tolérance de l’adalimumab dans ses indications croisées chez les adultes et chez les patients pédiatriques à des doses similaires ou plus fréquentes (voir rubrique 5.2).</w:t>
      </w:r>
    </w:p>
    <w:p w14:paraId="54A1CF8D" w14:textId="77777777" w:rsidR="00A31313" w:rsidRPr="0058432E" w:rsidRDefault="00A31313" w:rsidP="00A31313">
      <w:pPr>
        <w:pStyle w:val="BodyText"/>
        <w:widowControl/>
        <w:kinsoku w:val="0"/>
        <w:overflowPunct w:val="0"/>
        <w:ind w:left="0"/>
        <w:rPr>
          <w:color w:val="000000" w:themeColor="text1"/>
        </w:rPr>
      </w:pPr>
    </w:p>
    <w:p w14:paraId="5EA44763" w14:textId="77777777" w:rsidR="001456CD" w:rsidRPr="0058432E" w:rsidRDefault="001456CD" w:rsidP="001456CD">
      <w:pPr>
        <w:pStyle w:val="BodyText"/>
        <w:keepNext/>
        <w:widowControl/>
        <w:kinsoku w:val="0"/>
        <w:overflowPunct w:val="0"/>
        <w:ind w:left="0"/>
        <w:rPr>
          <w:i/>
          <w:iCs/>
          <w:color w:val="000000" w:themeColor="text1"/>
        </w:rPr>
      </w:pPr>
      <w:r w:rsidRPr="0058432E">
        <w:rPr>
          <w:i/>
          <w:iCs/>
          <w:color w:val="000000" w:themeColor="text1"/>
        </w:rPr>
        <w:t>Maladie de Crohn pédiatrique</w:t>
      </w:r>
    </w:p>
    <w:p w14:paraId="5F5381C5" w14:textId="77777777" w:rsidR="001456CD" w:rsidRPr="0058432E" w:rsidRDefault="001456CD" w:rsidP="001456CD">
      <w:pPr>
        <w:pStyle w:val="BodyText"/>
        <w:keepNext/>
        <w:widowControl/>
        <w:kinsoku w:val="0"/>
        <w:overflowPunct w:val="0"/>
        <w:ind w:left="0"/>
        <w:rPr>
          <w:color w:val="000000" w:themeColor="text1"/>
        </w:rPr>
      </w:pPr>
    </w:p>
    <w:p w14:paraId="21A6567C" w14:textId="77777777" w:rsidR="001456CD" w:rsidRPr="0058432E" w:rsidRDefault="001456CD" w:rsidP="001456CD">
      <w:pPr>
        <w:pStyle w:val="BodyText"/>
        <w:kinsoku w:val="0"/>
        <w:overflowPunct w:val="0"/>
        <w:ind w:left="0"/>
        <w:rPr>
          <w:color w:val="000000" w:themeColor="text1"/>
        </w:rPr>
      </w:pPr>
      <w:r w:rsidRPr="0058432E">
        <w:rPr>
          <w:color w:val="000000" w:themeColor="text1"/>
        </w:rPr>
        <w:t>Une étude clinique multicentrique, randomisée, en double aveugle a évalué l’efficacité et la tolérance de l’adalimumab dans le traitement d’induction et le traitement d’entretien à des doses déterminées en fonction du poids (&lt; 40 kg ou ≥ 40 kg) chez 192 patients pédiatriques âgés de 6 à 17 ans (inclus), présentant une maladie de Crohn (MC) modérée à sévère, définie par un indice d’activité de la maladie de Crohn chez l’enfant (</w:t>
      </w:r>
      <w:r w:rsidRPr="0058432E">
        <w:rPr>
          <w:i/>
          <w:color w:val="000000" w:themeColor="text1"/>
        </w:rPr>
        <w:t>Paediatric Crohn’s Disease Activity Index</w:t>
      </w:r>
      <w:r w:rsidRPr="0058432E">
        <w:rPr>
          <w:color w:val="000000" w:themeColor="text1"/>
        </w:rPr>
        <w:t xml:space="preserve"> [PCDAI]) &gt; 30. Les patients devaient ne pas avoir répondu à un traitement conventionnel de la MC (comprenant un corticoïde et/ou un immunomodulateur). Les patients pouvaient également ne plus répondre ou être intolérants à l’infliximab.</w:t>
      </w:r>
    </w:p>
    <w:p w14:paraId="05508674" w14:textId="77777777" w:rsidR="001456CD" w:rsidRPr="0058432E" w:rsidRDefault="001456CD" w:rsidP="001456CD">
      <w:pPr>
        <w:pStyle w:val="BodyText"/>
        <w:widowControl/>
        <w:kinsoku w:val="0"/>
        <w:overflowPunct w:val="0"/>
        <w:ind w:left="0"/>
        <w:rPr>
          <w:color w:val="000000" w:themeColor="text1"/>
        </w:rPr>
      </w:pPr>
    </w:p>
    <w:p w14:paraId="7D42B47A" w14:textId="77777777" w:rsidR="001456CD" w:rsidRPr="0058432E" w:rsidRDefault="001456CD" w:rsidP="001456CD">
      <w:pPr>
        <w:pStyle w:val="BodyText"/>
        <w:kinsoku w:val="0"/>
        <w:overflowPunct w:val="0"/>
        <w:ind w:left="0"/>
        <w:rPr>
          <w:color w:val="000000" w:themeColor="text1"/>
        </w:rPr>
      </w:pPr>
      <w:r w:rsidRPr="0058432E">
        <w:rPr>
          <w:color w:val="000000" w:themeColor="text1"/>
        </w:rPr>
        <w:t>Tous les patients ont reçu un traitement d’induction en ouvert à une dose déterminée en fonction de leur poids initial : 160 mg à la semaine 0 et 80 mg à la semaine 2 pour les patients de poids ≥ 40 kg et respectivement 80 mg et 40 mg pour les patients de poids &lt; 40 kg.</w:t>
      </w:r>
    </w:p>
    <w:p w14:paraId="0312B033" w14:textId="77777777" w:rsidR="001456CD" w:rsidRPr="0058432E" w:rsidRDefault="001456CD" w:rsidP="001456CD">
      <w:pPr>
        <w:pStyle w:val="BodyText"/>
        <w:widowControl/>
        <w:kinsoku w:val="0"/>
        <w:overflowPunct w:val="0"/>
        <w:ind w:left="0"/>
        <w:rPr>
          <w:color w:val="000000" w:themeColor="text1"/>
        </w:rPr>
      </w:pPr>
    </w:p>
    <w:p w14:paraId="7EFE3C03" w14:textId="77777777" w:rsidR="001456CD" w:rsidRPr="0058432E" w:rsidRDefault="001456CD" w:rsidP="001456CD">
      <w:pPr>
        <w:pStyle w:val="BodyText"/>
        <w:kinsoku w:val="0"/>
        <w:overflowPunct w:val="0"/>
        <w:ind w:left="0"/>
        <w:rPr>
          <w:color w:val="000000" w:themeColor="text1"/>
        </w:rPr>
      </w:pPr>
      <w:r w:rsidRPr="0058432E">
        <w:rPr>
          <w:color w:val="000000" w:themeColor="text1"/>
        </w:rPr>
        <w:t>À la semaine 4, les patients ont été randomisés selon un rapport 1/1, en fonction de leur poids à cette date, pour recevoir le schéma posologique d’entretien soit à dose faible soit à dose standar</w:t>
      </w:r>
      <w:r w:rsidR="006542CF" w:rsidRPr="0058432E">
        <w:rPr>
          <w:color w:val="000000" w:themeColor="text1"/>
        </w:rPr>
        <w:t>d, comme le montre le tableau 23</w:t>
      </w:r>
      <w:r w:rsidRPr="0058432E">
        <w:rPr>
          <w:color w:val="000000" w:themeColor="text1"/>
        </w:rPr>
        <w:t>.</w:t>
      </w:r>
    </w:p>
    <w:p w14:paraId="7A5134BA" w14:textId="77777777" w:rsidR="001456CD" w:rsidRPr="0058432E" w:rsidRDefault="001456CD" w:rsidP="001456CD">
      <w:pPr>
        <w:pStyle w:val="BodyText"/>
        <w:widowControl/>
        <w:kinsoku w:val="0"/>
        <w:overflowPunct w:val="0"/>
        <w:ind w:left="0"/>
        <w:jc w:val="center"/>
        <w:rPr>
          <w:color w:val="000000" w:themeColor="text1"/>
        </w:rPr>
      </w:pPr>
    </w:p>
    <w:p w14:paraId="1860BB3C" w14:textId="77777777" w:rsidR="00E967BD" w:rsidRPr="0058432E" w:rsidRDefault="001456CD" w:rsidP="001456CD">
      <w:pPr>
        <w:keepNext/>
        <w:rPr>
          <w:b/>
          <w:color w:val="000000" w:themeColor="text1"/>
        </w:rPr>
      </w:pPr>
      <w:r w:rsidRPr="0058432E">
        <w:rPr>
          <w:b/>
          <w:color w:val="000000" w:themeColor="text1"/>
        </w:rPr>
        <w:t>Tableau </w:t>
      </w:r>
      <w:r w:rsidR="006542CF" w:rsidRPr="0058432E">
        <w:rPr>
          <w:b/>
          <w:color w:val="000000" w:themeColor="text1"/>
        </w:rPr>
        <w:t>23</w:t>
      </w:r>
      <w:r w:rsidRPr="0058432E">
        <w:rPr>
          <w:b/>
          <w:color w:val="000000" w:themeColor="text1"/>
        </w:rPr>
        <w:t>.</w:t>
      </w:r>
    </w:p>
    <w:p w14:paraId="51FBA36B" w14:textId="77777777" w:rsidR="001456CD" w:rsidRPr="0058432E" w:rsidRDefault="001456CD" w:rsidP="001456CD">
      <w:pPr>
        <w:keepNext/>
        <w:rPr>
          <w:b/>
          <w:color w:val="000000" w:themeColor="text1"/>
        </w:rPr>
      </w:pPr>
      <w:r w:rsidRPr="0058432E">
        <w:rPr>
          <w:b/>
          <w:color w:val="000000" w:themeColor="text1"/>
        </w:rPr>
        <w:t>Schéma posologique d’entretien</w:t>
      </w:r>
    </w:p>
    <w:p w14:paraId="3DB929AC" w14:textId="77777777" w:rsidR="001456CD" w:rsidRPr="0058432E" w:rsidRDefault="001456CD" w:rsidP="001456CD">
      <w:pPr>
        <w:keepNext/>
        <w:jc w:val="center"/>
        <w:rPr>
          <w:b/>
          <w:bCs/>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1456CD" w:rsidRPr="0058432E" w14:paraId="235DB7F5" w14:textId="77777777" w:rsidTr="004A24CF">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0380713F" w14:textId="77777777" w:rsidR="001456CD" w:rsidRPr="0058432E" w:rsidRDefault="001456CD" w:rsidP="004A24CF">
            <w:pPr>
              <w:pStyle w:val="TableParagraph"/>
              <w:keepNext/>
              <w:widowControl/>
              <w:kinsoku w:val="0"/>
              <w:overflowPunct w:val="0"/>
              <w:ind w:left="102" w:right="188"/>
              <w:jc w:val="center"/>
              <w:rPr>
                <w:rFonts w:ascii="Times New Roman" w:hAnsi="Times New Roman"/>
                <w:color w:val="000000" w:themeColor="text1"/>
              </w:rPr>
            </w:pPr>
            <w:r w:rsidRPr="0058432E">
              <w:rPr>
                <w:rFonts w:ascii="Times New Roman" w:hAnsi="Times New Roman"/>
                <w:b/>
                <w:bCs/>
                <w:color w:val="000000" w:themeColor="text1"/>
              </w:rPr>
              <w:t>Poids du patient</w:t>
            </w:r>
          </w:p>
        </w:tc>
        <w:tc>
          <w:tcPr>
            <w:tcW w:w="2321" w:type="dxa"/>
            <w:tcBorders>
              <w:top w:val="single" w:sz="4" w:space="0" w:color="000000"/>
              <w:left w:val="single" w:sz="4" w:space="0" w:color="000000"/>
              <w:bottom w:val="single" w:sz="4" w:space="0" w:color="000000"/>
              <w:right w:val="single" w:sz="4" w:space="0" w:color="000000"/>
            </w:tcBorders>
          </w:tcPr>
          <w:p w14:paraId="7185357B" w14:textId="77777777" w:rsidR="001456CD" w:rsidRPr="0058432E" w:rsidRDefault="001456CD" w:rsidP="004A24CF">
            <w:pPr>
              <w:pStyle w:val="TableParagraph"/>
              <w:keepNext/>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b/>
                <w:bCs/>
                <w:color w:val="000000" w:themeColor="text1"/>
              </w:rPr>
              <w:t>Dose faible</w:t>
            </w:r>
          </w:p>
        </w:tc>
        <w:tc>
          <w:tcPr>
            <w:tcW w:w="2318" w:type="dxa"/>
            <w:tcBorders>
              <w:top w:val="single" w:sz="4" w:space="0" w:color="000000"/>
              <w:left w:val="single" w:sz="4" w:space="0" w:color="000000"/>
              <w:bottom w:val="single" w:sz="4" w:space="0" w:color="000000"/>
              <w:right w:val="single" w:sz="4" w:space="0" w:color="000000"/>
            </w:tcBorders>
          </w:tcPr>
          <w:p w14:paraId="1E61A759" w14:textId="77777777" w:rsidR="001456CD" w:rsidRPr="0058432E" w:rsidRDefault="001456CD" w:rsidP="004A24CF">
            <w:pPr>
              <w:pStyle w:val="TableParagraph"/>
              <w:keepNext/>
              <w:widowControl/>
              <w:kinsoku w:val="0"/>
              <w:overflowPunct w:val="0"/>
              <w:ind w:left="102" w:right="213"/>
              <w:jc w:val="center"/>
              <w:rPr>
                <w:rFonts w:ascii="Times New Roman" w:hAnsi="Times New Roman"/>
                <w:color w:val="000000" w:themeColor="text1"/>
              </w:rPr>
            </w:pPr>
            <w:r w:rsidRPr="0058432E">
              <w:rPr>
                <w:rFonts w:ascii="Times New Roman" w:hAnsi="Times New Roman"/>
                <w:b/>
                <w:bCs/>
                <w:color w:val="000000" w:themeColor="text1"/>
              </w:rPr>
              <w:t>Dose standard</w:t>
            </w:r>
          </w:p>
        </w:tc>
      </w:tr>
      <w:tr w:rsidR="001456CD" w:rsidRPr="0058432E" w14:paraId="33578A31" w14:textId="77777777" w:rsidTr="004A24CF">
        <w:trPr>
          <w:cantSplit/>
        </w:trPr>
        <w:tc>
          <w:tcPr>
            <w:tcW w:w="2639" w:type="dxa"/>
            <w:tcBorders>
              <w:top w:val="single" w:sz="4" w:space="0" w:color="000000"/>
              <w:left w:val="single" w:sz="4" w:space="0" w:color="000000"/>
              <w:bottom w:val="single" w:sz="4" w:space="0" w:color="000000"/>
              <w:right w:val="single" w:sz="4" w:space="0" w:color="000000"/>
            </w:tcBorders>
          </w:tcPr>
          <w:p w14:paraId="5D66F570" w14:textId="77777777" w:rsidR="001456CD" w:rsidRPr="0058432E" w:rsidRDefault="001456CD" w:rsidP="004A24CF">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&lt; 40 kg</w:t>
            </w:r>
          </w:p>
        </w:tc>
        <w:tc>
          <w:tcPr>
            <w:tcW w:w="2321" w:type="dxa"/>
            <w:tcBorders>
              <w:top w:val="single" w:sz="4" w:space="0" w:color="000000"/>
              <w:left w:val="single" w:sz="4" w:space="0" w:color="000000"/>
              <w:bottom w:val="single" w:sz="4" w:space="0" w:color="000000"/>
              <w:right w:val="single" w:sz="4" w:space="0" w:color="000000"/>
            </w:tcBorders>
          </w:tcPr>
          <w:p w14:paraId="51E2B5CF" w14:textId="77777777" w:rsidR="001456CD" w:rsidRPr="0058432E" w:rsidRDefault="001456CD" w:rsidP="004A24CF">
            <w:pPr>
              <w:pStyle w:val="TableParagraph"/>
              <w:widowControl/>
              <w:kinsoku w:val="0"/>
              <w:overflowPunct w:val="0"/>
              <w:spacing w:line="249" w:lineRule="exact"/>
              <w:ind w:left="100"/>
              <w:jc w:val="center"/>
              <w:rPr>
                <w:rFonts w:ascii="Times New Roman" w:hAnsi="Times New Roman"/>
                <w:color w:val="000000" w:themeColor="text1"/>
              </w:rPr>
            </w:pPr>
            <w:r w:rsidRPr="0058432E">
              <w:rPr>
                <w:rFonts w:ascii="Times New Roman" w:hAnsi="Times New Roman"/>
                <w:color w:val="000000" w:themeColor="text1"/>
              </w:rPr>
              <w:t>10 mg 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0165A42A" w14:textId="77777777" w:rsidR="001456CD" w:rsidRPr="0058432E" w:rsidRDefault="001456CD" w:rsidP="004A24CF">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20 mg toutes les deux semaines</w:t>
            </w:r>
          </w:p>
        </w:tc>
      </w:tr>
      <w:tr w:rsidR="001456CD" w:rsidRPr="0058432E" w14:paraId="47F6C445" w14:textId="77777777" w:rsidTr="004A24CF">
        <w:trPr>
          <w:cantSplit/>
        </w:trPr>
        <w:tc>
          <w:tcPr>
            <w:tcW w:w="2639" w:type="dxa"/>
            <w:tcBorders>
              <w:top w:val="single" w:sz="4" w:space="0" w:color="000000"/>
              <w:left w:val="single" w:sz="4" w:space="0" w:color="000000"/>
              <w:bottom w:val="single" w:sz="4" w:space="0" w:color="000000"/>
              <w:right w:val="single" w:sz="4" w:space="0" w:color="000000"/>
            </w:tcBorders>
          </w:tcPr>
          <w:p w14:paraId="405D56B7" w14:textId="77777777" w:rsidR="001456CD" w:rsidRPr="0058432E" w:rsidRDefault="001456CD" w:rsidP="004A24CF">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 40 kg</w:t>
            </w:r>
          </w:p>
        </w:tc>
        <w:tc>
          <w:tcPr>
            <w:tcW w:w="2321" w:type="dxa"/>
            <w:tcBorders>
              <w:top w:val="single" w:sz="4" w:space="0" w:color="000000"/>
              <w:left w:val="single" w:sz="4" w:space="0" w:color="000000"/>
              <w:bottom w:val="single" w:sz="4" w:space="0" w:color="000000"/>
              <w:right w:val="single" w:sz="4" w:space="0" w:color="000000"/>
            </w:tcBorders>
          </w:tcPr>
          <w:p w14:paraId="57D47273" w14:textId="77777777" w:rsidR="001456CD" w:rsidRPr="0058432E" w:rsidRDefault="001456CD" w:rsidP="004A24CF">
            <w:pPr>
              <w:pStyle w:val="TableParagraph"/>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color w:val="000000" w:themeColor="text1"/>
              </w:rPr>
              <w:t>20 mg 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0C377E59" w14:textId="77777777" w:rsidR="001456CD" w:rsidRPr="0058432E" w:rsidRDefault="001456CD" w:rsidP="004A24CF">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40 mg toutes les deux semaines</w:t>
            </w:r>
          </w:p>
        </w:tc>
      </w:tr>
    </w:tbl>
    <w:p w14:paraId="60D45DC9" w14:textId="77777777" w:rsidR="001456CD" w:rsidRPr="0058432E" w:rsidRDefault="001456CD" w:rsidP="001456CD">
      <w:pPr>
        <w:pStyle w:val="BodyText"/>
        <w:widowControl/>
        <w:kinsoku w:val="0"/>
        <w:overflowPunct w:val="0"/>
        <w:ind w:left="0"/>
        <w:rPr>
          <w:bCs/>
          <w:color w:val="000000" w:themeColor="text1"/>
        </w:rPr>
      </w:pPr>
    </w:p>
    <w:p w14:paraId="4E1ED63D"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Résultats d'efficacité</w:t>
      </w:r>
    </w:p>
    <w:p w14:paraId="100DC36C" w14:textId="77777777" w:rsidR="001456CD" w:rsidRPr="0058432E" w:rsidRDefault="001456CD" w:rsidP="001456CD">
      <w:pPr>
        <w:pStyle w:val="BodyText"/>
        <w:keepNext/>
        <w:widowControl/>
        <w:kinsoku w:val="0"/>
        <w:overflowPunct w:val="0"/>
        <w:ind w:left="0"/>
        <w:rPr>
          <w:i/>
          <w:iCs/>
          <w:color w:val="000000" w:themeColor="text1"/>
        </w:rPr>
      </w:pPr>
    </w:p>
    <w:p w14:paraId="7B0EB0DE"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 critère d’évaluation principal de l’étude était la rémission clinique à la semaine 26, définie par un score PCDAI ≤ 10.</w:t>
      </w:r>
    </w:p>
    <w:p w14:paraId="7DA41C0C" w14:textId="77777777" w:rsidR="001456CD" w:rsidRPr="0058432E" w:rsidRDefault="001456CD" w:rsidP="001456CD">
      <w:pPr>
        <w:pStyle w:val="BodyText"/>
        <w:widowControl/>
        <w:kinsoku w:val="0"/>
        <w:overflowPunct w:val="0"/>
        <w:ind w:left="0"/>
        <w:rPr>
          <w:color w:val="000000" w:themeColor="text1"/>
        </w:rPr>
      </w:pPr>
    </w:p>
    <w:p w14:paraId="1BD4EBA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taux de rémission clinique et de réponse clinique (définie par une réduction du score PCDAI d’au moins 15 points par rapport à la valeur initiale) sont présentés dans le tableau 2</w:t>
      </w:r>
      <w:r w:rsidR="006542CF" w:rsidRPr="0058432E">
        <w:rPr>
          <w:color w:val="000000" w:themeColor="text1"/>
        </w:rPr>
        <w:t>4</w:t>
      </w:r>
      <w:r w:rsidRPr="0058432E">
        <w:rPr>
          <w:color w:val="000000" w:themeColor="text1"/>
        </w:rPr>
        <w:t>. Les taux d’arrêt des corticoïdes ou des immunomodulateurs sont présentés dans le tableau 2</w:t>
      </w:r>
      <w:r w:rsidR="006542CF" w:rsidRPr="0058432E">
        <w:rPr>
          <w:color w:val="000000" w:themeColor="text1"/>
        </w:rPr>
        <w:t>5</w:t>
      </w:r>
      <w:r w:rsidRPr="0058432E">
        <w:rPr>
          <w:color w:val="000000" w:themeColor="text1"/>
        </w:rPr>
        <w:t>.</w:t>
      </w:r>
    </w:p>
    <w:p w14:paraId="5262144D" w14:textId="77777777" w:rsidR="001456CD" w:rsidRPr="0058432E" w:rsidRDefault="001456CD" w:rsidP="001456CD">
      <w:pPr>
        <w:pStyle w:val="BodyText"/>
        <w:widowControl/>
        <w:kinsoku w:val="0"/>
        <w:overflowPunct w:val="0"/>
        <w:ind w:left="0"/>
        <w:rPr>
          <w:color w:val="000000" w:themeColor="text1"/>
        </w:rPr>
      </w:pPr>
    </w:p>
    <w:p w14:paraId="17B1C09E" w14:textId="77777777" w:rsidR="00E967BD" w:rsidRPr="0058432E" w:rsidRDefault="001456CD" w:rsidP="001456CD">
      <w:pPr>
        <w:keepNext/>
        <w:rPr>
          <w:b/>
          <w:color w:val="000000" w:themeColor="text1"/>
        </w:rPr>
      </w:pPr>
      <w:r w:rsidRPr="0058432E">
        <w:rPr>
          <w:b/>
          <w:color w:val="000000" w:themeColor="text1"/>
        </w:rPr>
        <w:t>Tableau 2</w:t>
      </w:r>
      <w:r w:rsidR="006542CF" w:rsidRPr="0058432E">
        <w:rPr>
          <w:b/>
          <w:color w:val="000000" w:themeColor="text1"/>
        </w:rPr>
        <w:t>4</w:t>
      </w:r>
      <w:r w:rsidRPr="0058432E">
        <w:rPr>
          <w:b/>
          <w:color w:val="000000" w:themeColor="text1"/>
        </w:rPr>
        <w:t>.</w:t>
      </w:r>
    </w:p>
    <w:p w14:paraId="19371D6E" w14:textId="77777777" w:rsidR="001456CD" w:rsidRPr="0058432E" w:rsidRDefault="001456CD" w:rsidP="001456CD">
      <w:pPr>
        <w:keepNext/>
        <w:rPr>
          <w:b/>
          <w:color w:val="000000" w:themeColor="text1"/>
        </w:rPr>
      </w:pPr>
      <w:r w:rsidRPr="0058432E">
        <w:rPr>
          <w:b/>
          <w:color w:val="000000" w:themeColor="text1"/>
        </w:rPr>
        <w:t>Étude sur la MC pédiatrique — Rémission et réponse cliniques (PCDAI)</w:t>
      </w:r>
    </w:p>
    <w:p w14:paraId="7270C8FE" w14:textId="77777777" w:rsidR="001456CD" w:rsidRPr="0058432E" w:rsidRDefault="001456CD" w:rsidP="001456CD">
      <w:pPr>
        <w:keepNext/>
        <w:jc w:val="center"/>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66"/>
        <w:gridCol w:w="2266"/>
        <w:gridCol w:w="2256"/>
      </w:tblGrid>
      <w:tr w:rsidR="001456CD" w:rsidRPr="0058432E" w14:paraId="685ED581" w14:textId="77777777" w:rsidTr="004A24CF">
        <w:trPr>
          <w:tblHeader/>
        </w:trPr>
        <w:tc>
          <w:tcPr>
            <w:tcW w:w="2325" w:type="dxa"/>
            <w:tcBorders>
              <w:top w:val="single" w:sz="4" w:space="0" w:color="auto"/>
              <w:left w:val="single" w:sz="4" w:space="0" w:color="auto"/>
              <w:bottom w:val="single" w:sz="4" w:space="0" w:color="auto"/>
              <w:right w:val="single" w:sz="4" w:space="0" w:color="auto"/>
            </w:tcBorders>
          </w:tcPr>
          <w:p w14:paraId="6BDBB5C7" w14:textId="77777777" w:rsidR="001456CD" w:rsidRPr="0058432E" w:rsidRDefault="001456CD" w:rsidP="004A24CF">
            <w:pPr>
              <w:keepNext/>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66D976B9" w14:textId="77777777" w:rsidR="001456CD" w:rsidRPr="0058432E" w:rsidRDefault="001456CD" w:rsidP="004A24CF">
            <w:pPr>
              <w:keepNext/>
              <w:jc w:val="center"/>
              <w:rPr>
                <w:b/>
                <w:color w:val="000000" w:themeColor="text1"/>
              </w:rPr>
            </w:pPr>
            <w:r w:rsidRPr="0058432E">
              <w:rPr>
                <w:b/>
                <w:color w:val="000000" w:themeColor="text1"/>
              </w:rPr>
              <w:t>Dose standard</w:t>
            </w:r>
          </w:p>
          <w:p w14:paraId="3FAC728C" w14:textId="77777777" w:rsidR="001456CD" w:rsidRPr="0058432E" w:rsidRDefault="001456CD" w:rsidP="004A24CF">
            <w:pPr>
              <w:keepNext/>
              <w:jc w:val="center"/>
              <w:rPr>
                <w:b/>
                <w:color w:val="000000" w:themeColor="text1"/>
              </w:rPr>
            </w:pPr>
            <w:r w:rsidRPr="0058432E">
              <w:rPr>
                <w:b/>
                <w:color w:val="000000" w:themeColor="text1"/>
              </w:rPr>
              <w:t>40/20 mg toutes les deux semaines</w:t>
            </w:r>
          </w:p>
          <w:p w14:paraId="55B32872" w14:textId="77777777" w:rsidR="001456CD" w:rsidRPr="0058432E" w:rsidRDefault="001456CD" w:rsidP="004A24CF">
            <w:pPr>
              <w:keepNext/>
              <w:jc w:val="center"/>
              <w:rPr>
                <w:b/>
                <w:color w:val="000000" w:themeColor="text1"/>
              </w:rPr>
            </w:pPr>
            <w:r w:rsidRPr="0058432E">
              <w:rPr>
                <w:b/>
                <w:color w:val="000000" w:themeColor="text1"/>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523711C" w14:textId="77777777" w:rsidR="001456CD" w:rsidRPr="0058432E" w:rsidRDefault="001456CD" w:rsidP="004A24CF">
            <w:pPr>
              <w:keepNext/>
              <w:jc w:val="center"/>
              <w:rPr>
                <w:b/>
                <w:color w:val="000000" w:themeColor="text1"/>
              </w:rPr>
            </w:pPr>
            <w:r w:rsidRPr="0058432E">
              <w:rPr>
                <w:b/>
                <w:color w:val="000000" w:themeColor="text1"/>
              </w:rPr>
              <w:t>Dose faible</w:t>
            </w:r>
          </w:p>
          <w:p w14:paraId="4BB714E4" w14:textId="77777777" w:rsidR="001456CD" w:rsidRPr="0058432E" w:rsidRDefault="001456CD" w:rsidP="004A24CF">
            <w:pPr>
              <w:keepNext/>
              <w:jc w:val="center"/>
              <w:rPr>
                <w:b/>
                <w:color w:val="000000" w:themeColor="text1"/>
              </w:rPr>
            </w:pPr>
            <w:r w:rsidRPr="0058432E">
              <w:rPr>
                <w:b/>
                <w:color w:val="000000" w:themeColor="text1"/>
              </w:rPr>
              <w:t>20/10 mg toutes les deux semaines</w:t>
            </w:r>
          </w:p>
          <w:p w14:paraId="49A940E0" w14:textId="77777777" w:rsidR="001456CD" w:rsidRPr="0058432E" w:rsidRDefault="001456CD" w:rsidP="004A24CF">
            <w:pPr>
              <w:keepNext/>
              <w:jc w:val="center"/>
              <w:rPr>
                <w:b/>
                <w:color w:val="000000" w:themeColor="text1"/>
              </w:rPr>
            </w:pPr>
            <w:r w:rsidRPr="0058432E">
              <w:rPr>
                <w:b/>
                <w:color w:val="000000" w:themeColor="text1"/>
              </w:rPr>
              <w:t>N = 95</w:t>
            </w:r>
          </w:p>
        </w:tc>
        <w:tc>
          <w:tcPr>
            <w:tcW w:w="2326" w:type="dxa"/>
            <w:tcBorders>
              <w:top w:val="single" w:sz="4" w:space="0" w:color="auto"/>
              <w:left w:val="single" w:sz="4" w:space="0" w:color="auto"/>
              <w:bottom w:val="single" w:sz="4" w:space="0" w:color="auto"/>
              <w:right w:val="single" w:sz="4" w:space="0" w:color="auto"/>
            </w:tcBorders>
            <w:hideMark/>
          </w:tcPr>
          <w:p w14:paraId="7D2AA73D" w14:textId="77777777" w:rsidR="001456CD" w:rsidRPr="0058432E" w:rsidRDefault="001456CD" w:rsidP="004A24CF">
            <w:pPr>
              <w:keepNext/>
              <w:jc w:val="center"/>
              <w:rPr>
                <w:b/>
                <w:color w:val="000000" w:themeColor="text1"/>
              </w:rPr>
            </w:pPr>
            <w:r w:rsidRPr="0058432E">
              <w:rPr>
                <w:b/>
                <w:color w:val="000000" w:themeColor="text1"/>
              </w:rPr>
              <w:t xml:space="preserve">Valeur de </w:t>
            </w:r>
            <w:r w:rsidR="000E1436" w:rsidRPr="0058432E">
              <w:rPr>
                <w:b/>
                <w:i/>
                <w:color w:val="000000" w:themeColor="text1"/>
              </w:rPr>
              <w:t>p</w:t>
            </w:r>
            <w:r w:rsidRPr="0058432E">
              <w:rPr>
                <w:b/>
                <w:color w:val="000000" w:themeColor="text1"/>
              </w:rPr>
              <w:t>*</w:t>
            </w:r>
          </w:p>
        </w:tc>
      </w:tr>
      <w:tr w:rsidR="001456CD" w:rsidRPr="0058432E" w14:paraId="63027FCC"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1931A9EE" w14:textId="77777777" w:rsidR="001456CD" w:rsidRPr="0058432E" w:rsidRDefault="001456CD" w:rsidP="004A24CF">
            <w:pPr>
              <w:keepNext/>
              <w:rPr>
                <w:b/>
                <w:color w:val="000000" w:themeColor="text1"/>
              </w:rPr>
            </w:pPr>
            <w:r w:rsidRPr="0058432E">
              <w:rPr>
                <w:b/>
                <w:color w:val="000000" w:themeColor="text1"/>
              </w:rPr>
              <w:t>Semaine 26</w:t>
            </w:r>
          </w:p>
        </w:tc>
        <w:tc>
          <w:tcPr>
            <w:tcW w:w="2326" w:type="dxa"/>
            <w:tcBorders>
              <w:top w:val="single" w:sz="4" w:space="0" w:color="auto"/>
              <w:left w:val="single" w:sz="4" w:space="0" w:color="auto"/>
              <w:bottom w:val="single" w:sz="4" w:space="0" w:color="auto"/>
              <w:right w:val="single" w:sz="4" w:space="0" w:color="auto"/>
            </w:tcBorders>
            <w:vAlign w:val="center"/>
          </w:tcPr>
          <w:p w14:paraId="2150D0CD"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34670AEF"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701B5115" w14:textId="77777777" w:rsidR="001456CD" w:rsidRPr="0058432E" w:rsidRDefault="001456CD" w:rsidP="004A24CF">
            <w:pPr>
              <w:keepNext/>
              <w:jc w:val="center"/>
              <w:rPr>
                <w:color w:val="000000" w:themeColor="text1"/>
              </w:rPr>
            </w:pPr>
          </w:p>
        </w:tc>
      </w:tr>
      <w:tr w:rsidR="001456CD" w:rsidRPr="0058432E" w14:paraId="7D82C57A"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71EDA7F9" w14:textId="77777777" w:rsidR="001456CD" w:rsidRPr="0058432E" w:rsidRDefault="001456CD" w:rsidP="004A24CF">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551E6C1" w14:textId="77777777" w:rsidR="001456CD" w:rsidRPr="0058432E" w:rsidRDefault="001456CD" w:rsidP="004A24CF">
            <w:pPr>
              <w:keepNext/>
              <w:jc w:val="center"/>
              <w:rPr>
                <w:color w:val="000000" w:themeColor="text1"/>
              </w:rPr>
            </w:pPr>
            <w:r w:rsidRPr="0058432E">
              <w:rPr>
                <w:color w:val="000000" w:themeColor="text1"/>
              </w:rPr>
              <w:t>38,7 %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20E5825" w14:textId="77777777" w:rsidR="001456CD" w:rsidRPr="0058432E" w:rsidRDefault="001456CD" w:rsidP="004A24CF">
            <w:pPr>
              <w:keepNext/>
              <w:jc w:val="center"/>
              <w:rPr>
                <w:color w:val="000000" w:themeColor="text1"/>
              </w:rPr>
            </w:pPr>
            <w:r w:rsidRPr="0058432E">
              <w:rPr>
                <w:color w:val="000000" w:themeColor="text1"/>
              </w:rPr>
              <w:t>28,4 %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B588212" w14:textId="77777777" w:rsidR="001456CD" w:rsidRPr="0058432E" w:rsidRDefault="001456CD" w:rsidP="004A24CF">
            <w:pPr>
              <w:keepNext/>
              <w:jc w:val="center"/>
              <w:rPr>
                <w:color w:val="000000" w:themeColor="text1"/>
              </w:rPr>
            </w:pPr>
            <w:r w:rsidRPr="0058432E">
              <w:rPr>
                <w:color w:val="000000" w:themeColor="text1"/>
              </w:rPr>
              <w:t>0,075</w:t>
            </w:r>
          </w:p>
        </w:tc>
      </w:tr>
      <w:tr w:rsidR="001456CD" w:rsidRPr="0058432E" w14:paraId="31D85656"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1CDECA77" w14:textId="77777777" w:rsidR="001456CD" w:rsidRPr="0058432E" w:rsidRDefault="001456CD" w:rsidP="004A24CF">
            <w:pPr>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A09F57F" w14:textId="77777777" w:rsidR="001456CD" w:rsidRPr="0058432E" w:rsidRDefault="001456CD" w:rsidP="004A24CF">
            <w:pPr>
              <w:jc w:val="center"/>
              <w:rPr>
                <w:color w:val="000000" w:themeColor="text1"/>
              </w:rPr>
            </w:pPr>
            <w:r w:rsidRPr="0058432E">
              <w:rPr>
                <w:color w:val="000000" w:themeColor="text1"/>
              </w:rPr>
              <w:t>59,1 %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B1BE0CD" w14:textId="77777777" w:rsidR="001456CD" w:rsidRPr="0058432E" w:rsidRDefault="001456CD" w:rsidP="004A24CF">
            <w:pPr>
              <w:jc w:val="center"/>
              <w:rPr>
                <w:color w:val="000000" w:themeColor="text1"/>
              </w:rPr>
            </w:pPr>
            <w:r w:rsidRPr="0058432E">
              <w:rPr>
                <w:color w:val="000000" w:themeColor="text1"/>
              </w:rPr>
              <w:t>48,4 %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78C063E" w14:textId="77777777" w:rsidR="001456CD" w:rsidRPr="0058432E" w:rsidRDefault="001456CD" w:rsidP="004A24CF">
            <w:pPr>
              <w:jc w:val="center"/>
              <w:rPr>
                <w:color w:val="000000" w:themeColor="text1"/>
              </w:rPr>
            </w:pPr>
            <w:r w:rsidRPr="0058432E">
              <w:rPr>
                <w:color w:val="000000" w:themeColor="text1"/>
              </w:rPr>
              <w:t>0,073</w:t>
            </w:r>
          </w:p>
        </w:tc>
      </w:tr>
      <w:tr w:rsidR="001456CD" w:rsidRPr="0058432E" w14:paraId="747E5B24"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5374E49A" w14:textId="77777777" w:rsidR="001456CD" w:rsidRPr="0058432E" w:rsidRDefault="001456CD" w:rsidP="004A24CF">
            <w:pPr>
              <w:keepNext/>
              <w:rPr>
                <w:b/>
                <w:color w:val="000000" w:themeColor="text1"/>
              </w:rPr>
            </w:pPr>
            <w:r w:rsidRPr="0058432E">
              <w:rPr>
                <w:b/>
                <w:color w:val="000000" w:themeColor="text1"/>
              </w:rPr>
              <w:t>Semaine 52</w:t>
            </w:r>
          </w:p>
        </w:tc>
        <w:tc>
          <w:tcPr>
            <w:tcW w:w="2326" w:type="dxa"/>
            <w:tcBorders>
              <w:top w:val="single" w:sz="4" w:space="0" w:color="auto"/>
              <w:left w:val="single" w:sz="4" w:space="0" w:color="auto"/>
              <w:bottom w:val="single" w:sz="4" w:space="0" w:color="auto"/>
              <w:right w:val="single" w:sz="4" w:space="0" w:color="auto"/>
            </w:tcBorders>
            <w:vAlign w:val="center"/>
          </w:tcPr>
          <w:p w14:paraId="4672CD19"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3D331A2A"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6C7F8E2E" w14:textId="77777777" w:rsidR="001456CD" w:rsidRPr="0058432E" w:rsidRDefault="001456CD" w:rsidP="004A24CF">
            <w:pPr>
              <w:keepNext/>
              <w:jc w:val="center"/>
              <w:rPr>
                <w:color w:val="000000" w:themeColor="text1"/>
              </w:rPr>
            </w:pPr>
          </w:p>
        </w:tc>
      </w:tr>
      <w:tr w:rsidR="001456CD" w:rsidRPr="0058432E" w14:paraId="2E51EEE1"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2E7B6B97" w14:textId="77777777" w:rsidR="001456CD" w:rsidRPr="0058432E" w:rsidRDefault="001456CD" w:rsidP="004A24CF">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FDB4EE7" w14:textId="77777777" w:rsidR="001456CD" w:rsidRPr="0058432E" w:rsidRDefault="001456CD" w:rsidP="004A24CF">
            <w:pPr>
              <w:keepNext/>
              <w:jc w:val="center"/>
              <w:rPr>
                <w:color w:val="000000" w:themeColor="text1"/>
              </w:rPr>
            </w:pPr>
            <w:r w:rsidRPr="0058432E">
              <w:rPr>
                <w:color w:val="000000" w:themeColor="text1"/>
              </w:rPr>
              <w:t>33,3 %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B6EE5F6" w14:textId="77777777" w:rsidR="001456CD" w:rsidRPr="0058432E" w:rsidRDefault="001456CD" w:rsidP="004A24CF">
            <w:pPr>
              <w:keepNext/>
              <w:jc w:val="center"/>
              <w:rPr>
                <w:color w:val="000000" w:themeColor="text1"/>
              </w:rPr>
            </w:pPr>
            <w:r w:rsidRPr="0058432E">
              <w:rPr>
                <w:color w:val="000000" w:themeColor="text1"/>
              </w:rPr>
              <w:t>23,2 %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878D360" w14:textId="77777777" w:rsidR="001456CD" w:rsidRPr="0058432E" w:rsidRDefault="001456CD" w:rsidP="004A24CF">
            <w:pPr>
              <w:keepNext/>
              <w:jc w:val="center"/>
              <w:rPr>
                <w:color w:val="000000" w:themeColor="text1"/>
              </w:rPr>
            </w:pPr>
            <w:r w:rsidRPr="0058432E">
              <w:rPr>
                <w:color w:val="000000" w:themeColor="text1"/>
              </w:rPr>
              <w:t>0,100</w:t>
            </w:r>
          </w:p>
        </w:tc>
      </w:tr>
      <w:tr w:rsidR="001456CD" w:rsidRPr="0058432E" w14:paraId="434D1A7B"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184601E3" w14:textId="77777777" w:rsidR="001456CD" w:rsidRPr="0058432E" w:rsidRDefault="001456CD" w:rsidP="004A24CF">
            <w:pPr>
              <w:keepNext/>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0C31444" w14:textId="77777777" w:rsidR="001456CD" w:rsidRPr="0058432E" w:rsidRDefault="001456CD" w:rsidP="004A24CF">
            <w:pPr>
              <w:keepNext/>
              <w:jc w:val="center"/>
              <w:rPr>
                <w:color w:val="000000" w:themeColor="text1"/>
              </w:rPr>
            </w:pPr>
            <w:r w:rsidRPr="0058432E">
              <w:rPr>
                <w:color w:val="000000" w:themeColor="text1"/>
              </w:rPr>
              <w:t>41,9 %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6ED5462" w14:textId="77777777" w:rsidR="001456CD" w:rsidRPr="0058432E" w:rsidRDefault="001456CD" w:rsidP="004A24CF">
            <w:pPr>
              <w:keepNext/>
              <w:jc w:val="center"/>
              <w:rPr>
                <w:color w:val="000000" w:themeColor="text1"/>
              </w:rPr>
            </w:pPr>
            <w:r w:rsidRPr="0058432E">
              <w:rPr>
                <w:color w:val="000000" w:themeColor="text1"/>
              </w:rPr>
              <w:t>28,4 %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9CB3215" w14:textId="77777777" w:rsidR="001456CD" w:rsidRPr="0058432E" w:rsidRDefault="001456CD" w:rsidP="004A24CF">
            <w:pPr>
              <w:keepNext/>
              <w:jc w:val="center"/>
              <w:rPr>
                <w:color w:val="000000" w:themeColor="text1"/>
              </w:rPr>
            </w:pPr>
            <w:r w:rsidRPr="0058432E">
              <w:rPr>
                <w:color w:val="000000" w:themeColor="text1"/>
              </w:rPr>
              <w:t>0,038</w:t>
            </w:r>
          </w:p>
        </w:tc>
      </w:tr>
      <w:tr w:rsidR="001456CD" w:rsidRPr="0058432E" w14:paraId="468CF9F6" w14:textId="77777777" w:rsidTr="004A24CF">
        <w:tc>
          <w:tcPr>
            <w:tcW w:w="9303" w:type="dxa"/>
            <w:gridSpan w:val="4"/>
            <w:tcBorders>
              <w:top w:val="single" w:sz="4" w:space="0" w:color="auto"/>
              <w:left w:val="nil"/>
              <w:bottom w:val="nil"/>
              <w:right w:val="nil"/>
            </w:tcBorders>
          </w:tcPr>
          <w:p w14:paraId="7FFDCC21" w14:textId="77777777" w:rsidR="001456CD" w:rsidRPr="0058432E" w:rsidRDefault="001456CD" w:rsidP="004A24CF">
            <w:pPr>
              <w:ind w:left="274" w:hanging="274"/>
              <w:rPr>
                <w:color w:val="000000" w:themeColor="text1"/>
                <w:sz w:val="20"/>
              </w:rPr>
            </w:pPr>
            <w:r w:rsidRPr="0058432E">
              <w:rPr>
                <w:color w:val="000000" w:themeColor="text1"/>
                <w:sz w:val="20"/>
              </w:rPr>
              <w:t xml:space="preserve">* </w:t>
            </w:r>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pour la comparaison dose standard </w:t>
            </w:r>
            <w:r w:rsidRPr="0058432E">
              <w:rPr>
                <w:i/>
                <w:color w:val="000000" w:themeColor="text1"/>
                <w:sz w:val="20"/>
              </w:rPr>
              <w:t>versus</w:t>
            </w:r>
            <w:r w:rsidRPr="0058432E">
              <w:rPr>
                <w:color w:val="000000" w:themeColor="text1"/>
                <w:sz w:val="20"/>
              </w:rPr>
              <w:t xml:space="preserve"> dose faible.</w:t>
            </w:r>
          </w:p>
        </w:tc>
      </w:tr>
    </w:tbl>
    <w:p w14:paraId="295E2278" w14:textId="77777777" w:rsidR="001456CD" w:rsidRPr="0058432E" w:rsidRDefault="001456CD" w:rsidP="001456CD">
      <w:pPr>
        <w:rPr>
          <w:color w:val="000000" w:themeColor="text1"/>
        </w:rPr>
      </w:pPr>
    </w:p>
    <w:p w14:paraId="1B5D0FBE" w14:textId="77777777" w:rsidR="00E967BD" w:rsidRPr="0058432E" w:rsidRDefault="001456CD" w:rsidP="001456CD">
      <w:pPr>
        <w:keepNext/>
        <w:rPr>
          <w:b/>
          <w:color w:val="000000" w:themeColor="text1"/>
        </w:rPr>
      </w:pPr>
      <w:r w:rsidRPr="0058432E">
        <w:rPr>
          <w:b/>
          <w:color w:val="000000" w:themeColor="text1"/>
        </w:rPr>
        <w:lastRenderedPageBreak/>
        <w:t>Tableau 2</w:t>
      </w:r>
      <w:r w:rsidR="006542CF" w:rsidRPr="0058432E">
        <w:rPr>
          <w:b/>
          <w:color w:val="000000" w:themeColor="text1"/>
        </w:rPr>
        <w:t>5</w:t>
      </w:r>
      <w:r w:rsidRPr="0058432E">
        <w:rPr>
          <w:b/>
          <w:color w:val="000000" w:themeColor="text1"/>
        </w:rPr>
        <w:t>.</w:t>
      </w:r>
    </w:p>
    <w:p w14:paraId="5C319DB3" w14:textId="77777777" w:rsidR="001456CD" w:rsidRPr="0058432E" w:rsidRDefault="001456CD" w:rsidP="001456CD">
      <w:pPr>
        <w:keepNext/>
        <w:rPr>
          <w:b/>
          <w:color w:val="000000" w:themeColor="text1"/>
        </w:rPr>
      </w:pPr>
      <w:r w:rsidRPr="0058432E">
        <w:rPr>
          <w:b/>
          <w:color w:val="000000" w:themeColor="text1"/>
        </w:rPr>
        <w:t>Étude sur la MC pédiatrique — Arrêt des corticoïdes ou des immunomodulateurs et fermeture des fistules</w:t>
      </w:r>
    </w:p>
    <w:p w14:paraId="767BC646" w14:textId="77777777" w:rsidR="001456CD" w:rsidRPr="0058432E" w:rsidRDefault="001456CD" w:rsidP="001456CD">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677"/>
        <w:gridCol w:w="1677"/>
        <w:gridCol w:w="1665"/>
      </w:tblGrid>
      <w:tr w:rsidR="001456CD" w:rsidRPr="0058432E" w14:paraId="294B3593" w14:textId="77777777" w:rsidTr="004A24CF">
        <w:trPr>
          <w:tblHeader/>
        </w:trPr>
        <w:tc>
          <w:tcPr>
            <w:tcW w:w="4158" w:type="dxa"/>
            <w:tcBorders>
              <w:top w:val="single" w:sz="4" w:space="0" w:color="auto"/>
              <w:left w:val="single" w:sz="4" w:space="0" w:color="auto"/>
              <w:bottom w:val="single" w:sz="4" w:space="0" w:color="auto"/>
              <w:right w:val="single" w:sz="4" w:space="0" w:color="auto"/>
            </w:tcBorders>
          </w:tcPr>
          <w:p w14:paraId="05725B00" w14:textId="77777777" w:rsidR="001456CD" w:rsidRPr="0058432E" w:rsidRDefault="001456CD" w:rsidP="004A24CF">
            <w:pPr>
              <w:keepNext/>
              <w:rPr>
                <w:color w:val="000000" w:themeColor="text1"/>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0F19D450" w14:textId="77777777" w:rsidR="001456CD" w:rsidRPr="0058432E" w:rsidRDefault="001456CD" w:rsidP="004A24CF">
            <w:pPr>
              <w:keepNext/>
              <w:jc w:val="center"/>
              <w:rPr>
                <w:b/>
                <w:color w:val="000000" w:themeColor="text1"/>
              </w:rPr>
            </w:pPr>
            <w:r w:rsidRPr="0058432E">
              <w:rPr>
                <w:b/>
                <w:color w:val="000000" w:themeColor="text1"/>
              </w:rPr>
              <w:t>Dose standard</w:t>
            </w:r>
          </w:p>
          <w:p w14:paraId="6CF2B536" w14:textId="77777777" w:rsidR="001456CD" w:rsidRPr="0058432E" w:rsidRDefault="001456CD" w:rsidP="004A24CF">
            <w:pPr>
              <w:keepNext/>
              <w:jc w:val="center"/>
              <w:rPr>
                <w:b/>
                <w:color w:val="000000" w:themeColor="text1"/>
              </w:rPr>
            </w:pPr>
            <w:r w:rsidRPr="0058432E">
              <w:rPr>
                <w:b/>
                <w:color w:val="000000" w:themeColor="text1"/>
              </w:rPr>
              <w:t>40/20 mg toutes les deux semaines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61EC2A4" w14:textId="77777777" w:rsidR="001456CD" w:rsidRPr="0058432E" w:rsidRDefault="001456CD" w:rsidP="004A24CF">
            <w:pPr>
              <w:keepNext/>
              <w:jc w:val="center"/>
              <w:rPr>
                <w:b/>
                <w:color w:val="000000" w:themeColor="text1"/>
              </w:rPr>
            </w:pPr>
            <w:r w:rsidRPr="0058432E">
              <w:rPr>
                <w:b/>
                <w:color w:val="000000" w:themeColor="text1"/>
              </w:rPr>
              <w:t>Dose faible</w:t>
            </w:r>
          </w:p>
          <w:p w14:paraId="551DE851" w14:textId="77777777" w:rsidR="001456CD" w:rsidRPr="0058432E" w:rsidRDefault="001456CD" w:rsidP="004A24CF">
            <w:pPr>
              <w:keepNext/>
              <w:jc w:val="center"/>
              <w:rPr>
                <w:b/>
                <w:color w:val="000000" w:themeColor="text1"/>
              </w:rPr>
            </w:pPr>
            <w:r w:rsidRPr="0058432E">
              <w:rPr>
                <w:b/>
                <w:color w:val="000000" w:themeColor="text1"/>
              </w:rPr>
              <w:t>20/10 mg toutes les deux semaines</w:t>
            </w:r>
          </w:p>
        </w:tc>
        <w:tc>
          <w:tcPr>
            <w:tcW w:w="1715" w:type="dxa"/>
            <w:tcBorders>
              <w:top w:val="single" w:sz="4" w:space="0" w:color="auto"/>
              <w:left w:val="single" w:sz="4" w:space="0" w:color="auto"/>
              <w:bottom w:val="single" w:sz="4" w:space="0" w:color="auto"/>
              <w:right w:val="single" w:sz="4" w:space="0" w:color="auto"/>
            </w:tcBorders>
            <w:hideMark/>
          </w:tcPr>
          <w:p w14:paraId="776643FD" w14:textId="77777777" w:rsidR="001456CD" w:rsidRPr="0058432E" w:rsidRDefault="001456CD" w:rsidP="004A24CF">
            <w:pPr>
              <w:keepNext/>
              <w:jc w:val="center"/>
              <w:rPr>
                <w:b/>
                <w:color w:val="000000" w:themeColor="text1"/>
              </w:rPr>
            </w:pPr>
            <w:r w:rsidRPr="0058432E">
              <w:rPr>
                <w:b/>
                <w:color w:val="000000" w:themeColor="text1"/>
              </w:rPr>
              <w:t xml:space="preserve">Valeur de </w:t>
            </w:r>
            <w:r w:rsidR="000E1436" w:rsidRPr="0058432E">
              <w:rPr>
                <w:b/>
                <w:i/>
                <w:iCs/>
                <w:color w:val="000000" w:themeColor="text1"/>
              </w:rPr>
              <w:t>p</w:t>
            </w:r>
            <w:r w:rsidRPr="0058432E">
              <w:rPr>
                <w:b/>
                <w:color w:val="000000" w:themeColor="text1"/>
                <w:vertAlign w:val="superscript"/>
              </w:rPr>
              <w:t>1</w:t>
            </w:r>
          </w:p>
        </w:tc>
      </w:tr>
      <w:tr w:rsidR="001456CD" w:rsidRPr="0058432E" w14:paraId="73AB20A0" w14:textId="77777777" w:rsidTr="004A24CF">
        <w:trPr>
          <w:trHeight w:val="60"/>
        </w:trPr>
        <w:tc>
          <w:tcPr>
            <w:tcW w:w="4158" w:type="dxa"/>
            <w:tcBorders>
              <w:top w:val="single" w:sz="4" w:space="0" w:color="auto"/>
              <w:left w:val="single" w:sz="4" w:space="0" w:color="auto"/>
              <w:bottom w:val="single" w:sz="4" w:space="0" w:color="auto"/>
              <w:right w:val="single" w:sz="4" w:space="0" w:color="auto"/>
            </w:tcBorders>
            <w:hideMark/>
          </w:tcPr>
          <w:p w14:paraId="45531B33" w14:textId="77777777" w:rsidR="001456CD" w:rsidRPr="0058432E" w:rsidRDefault="001456CD" w:rsidP="004A24CF">
            <w:pPr>
              <w:keepNext/>
              <w:rPr>
                <w:b/>
                <w:color w:val="000000" w:themeColor="text1"/>
              </w:rPr>
            </w:pPr>
            <w:r w:rsidRPr="0058432E">
              <w:rPr>
                <w:b/>
                <w:color w:val="000000" w:themeColor="text1"/>
              </w:rPr>
              <w:t>Arrêt des corticoïdes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047425B" w14:textId="77777777" w:rsidR="001456CD" w:rsidRPr="0058432E" w:rsidRDefault="001456CD" w:rsidP="004A24CF">
            <w:pPr>
              <w:keepNext/>
              <w:jc w:val="center"/>
              <w:rPr>
                <w:b/>
                <w:color w:val="000000" w:themeColor="text1"/>
              </w:rPr>
            </w:pPr>
            <w:r w:rsidRPr="0058432E">
              <w:rPr>
                <w:b/>
                <w:color w:val="000000" w:themeColor="text1"/>
              </w:rPr>
              <w:t>N = 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8C953D4" w14:textId="77777777" w:rsidR="001456CD" w:rsidRPr="0058432E" w:rsidRDefault="001456CD" w:rsidP="004A24CF">
            <w:pPr>
              <w:keepNext/>
              <w:jc w:val="center"/>
              <w:rPr>
                <w:b/>
                <w:color w:val="000000" w:themeColor="text1"/>
              </w:rPr>
            </w:pPr>
            <w:r w:rsidRPr="0058432E">
              <w:rPr>
                <w:b/>
                <w:color w:val="000000" w:themeColor="text1"/>
              </w:rPr>
              <w:t>N = 38</w:t>
            </w:r>
          </w:p>
        </w:tc>
        <w:tc>
          <w:tcPr>
            <w:tcW w:w="1715" w:type="dxa"/>
            <w:tcBorders>
              <w:top w:val="single" w:sz="4" w:space="0" w:color="auto"/>
              <w:left w:val="single" w:sz="4" w:space="0" w:color="auto"/>
              <w:bottom w:val="single" w:sz="4" w:space="0" w:color="auto"/>
              <w:right w:val="single" w:sz="4" w:space="0" w:color="auto"/>
            </w:tcBorders>
            <w:vAlign w:val="center"/>
          </w:tcPr>
          <w:p w14:paraId="0EA1E3C1" w14:textId="77777777" w:rsidR="001456CD" w:rsidRPr="0058432E" w:rsidRDefault="001456CD" w:rsidP="004A24CF">
            <w:pPr>
              <w:keepNext/>
              <w:jc w:val="center"/>
              <w:rPr>
                <w:b/>
                <w:color w:val="000000" w:themeColor="text1"/>
              </w:rPr>
            </w:pPr>
          </w:p>
        </w:tc>
      </w:tr>
      <w:tr w:rsidR="001456CD" w:rsidRPr="0058432E" w14:paraId="2E858801"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070F9F34" w14:textId="77777777" w:rsidR="001456CD" w:rsidRPr="0058432E" w:rsidRDefault="001456CD" w:rsidP="004A24CF">
            <w:pPr>
              <w:rPr>
                <w:color w:val="000000" w:themeColor="text1"/>
              </w:rPr>
            </w:pPr>
            <w:r w:rsidRPr="0058432E">
              <w:rPr>
                <w:color w:val="000000" w:themeColor="text1"/>
              </w:rPr>
              <w:t>Semaine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D5B31C7" w14:textId="77777777" w:rsidR="001456CD" w:rsidRPr="0058432E" w:rsidRDefault="001456CD" w:rsidP="004A24CF">
            <w:pPr>
              <w:jc w:val="center"/>
              <w:rPr>
                <w:color w:val="000000" w:themeColor="text1"/>
              </w:rPr>
            </w:pPr>
            <w:r w:rsidRPr="0058432E">
              <w:rPr>
                <w:color w:val="000000" w:themeColor="text1"/>
              </w:rPr>
              <w:t>84,8 %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E919FB9" w14:textId="77777777" w:rsidR="001456CD" w:rsidRPr="0058432E" w:rsidRDefault="001456CD" w:rsidP="004A24CF">
            <w:pPr>
              <w:jc w:val="center"/>
              <w:rPr>
                <w:color w:val="000000" w:themeColor="text1"/>
              </w:rPr>
            </w:pPr>
            <w:r w:rsidRPr="0058432E">
              <w:rPr>
                <w:color w:val="000000" w:themeColor="text1"/>
              </w:rPr>
              <w:t>65,8 %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3A93C93" w14:textId="77777777" w:rsidR="001456CD" w:rsidRPr="0058432E" w:rsidRDefault="001456CD" w:rsidP="004A24CF">
            <w:pPr>
              <w:jc w:val="center"/>
              <w:rPr>
                <w:color w:val="000000" w:themeColor="text1"/>
              </w:rPr>
            </w:pPr>
            <w:r w:rsidRPr="0058432E">
              <w:rPr>
                <w:color w:val="000000" w:themeColor="text1"/>
              </w:rPr>
              <w:t>0,066</w:t>
            </w:r>
          </w:p>
        </w:tc>
      </w:tr>
      <w:tr w:rsidR="001456CD" w:rsidRPr="0058432E" w14:paraId="09F5DADA"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53BF5578"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E3EC4E4" w14:textId="77777777" w:rsidR="001456CD" w:rsidRPr="0058432E" w:rsidRDefault="001456CD" w:rsidP="004A24CF">
            <w:pPr>
              <w:jc w:val="center"/>
              <w:rPr>
                <w:color w:val="000000" w:themeColor="text1"/>
              </w:rPr>
            </w:pPr>
            <w:r w:rsidRPr="0058432E">
              <w:rPr>
                <w:color w:val="000000" w:themeColor="text1"/>
              </w:rPr>
              <w:t>69,7 %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9145908" w14:textId="77777777" w:rsidR="001456CD" w:rsidRPr="0058432E" w:rsidRDefault="001456CD" w:rsidP="004A24CF">
            <w:pPr>
              <w:jc w:val="center"/>
              <w:rPr>
                <w:color w:val="000000" w:themeColor="text1"/>
              </w:rPr>
            </w:pPr>
            <w:r w:rsidRPr="0058432E">
              <w:rPr>
                <w:color w:val="000000" w:themeColor="text1"/>
              </w:rPr>
              <w:t>60,5 %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CA89200" w14:textId="77777777" w:rsidR="001456CD" w:rsidRPr="0058432E" w:rsidRDefault="001456CD" w:rsidP="004A24CF">
            <w:pPr>
              <w:jc w:val="center"/>
              <w:rPr>
                <w:color w:val="000000" w:themeColor="text1"/>
              </w:rPr>
            </w:pPr>
            <w:r w:rsidRPr="0058432E">
              <w:rPr>
                <w:color w:val="000000" w:themeColor="text1"/>
              </w:rPr>
              <w:t>0,420</w:t>
            </w:r>
          </w:p>
        </w:tc>
      </w:tr>
      <w:tr w:rsidR="001456CD" w:rsidRPr="0058432E" w14:paraId="2C846A5A"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37D9904C" w14:textId="77777777" w:rsidR="001456CD" w:rsidRPr="0058432E" w:rsidRDefault="001456CD" w:rsidP="004A24CF">
            <w:pPr>
              <w:rPr>
                <w:b/>
                <w:color w:val="000000" w:themeColor="text1"/>
              </w:rPr>
            </w:pPr>
            <w:r w:rsidRPr="0058432E">
              <w:rPr>
                <w:b/>
                <w:color w:val="000000" w:themeColor="text1"/>
              </w:rPr>
              <w:t>Arrêt des immunomodulateurs</w:t>
            </w:r>
            <w:r w:rsidRPr="0058432E">
              <w:rPr>
                <w:b/>
                <w:color w:val="000000" w:themeColor="text1"/>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08188CE" w14:textId="77777777" w:rsidR="001456CD" w:rsidRPr="0058432E" w:rsidRDefault="001456CD" w:rsidP="004A24CF">
            <w:pPr>
              <w:jc w:val="center"/>
              <w:rPr>
                <w:b/>
                <w:color w:val="000000" w:themeColor="text1"/>
              </w:rPr>
            </w:pPr>
            <w:r w:rsidRPr="0058432E">
              <w:rPr>
                <w:b/>
                <w:color w:val="000000" w:themeColor="text1"/>
              </w:rPr>
              <w:t>N = 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46A0E77" w14:textId="77777777" w:rsidR="001456CD" w:rsidRPr="0058432E" w:rsidRDefault="001456CD" w:rsidP="004A24CF">
            <w:pPr>
              <w:jc w:val="center"/>
              <w:rPr>
                <w:b/>
                <w:color w:val="000000" w:themeColor="text1"/>
              </w:rPr>
            </w:pPr>
            <w:r w:rsidRPr="0058432E">
              <w:rPr>
                <w:b/>
                <w:color w:val="000000" w:themeColor="text1"/>
              </w:rPr>
              <w:t>N = 57</w:t>
            </w:r>
          </w:p>
        </w:tc>
        <w:tc>
          <w:tcPr>
            <w:tcW w:w="1715" w:type="dxa"/>
            <w:tcBorders>
              <w:top w:val="single" w:sz="4" w:space="0" w:color="auto"/>
              <w:left w:val="single" w:sz="4" w:space="0" w:color="auto"/>
              <w:bottom w:val="single" w:sz="4" w:space="0" w:color="auto"/>
              <w:right w:val="single" w:sz="4" w:space="0" w:color="auto"/>
            </w:tcBorders>
            <w:vAlign w:val="center"/>
          </w:tcPr>
          <w:p w14:paraId="23B9DDF3" w14:textId="77777777" w:rsidR="001456CD" w:rsidRPr="0058432E" w:rsidRDefault="001456CD" w:rsidP="004A24CF">
            <w:pPr>
              <w:jc w:val="center"/>
              <w:rPr>
                <w:b/>
                <w:color w:val="000000" w:themeColor="text1"/>
              </w:rPr>
            </w:pPr>
          </w:p>
        </w:tc>
      </w:tr>
      <w:tr w:rsidR="001456CD" w:rsidRPr="0058432E" w14:paraId="2905C715"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6EF0C593"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5D8922A" w14:textId="77777777" w:rsidR="001456CD" w:rsidRPr="0058432E" w:rsidRDefault="001456CD" w:rsidP="004A24CF">
            <w:pPr>
              <w:jc w:val="center"/>
              <w:rPr>
                <w:color w:val="000000" w:themeColor="text1"/>
              </w:rPr>
            </w:pPr>
            <w:r w:rsidRPr="0058432E">
              <w:rPr>
                <w:color w:val="000000" w:themeColor="text1"/>
              </w:rPr>
              <w:t>30,0 %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06C0F2E" w14:textId="77777777" w:rsidR="001456CD" w:rsidRPr="0058432E" w:rsidRDefault="001456CD" w:rsidP="004A24CF">
            <w:pPr>
              <w:jc w:val="center"/>
              <w:rPr>
                <w:color w:val="000000" w:themeColor="text1"/>
              </w:rPr>
            </w:pPr>
            <w:r w:rsidRPr="0058432E">
              <w:rPr>
                <w:color w:val="000000" w:themeColor="text1"/>
              </w:rPr>
              <w:t>29,8 %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C8F1AD9" w14:textId="77777777" w:rsidR="001456CD" w:rsidRPr="0058432E" w:rsidRDefault="001456CD" w:rsidP="004A24CF">
            <w:pPr>
              <w:jc w:val="center"/>
              <w:rPr>
                <w:color w:val="000000" w:themeColor="text1"/>
              </w:rPr>
            </w:pPr>
            <w:r w:rsidRPr="0058432E">
              <w:rPr>
                <w:color w:val="000000" w:themeColor="text1"/>
              </w:rPr>
              <w:t>0,983</w:t>
            </w:r>
          </w:p>
        </w:tc>
      </w:tr>
      <w:tr w:rsidR="001456CD" w:rsidRPr="0058432E" w14:paraId="60E3B7AB"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5DB3442C" w14:textId="77777777" w:rsidR="001456CD" w:rsidRPr="0058432E" w:rsidRDefault="001456CD" w:rsidP="004A24CF">
            <w:pPr>
              <w:rPr>
                <w:b/>
                <w:color w:val="000000" w:themeColor="text1"/>
              </w:rPr>
            </w:pPr>
            <w:r w:rsidRPr="0058432E">
              <w:rPr>
                <w:b/>
                <w:color w:val="000000" w:themeColor="text1"/>
              </w:rPr>
              <w:t>Fermeture des fistules</w:t>
            </w:r>
            <w:r w:rsidRPr="0058432E">
              <w:rPr>
                <w:b/>
                <w:color w:val="000000" w:themeColor="text1"/>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14B3A21" w14:textId="77777777" w:rsidR="001456CD" w:rsidRPr="0058432E" w:rsidRDefault="001456CD" w:rsidP="004A24CF">
            <w:pPr>
              <w:jc w:val="center"/>
              <w:rPr>
                <w:b/>
                <w:color w:val="000000" w:themeColor="text1"/>
              </w:rPr>
            </w:pPr>
            <w:r w:rsidRPr="0058432E">
              <w:rPr>
                <w:b/>
                <w:color w:val="000000" w:themeColor="text1"/>
              </w:rPr>
              <w:t>N = 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E01DE46" w14:textId="77777777" w:rsidR="001456CD" w:rsidRPr="0058432E" w:rsidRDefault="001456CD" w:rsidP="004A24CF">
            <w:pPr>
              <w:jc w:val="center"/>
              <w:rPr>
                <w:b/>
                <w:color w:val="000000" w:themeColor="text1"/>
              </w:rPr>
            </w:pPr>
            <w:r w:rsidRPr="0058432E">
              <w:rPr>
                <w:b/>
                <w:color w:val="000000" w:themeColor="text1"/>
              </w:rPr>
              <w:t>N = 21</w:t>
            </w:r>
          </w:p>
        </w:tc>
        <w:tc>
          <w:tcPr>
            <w:tcW w:w="1715" w:type="dxa"/>
            <w:tcBorders>
              <w:top w:val="single" w:sz="4" w:space="0" w:color="auto"/>
              <w:left w:val="single" w:sz="4" w:space="0" w:color="auto"/>
              <w:bottom w:val="single" w:sz="4" w:space="0" w:color="auto"/>
              <w:right w:val="single" w:sz="4" w:space="0" w:color="auto"/>
            </w:tcBorders>
            <w:vAlign w:val="center"/>
          </w:tcPr>
          <w:p w14:paraId="28B91EEA" w14:textId="77777777" w:rsidR="001456CD" w:rsidRPr="0058432E" w:rsidRDefault="001456CD" w:rsidP="004A24CF">
            <w:pPr>
              <w:jc w:val="center"/>
              <w:rPr>
                <w:b/>
                <w:color w:val="000000" w:themeColor="text1"/>
              </w:rPr>
            </w:pPr>
          </w:p>
        </w:tc>
      </w:tr>
      <w:tr w:rsidR="001456CD" w:rsidRPr="0058432E" w14:paraId="63E9D955"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1B0A11F6" w14:textId="77777777" w:rsidR="001456CD" w:rsidRPr="0058432E" w:rsidRDefault="001456CD" w:rsidP="004A24CF">
            <w:pPr>
              <w:rPr>
                <w:color w:val="000000" w:themeColor="text1"/>
              </w:rPr>
            </w:pPr>
            <w:r w:rsidRPr="0058432E">
              <w:rPr>
                <w:color w:val="000000" w:themeColor="text1"/>
              </w:rPr>
              <w:t>Semaine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C5FC0FD" w14:textId="77777777" w:rsidR="001456CD" w:rsidRPr="0058432E" w:rsidRDefault="001456CD" w:rsidP="004A24CF">
            <w:pPr>
              <w:jc w:val="center"/>
              <w:rPr>
                <w:color w:val="000000" w:themeColor="text1"/>
              </w:rPr>
            </w:pPr>
            <w:r w:rsidRPr="0058432E">
              <w:rPr>
                <w:color w:val="000000" w:themeColor="text1"/>
              </w:rPr>
              <w:t>46,7 %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07B93B6" w14:textId="77777777" w:rsidR="001456CD" w:rsidRPr="0058432E" w:rsidRDefault="001456CD" w:rsidP="004A24CF">
            <w:pPr>
              <w:jc w:val="center"/>
              <w:rPr>
                <w:color w:val="000000" w:themeColor="text1"/>
              </w:rPr>
            </w:pPr>
            <w:r w:rsidRPr="0058432E">
              <w:rPr>
                <w:color w:val="000000" w:themeColor="text1"/>
              </w:rPr>
              <w:t>38,1 %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FDE72E1" w14:textId="77777777" w:rsidR="001456CD" w:rsidRPr="0058432E" w:rsidRDefault="001456CD" w:rsidP="004A24CF">
            <w:pPr>
              <w:jc w:val="center"/>
              <w:rPr>
                <w:color w:val="000000" w:themeColor="text1"/>
              </w:rPr>
            </w:pPr>
            <w:r w:rsidRPr="0058432E">
              <w:rPr>
                <w:color w:val="000000" w:themeColor="text1"/>
              </w:rPr>
              <w:t>0,608</w:t>
            </w:r>
          </w:p>
        </w:tc>
      </w:tr>
      <w:tr w:rsidR="001456CD" w:rsidRPr="0058432E" w14:paraId="05C51CEE"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1D43898B"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300500B" w14:textId="77777777" w:rsidR="001456CD" w:rsidRPr="0058432E" w:rsidRDefault="001456CD" w:rsidP="004A24CF">
            <w:pPr>
              <w:jc w:val="center"/>
              <w:rPr>
                <w:color w:val="000000" w:themeColor="text1"/>
              </w:rPr>
            </w:pPr>
            <w:r w:rsidRPr="0058432E">
              <w:rPr>
                <w:color w:val="000000" w:themeColor="text1"/>
              </w:rPr>
              <w:t>40,0 %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E0B98D3" w14:textId="77777777" w:rsidR="001456CD" w:rsidRPr="0058432E" w:rsidRDefault="001456CD" w:rsidP="004A24CF">
            <w:pPr>
              <w:jc w:val="center"/>
              <w:rPr>
                <w:color w:val="000000" w:themeColor="text1"/>
              </w:rPr>
            </w:pPr>
            <w:r w:rsidRPr="0058432E">
              <w:rPr>
                <w:color w:val="000000" w:themeColor="text1"/>
              </w:rPr>
              <w:t>23,8 %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DF2C6E6" w14:textId="77777777" w:rsidR="001456CD" w:rsidRPr="0058432E" w:rsidRDefault="001456CD" w:rsidP="004A24CF">
            <w:pPr>
              <w:jc w:val="center"/>
              <w:rPr>
                <w:color w:val="000000" w:themeColor="text1"/>
              </w:rPr>
            </w:pPr>
            <w:r w:rsidRPr="0058432E">
              <w:rPr>
                <w:color w:val="000000" w:themeColor="text1"/>
              </w:rPr>
              <w:t>0,303</w:t>
            </w:r>
          </w:p>
        </w:tc>
      </w:tr>
      <w:tr w:rsidR="001456CD" w:rsidRPr="0058432E" w14:paraId="60FE9549" w14:textId="77777777" w:rsidTr="004A24CF">
        <w:tc>
          <w:tcPr>
            <w:tcW w:w="9303" w:type="dxa"/>
            <w:gridSpan w:val="4"/>
            <w:tcBorders>
              <w:top w:val="single" w:sz="4" w:space="0" w:color="auto"/>
              <w:left w:val="nil"/>
              <w:bottom w:val="nil"/>
              <w:right w:val="nil"/>
            </w:tcBorders>
          </w:tcPr>
          <w:p w14:paraId="75F392DA"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1</w:t>
            </w:r>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pour la comparaison dose standard </w:t>
            </w:r>
            <w:r w:rsidRPr="0058432E">
              <w:rPr>
                <w:i/>
                <w:color w:val="000000" w:themeColor="text1"/>
                <w:sz w:val="20"/>
              </w:rPr>
              <w:t>versus</w:t>
            </w:r>
            <w:r w:rsidRPr="0058432E">
              <w:rPr>
                <w:color w:val="000000" w:themeColor="text1"/>
                <w:sz w:val="20"/>
              </w:rPr>
              <w:t xml:space="preserve"> dose faible.</w:t>
            </w:r>
          </w:p>
          <w:p w14:paraId="1C559E79"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2</w:t>
            </w:r>
            <w:r w:rsidRPr="0058432E">
              <w:rPr>
                <w:color w:val="000000" w:themeColor="text1"/>
                <w:sz w:val="20"/>
              </w:rPr>
              <w:tab/>
              <w:t>Le traitement immunosuppresseur ne pouvait être arrêté qu’à partir de la semaine 26, à la libre appréciation de l’investigateur, si le patient répondait au critère de réponse clinique</w:t>
            </w:r>
          </w:p>
          <w:p w14:paraId="1BAD4361"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3</w:t>
            </w:r>
            <w:r w:rsidRPr="0058432E">
              <w:rPr>
                <w:color w:val="000000" w:themeColor="text1"/>
                <w:sz w:val="20"/>
              </w:rPr>
              <w:tab/>
              <w:t>Définie comme la fermeture de toutes les fistules, à au moins 2 visites consécutives après la visite initiale</w:t>
            </w:r>
          </w:p>
        </w:tc>
      </w:tr>
    </w:tbl>
    <w:p w14:paraId="21B20270" w14:textId="77777777" w:rsidR="001456CD" w:rsidRPr="0058432E" w:rsidRDefault="001456CD" w:rsidP="001456CD">
      <w:pPr>
        <w:rPr>
          <w:color w:val="000000" w:themeColor="text1"/>
        </w:rPr>
      </w:pPr>
    </w:p>
    <w:p w14:paraId="45145243" w14:textId="77777777" w:rsidR="001456CD" w:rsidRPr="0058432E" w:rsidRDefault="001456CD" w:rsidP="001456CD">
      <w:pPr>
        <w:pStyle w:val="BodyText"/>
        <w:kinsoku w:val="0"/>
        <w:overflowPunct w:val="0"/>
        <w:ind w:left="0"/>
        <w:rPr>
          <w:color w:val="000000" w:themeColor="text1"/>
        </w:rPr>
      </w:pPr>
      <w:r w:rsidRPr="0058432E">
        <w:rPr>
          <w:color w:val="000000" w:themeColor="text1"/>
        </w:rPr>
        <w:t>Des augmentations statistiquement significatives (amélioration) de l’indice de masse corporelle et de la vitesse de croissance staturale ont été observées dans les deux groupes de traitement entre la visite initiale et les semaines 26 et 52.</w:t>
      </w:r>
    </w:p>
    <w:p w14:paraId="37A4AA6F" w14:textId="77777777" w:rsidR="001456CD" w:rsidRPr="0058432E" w:rsidRDefault="001456CD" w:rsidP="001456CD">
      <w:pPr>
        <w:pStyle w:val="BodyText"/>
        <w:widowControl/>
        <w:kinsoku w:val="0"/>
        <w:overflowPunct w:val="0"/>
        <w:ind w:left="0"/>
        <w:rPr>
          <w:color w:val="000000" w:themeColor="text1"/>
        </w:rPr>
      </w:pPr>
    </w:p>
    <w:p w14:paraId="432B32D9" w14:textId="77777777" w:rsidR="001456CD" w:rsidRPr="0058432E" w:rsidRDefault="001456CD" w:rsidP="001456CD">
      <w:pPr>
        <w:pStyle w:val="BodyText"/>
        <w:kinsoku w:val="0"/>
        <w:overflowPunct w:val="0"/>
        <w:ind w:left="0"/>
        <w:rPr>
          <w:color w:val="000000" w:themeColor="text1"/>
        </w:rPr>
      </w:pPr>
      <w:r w:rsidRPr="0058432E">
        <w:rPr>
          <w:color w:val="000000" w:themeColor="text1"/>
        </w:rPr>
        <w:t>Des améliorations statistiquement et cliniquement significatives par rapport à la visite initiale ont également été observées dans les deux groupes de traitement pour les paramètres de qualité de vie (y compris IMPACT III).</w:t>
      </w:r>
    </w:p>
    <w:p w14:paraId="6B4A9675" w14:textId="77777777" w:rsidR="001456CD" w:rsidRPr="0058432E" w:rsidRDefault="001456CD" w:rsidP="001456CD">
      <w:pPr>
        <w:pStyle w:val="BodyText"/>
        <w:widowControl/>
        <w:kinsoku w:val="0"/>
        <w:overflowPunct w:val="0"/>
        <w:ind w:left="0"/>
        <w:rPr>
          <w:color w:val="000000" w:themeColor="text1"/>
          <w:szCs w:val="21"/>
        </w:rPr>
      </w:pPr>
    </w:p>
    <w:p w14:paraId="277AE85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Cent patients (n =</w:t>
      </w:r>
      <w:r w:rsidRPr="0058432E">
        <w:rPr>
          <w:b/>
          <w:color w:val="000000" w:themeColor="text1"/>
        </w:rPr>
        <w:t> </w:t>
      </w:r>
      <w:r w:rsidRPr="0058432E">
        <w:rPr>
          <w:color w:val="000000" w:themeColor="text1"/>
        </w:rPr>
        <w:t>100) issus de l’étude sur la MC pédiatrique ont été inclus dans une étude d’extension à long terme en ouvert. Après 5 ans de traitement par adalimumab, 74,0 % (37/50) des 50 patients restant dans l’étude continuaient à être en rémission clinique et 92,0 % (46/50) des patients continuaient à être en réponse clinique selon le score PCDAI.</w:t>
      </w:r>
    </w:p>
    <w:p w14:paraId="3130F3F4" w14:textId="77777777" w:rsidR="006542CF" w:rsidRPr="0058432E" w:rsidRDefault="006542CF" w:rsidP="001456CD">
      <w:pPr>
        <w:pStyle w:val="BodyText"/>
        <w:kinsoku w:val="0"/>
        <w:overflowPunct w:val="0"/>
        <w:ind w:left="0"/>
        <w:rPr>
          <w:color w:val="000000" w:themeColor="text1"/>
        </w:rPr>
      </w:pPr>
    </w:p>
    <w:p w14:paraId="3E0BAC03" w14:textId="77777777" w:rsidR="006542CF" w:rsidRPr="0058432E" w:rsidRDefault="006542CF" w:rsidP="006542CF">
      <w:pPr>
        <w:keepNext/>
        <w:rPr>
          <w:i/>
          <w:iCs/>
          <w:color w:val="000000" w:themeColor="text1"/>
        </w:rPr>
      </w:pPr>
      <w:r w:rsidRPr="0058432E">
        <w:rPr>
          <w:i/>
          <w:iCs/>
          <w:color w:val="000000" w:themeColor="text1"/>
        </w:rPr>
        <w:t>Rectocolite hémorragique pédiatrique</w:t>
      </w:r>
    </w:p>
    <w:p w14:paraId="60D2B6CB" w14:textId="77777777" w:rsidR="006542CF" w:rsidRPr="0058432E" w:rsidRDefault="006542CF" w:rsidP="006542CF">
      <w:pPr>
        <w:keepNext/>
        <w:rPr>
          <w:color w:val="000000" w:themeColor="text1"/>
        </w:rPr>
      </w:pPr>
    </w:p>
    <w:p w14:paraId="0EBB836F" w14:textId="77777777" w:rsidR="006542CF" w:rsidRPr="0058432E" w:rsidRDefault="006542CF" w:rsidP="006542CF">
      <w:pPr>
        <w:rPr>
          <w:iCs/>
          <w:color w:val="000000" w:themeColor="text1"/>
        </w:rPr>
      </w:pPr>
      <w:r w:rsidRPr="0058432E">
        <w:rPr>
          <w:iCs/>
          <w:color w:val="000000" w:themeColor="text1"/>
        </w:rPr>
        <w:t xml:space="preserve">La tolérance et l’efficacité </w:t>
      </w:r>
      <w:r w:rsidR="007719AB" w:rsidRPr="0058432E">
        <w:rPr>
          <w:iCs/>
          <w:color w:val="000000" w:themeColor="text1"/>
        </w:rPr>
        <w:t xml:space="preserve">de </w:t>
      </w:r>
      <w:r w:rsidR="007719AB" w:rsidRPr="0058432E">
        <w:rPr>
          <w:color w:val="000000" w:themeColor="text1"/>
        </w:rPr>
        <w:t>l’adalimumab</w:t>
      </w:r>
      <w:r w:rsidRPr="0058432E">
        <w:rPr>
          <w:iCs/>
          <w:color w:val="000000" w:themeColor="text1"/>
        </w:rPr>
        <w:t xml:space="preserve"> ont été évaluées dans une étude multicentrique, randomisée, en </w:t>
      </w:r>
      <w:r w:rsidR="00405371" w:rsidRPr="0058432E">
        <w:rPr>
          <w:iCs/>
          <w:color w:val="000000" w:themeColor="text1"/>
        </w:rPr>
        <w:t>double aveugle, menée chez 93 </w:t>
      </w:r>
      <w:r w:rsidRPr="0058432E">
        <w:rPr>
          <w:iCs/>
          <w:color w:val="000000" w:themeColor="text1"/>
        </w:rPr>
        <w:t>patients</w:t>
      </w:r>
      <w:r w:rsidR="00405371" w:rsidRPr="0058432E">
        <w:rPr>
          <w:iCs/>
          <w:color w:val="000000" w:themeColor="text1"/>
        </w:rPr>
        <w:t xml:space="preserve"> pédiatriques âgés de 5 à 17 </w:t>
      </w:r>
      <w:r w:rsidRPr="0058432E">
        <w:rPr>
          <w:iCs/>
          <w:color w:val="000000" w:themeColor="text1"/>
        </w:rPr>
        <w:t>ans et atteints de rectocolite hémorragique modérée à sévère (score Mayo de 6 à 12 avec un sous-score endoscopique de 2 à 3</w:t>
      </w:r>
      <w:r w:rsidR="00405371" w:rsidRPr="0058432E">
        <w:rPr>
          <w:iCs/>
          <w:color w:val="000000" w:themeColor="text1"/>
        </w:rPr>
        <w:t> </w:t>
      </w:r>
      <w:r w:rsidRPr="0058432E">
        <w:rPr>
          <w:iCs/>
          <w:color w:val="000000" w:themeColor="text1"/>
        </w:rPr>
        <w:t>points, confirmé par une endoscopie évaluée par</w:t>
      </w:r>
      <w:r w:rsidR="00405371" w:rsidRPr="0058432E">
        <w:rPr>
          <w:iCs/>
          <w:color w:val="000000" w:themeColor="text1"/>
        </w:rPr>
        <w:t xml:space="preserve"> </w:t>
      </w:r>
      <w:r w:rsidRPr="0058432E">
        <w:rPr>
          <w:iCs/>
          <w:color w:val="000000" w:themeColor="text1"/>
        </w:rPr>
        <w:t>une relecture centralisée) qui présentaient une réponse inadéquate ou une intolérance au trait</w:t>
      </w:r>
      <w:r w:rsidR="00405371" w:rsidRPr="0058432E">
        <w:rPr>
          <w:iCs/>
          <w:color w:val="000000" w:themeColor="text1"/>
        </w:rPr>
        <w:t>ement conventionnel. Environ 16 </w:t>
      </w:r>
      <w:r w:rsidRPr="0058432E">
        <w:rPr>
          <w:iCs/>
          <w:color w:val="000000" w:themeColor="text1"/>
        </w:rPr>
        <w:t xml:space="preserve">% des patients de l’étude étaient en échec d’un précédent traitement par anti-TNF. Les patients recevant des corticoïdes au moment de l’inclusion ont été autorisés à diminuer progressivement leur traitement par corticoïdes après la </w:t>
      </w:r>
      <w:r w:rsidR="00405371" w:rsidRPr="0058432E">
        <w:rPr>
          <w:iCs/>
          <w:color w:val="000000" w:themeColor="text1"/>
        </w:rPr>
        <w:t>semaine </w:t>
      </w:r>
      <w:r w:rsidRPr="0058432E">
        <w:rPr>
          <w:iCs/>
          <w:color w:val="000000" w:themeColor="text1"/>
        </w:rPr>
        <w:t>4.</w:t>
      </w:r>
    </w:p>
    <w:p w14:paraId="4AADEC33" w14:textId="77777777" w:rsidR="006542CF" w:rsidRPr="0058432E" w:rsidRDefault="006542CF" w:rsidP="006542CF">
      <w:pPr>
        <w:rPr>
          <w:iCs/>
          <w:color w:val="000000" w:themeColor="text1"/>
        </w:rPr>
      </w:pPr>
    </w:p>
    <w:p w14:paraId="0D4B472F" w14:textId="77777777" w:rsidR="006542CF" w:rsidRPr="0058432E" w:rsidRDefault="006542CF" w:rsidP="006542CF">
      <w:pPr>
        <w:rPr>
          <w:iCs/>
          <w:color w:val="000000" w:themeColor="text1"/>
        </w:rPr>
      </w:pPr>
      <w:r w:rsidRPr="0058432E">
        <w:rPr>
          <w:iCs/>
          <w:color w:val="000000" w:themeColor="text1"/>
        </w:rPr>
        <w:t>Au cours de la pér</w:t>
      </w:r>
      <w:r w:rsidR="00405371" w:rsidRPr="0058432E">
        <w:rPr>
          <w:iCs/>
          <w:color w:val="000000" w:themeColor="text1"/>
        </w:rPr>
        <w:t>iode d’induction de l’étude, 77 patients ont été randomisés (3/</w:t>
      </w:r>
      <w:r w:rsidRPr="0058432E">
        <w:rPr>
          <w:iCs/>
          <w:color w:val="000000" w:themeColor="text1"/>
        </w:rPr>
        <w:t xml:space="preserve">2) pour recevoir un traitement en double aveugle par </w:t>
      </w:r>
      <w:r w:rsidR="00405371" w:rsidRPr="0058432E">
        <w:rPr>
          <w:color w:val="000000" w:themeColor="text1"/>
        </w:rPr>
        <w:t>adalimumab</w:t>
      </w:r>
      <w:r w:rsidR="00405371" w:rsidRPr="0058432E">
        <w:rPr>
          <w:iCs/>
          <w:color w:val="000000" w:themeColor="text1"/>
        </w:rPr>
        <w:t xml:space="preserve"> </w:t>
      </w:r>
      <w:r w:rsidRPr="0058432E">
        <w:rPr>
          <w:iCs/>
          <w:color w:val="000000" w:themeColor="text1"/>
        </w:rPr>
        <w:t>à</w:t>
      </w:r>
      <w:r w:rsidR="00405371" w:rsidRPr="0058432E">
        <w:rPr>
          <w:iCs/>
          <w:color w:val="000000" w:themeColor="text1"/>
        </w:rPr>
        <w:t xml:space="preserve"> une dose d’induction de 2,4 </w:t>
      </w:r>
      <w:r w:rsidRPr="0058432E">
        <w:rPr>
          <w:iCs/>
          <w:color w:val="000000" w:themeColor="text1"/>
        </w:rPr>
        <w:t xml:space="preserve">mg/kg (dose maximale de </w:t>
      </w:r>
      <w:r w:rsidR="00405371" w:rsidRPr="0058432E">
        <w:rPr>
          <w:iCs/>
          <w:color w:val="000000" w:themeColor="text1"/>
        </w:rPr>
        <w:t>160 mg) à la semaine 0 et à la semaine 1, et de 1,2 mg/kg (dose maximale de 80 mg) à la semaine 2 </w:t>
      </w:r>
      <w:r w:rsidRPr="0058432E">
        <w:rPr>
          <w:iCs/>
          <w:color w:val="000000" w:themeColor="text1"/>
        </w:rPr>
        <w:t xml:space="preserve">; </w:t>
      </w:r>
      <w:r w:rsidR="00405371" w:rsidRPr="0058432E">
        <w:rPr>
          <w:iCs/>
          <w:color w:val="000000" w:themeColor="text1"/>
        </w:rPr>
        <w:t>ou une dose d’induction de 2,4 mg/kg (dose maximale de 160 mg) à la semaine </w:t>
      </w:r>
      <w:r w:rsidRPr="0058432E">
        <w:rPr>
          <w:iCs/>
          <w:color w:val="000000" w:themeColor="text1"/>
        </w:rPr>
        <w:t xml:space="preserve">0, un placebo à la </w:t>
      </w:r>
      <w:r w:rsidR="00405371" w:rsidRPr="0058432E">
        <w:rPr>
          <w:color w:val="000000" w:themeColor="text1"/>
        </w:rPr>
        <w:t>semaine </w:t>
      </w:r>
      <w:r w:rsidRPr="0058432E">
        <w:rPr>
          <w:color w:val="000000" w:themeColor="text1"/>
        </w:rPr>
        <w:t>1</w:t>
      </w:r>
      <w:r w:rsidR="00405371" w:rsidRPr="0058432E">
        <w:rPr>
          <w:iCs/>
          <w:color w:val="000000" w:themeColor="text1"/>
        </w:rPr>
        <w:t xml:space="preserve"> et une dose de 1,2 mg/kg (dose maximale de 80 mg) à la semaine </w:t>
      </w:r>
      <w:r w:rsidRPr="0058432E">
        <w:rPr>
          <w:iCs/>
          <w:color w:val="000000" w:themeColor="text1"/>
        </w:rPr>
        <w:t xml:space="preserve">2. Les deux groupes ont </w:t>
      </w:r>
      <w:r w:rsidR="00405371" w:rsidRPr="0058432E">
        <w:rPr>
          <w:iCs/>
          <w:color w:val="000000" w:themeColor="text1"/>
        </w:rPr>
        <w:t>reçu une dose de 0,6 mg/kg (dose maximale de 40 mg) à la semaine 4 et à la semaine </w:t>
      </w:r>
      <w:r w:rsidRPr="0058432E">
        <w:rPr>
          <w:iCs/>
          <w:color w:val="000000" w:themeColor="text1"/>
        </w:rPr>
        <w:t xml:space="preserve">6. </w:t>
      </w:r>
      <w:proofErr w:type="gramStart"/>
      <w:r w:rsidRPr="0058432E">
        <w:rPr>
          <w:iCs/>
          <w:color w:val="000000" w:themeColor="text1"/>
        </w:rPr>
        <w:t>Suite à un</w:t>
      </w:r>
      <w:proofErr w:type="gramEnd"/>
      <w:r w:rsidRPr="0058432E">
        <w:rPr>
          <w:iCs/>
          <w:color w:val="000000" w:themeColor="text1"/>
        </w:rPr>
        <w:t xml:space="preserve"> </w:t>
      </w:r>
      <w:r w:rsidR="00405371" w:rsidRPr="0058432E">
        <w:rPr>
          <w:iCs/>
          <w:color w:val="000000" w:themeColor="text1"/>
        </w:rPr>
        <w:t xml:space="preserve">amendement de l’étude, </w:t>
      </w:r>
      <w:r w:rsidR="006F00E3" w:rsidRPr="0058432E">
        <w:rPr>
          <w:iCs/>
          <w:color w:val="000000" w:themeColor="text1"/>
        </w:rPr>
        <w:t xml:space="preserve">les </w:t>
      </w:r>
      <w:r w:rsidR="00405371" w:rsidRPr="0058432E">
        <w:rPr>
          <w:iCs/>
          <w:color w:val="000000" w:themeColor="text1"/>
        </w:rPr>
        <w:t>16 </w:t>
      </w:r>
      <w:r w:rsidRPr="0058432E">
        <w:rPr>
          <w:iCs/>
          <w:color w:val="000000" w:themeColor="text1"/>
        </w:rPr>
        <w:t xml:space="preserve">patients </w:t>
      </w:r>
      <w:r w:rsidR="006F00E3" w:rsidRPr="0058432E">
        <w:rPr>
          <w:iCs/>
          <w:color w:val="000000" w:themeColor="text1"/>
        </w:rPr>
        <w:t xml:space="preserve">restants ayant participé à la période d’induction </w:t>
      </w:r>
      <w:r w:rsidRPr="0058432E">
        <w:rPr>
          <w:iCs/>
          <w:color w:val="000000" w:themeColor="text1"/>
        </w:rPr>
        <w:t xml:space="preserve">ont reçu un traitement en ouvert par </w:t>
      </w:r>
      <w:r w:rsidR="006F00E3" w:rsidRPr="0058432E">
        <w:rPr>
          <w:color w:val="000000" w:themeColor="text1"/>
        </w:rPr>
        <w:t>adalimumab</w:t>
      </w:r>
      <w:r w:rsidR="006F00E3" w:rsidRPr="0058432E">
        <w:rPr>
          <w:iCs/>
          <w:color w:val="000000" w:themeColor="text1"/>
        </w:rPr>
        <w:t xml:space="preserve"> </w:t>
      </w:r>
      <w:r w:rsidRPr="0058432E">
        <w:rPr>
          <w:iCs/>
          <w:color w:val="000000" w:themeColor="text1"/>
        </w:rPr>
        <w:t xml:space="preserve">à la dose d’induction </w:t>
      </w:r>
      <w:r w:rsidR="006F00E3" w:rsidRPr="0058432E">
        <w:rPr>
          <w:iCs/>
          <w:color w:val="000000" w:themeColor="text1"/>
        </w:rPr>
        <w:t>de 2,4 mg/kg (dose maximale de 160 mg) à la semaine 0 et à la semaine 1, et de 1,2 </w:t>
      </w:r>
      <w:r w:rsidRPr="0058432E">
        <w:rPr>
          <w:iCs/>
          <w:color w:val="000000" w:themeColor="text1"/>
        </w:rPr>
        <w:t xml:space="preserve">mg/kg (dose </w:t>
      </w:r>
      <w:r w:rsidR="006F00E3" w:rsidRPr="0058432E">
        <w:rPr>
          <w:iCs/>
          <w:color w:val="000000" w:themeColor="text1"/>
        </w:rPr>
        <w:t>maximale de 80 mg) à la semaine </w:t>
      </w:r>
      <w:r w:rsidRPr="0058432E">
        <w:rPr>
          <w:iCs/>
          <w:color w:val="000000" w:themeColor="text1"/>
        </w:rPr>
        <w:t>2.</w:t>
      </w:r>
    </w:p>
    <w:p w14:paraId="1BF683B5" w14:textId="77777777" w:rsidR="006542CF" w:rsidRPr="0058432E" w:rsidRDefault="006542CF" w:rsidP="006542CF">
      <w:pPr>
        <w:rPr>
          <w:iCs/>
          <w:color w:val="000000" w:themeColor="text1"/>
        </w:rPr>
      </w:pPr>
    </w:p>
    <w:p w14:paraId="5B2781FB" w14:textId="77777777" w:rsidR="008B3B07" w:rsidRPr="0058432E" w:rsidRDefault="008B3B07" w:rsidP="008B3B07">
      <w:pPr>
        <w:rPr>
          <w:iCs/>
          <w:color w:val="000000" w:themeColor="text1"/>
        </w:rPr>
      </w:pPr>
      <w:r w:rsidRPr="0058432E">
        <w:rPr>
          <w:iCs/>
          <w:color w:val="000000" w:themeColor="text1"/>
        </w:rPr>
        <w:t xml:space="preserve">À la semaine 8, 62 patients ayant présenté une réponse clinique selon le Score Mayo partiel (SMP ; définie comme une diminution du SMP ≥ 2 points et ≥ 30 % par rapport à la valeur initiale) ont été </w:t>
      </w:r>
      <w:r w:rsidRPr="0058432E">
        <w:rPr>
          <w:iCs/>
          <w:color w:val="000000" w:themeColor="text1"/>
        </w:rPr>
        <w:lastRenderedPageBreak/>
        <w:t xml:space="preserve">randomisés pour recevoir un traitement d’entretien en double aveugle par </w:t>
      </w:r>
      <w:r w:rsidRPr="0058432E">
        <w:rPr>
          <w:color w:val="000000" w:themeColor="text1"/>
        </w:rPr>
        <w:t>adalimumab</w:t>
      </w:r>
      <w:r w:rsidRPr="0058432E">
        <w:rPr>
          <w:iCs/>
          <w:color w:val="000000" w:themeColor="text1"/>
        </w:rPr>
        <w:t xml:space="preserve"> à une dose de 0,6 mg/kg (dose maximale de 40 mg) chaque semaine, ou une dose d’entretien de 0,6 mg/kg (dose maximale de 40 mg) toutes les deux semaines. Avant un amendement de l’étude, 12 patients supplémentaires ayant présenté une réponse clinique d’après le SMP ont été randomisés pour recevoir un placebo, mais ces derniers n’ont pas été inclus dans l’analyse de confirmation de l’efficacité.</w:t>
      </w:r>
    </w:p>
    <w:p w14:paraId="15B2621D" w14:textId="77777777" w:rsidR="008B3B07" w:rsidRPr="0058432E" w:rsidRDefault="008B3B07" w:rsidP="008B3B07">
      <w:pPr>
        <w:rPr>
          <w:iCs/>
          <w:color w:val="000000" w:themeColor="text1"/>
        </w:rPr>
      </w:pPr>
    </w:p>
    <w:p w14:paraId="776AA389" w14:textId="77777777" w:rsidR="006542CF" w:rsidRPr="0058432E" w:rsidRDefault="006542CF" w:rsidP="006542CF">
      <w:pPr>
        <w:rPr>
          <w:iCs/>
          <w:color w:val="000000" w:themeColor="text1"/>
        </w:rPr>
      </w:pPr>
      <w:r w:rsidRPr="0058432E">
        <w:rPr>
          <w:iCs/>
          <w:color w:val="000000" w:themeColor="text1"/>
        </w:rPr>
        <w:t>Une poussée de la maladie était définie comme une a</w:t>
      </w:r>
      <w:r w:rsidR="00FF4B78" w:rsidRPr="0058432E">
        <w:rPr>
          <w:iCs/>
          <w:color w:val="000000" w:themeColor="text1"/>
        </w:rPr>
        <w:t>ugmentation du SMP d’au moins 3 </w:t>
      </w:r>
      <w:r w:rsidRPr="0058432E">
        <w:rPr>
          <w:iCs/>
          <w:color w:val="000000" w:themeColor="text1"/>
        </w:rPr>
        <w:t>points (pour les patients présenta</w:t>
      </w:r>
      <w:r w:rsidR="00FF4B78" w:rsidRPr="0058432E">
        <w:rPr>
          <w:iCs/>
          <w:color w:val="000000" w:themeColor="text1"/>
        </w:rPr>
        <w:t>nt un SMP de 0 à 2 à la semaine 8), d’au moins 2 </w:t>
      </w:r>
      <w:r w:rsidRPr="0058432E">
        <w:rPr>
          <w:iCs/>
          <w:color w:val="000000" w:themeColor="text1"/>
        </w:rPr>
        <w:t>points (pour les patients présentant un SMP de 3 à 4 à la sema</w:t>
      </w:r>
      <w:r w:rsidR="00FF4B78" w:rsidRPr="0058432E">
        <w:rPr>
          <w:iCs/>
          <w:color w:val="000000" w:themeColor="text1"/>
        </w:rPr>
        <w:t>ine 8), ou d’au moins 1 </w:t>
      </w:r>
      <w:r w:rsidRPr="0058432E">
        <w:rPr>
          <w:iCs/>
          <w:color w:val="000000" w:themeColor="text1"/>
        </w:rPr>
        <w:t xml:space="preserve">point (pour les patients présentant un </w:t>
      </w:r>
      <w:r w:rsidR="00FF4B78" w:rsidRPr="0058432E">
        <w:rPr>
          <w:iCs/>
          <w:color w:val="000000" w:themeColor="text1"/>
        </w:rPr>
        <w:t>SMP de 5 à 6 à la semaine </w:t>
      </w:r>
      <w:r w:rsidRPr="0058432E">
        <w:rPr>
          <w:iCs/>
          <w:color w:val="000000" w:themeColor="text1"/>
        </w:rPr>
        <w:t>8).</w:t>
      </w:r>
    </w:p>
    <w:p w14:paraId="5110B707" w14:textId="77777777" w:rsidR="006542CF" w:rsidRPr="0058432E" w:rsidRDefault="006542CF" w:rsidP="006542CF">
      <w:pPr>
        <w:rPr>
          <w:iCs/>
          <w:color w:val="000000" w:themeColor="text1"/>
        </w:rPr>
      </w:pPr>
    </w:p>
    <w:p w14:paraId="094A75EA" w14:textId="77777777" w:rsidR="006542CF" w:rsidRPr="0058432E" w:rsidRDefault="006542CF" w:rsidP="006542CF">
      <w:pPr>
        <w:rPr>
          <w:iCs/>
          <w:color w:val="000000" w:themeColor="text1"/>
        </w:rPr>
      </w:pPr>
      <w:r w:rsidRPr="0058432E">
        <w:rPr>
          <w:iCs/>
          <w:color w:val="000000" w:themeColor="text1"/>
        </w:rPr>
        <w:t>Les patients dont l’état répondait aux critères de pou</w:t>
      </w:r>
      <w:r w:rsidR="00FF4B78" w:rsidRPr="0058432E">
        <w:rPr>
          <w:iCs/>
          <w:color w:val="000000" w:themeColor="text1"/>
        </w:rPr>
        <w:t>ssée de la maladie à la semaine </w:t>
      </w:r>
      <w:r w:rsidRPr="0058432E">
        <w:rPr>
          <w:iCs/>
          <w:color w:val="000000" w:themeColor="text1"/>
        </w:rPr>
        <w:t>12 ou après ont été randomisés pour recevoir</w:t>
      </w:r>
      <w:r w:rsidR="00FF4B78" w:rsidRPr="0058432E">
        <w:rPr>
          <w:iCs/>
          <w:color w:val="000000" w:themeColor="text1"/>
        </w:rPr>
        <w:t xml:space="preserve"> une dose de réinduction de 2,4 mg/kg (dose maximale de 160 </w:t>
      </w:r>
      <w:r w:rsidRPr="0058432E">
        <w:rPr>
          <w:iCs/>
          <w:color w:val="000000" w:themeColor="text1"/>
        </w:rPr>
        <w:t xml:space="preserve">mg) ou une </w:t>
      </w:r>
      <w:r w:rsidR="00FF4B78" w:rsidRPr="0058432E">
        <w:rPr>
          <w:iCs/>
          <w:color w:val="000000" w:themeColor="text1"/>
        </w:rPr>
        <w:t>dose de 0,6 mg/kg (dose maximale de 40 </w:t>
      </w:r>
      <w:r w:rsidRPr="0058432E">
        <w:rPr>
          <w:iCs/>
          <w:color w:val="000000" w:themeColor="text1"/>
        </w:rPr>
        <w:t>mg) et ont conservé leur dose d’entretien respective par la suite.</w:t>
      </w:r>
    </w:p>
    <w:p w14:paraId="089A5AD8" w14:textId="77777777" w:rsidR="006542CF" w:rsidRPr="0058432E" w:rsidRDefault="006542CF" w:rsidP="006542CF">
      <w:pPr>
        <w:rPr>
          <w:iCs/>
          <w:color w:val="000000" w:themeColor="text1"/>
        </w:rPr>
      </w:pPr>
    </w:p>
    <w:p w14:paraId="249BB2DD" w14:textId="77777777" w:rsidR="006542CF" w:rsidRPr="0058432E" w:rsidRDefault="006542CF" w:rsidP="006542CF">
      <w:pPr>
        <w:keepNext/>
        <w:rPr>
          <w:i/>
          <w:color w:val="000000" w:themeColor="text1"/>
          <w:u w:val="single"/>
        </w:rPr>
      </w:pPr>
      <w:r w:rsidRPr="0058432E">
        <w:rPr>
          <w:i/>
          <w:color w:val="000000" w:themeColor="text1"/>
          <w:u w:val="single"/>
        </w:rPr>
        <w:t>Résultats d’efficacité</w:t>
      </w:r>
    </w:p>
    <w:p w14:paraId="04298A14" w14:textId="77777777" w:rsidR="006542CF" w:rsidRPr="0058432E" w:rsidRDefault="006542CF" w:rsidP="006542CF">
      <w:pPr>
        <w:keepNext/>
        <w:rPr>
          <w:iCs/>
          <w:color w:val="000000" w:themeColor="text1"/>
        </w:rPr>
      </w:pPr>
    </w:p>
    <w:p w14:paraId="48A2C0CF" w14:textId="77777777" w:rsidR="006542CF" w:rsidRPr="0058432E" w:rsidRDefault="006542CF" w:rsidP="006542CF">
      <w:pPr>
        <w:rPr>
          <w:iCs/>
          <w:color w:val="000000" w:themeColor="text1"/>
        </w:rPr>
      </w:pPr>
      <w:r w:rsidRPr="0058432E">
        <w:rPr>
          <w:iCs/>
          <w:color w:val="000000" w:themeColor="text1"/>
        </w:rPr>
        <w:t xml:space="preserve">Les co-critères principaux d’évaluation de l’étude étaient la rémission clinique selon le SMP (définie </w:t>
      </w:r>
      <w:r w:rsidR="0039015B" w:rsidRPr="0058432E">
        <w:rPr>
          <w:iCs/>
          <w:color w:val="000000" w:themeColor="text1"/>
        </w:rPr>
        <w:t>par un SMP ≤ </w:t>
      </w:r>
      <w:r w:rsidRPr="0058432E">
        <w:rPr>
          <w:iCs/>
          <w:color w:val="000000" w:themeColor="text1"/>
        </w:rPr>
        <w:t>2 sans aucun sous-</w:t>
      </w:r>
      <w:r w:rsidR="0039015B" w:rsidRPr="0058432E">
        <w:rPr>
          <w:iCs/>
          <w:color w:val="000000" w:themeColor="text1"/>
        </w:rPr>
        <w:t>score individuel &gt; 1) à la semaine </w:t>
      </w:r>
      <w:r w:rsidRPr="0058432E">
        <w:rPr>
          <w:iCs/>
          <w:color w:val="000000" w:themeColor="text1"/>
        </w:rPr>
        <w:t>8, et la rémission clinique selon le score SMT (score Mayo tota</w:t>
      </w:r>
      <w:r w:rsidR="0039015B" w:rsidRPr="0058432E">
        <w:rPr>
          <w:iCs/>
          <w:color w:val="000000" w:themeColor="text1"/>
        </w:rPr>
        <w:t>l) (définie par un score Mayo ≤ </w:t>
      </w:r>
      <w:r w:rsidRPr="0058432E">
        <w:rPr>
          <w:iCs/>
          <w:color w:val="000000" w:themeColor="text1"/>
        </w:rPr>
        <w:t>2 sans aucun sous</w:t>
      </w:r>
      <w:r w:rsidR="0039015B" w:rsidRPr="0058432E">
        <w:rPr>
          <w:iCs/>
          <w:color w:val="000000" w:themeColor="text1"/>
        </w:rPr>
        <w:t>-score individuel &gt; </w:t>
      </w:r>
      <w:r w:rsidRPr="0058432E">
        <w:rPr>
          <w:iCs/>
          <w:color w:val="000000" w:themeColor="text1"/>
        </w:rPr>
        <w:t xml:space="preserve">1) à </w:t>
      </w:r>
      <w:r w:rsidR="0039015B" w:rsidRPr="0058432E">
        <w:rPr>
          <w:iCs/>
          <w:color w:val="000000" w:themeColor="text1"/>
        </w:rPr>
        <w:t>la semaine </w:t>
      </w:r>
      <w:r w:rsidRPr="0058432E">
        <w:rPr>
          <w:iCs/>
          <w:color w:val="000000" w:themeColor="text1"/>
        </w:rPr>
        <w:t>52 chez les patients ayant obtenu une réponse cliniqu</w:t>
      </w:r>
      <w:r w:rsidR="0039015B" w:rsidRPr="0058432E">
        <w:rPr>
          <w:iCs/>
          <w:color w:val="000000" w:themeColor="text1"/>
        </w:rPr>
        <w:t>e d’après le SMP à la semaine </w:t>
      </w:r>
      <w:r w:rsidRPr="0058432E">
        <w:rPr>
          <w:iCs/>
          <w:color w:val="000000" w:themeColor="text1"/>
        </w:rPr>
        <w:t>8.</w:t>
      </w:r>
    </w:p>
    <w:p w14:paraId="26CBB119" w14:textId="77777777" w:rsidR="006542CF" w:rsidRPr="0058432E" w:rsidRDefault="006542CF" w:rsidP="006542CF">
      <w:pPr>
        <w:rPr>
          <w:iCs/>
          <w:color w:val="000000" w:themeColor="text1"/>
        </w:rPr>
      </w:pPr>
    </w:p>
    <w:p w14:paraId="6F55D522" w14:textId="77777777" w:rsidR="006542CF" w:rsidRPr="0058432E" w:rsidRDefault="006542CF" w:rsidP="006542CF">
      <w:pPr>
        <w:rPr>
          <w:iCs/>
          <w:color w:val="000000" w:themeColor="text1"/>
        </w:rPr>
      </w:pPr>
      <w:r w:rsidRPr="0058432E">
        <w:rPr>
          <w:iCs/>
          <w:color w:val="000000" w:themeColor="text1"/>
        </w:rPr>
        <w:t>À la semaine</w:t>
      </w:r>
      <w:r w:rsidR="0039015B" w:rsidRPr="0058432E">
        <w:rPr>
          <w:iCs/>
          <w:color w:val="000000" w:themeColor="text1"/>
        </w:rPr>
        <w:t> </w:t>
      </w:r>
      <w:r w:rsidRPr="0058432E">
        <w:rPr>
          <w:iCs/>
          <w:color w:val="000000" w:themeColor="text1"/>
        </w:rPr>
        <w:t xml:space="preserve">8, les taux de rémission clinique selon le SMP pour les patients de chaque groupe ayant reçu le traitement d’induction par </w:t>
      </w:r>
      <w:r w:rsidR="0039015B" w:rsidRPr="0058432E">
        <w:rPr>
          <w:color w:val="000000" w:themeColor="text1"/>
        </w:rPr>
        <w:t>adalimumab</w:t>
      </w:r>
      <w:r w:rsidR="0039015B" w:rsidRPr="0058432E">
        <w:rPr>
          <w:iCs/>
          <w:color w:val="000000" w:themeColor="text1"/>
        </w:rPr>
        <w:t xml:space="preserve"> </w:t>
      </w:r>
      <w:r w:rsidRPr="0058432E">
        <w:rPr>
          <w:iCs/>
          <w:color w:val="000000" w:themeColor="text1"/>
        </w:rPr>
        <w:t>en double aveugle</w:t>
      </w:r>
      <w:r w:rsidR="009B000E" w:rsidRPr="0058432E">
        <w:rPr>
          <w:iCs/>
          <w:color w:val="000000" w:themeColor="text1"/>
        </w:rPr>
        <w:t xml:space="preserve"> sont présentés dans le tableau </w:t>
      </w:r>
      <w:r w:rsidRPr="0058432E">
        <w:rPr>
          <w:iCs/>
          <w:color w:val="000000" w:themeColor="text1"/>
        </w:rPr>
        <w:t>26.</w:t>
      </w:r>
    </w:p>
    <w:p w14:paraId="4ADE7D60" w14:textId="77777777" w:rsidR="006542CF" w:rsidRPr="0058432E" w:rsidRDefault="006542CF" w:rsidP="006542CF">
      <w:pPr>
        <w:rPr>
          <w:i/>
          <w:color w:val="000000" w:themeColor="text1"/>
        </w:rPr>
      </w:pPr>
    </w:p>
    <w:p w14:paraId="547CA7D0" w14:textId="77777777" w:rsidR="005921C9" w:rsidRPr="0058432E" w:rsidRDefault="006542CF" w:rsidP="006542CF">
      <w:pPr>
        <w:keepNext/>
        <w:rPr>
          <w:b/>
          <w:color w:val="000000" w:themeColor="text1"/>
        </w:rPr>
      </w:pPr>
      <w:r w:rsidRPr="0058432E">
        <w:rPr>
          <w:b/>
          <w:color w:val="000000" w:themeColor="text1"/>
        </w:rPr>
        <w:t>Tableau 26.</w:t>
      </w:r>
    </w:p>
    <w:p w14:paraId="4D3EAB88" w14:textId="77777777" w:rsidR="006542CF" w:rsidRPr="0058432E" w:rsidRDefault="006542CF" w:rsidP="006542CF">
      <w:pPr>
        <w:keepNext/>
        <w:rPr>
          <w:b/>
          <w:bCs/>
          <w:color w:val="000000" w:themeColor="text1"/>
        </w:rPr>
      </w:pPr>
      <w:r w:rsidRPr="0058432E">
        <w:rPr>
          <w:b/>
          <w:color w:val="000000" w:themeColor="text1"/>
        </w:rPr>
        <w:t>Rémi</w:t>
      </w:r>
      <w:r w:rsidR="009B000E" w:rsidRPr="0058432E">
        <w:rPr>
          <w:b/>
          <w:color w:val="000000" w:themeColor="text1"/>
        </w:rPr>
        <w:t>ssion clinique selon le SMP à 8 </w:t>
      </w:r>
      <w:r w:rsidRPr="0058432E">
        <w:rPr>
          <w:b/>
          <w:color w:val="000000" w:themeColor="text1"/>
        </w:rPr>
        <w:t>semaines</w:t>
      </w:r>
    </w:p>
    <w:p w14:paraId="7847597E" w14:textId="77777777" w:rsidR="006542CF" w:rsidRPr="0058432E" w:rsidRDefault="006542CF" w:rsidP="006542CF">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7"/>
        <w:gridCol w:w="3032"/>
      </w:tblGrid>
      <w:tr w:rsidR="006542CF" w:rsidRPr="0058432E" w14:paraId="5455B411" w14:textId="77777777" w:rsidTr="009B0A71">
        <w:trPr>
          <w:cantSplit/>
          <w:tblHeader/>
        </w:trPr>
        <w:tc>
          <w:tcPr>
            <w:tcW w:w="3118" w:type="dxa"/>
            <w:tcBorders>
              <w:top w:val="single" w:sz="4" w:space="0" w:color="auto"/>
              <w:left w:val="single" w:sz="4" w:space="0" w:color="auto"/>
              <w:bottom w:val="single" w:sz="4" w:space="0" w:color="auto"/>
              <w:right w:val="single" w:sz="4" w:space="0" w:color="auto"/>
            </w:tcBorders>
          </w:tcPr>
          <w:p w14:paraId="644135DA" w14:textId="77777777" w:rsidR="006542CF" w:rsidRPr="0058432E" w:rsidRDefault="006542CF"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34BBC86F" w14:textId="77777777" w:rsidR="006542CF" w:rsidRPr="0058432E" w:rsidRDefault="006542CF"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230514CE" w14:textId="77777777" w:rsidR="006542CF" w:rsidRPr="0058432E" w:rsidRDefault="009B000E" w:rsidP="009B0A71">
            <w:pPr>
              <w:keepNext/>
              <w:jc w:val="center"/>
              <w:rPr>
                <w:b/>
                <w:color w:val="000000" w:themeColor="text1"/>
              </w:rPr>
            </w:pPr>
            <w:r w:rsidRPr="0058432E">
              <w:rPr>
                <w:b/>
                <w:color w:val="000000" w:themeColor="text1"/>
              </w:rPr>
              <w:t>Dose maximale de 160 </w:t>
            </w:r>
            <w:r w:rsidR="006542CF" w:rsidRPr="0058432E">
              <w:rPr>
                <w:b/>
                <w:color w:val="000000" w:themeColor="text1"/>
              </w:rPr>
              <w:t xml:space="preserve">mg à la </w:t>
            </w:r>
            <w:r w:rsidRPr="0058432E">
              <w:rPr>
                <w:b/>
                <w:color w:val="000000" w:themeColor="text1"/>
              </w:rPr>
              <w:t>semaine 0/</w:t>
            </w:r>
            <w:r w:rsidR="006542CF" w:rsidRPr="0058432E">
              <w:rPr>
                <w:b/>
                <w:color w:val="000000" w:themeColor="text1"/>
              </w:rPr>
              <w:t>placebo à la semaine 1</w:t>
            </w:r>
          </w:p>
          <w:p w14:paraId="14FBEB72"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30</w:t>
            </w:r>
          </w:p>
        </w:tc>
        <w:tc>
          <w:tcPr>
            <w:tcW w:w="3108" w:type="dxa"/>
            <w:tcBorders>
              <w:top w:val="single" w:sz="4" w:space="0" w:color="auto"/>
              <w:left w:val="single" w:sz="4" w:space="0" w:color="auto"/>
              <w:bottom w:val="single" w:sz="4" w:space="0" w:color="auto"/>
              <w:right w:val="single" w:sz="4" w:space="0" w:color="auto"/>
            </w:tcBorders>
            <w:hideMark/>
          </w:tcPr>
          <w:p w14:paraId="1F842844" w14:textId="77777777" w:rsidR="006542CF" w:rsidRPr="0058432E" w:rsidRDefault="006542CF" w:rsidP="009B0A71">
            <w:pPr>
              <w:keepNext/>
              <w:jc w:val="center"/>
              <w:rPr>
                <w:b/>
                <w:color w:val="000000" w:themeColor="text1"/>
              </w:rPr>
            </w:pPr>
            <w:proofErr w:type="gramStart"/>
            <w:r w:rsidRPr="0058432E">
              <w:rPr>
                <w:b/>
                <w:color w:val="000000" w:themeColor="text1"/>
              </w:rPr>
              <w:t>Adalimumab</w:t>
            </w:r>
            <w:r w:rsidRPr="0058432E">
              <w:rPr>
                <w:b/>
                <w:color w:val="000000" w:themeColor="text1"/>
                <w:vertAlign w:val="superscript"/>
              </w:rPr>
              <w:t>b,c</w:t>
            </w:r>
            <w:proofErr w:type="gramEnd"/>
          </w:p>
          <w:p w14:paraId="2C0986DB" w14:textId="77777777" w:rsidR="006542CF" w:rsidRPr="0058432E" w:rsidRDefault="009B000E" w:rsidP="009B0A71">
            <w:pPr>
              <w:keepNext/>
              <w:jc w:val="center"/>
              <w:rPr>
                <w:b/>
                <w:color w:val="000000" w:themeColor="text1"/>
              </w:rPr>
            </w:pPr>
            <w:r w:rsidRPr="0058432E">
              <w:rPr>
                <w:b/>
                <w:color w:val="000000" w:themeColor="text1"/>
              </w:rPr>
              <w:t>Dose maximale de 160 </w:t>
            </w:r>
            <w:r w:rsidR="006542CF" w:rsidRPr="0058432E">
              <w:rPr>
                <w:b/>
                <w:color w:val="000000" w:themeColor="text1"/>
              </w:rPr>
              <w:t>mg à la semaine 0 et à la semaine 1</w:t>
            </w:r>
          </w:p>
          <w:p w14:paraId="04874459"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47</w:t>
            </w:r>
          </w:p>
        </w:tc>
      </w:tr>
      <w:tr w:rsidR="006542CF" w:rsidRPr="0058432E" w14:paraId="25680F99"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76E9D0AE" w14:textId="77777777" w:rsidR="006542CF" w:rsidRPr="0058432E" w:rsidRDefault="006542CF" w:rsidP="009B0A71">
            <w:pPr>
              <w:rPr>
                <w:color w:val="000000" w:themeColor="text1"/>
              </w:rPr>
            </w:pPr>
            <w:r w:rsidRPr="0058432E">
              <w:rPr>
                <w:color w:val="000000" w:themeColor="text1"/>
              </w:rPr>
              <w:t>Rémission clinique</w:t>
            </w:r>
          </w:p>
        </w:tc>
        <w:tc>
          <w:tcPr>
            <w:tcW w:w="3077" w:type="dxa"/>
            <w:tcBorders>
              <w:top w:val="single" w:sz="4" w:space="0" w:color="auto"/>
              <w:left w:val="single" w:sz="4" w:space="0" w:color="auto"/>
              <w:bottom w:val="single" w:sz="4" w:space="0" w:color="auto"/>
              <w:right w:val="single" w:sz="4" w:space="0" w:color="auto"/>
            </w:tcBorders>
            <w:hideMark/>
          </w:tcPr>
          <w:p w14:paraId="02F7A19E" w14:textId="77777777" w:rsidR="006542CF" w:rsidRPr="0058432E" w:rsidRDefault="006542CF" w:rsidP="009B0A71">
            <w:pPr>
              <w:jc w:val="center"/>
              <w:rPr>
                <w:color w:val="000000" w:themeColor="text1"/>
              </w:rPr>
            </w:pPr>
            <w:r w:rsidRPr="0058432E">
              <w:rPr>
                <w:color w:val="000000" w:themeColor="text1"/>
              </w:rPr>
              <w:t>13/30 (43,3 %)</w:t>
            </w:r>
          </w:p>
        </w:tc>
        <w:tc>
          <w:tcPr>
            <w:tcW w:w="3108" w:type="dxa"/>
            <w:tcBorders>
              <w:top w:val="single" w:sz="4" w:space="0" w:color="auto"/>
              <w:left w:val="single" w:sz="4" w:space="0" w:color="auto"/>
              <w:bottom w:val="single" w:sz="4" w:space="0" w:color="auto"/>
              <w:right w:val="single" w:sz="4" w:space="0" w:color="auto"/>
            </w:tcBorders>
            <w:hideMark/>
          </w:tcPr>
          <w:p w14:paraId="70FFEE5B" w14:textId="77777777" w:rsidR="006542CF" w:rsidRPr="0058432E" w:rsidRDefault="006542CF" w:rsidP="009B0A71">
            <w:pPr>
              <w:jc w:val="center"/>
              <w:rPr>
                <w:color w:val="000000" w:themeColor="text1"/>
              </w:rPr>
            </w:pPr>
            <w:r w:rsidRPr="0058432E">
              <w:rPr>
                <w:color w:val="000000" w:themeColor="text1"/>
              </w:rPr>
              <w:t>28/47 (59,6 %)</w:t>
            </w:r>
          </w:p>
        </w:tc>
      </w:tr>
      <w:tr w:rsidR="006542CF" w:rsidRPr="0058432E" w14:paraId="00E69B0D" w14:textId="77777777" w:rsidTr="009B0A71">
        <w:trPr>
          <w:cantSplit/>
        </w:trPr>
        <w:tc>
          <w:tcPr>
            <w:tcW w:w="9303" w:type="dxa"/>
            <w:gridSpan w:val="3"/>
            <w:tcBorders>
              <w:top w:val="single" w:sz="4" w:space="0" w:color="auto"/>
              <w:left w:val="nil"/>
              <w:bottom w:val="nil"/>
              <w:right w:val="nil"/>
            </w:tcBorders>
          </w:tcPr>
          <w:p w14:paraId="242B38C6" w14:textId="77777777" w:rsidR="006542CF" w:rsidRPr="0058432E" w:rsidRDefault="006542CF"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 xml:space="preserve"> </w:t>
            </w:r>
            <w:r w:rsidRPr="0058432E">
              <w:rPr>
                <w:color w:val="000000" w:themeColor="text1"/>
                <w:sz w:val="20"/>
                <w:szCs w:val="20"/>
              </w:rPr>
              <w:tab/>
              <w:t xml:space="preserve">Adalimumab </w:t>
            </w:r>
            <w:r w:rsidR="009B000E" w:rsidRPr="0058432E">
              <w:rPr>
                <w:color w:val="000000" w:themeColor="text1"/>
                <w:sz w:val="20"/>
                <w:szCs w:val="20"/>
              </w:rPr>
              <w:t>2,4 mg/kg (dose maximale de 160 mg) à la semaine </w:t>
            </w:r>
            <w:r w:rsidRPr="0058432E">
              <w:rPr>
                <w:color w:val="000000" w:themeColor="text1"/>
                <w:sz w:val="20"/>
                <w:szCs w:val="20"/>
              </w:rPr>
              <w:t xml:space="preserve">0, placebo à la </w:t>
            </w:r>
            <w:r w:rsidR="009B000E" w:rsidRPr="0058432E">
              <w:rPr>
                <w:color w:val="000000" w:themeColor="text1"/>
                <w:sz w:val="20"/>
                <w:szCs w:val="20"/>
              </w:rPr>
              <w:t>semaine </w:t>
            </w:r>
            <w:r w:rsidRPr="0058432E">
              <w:rPr>
                <w:color w:val="000000" w:themeColor="text1"/>
                <w:sz w:val="20"/>
                <w:szCs w:val="20"/>
              </w:rPr>
              <w:t>1, et 1,2</w:t>
            </w:r>
            <w:r w:rsidR="009B000E" w:rsidRPr="0058432E">
              <w:rPr>
                <w:color w:val="000000" w:themeColor="text1"/>
                <w:sz w:val="20"/>
                <w:szCs w:val="20"/>
              </w:rPr>
              <w:t> mg/kg (dose maximale de 80 mg) à la semaine </w:t>
            </w:r>
            <w:r w:rsidRPr="0058432E">
              <w:rPr>
                <w:color w:val="000000" w:themeColor="text1"/>
                <w:sz w:val="20"/>
                <w:szCs w:val="20"/>
              </w:rPr>
              <w:t>2</w:t>
            </w:r>
          </w:p>
          <w:p w14:paraId="292DD5C1" w14:textId="77777777" w:rsidR="006542CF" w:rsidRPr="0058432E" w:rsidRDefault="006542CF"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 xml:space="preserve"> </w:t>
            </w:r>
            <w:r w:rsidRPr="0058432E">
              <w:rPr>
                <w:color w:val="000000" w:themeColor="text1"/>
                <w:sz w:val="20"/>
                <w:szCs w:val="20"/>
              </w:rPr>
              <w:tab/>
              <w:t xml:space="preserve">Adalimumab </w:t>
            </w:r>
            <w:r w:rsidR="009B000E" w:rsidRPr="0058432E">
              <w:rPr>
                <w:color w:val="000000" w:themeColor="text1"/>
                <w:sz w:val="20"/>
                <w:szCs w:val="20"/>
              </w:rPr>
              <w:t>2,4 </w:t>
            </w:r>
            <w:r w:rsidR="00AB1859" w:rsidRPr="0058432E">
              <w:rPr>
                <w:color w:val="000000" w:themeColor="text1"/>
                <w:sz w:val="20"/>
                <w:szCs w:val="20"/>
              </w:rPr>
              <w:t>mg/kg (dose maximale de 160 mg) à la semaine 0 et à la semaine </w:t>
            </w:r>
            <w:r w:rsidRPr="0058432E">
              <w:rPr>
                <w:color w:val="000000" w:themeColor="text1"/>
                <w:sz w:val="20"/>
                <w:szCs w:val="20"/>
              </w:rPr>
              <w:t xml:space="preserve">1, et </w:t>
            </w:r>
            <w:r w:rsidR="00AB1859" w:rsidRPr="0058432E">
              <w:rPr>
                <w:color w:val="000000" w:themeColor="text1"/>
                <w:sz w:val="20"/>
                <w:szCs w:val="20"/>
              </w:rPr>
              <w:t>1,2 </w:t>
            </w:r>
            <w:r w:rsidRPr="0058432E">
              <w:rPr>
                <w:color w:val="000000" w:themeColor="text1"/>
                <w:sz w:val="20"/>
                <w:szCs w:val="20"/>
              </w:rPr>
              <w:t>mg/</w:t>
            </w:r>
            <w:r w:rsidR="009B000E" w:rsidRPr="0058432E">
              <w:rPr>
                <w:color w:val="000000" w:themeColor="text1"/>
                <w:sz w:val="20"/>
                <w:szCs w:val="20"/>
              </w:rPr>
              <w:t>kg (dose maximale de 80 </w:t>
            </w:r>
            <w:r w:rsidR="00AB1859" w:rsidRPr="0058432E">
              <w:rPr>
                <w:color w:val="000000" w:themeColor="text1"/>
                <w:sz w:val="20"/>
                <w:szCs w:val="20"/>
              </w:rPr>
              <w:t>mg) à la semaine </w:t>
            </w:r>
            <w:r w:rsidRPr="0058432E">
              <w:rPr>
                <w:color w:val="000000" w:themeColor="text1"/>
                <w:sz w:val="20"/>
                <w:szCs w:val="20"/>
              </w:rPr>
              <w:t>2</w:t>
            </w:r>
          </w:p>
          <w:p w14:paraId="5E6E0E13" w14:textId="77777777" w:rsidR="006542CF" w:rsidRPr="0058432E" w:rsidRDefault="006542CF"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 xml:space="preserve"> </w:t>
            </w:r>
            <w:r w:rsidRPr="0058432E">
              <w:rPr>
                <w:color w:val="000000" w:themeColor="text1"/>
                <w:sz w:val="20"/>
                <w:szCs w:val="20"/>
              </w:rPr>
              <w:tab/>
              <w:t>En excluant la dose d’indu</w:t>
            </w:r>
            <w:r w:rsidR="009B000E" w:rsidRPr="0058432E">
              <w:rPr>
                <w:color w:val="000000" w:themeColor="text1"/>
                <w:sz w:val="20"/>
                <w:szCs w:val="20"/>
              </w:rPr>
              <w:t xml:space="preserve">ction en ouvert </w:t>
            </w:r>
            <w:r w:rsidR="00E70D87" w:rsidRPr="0058432E">
              <w:rPr>
                <w:color w:val="000000" w:themeColor="text1"/>
                <w:sz w:val="20"/>
                <w:szCs w:val="20"/>
              </w:rPr>
              <w:t>d’adalimumab</w:t>
            </w:r>
            <w:r w:rsidR="009B000E" w:rsidRPr="0058432E">
              <w:rPr>
                <w:color w:val="000000" w:themeColor="text1"/>
                <w:sz w:val="20"/>
                <w:szCs w:val="20"/>
              </w:rPr>
              <w:t xml:space="preserve"> de 2,4 </w:t>
            </w:r>
            <w:r w:rsidRPr="0058432E">
              <w:rPr>
                <w:color w:val="000000" w:themeColor="text1"/>
                <w:sz w:val="20"/>
                <w:szCs w:val="20"/>
              </w:rPr>
              <w:t xml:space="preserve">mg/kg (dose maximale de </w:t>
            </w:r>
            <w:r w:rsidR="00E70D87" w:rsidRPr="0058432E">
              <w:rPr>
                <w:color w:val="000000" w:themeColor="text1"/>
                <w:sz w:val="20"/>
                <w:szCs w:val="20"/>
              </w:rPr>
              <w:t>160 </w:t>
            </w:r>
            <w:r w:rsidRPr="0058432E">
              <w:rPr>
                <w:color w:val="000000" w:themeColor="text1"/>
                <w:sz w:val="20"/>
                <w:szCs w:val="20"/>
              </w:rPr>
              <w:t>mg)</w:t>
            </w:r>
            <w:r w:rsidR="00E70D87" w:rsidRPr="0058432E">
              <w:rPr>
                <w:color w:val="000000" w:themeColor="text1"/>
                <w:sz w:val="20"/>
                <w:szCs w:val="20"/>
              </w:rPr>
              <w:t xml:space="preserve"> à la semaine </w:t>
            </w:r>
            <w:r w:rsidR="009B000E" w:rsidRPr="0058432E">
              <w:rPr>
                <w:color w:val="000000" w:themeColor="text1"/>
                <w:sz w:val="20"/>
                <w:szCs w:val="20"/>
              </w:rPr>
              <w:t>0 et à la semaine 1, et de 1,2 mg/kg (dose maximale de 80 </w:t>
            </w:r>
            <w:r w:rsidRPr="0058432E">
              <w:rPr>
                <w:color w:val="000000" w:themeColor="text1"/>
                <w:sz w:val="20"/>
                <w:szCs w:val="20"/>
              </w:rPr>
              <w:t xml:space="preserve">mg) à </w:t>
            </w:r>
            <w:r w:rsidR="00E70D87" w:rsidRPr="0058432E">
              <w:rPr>
                <w:color w:val="000000" w:themeColor="text1"/>
                <w:sz w:val="20"/>
                <w:szCs w:val="20"/>
              </w:rPr>
              <w:t>la semaine </w:t>
            </w:r>
            <w:r w:rsidRPr="0058432E">
              <w:rPr>
                <w:color w:val="000000" w:themeColor="text1"/>
                <w:sz w:val="20"/>
                <w:szCs w:val="20"/>
              </w:rPr>
              <w:t>2</w:t>
            </w:r>
          </w:p>
          <w:p w14:paraId="3F1EDB40" w14:textId="77777777" w:rsidR="006542CF" w:rsidRPr="0058432E" w:rsidRDefault="006542CF" w:rsidP="009B0A71">
            <w:pPr>
              <w:autoSpaceDE w:val="0"/>
              <w:autoSpaceDN w:val="0"/>
              <w:adjustRightInd w:val="0"/>
              <w:rPr>
                <w:color w:val="000000" w:themeColor="text1"/>
                <w:sz w:val="20"/>
                <w:szCs w:val="20"/>
              </w:rPr>
            </w:pPr>
            <w:r w:rsidRPr="0058432E">
              <w:rPr>
                <w:color w:val="000000" w:themeColor="text1"/>
                <w:sz w:val="20"/>
                <w:szCs w:val="20"/>
              </w:rPr>
              <w:t>Remarque</w:t>
            </w:r>
            <w:r w:rsidR="00E70D87" w:rsidRPr="0058432E">
              <w:rPr>
                <w:color w:val="000000" w:themeColor="text1"/>
                <w:sz w:val="20"/>
                <w:szCs w:val="20"/>
              </w:rPr>
              <w:t> </w:t>
            </w:r>
            <w:r w:rsidRPr="0058432E">
              <w:rPr>
                <w:color w:val="000000" w:themeColor="text1"/>
                <w:sz w:val="20"/>
                <w:szCs w:val="20"/>
              </w:rPr>
              <w:t xml:space="preserve">1 : les deux groupes du traitement d’induction ont reçu une dose de </w:t>
            </w:r>
            <w:r w:rsidR="009B000E" w:rsidRPr="0058432E">
              <w:rPr>
                <w:color w:val="000000" w:themeColor="text1"/>
                <w:sz w:val="20"/>
                <w:szCs w:val="20"/>
              </w:rPr>
              <w:t>0,6 </w:t>
            </w:r>
            <w:r w:rsidRPr="0058432E">
              <w:rPr>
                <w:color w:val="000000" w:themeColor="text1"/>
                <w:sz w:val="20"/>
                <w:szCs w:val="20"/>
              </w:rPr>
              <w:t xml:space="preserve">mg/kg (dose </w:t>
            </w:r>
            <w:r w:rsidR="009B000E" w:rsidRPr="0058432E">
              <w:rPr>
                <w:color w:val="000000" w:themeColor="text1"/>
                <w:sz w:val="20"/>
                <w:szCs w:val="20"/>
              </w:rPr>
              <w:t>maximale de 40 mg) à la semaine 4 et à la semaine </w:t>
            </w:r>
            <w:r w:rsidRPr="0058432E">
              <w:rPr>
                <w:color w:val="000000" w:themeColor="text1"/>
                <w:sz w:val="20"/>
                <w:szCs w:val="20"/>
              </w:rPr>
              <w:t>6</w:t>
            </w:r>
          </w:p>
          <w:p w14:paraId="1DCDF2C1" w14:textId="77777777" w:rsidR="006542CF" w:rsidRPr="0058432E" w:rsidRDefault="006542CF" w:rsidP="00757BCE">
            <w:pPr>
              <w:autoSpaceDE w:val="0"/>
              <w:autoSpaceDN w:val="0"/>
              <w:adjustRightInd w:val="0"/>
              <w:rPr>
                <w:color w:val="000000" w:themeColor="text1"/>
                <w:sz w:val="20"/>
                <w:szCs w:val="20"/>
              </w:rPr>
            </w:pPr>
            <w:r w:rsidRPr="0058432E">
              <w:rPr>
                <w:color w:val="000000" w:themeColor="text1"/>
                <w:sz w:val="20"/>
                <w:szCs w:val="20"/>
              </w:rPr>
              <w:t>Remarque</w:t>
            </w:r>
            <w:r w:rsidR="00E70D87" w:rsidRPr="0058432E">
              <w:rPr>
                <w:color w:val="000000" w:themeColor="text1"/>
                <w:sz w:val="20"/>
                <w:szCs w:val="20"/>
              </w:rPr>
              <w:t> </w:t>
            </w:r>
            <w:r w:rsidRPr="0058432E">
              <w:rPr>
                <w:color w:val="000000" w:themeColor="text1"/>
                <w:sz w:val="20"/>
                <w:szCs w:val="20"/>
              </w:rPr>
              <w:t>2 : pour les patients dont les valeurs étaient manquantes à la semaine</w:t>
            </w:r>
            <w:r w:rsidR="009B000E" w:rsidRPr="0058432E">
              <w:rPr>
                <w:color w:val="000000" w:themeColor="text1"/>
                <w:sz w:val="20"/>
                <w:szCs w:val="20"/>
              </w:rPr>
              <w:t> </w:t>
            </w:r>
            <w:r w:rsidRPr="0058432E">
              <w:rPr>
                <w:color w:val="000000" w:themeColor="text1"/>
                <w:sz w:val="20"/>
                <w:szCs w:val="20"/>
              </w:rPr>
              <w:t>8, le critère d’évaluation est considéré comme n’étant pas atteint</w:t>
            </w:r>
          </w:p>
        </w:tc>
      </w:tr>
    </w:tbl>
    <w:p w14:paraId="29D6F965" w14:textId="77777777" w:rsidR="006542CF" w:rsidRPr="0058432E" w:rsidRDefault="006542CF" w:rsidP="006542CF">
      <w:pPr>
        <w:keepNext/>
        <w:rPr>
          <w:i/>
          <w:color w:val="000000" w:themeColor="text1"/>
        </w:rPr>
      </w:pPr>
    </w:p>
    <w:p w14:paraId="372A6FF5" w14:textId="77777777" w:rsidR="006542CF" w:rsidRPr="0058432E" w:rsidRDefault="00111B5B" w:rsidP="006542CF">
      <w:pPr>
        <w:autoSpaceDE w:val="0"/>
        <w:autoSpaceDN w:val="0"/>
        <w:adjustRightInd w:val="0"/>
        <w:rPr>
          <w:color w:val="000000" w:themeColor="text1"/>
        </w:rPr>
      </w:pPr>
      <w:r w:rsidRPr="0058432E">
        <w:rPr>
          <w:color w:val="000000" w:themeColor="text1"/>
        </w:rPr>
        <w:t>À la semaine </w:t>
      </w:r>
      <w:r w:rsidR="006542CF" w:rsidRPr="0058432E">
        <w:rPr>
          <w:color w:val="000000" w:themeColor="text1"/>
        </w:rPr>
        <w:t xml:space="preserve">52, la rémission clinique selon le SMT chez les patients ayant présenté une réponse </w:t>
      </w:r>
      <w:r w:rsidRPr="0058432E">
        <w:rPr>
          <w:color w:val="000000" w:themeColor="text1"/>
        </w:rPr>
        <w:t>clinique à la semaine </w:t>
      </w:r>
      <w:r w:rsidR="006542CF" w:rsidRPr="0058432E">
        <w:rPr>
          <w:color w:val="000000" w:themeColor="text1"/>
        </w:rPr>
        <w:t xml:space="preserve">8, la réponse clinique selon le SMT (définie comme une diminution du score </w:t>
      </w:r>
      <w:r w:rsidRPr="0058432E">
        <w:rPr>
          <w:color w:val="000000" w:themeColor="text1"/>
        </w:rPr>
        <w:t>Mayo ≥ 3 points et ≥ 30 </w:t>
      </w:r>
      <w:r w:rsidR="006542CF" w:rsidRPr="0058432E">
        <w:rPr>
          <w:color w:val="000000" w:themeColor="text1"/>
        </w:rPr>
        <w:t>%</w:t>
      </w:r>
      <w:r w:rsidRPr="0058432E">
        <w:rPr>
          <w:color w:val="000000" w:themeColor="text1"/>
        </w:rPr>
        <w:t xml:space="preserve"> par rapport à l’inclusion</w:t>
      </w:r>
      <w:r w:rsidR="006542CF" w:rsidRPr="0058432E">
        <w:rPr>
          <w:color w:val="000000" w:themeColor="text1"/>
        </w:rPr>
        <w:t>) chez les patients ayant pr</w:t>
      </w:r>
      <w:r w:rsidRPr="0058432E">
        <w:rPr>
          <w:color w:val="000000" w:themeColor="text1"/>
        </w:rPr>
        <w:t>ésenté une réponse à la semaine </w:t>
      </w:r>
      <w:r w:rsidR="006542CF" w:rsidRPr="0058432E">
        <w:rPr>
          <w:color w:val="000000" w:themeColor="text1"/>
        </w:rPr>
        <w:t>8, la cicatrisation de la muqueuse (définie comme un</w:t>
      </w:r>
      <w:r w:rsidR="00132782" w:rsidRPr="0058432E">
        <w:rPr>
          <w:color w:val="000000" w:themeColor="text1"/>
        </w:rPr>
        <w:t xml:space="preserve"> sous-score endoscopique Mayo ≤ </w:t>
      </w:r>
      <w:r w:rsidR="006542CF" w:rsidRPr="0058432E">
        <w:rPr>
          <w:color w:val="000000" w:themeColor="text1"/>
        </w:rPr>
        <w:t>1) chez les patients ayant présenté une réponse à la semaine</w:t>
      </w:r>
      <w:r w:rsidR="00132782" w:rsidRPr="0058432E">
        <w:rPr>
          <w:color w:val="000000" w:themeColor="text1"/>
        </w:rPr>
        <w:t> </w:t>
      </w:r>
      <w:r w:rsidR="006542CF" w:rsidRPr="0058432E">
        <w:rPr>
          <w:color w:val="000000" w:themeColor="text1"/>
        </w:rPr>
        <w:t xml:space="preserve">8, la rémission clinique selon le SMT chez les patients en rémission </w:t>
      </w:r>
      <w:r w:rsidR="00132782" w:rsidRPr="0058432E">
        <w:rPr>
          <w:color w:val="000000" w:themeColor="text1"/>
        </w:rPr>
        <w:t>à la semaine </w:t>
      </w:r>
      <w:r w:rsidR="006542CF" w:rsidRPr="0058432E">
        <w:rPr>
          <w:color w:val="000000" w:themeColor="text1"/>
        </w:rPr>
        <w:t>8, et la proportion de patients en rémission sans corticoïdes selon le SMT chez les patients ayant pr</w:t>
      </w:r>
      <w:r w:rsidR="00132782" w:rsidRPr="0058432E">
        <w:rPr>
          <w:color w:val="000000" w:themeColor="text1"/>
        </w:rPr>
        <w:t>ésenté une réponse à la semaine </w:t>
      </w:r>
      <w:r w:rsidR="006542CF" w:rsidRPr="0058432E">
        <w:rPr>
          <w:color w:val="000000" w:themeColor="text1"/>
        </w:rPr>
        <w:t xml:space="preserve">8 ont été évaluées pour les patients ayant reçu </w:t>
      </w:r>
      <w:r w:rsidR="00132782" w:rsidRPr="0058432E">
        <w:rPr>
          <w:color w:val="000000" w:themeColor="text1"/>
        </w:rPr>
        <w:t>l’adalimumab</w:t>
      </w:r>
      <w:r w:rsidR="006542CF" w:rsidRPr="0058432E">
        <w:rPr>
          <w:color w:val="000000" w:themeColor="text1"/>
        </w:rPr>
        <w:t xml:space="preserve"> en double aveugle à la </w:t>
      </w:r>
      <w:r w:rsidR="00132782" w:rsidRPr="0058432E">
        <w:rPr>
          <w:color w:val="000000" w:themeColor="text1"/>
        </w:rPr>
        <w:t>dose d’entretien maximale de 40 mg 1 semaine sur 2 (0,6 </w:t>
      </w:r>
      <w:r w:rsidR="006542CF" w:rsidRPr="0058432E">
        <w:rPr>
          <w:color w:val="000000" w:themeColor="text1"/>
        </w:rPr>
        <w:t xml:space="preserve">mg/kg) et à la </w:t>
      </w:r>
      <w:r w:rsidR="00132782" w:rsidRPr="0058432E">
        <w:rPr>
          <w:color w:val="000000" w:themeColor="text1"/>
        </w:rPr>
        <w:t>dose d’entretien maximale de 40 mg chaque semaine (0,6 mg/kg) (tableau </w:t>
      </w:r>
      <w:r w:rsidR="006542CF" w:rsidRPr="0058432E">
        <w:rPr>
          <w:color w:val="000000" w:themeColor="text1"/>
        </w:rPr>
        <w:t>27).</w:t>
      </w:r>
    </w:p>
    <w:p w14:paraId="7215EE4B" w14:textId="77777777" w:rsidR="006542CF" w:rsidRPr="0058432E" w:rsidRDefault="006542CF" w:rsidP="006542CF">
      <w:pPr>
        <w:rPr>
          <w:iCs/>
          <w:color w:val="000000" w:themeColor="text1"/>
        </w:rPr>
      </w:pPr>
    </w:p>
    <w:p w14:paraId="4E63A523" w14:textId="77777777" w:rsidR="005921C9" w:rsidRPr="0058432E" w:rsidRDefault="006542CF" w:rsidP="006542CF">
      <w:pPr>
        <w:keepNext/>
        <w:rPr>
          <w:b/>
          <w:color w:val="000000" w:themeColor="text1"/>
        </w:rPr>
      </w:pPr>
      <w:r w:rsidRPr="0058432E">
        <w:rPr>
          <w:b/>
          <w:color w:val="000000" w:themeColor="text1"/>
        </w:rPr>
        <w:lastRenderedPageBreak/>
        <w:t>Tableau 27.</w:t>
      </w:r>
    </w:p>
    <w:p w14:paraId="5FC30D26" w14:textId="77777777" w:rsidR="006542CF" w:rsidRPr="0058432E" w:rsidRDefault="00132782" w:rsidP="006542CF">
      <w:pPr>
        <w:keepNext/>
        <w:rPr>
          <w:b/>
          <w:bCs/>
          <w:color w:val="000000" w:themeColor="text1"/>
        </w:rPr>
      </w:pPr>
      <w:r w:rsidRPr="0058432E">
        <w:rPr>
          <w:b/>
          <w:color w:val="000000" w:themeColor="text1"/>
        </w:rPr>
        <w:t>Résultats d’efficacité à 52 </w:t>
      </w:r>
      <w:r w:rsidR="006542CF" w:rsidRPr="0058432E">
        <w:rPr>
          <w:b/>
          <w:color w:val="000000" w:themeColor="text1"/>
        </w:rPr>
        <w:t>semaines</w:t>
      </w:r>
    </w:p>
    <w:p w14:paraId="58DC580D" w14:textId="77777777" w:rsidR="006542CF" w:rsidRPr="0058432E" w:rsidRDefault="006542CF" w:rsidP="006542CF">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3001"/>
        <w:gridCol w:w="3032"/>
      </w:tblGrid>
      <w:tr w:rsidR="006542CF" w:rsidRPr="0058432E" w14:paraId="4DA7903E" w14:textId="77777777" w:rsidTr="009B0A71">
        <w:trPr>
          <w:cantSplit/>
          <w:tblHeader/>
        </w:trPr>
        <w:tc>
          <w:tcPr>
            <w:tcW w:w="3118" w:type="dxa"/>
            <w:tcBorders>
              <w:top w:val="single" w:sz="4" w:space="0" w:color="auto"/>
              <w:left w:val="single" w:sz="4" w:space="0" w:color="auto"/>
              <w:bottom w:val="single" w:sz="4" w:space="0" w:color="auto"/>
              <w:right w:val="single" w:sz="4" w:space="0" w:color="auto"/>
            </w:tcBorders>
          </w:tcPr>
          <w:p w14:paraId="182ABE1F" w14:textId="77777777" w:rsidR="006542CF" w:rsidRPr="0058432E" w:rsidRDefault="006542CF"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3ACC651B" w14:textId="77777777" w:rsidR="006542CF" w:rsidRPr="0058432E" w:rsidRDefault="006542CF"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4E4F9F57" w14:textId="77777777" w:rsidR="006542CF" w:rsidRPr="0058432E" w:rsidRDefault="00132782" w:rsidP="009B0A71">
            <w:pPr>
              <w:keepNext/>
              <w:jc w:val="center"/>
              <w:rPr>
                <w:b/>
                <w:color w:val="000000" w:themeColor="text1"/>
              </w:rPr>
            </w:pPr>
            <w:r w:rsidRPr="0058432E">
              <w:rPr>
                <w:b/>
                <w:color w:val="000000" w:themeColor="text1"/>
              </w:rPr>
              <w:t>Dose maximale de 40 </w:t>
            </w:r>
            <w:r w:rsidR="006542CF" w:rsidRPr="0058432E">
              <w:rPr>
                <w:b/>
                <w:color w:val="000000" w:themeColor="text1"/>
              </w:rPr>
              <w:t>mg 1 semaine sur 2</w:t>
            </w:r>
          </w:p>
          <w:p w14:paraId="5FA0A0F9"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31</w:t>
            </w:r>
          </w:p>
        </w:tc>
        <w:tc>
          <w:tcPr>
            <w:tcW w:w="3108" w:type="dxa"/>
            <w:tcBorders>
              <w:top w:val="single" w:sz="4" w:space="0" w:color="auto"/>
              <w:left w:val="single" w:sz="4" w:space="0" w:color="auto"/>
              <w:bottom w:val="single" w:sz="4" w:space="0" w:color="auto"/>
              <w:right w:val="single" w:sz="4" w:space="0" w:color="auto"/>
            </w:tcBorders>
            <w:hideMark/>
          </w:tcPr>
          <w:p w14:paraId="304C5E87" w14:textId="77777777" w:rsidR="006542CF" w:rsidRPr="0058432E" w:rsidRDefault="006542CF" w:rsidP="009B0A71">
            <w:pPr>
              <w:keepNext/>
              <w:jc w:val="center"/>
              <w:rPr>
                <w:b/>
                <w:color w:val="000000" w:themeColor="text1"/>
                <w:vertAlign w:val="superscript"/>
              </w:rPr>
            </w:pPr>
            <w:r w:rsidRPr="0058432E">
              <w:rPr>
                <w:b/>
                <w:color w:val="000000" w:themeColor="text1"/>
              </w:rPr>
              <w:t>Adalimumab</w:t>
            </w:r>
            <w:r w:rsidRPr="0058432E">
              <w:rPr>
                <w:b/>
                <w:color w:val="000000" w:themeColor="text1"/>
                <w:vertAlign w:val="superscript"/>
              </w:rPr>
              <w:t>b</w:t>
            </w:r>
          </w:p>
          <w:p w14:paraId="7CD3345C" w14:textId="77777777" w:rsidR="006542CF" w:rsidRPr="0058432E" w:rsidRDefault="006542CF" w:rsidP="009B0A71">
            <w:pPr>
              <w:keepNext/>
              <w:jc w:val="center"/>
              <w:rPr>
                <w:b/>
                <w:color w:val="000000" w:themeColor="text1"/>
              </w:rPr>
            </w:pPr>
            <w:r w:rsidRPr="0058432E">
              <w:rPr>
                <w:b/>
                <w:color w:val="000000" w:themeColor="text1"/>
              </w:rPr>
              <w:t>Dose maximale de 40</w:t>
            </w:r>
            <w:r w:rsidR="00132782" w:rsidRPr="0058432E">
              <w:rPr>
                <w:b/>
                <w:color w:val="000000" w:themeColor="text1"/>
              </w:rPr>
              <w:t> </w:t>
            </w:r>
            <w:r w:rsidRPr="0058432E">
              <w:rPr>
                <w:b/>
                <w:color w:val="000000" w:themeColor="text1"/>
              </w:rPr>
              <w:t>mg</w:t>
            </w:r>
          </w:p>
          <w:p w14:paraId="4D8CAD06" w14:textId="77777777" w:rsidR="006542CF" w:rsidRPr="0058432E" w:rsidRDefault="006542CF" w:rsidP="009B0A71">
            <w:pPr>
              <w:keepNext/>
              <w:jc w:val="center"/>
              <w:rPr>
                <w:b/>
                <w:color w:val="000000" w:themeColor="text1"/>
              </w:rPr>
            </w:pPr>
            <w:proofErr w:type="gramStart"/>
            <w:r w:rsidRPr="0058432E">
              <w:rPr>
                <w:b/>
                <w:color w:val="000000" w:themeColor="text1"/>
              </w:rPr>
              <w:t>chaque</w:t>
            </w:r>
            <w:proofErr w:type="gramEnd"/>
            <w:r w:rsidRPr="0058432E">
              <w:rPr>
                <w:b/>
                <w:color w:val="000000" w:themeColor="text1"/>
              </w:rPr>
              <w:t xml:space="preserve"> semaine</w:t>
            </w:r>
          </w:p>
          <w:p w14:paraId="28D6A5E8"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31</w:t>
            </w:r>
          </w:p>
        </w:tc>
      </w:tr>
      <w:tr w:rsidR="006542CF" w:rsidRPr="0058432E" w14:paraId="2F823E8B"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305587FF" w14:textId="77777777" w:rsidR="006542CF" w:rsidRPr="0058432E" w:rsidRDefault="00132782" w:rsidP="00757BCE">
            <w:pPr>
              <w:rPr>
                <w:color w:val="000000" w:themeColor="text1"/>
              </w:rPr>
            </w:pPr>
            <w:r w:rsidRPr="0058432E">
              <w:rPr>
                <w:color w:val="000000" w:themeColor="text1"/>
              </w:rPr>
              <w:t>Rémission clinique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hideMark/>
          </w:tcPr>
          <w:p w14:paraId="5C4F0392" w14:textId="77777777" w:rsidR="006542CF" w:rsidRPr="0058432E" w:rsidRDefault="006542CF" w:rsidP="009B0A71">
            <w:pPr>
              <w:jc w:val="center"/>
              <w:rPr>
                <w:color w:val="000000" w:themeColor="text1"/>
              </w:rPr>
            </w:pPr>
            <w:r w:rsidRPr="0058432E">
              <w:rPr>
                <w:color w:val="000000" w:themeColor="text1"/>
              </w:rPr>
              <w:t>9/31 (29,0 %)</w:t>
            </w:r>
          </w:p>
        </w:tc>
        <w:tc>
          <w:tcPr>
            <w:tcW w:w="3108" w:type="dxa"/>
            <w:tcBorders>
              <w:top w:val="single" w:sz="4" w:space="0" w:color="auto"/>
              <w:left w:val="single" w:sz="4" w:space="0" w:color="auto"/>
              <w:bottom w:val="single" w:sz="4" w:space="0" w:color="auto"/>
              <w:right w:val="single" w:sz="4" w:space="0" w:color="auto"/>
            </w:tcBorders>
            <w:hideMark/>
          </w:tcPr>
          <w:p w14:paraId="5E48F23F" w14:textId="77777777" w:rsidR="006542CF" w:rsidRPr="0058432E" w:rsidRDefault="006542CF" w:rsidP="009B0A71">
            <w:pPr>
              <w:jc w:val="center"/>
              <w:rPr>
                <w:color w:val="000000" w:themeColor="text1"/>
              </w:rPr>
            </w:pPr>
            <w:r w:rsidRPr="0058432E">
              <w:rPr>
                <w:color w:val="000000" w:themeColor="text1"/>
              </w:rPr>
              <w:t>14/31 (45,2 %)</w:t>
            </w:r>
          </w:p>
        </w:tc>
      </w:tr>
      <w:tr w:rsidR="006542CF" w:rsidRPr="0058432E" w14:paraId="156665E4"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32A6244D" w14:textId="77777777" w:rsidR="006542CF" w:rsidRPr="0058432E" w:rsidRDefault="00132782" w:rsidP="00757BCE">
            <w:pPr>
              <w:rPr>
                <w:color w:val="000000" w:themeColor="text1"/>
              </w:rPr>
            </w:pPr>
            <w:r w:rsidRPr="0058432E">
              <w:rPr>
                <w:color w:val="000000" w:themeColor="text1"/>
              </w:rPr>
              <w:t>Réponse clinique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tcPr>
          <w:p w14:paraId="2ACB7497" w14:textId="77777777" w:rsidR="006542CF" w:rsidRPr="0058432E" w:rsidRDefault="006542CF" w:rsidP="009B0A71">
            <w:pPr>
              <w:jc w:val="center"/>
              <w:rPr>
                <w:color w:val="000000" w:themeColor="text1"/>
              </w:rPr>
            </w:pPr>
            <w:r w:rsidRPr="0058432E">
              <w:rPr>
                <w:color w:val="000000" w:themeColor="text1"/>
              </w:rPr>
              <w:t>19/31 (61,3 %)</w:t>
            </w:r>
          </w:p>
        </w:tc>
        <w:tc>
          <w:tcPr>
            <w:tcW w:w="3108" w:type="dxa"/>
            <w:tcBorders>
              <w:top w:val="single" w:sz="4" w:space="0" w:color="auto"/>
              <w:left w:val="single" w:sz="4" w:space="0" w:color="auto"/>
              <w:bottom w:val="single" w:sz="4" w:space="0" w:color="auto"/>
              <w:right w:val="single" w:sz="4" w:space="0" w:color="auto"/>
            </w:tcBorders>
          </w:tcPr>
          <w:p w14:paraId="5A449DCB" w14:textId="77777777" w:rsidR="006542CF" w:rsidRPr="0058432E" w:rsidRDefault="006542CF" w:rsidP="009B0A71">
            <w:pPr>
              <w:jc w:val="center"/>
              <w:rPr>
                <w:color w:val="000000" w:themeColor="text1"/>
              </w:rPr>
            </w:pPr>
            <w:r w:rsidRPr="0058432E">
              <w:rPr>
                <w:color w:val="000000" w:themeColor="text1"/>
              </w:rPr>
              <w:t>21/31 (67,7 %)</w:t>
            </w:r>
          </w:p>
        </w:tc>
      </w:tr>
      <w:tr w:rsidR="006542CF" w:rsidRPr="0058432E" w14:paraId="7D9E74EA"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145F99F2" w14:textId="77777777" w:rsidR="006542CF" w:rsidRPr="0058432E" w:rsidRDefault="00132782" w:rsidP="00757BCE">
            <w:pPr>
              <w:rPr>
                <w:color w:val="000000" w:themeColor="text1"/>
              </w:rPr>
            </w:pPr>
            <w:r w:rsidRPr="0058432E">
              <w:rPr>
                <w:color w:val="000000" w:themeColor="text1"/>
              </w:rPr>
              <w:t>Cicatrisation de la muqueuse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tcPr>
          <w:p w14:paraId="32A1A2A5" w14:textId="77777777" w:rsidR="006542CF" w:rsidRPr="0058432E" w:rsidRDefault="006542CF" w:rsidP="009B0A71">
            <w:pPr>
              <w:jc w:val="center"/>
              <w:rPr>
                <w:color w:val="000000" w:themeColor="text1"/>
              </w:rPr>
            </w:pPr>
            <w:r w:rsidRPr="0058432E">
              <w:rPr>
                <w:color w:val="000000" w:themeColor="text1"/>
              </w:rPr>
              <w:t>12/31 (38,7 %)</w:t>
            </w:r>
          </w:p>
        </w:tc>
        <w:tc>
          <w:tcPr>
            <w:tcW w:w="3108" w:type="dxa"/>
            <w:tcBorders>
              <w:top w:val="single" w:sz="4" w:space="0" w:color="auto"/>
              <w:left w:val="single" w:sz="4" w:space="0" w:color="auto"/>
              <w:bottom w:val="single" w:sz="4" w:space="0" w:color="auto"/>
              <w:right w:val="single" w:sz="4" w:space="0" w:color="auto"/>
            </w:tcBorders>
          </w:tcPr>
          <w:p w14:paraId="7DE96396" w14:textId="77777777" w:rsidR="006542CF" w:rsidRPr="0058432E" w:rsidRDefault="006542CF" w:rsidP="009B0A71">
            <w:pPr>
              <w:jc w:val="center"/>
              <w:rPr>
                <w:color w:val="000000" w:themeColor="text1"/>
              </w:rPr>
            </w:pPr>
            <w:r w:rsidRPr="0058432E">
              <w:rPr>
                <w:color w:val="000000" w:themeColor="text1"/>
              </w:rPr>
              <w:t>16/31 (51,6 %)</w:t>
            </w:r>
          </w:p>
        </w:tc>
      </w:tr>
      <w:tr w:rsidR="006542CF" w:rsidRPr="0058432E" w14:paraId="3F90F62E"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42F825ED" w14:textId="77777777" w:rsidR="006542CF" w:rsidRPr="0058432E" w:rsidRDefault="00132782" w:rsidP="00757BCE">
            <w:pPr>
              <w:rPr>
                <w:color w:val="000000" w:themeColor="text1"/>
              </w:rPr>
            </w:pPr>
            <w:r w:rsidRPr="0058432E">
              <w:rPr>
                <w:color w:val="000000" w:themeColor="text1"/>
              </w:rPr>
              <w:t>Rémission clinique chez les patients en rémission à la semaine 8 selon le SMP</w:t>
            </w:r>
          </w:p>
        </w:tc>
        <w:tc>
          <w:tcPr>
            <w:tcW w:w="3077" w:type="dxa"/>
            <w:tcBorders>
              <w:top w:val="single" w:sz="4" w:space="0" w:color="auto"/>
              <w:left w:val="single" w:sz="4" w:space="0" w:color="auto"/>
              <w:bottom w:val="single" w:sz="4" w:space="0" w:color="auto"/>
              <w:right w:val="single" w:sz="4" w:space="0" w:color="auto"/>
            </w:tcBorders>
          </w:tcPr>
          <w:p w14:paraId="44D3C4BF" w14:textId="77777777" w:rsidR="006542CF" w:rsidRPr="0058432E" w:rsidRDefault="006542CF" w:rsidP="009B0A71">
            <w:pPr>
              <w:jc w:val="center"/>
              <w:rPr>
                <w:color w:val="000000" w:themeColor="text1"/>
              </w:rPr>
            </w:pPr>
            <w:r w:rsidRPr="0058432E">
              <w:rPr>
                <w:color w:val="000000" w:themeColor="text1"/>
              </w:rPr>
              <w:t>9/21 (42,9 %)</w:t>
            </w:r>
          </w:p>
        </w:tc>
        <w:tc>
          <w:tcPr>
            <w:tcW w:w="3108" w:type="dxa"/>
            <w:tcBorders>
              <w:top w:val="single" w:sz="4" w:space="0" w:color="auto"/>
              <w:left w:val="single" w:sz="4" w:space="0" w:color="auto"/>
              <w:bottom w:val="single" w:sz="4" w:space="0" w:color="auto"/>
              <w:right w:val="single" w:sz="4" w:space="0" w:color="auto"/>
            </w:tcBorders>
          </w:tcPr>
          <w:p w14:paraId="0B2FB074" w14:textId="77777777" w:rsidR="006542CF" w:rsidRPr="0058432E" w:rsidRDefault="006542CF" w:rsidP="009B0A71">
            <w:pPr>
              <w:jc w:val="center"/>
              <w:rPr>
                <w:color w:val="000000" w:themeColor="text1"/>
              </w:rPr>
            </w:pPr>
            <w:r w:rsidRPr="0058432E">
              <w:rPr>
                <w:color w:val="000000" w:themeColor="text1"/>
              </w:rPr>
              <w:t>10/22 (45,5 %)</w:t>
            </w:r>
          </w:p>
        </w:tc>
      </w:tr>
      <w:tr w:rsidR="006542CF" w:rsidRPr="0058432E" w14:paraId="5C4F28AD"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37412AB6" w14:textId="77777777" w:rsidR="006542CF" w:rsidRPr="0058432E" w:rsidRDefault="00132782" w:rsidP="00757BCE">
            <w:pPr>
              <w:rPr>
                <w:color w:val="000000" w:themeColor="text1"/>
              </w:rPr>
            </w:pPr>
            <w:r w:rsidRPr="0058432E">
              <w:rPr>
                <w:color w:val="000000" w:themeColor="text1"/>
              </w:rPr>
              <w:t>Rémission sans corticoïdes chez les répondeurs à la semaine 8 selon le SMP</w:t>
            </w:r>
            <w:r w:rsidR="006542CF" w:rsidRPr="0058432E">
              <w:rPr>
                <w:color w:val="000000" w:themeColor="text1"/>
                <w:vertAlign w:val="superscript"/>
              </w:rPr>
              <w:t>c</w:t>
            </w:r>
          </w:p>
        </w:tc>
        <w:tc>
          <w:tcPr>
            <w:tcW w:w="3077" w:type="dxa"/>
            <w:tcBorders>
              <w:top w:val="single" w:sz="4" w:space="0" w:color="auto"/>
              <w:left w:val="single" w:sz="4" w:space="0" w:color="auto"/>
              <w:bottom w:val="single" w:sz="4" w:space="0" w:color="auto"/>
              <w:right w:val="single" w:sz="4" w:space="0" w:color="auto"/>
            </w:tcBorders>
          </w:tcPr>
          <w:p w14:paraId="5A106673" w14:textId="77777777" w:rsidR="006542CF" w:rsidRPr="0058432E" w:rsidRDefault="006542CF" w:rsidP="009B0A71">
            <w:pPr>
              <w:jc w:val="center"/>
              <w:rPr>
                <w:color w:val="000000" w:themeColor="text1"/>
              </w:rPr>
            </w:pPr>
            <w:r w:rsidRPr="0058432E">
              <w:rPr>
                <w:color w:val="000000" w:themeColor="text1"/>
              </w:rPr>
              <w:t>4/13 (30,8 %)</w:t>
            </w:r>
          </w:p>
        </w:tc>
        <w:tc>
          <w:tcPr>
            <w:tcW w:w="3108" w:type="dxa"/>
            <w:tcBorders>
              <w:top w:val="single" w:sz="4" w:space="0" w:color="auto"/>
              <w:left w:val="single" w:sz="4" w:space="0" w:color="auto"/>
              <w:bottom w:val="single" w:sz="4" w:space="0" w:color="auto"/>
              <w:right w:val="single" w:sz="4" w:space="0" w:color="auto"/>
            </w:tcBorders>
          </w:tcPr>
          <w:p w14:paraId="42373DEB" w14:textId="77777777" w:rsidR="006542CF" w:rsidRPr="0058432E" w:rsidRDefault="006542CF" w:rsidP="009B0A71">
            <w:pPr>
              <w:jc w:val="center"/>
              <w:rPr>
                <w:color w:val="000000" w:themeColor="text1"/>
              </w:rPr>
            </w:pPr>
            <w:r w:rsidRPr="0058432E">
              <w:rPr>
                <w:color w:val="000000" w:themeColor="text1"/>
              </w:rPr>
              <w:t>5/16 (31,3 %)</w:t>
            </w:r>
          </w:p>
        </w:tc>
      </w:tr>
    </w:tbl>
    <w:p w14:paraId="63D8598D" w14:textId="77777777" w:rsidR="006542CF" w:rsidRPr="0058432E" w:rsidRDefault="006542CF" w:rsidP="006542CF">
      <w:pPr>
        <w:keepNext/>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w:t>
      </w:r>
      <w:r w:rsidRPr="0058432E">
        <w:rPr>
          <w:rFonts w:ascii="TimesNewRomanPSMT" w:hAnsi="TimesNewRomanPSMT" w:cs="TimesNewRomanPSMT"/>
          <w:color w:val="000000" w:themeColor="text1"/>
          <w:sz w:val="20"/>
          <w:szCs w:val="20"/>
        </w:rPr>
        <w:t> </w:t>
      </w:r>
      <w:r w:rsidRPr="0058432E">
        <w:rPr>
          <w:color w:val="000000" w:themeColor="text1"/>
          <w:sz w:val="20"/>
          <w:szCs w:val="20"/>
        </w:rPr>
        <w:t>mg) toutes les deux semaines</w:t>
      </w:r>
    </w:p>
    <w:p w14:paraId="7DF054DB" w14:textId="77777777" w:rsidR="006542CF" w:rsidRPr="0058432E" w:rsidRDefault="006542CF" w:rsidP="006542CF">
      <w:pPr>
        <w:keepNext/>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w:t>
      </w:r>
      <w:r w:rsidRPr="0058432E">
        <w:rPr>
          <w:rFonts w:ascii="TimesNewRomanPSMT" w:hAnsi="TimesNewRomanPSMT" w:cs="TimesNewRomanPSMT"/>
          <w:color w:val="000000" w:themeColor="text1"/>
          <w:sz w:val="20"/>
          <w:szCs w:val="20"/>
        </w:rPr>
        <w:t> </w:t>
      </w:r>
      <w:r w:rsidRPr="0058432E">
        <w:rPr>
          <w:color w:val="000000" w:themeColor="text1"/>
          <w:sz w:val="20"/>
          <w:szCs w:val="20"/>
        </w:rPr>
        <w:t>mg) chaque semaine</w:t>
      </w:r>
    </w:p>
    <w:p w14:paraId="07F43F36" w14:textId="77777777" w:rsidR="006542CF" w:rsidRPr="0058432E" w:rsidRDefault="006542CF" w:rsidP="006542CF">
      <w:pPr>
        <w:keepNext/>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ab/>
        <w:t>Pour les patients recevant un traitement concomitant par corticoïdes à l’inclusion</w:t>
      </w:r>
    </w:p>
    <w:p w14:paraId="4029B297" w14:textId="77777777" w:rsidR="006542CF" w:rsidRPr="0058432E" w:rsidRDefault="006542CF" w:rsidP="006542CF">
      <w:pPr>
        <w:autoSpaceDE w:val="0"/>
        <w:autoSpaceDN w:val="0"/>
        <w:adjustRightInd w:val="0"/>
        <w:rPr>
          <w:color w:val="000000" w:themeColor="text1"/>
          <w:sz w:val="20"/>
          <w:szCs w:val="20"/>
        </w:rPr>
      </w:pPr>
      <w:r w:rsidRPr="0058432E">
        <w:rPr>
          <w:color w:val="000000" w:themeColor="text1"/>
          <w:sz w:val="20"/>
          <w:szCs w:val="20"/>
        </w:rPr>
        <w:t xml:space="preserve">Remarque : les patients dont les valeurs </w:t>
      </w:r>
      <w:r w:rsidR="00132782" w:rsidRPr="0058432E">
        <w:rPr>
          <w:color w:val="000000" w:themeColor="text1"/>
          <w:sz w:val="20"/>
          <w:szCs w:val="20"/>
        </w:rPr>
        <w:t>étaient manquantes à la semaine </w:t>
      </w:r>
      <w:r w:rsidRPr="0058432E">
        <w:rPr>
          <w:color w:val="000000" w:themeColor="text1"/>
          <w:sz w:val="20"/>
          <w:szCs w:val="20"/>
        </w:rPr>
        <w:t>52 ou qui ont été randomisés pour recevoir un traitement de réinduction ou d’entretien ont été considérés comme non répondeurs d’après les crit</w:t>
      </w:r>
      <w:r w:rsidR="00132782" w:rsidRPr="0058432E">
        <w:rPr>
          <w:color w:val="000000" w:themeColor="text1"/>
          <w:sz w:val="20"/>
          <w:szCs w:val="20"/>
        </w:rPr>
        <w:t>ères d’évaluation de la semaine </w:t>
      </w:r>
      <w:r w:rsidRPr="0058432E">
        <w:rPr>
          <w:color w:val="000000" w:themeColor="text1"/>
          <w:sz w:val="20"/>
          <w:szCs w:val="20"/>
        </w:rPr>
        <w:t>52</w:t>
      </w:r>
    </w:p>
    <w:p w14:paraId="1AB518A2" w14:textId="77777777" w:rsidR="006542CF" w:rsidRPr="0058432E" w:rsidRDefault="006542CF" w:rsidP="006542CF">
      <w:pPr>
        <w:rPr>
          <w:iCs/>
          <w:color w:val="000000" w:themeColor="text1"/>
        </w:rPr>
      </w:pPr>
    </w:p>
    <w:p w14:paraId="307EC729" w14:textId="77777777" w:rsidR="006542CF" w:rsidRPr="0058432E" w:rsidRDefault="006542CF" w:rsidP="006542CF">
      <w:pPr>
        <w:autoSpaceDE w:val="0"/>
        <w:autoSpaceDN w:val="0"/>
        <w:adjustRightInd w:val="0"/>
        <w:rPr>
          <w:color w:val="000000" w:themeColor="text1"/>
        </w:rPr>
      </w:pPr>
      <w:r w:rsidRPr="0058432E">
        <w:rPr>
          <w:color w:val="000000" w:themeColor="text1"/>
        </w:rPr>
        <w:t>Les autres critères d’évaluation exploratoires de l’efficacité comprenaient la réponse clinique selon l’indice d’activité de la rectocolite hémorragique pédiatrique (</w:t>
      </w:r>
      <w:r w:rsidRPr="0058432E">
        <w:rPr>
          <w:i/>
          <w:color w:val="000000" w:themeColor="text1"/>
        </w:rPr>
        <w:t>Paediatric Ulcerative Colitis Activity Index</w:t>
      </w:r>
      <w:r w:rsidRPr="0058432E">
        <w:rPr>
          <w:color w:val="000000" w:themeColor="text1"/>
        </w:rPr>
        <w:t>, PUCAI) (définie comme une</w:t>
      </w:r>
      <w:r w:rsidR="00132782" w:rsidRPr="0058432E">
        <w:rPr>
          <w:color w:val="000000" w:themeColor="text1"/>
        </w:rPr>
        <w:t xml:space="preserve"> diminution de l’indice PUCAI ≥ 20 </w:t>
      </w:r>
      <w:r w:rsidRPr="0058432E">
        <w:rPr>
          <w:color w:val="000000" w:themeColor="text1"/>
        </w:rPr>
        <w:t xml:space="preserve">points par rapport à </w:t>
      </w:r>
      <w:r w:rsidR="00132782" w:rsidRPr="0058432E">
        <w:rPr>
          <w:color w:val="000000" w:themeColor="text1"/>
        </w:rPr>
        <w:t>l’inclusion</w:t>
      </w:r>
      <w:r w:rsidRPr="0058432E">
        <w:rPr>
          <w:color w:val="000000" w:themeColor="text1"/>
        </w:rPr>
        <w:t>) et la rémission clinique selon l’indice PUCAI (</w:t>
      </w:r>
      <w:r w:rsidR="00132782" w:rsidRPr="0058432E">
        <w:rPr>
          <w:color w:val="000000" w:themeColor="text1"/>
        </w:rPr>
        <w:t>définie comme un indice PUCAI &lt; 10) à la semaine 8 et à la semaine 52 (tableau </w:t>
      </w:r>
      <w:r w:rsidRPr="0058432E">
        <w:rPr>
          <w:color w:val="000000" w:themeColor="text1"/>
        </w:rPr>
        <w:t>28).</w:t>
      </w:r>
    </w:p>
    <w:p w14:paraId="0AAB2E3D" w14:textId="77777777" w:rsidR="006542CF" w:rsidRPr="0058432E" w:rsidRDefault="006542CF" w:rsidP="006542CF">
      <w:pPr>
        <w:rPr>
          <w:iCs/>
          <w:color w:val="000000" w:themeColor="text1"/>
        </w:rPr>
      </w:pPr>
    </w:p>
    <w:p w14:paraId="6419926E" w14:textId="77777777" w:rsidR="005921C9" w:rsidRPr="0058432E" w:rsidRDefault="006542CF" w:rsidP="006542CF">
      <w:pPr>
        <w:keepNext/>
        <w:rPr>
          <w:b/>
          <w:color w:val="000000" w:themeColor="text1"/>
        </w:rPr>
      </w:pPr>
      <w:r w:rsidRPr="0058432E">
        <w:rPr>
          <w:b/>
          <w:color w:val="000000" w:themeColor="text1"/>
        </w:rPr>
        <w:t>Tableau 28.</w:t>
      </w:r>
    </w:p>
    <w:p w14:paraId="44136F9C" w14:textId="77777777" w:rsidR="006542CF" w:rsidRPr="0058432E" w:rsidRDefault="006542CF" w:rsidP="006542CF">
      <w:pPr>
        <w:keepNext/>
        <w:rPr>
          <w:b/>
          <w:bCs/>
          <w:color w:val="000000" w:themeColor="text1"/>
        </w:rPr>
      </w:pPr>
      <w:r w:rsidRPr="0058432E">
        <w:rPr>
          <w:b/>
          <w:color w:val="000000" w:themeColor="text1"/>
        </w:rPr>
        <w:t>Résultats des critères d’évaluation exploratoires selon l’indice PUCAI</w:t>
      </w:r>
    </w:p>
    <w:p w14:paraId="38AD91DC" w14:textId="77777777" w:rsidR="006542CF" w:rsidRPr="0058432E" w:rsidRDefault="006542CF" w:rsidP="006542CF">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17"/>
        <w:gridCol w:w="3031"/>
      </w:tblGrid>
      <w:tr w:rsidR="006542CF" w:rsidRPr="0058432E" w14:paraId="0E6282FF" w14:textId="77777777" w:rsidTr="009B0A71">
        <w:trPr>
          <w:cantSplit/>
        </w:trPr>
        <w:tc>
          <w:tcPr>
            <w:tcW w:w="3118" w:type="dxa"/>
            <w:vMerge w:val="restart"/>
            <w:tcBorders>
              <w:top w:val="single" w:sz="4" w:space="0" w:color="auto"/>
              <w:left w:val="single" w:sz="4" w:space="0" w:color="auto"/>
              <w:right w:val="single" w:sz="4" w:space="0" w:color="auto"/>
            </w:tcBorders>
          </w:tcPr>
          <w:p w14:paraId="75C164C2" w14:textId="77777777" w:rsidR="006542CF" w:rsidRPr="0058432E" w:rsidRDefault="006542CF" w:rsidP="009B0A71">
            <w:pPr>
              <w:keepNext/>
              <w:jc w:val="center"/>
              <w:rPr>
                <w:b/>
                <w:color w:val="000000" w:themeColor="text1"/>
              </w:rPr>
            </w:pPr>
          </w:p>
        </w:tc>
        <w:tc>
          <w:tcPr>
            <w:tcW w:w="6185" w:type="dxa"/>
            <w:gridSpan w:val="2"/>
            <w:tcBorders>
              <w:top w:val="single" w:sz="4" w:space="0" w:color="auto"/>
              <w:left w:val="single" w:sz="4" w:space="0" w:color="auto"/>
              <w:bottom w:val="single" w:sz="4" w:space="0" w:color="auto"/>
              <w:right w:val="single" w:sz="4" w:space="0" w:color="auto"/>
            </w:tcBorders>
          </w:tcPr>
          <w:p w14:paraId="17435D64" w14:textId="77777777" w:rsidR="006542CF" w:rsidRPr="0058432E" w:rsidRDefault="006542CF" w:rsidP="009B0A71">
            <w:pPr>
              <w:keepNext/>
              <w:jc w:val="center"/>
              <w:rPr>
                <w:b/>
                <w:color w:val="000000" w:themeColor="text1"/>
              </w:rPr>
            </w:pPr>
            <w:r w:rsidRPr="0058432E">
              <w:rPr>
                <w:b/>
                <w:color w:val="000000" w:themeColor="text1"/>
              </w:rPr>
              <w:t>Semaine</w:t>
            </w:r>
            <w:r w:rsidRPr="0058432E">
              <w:rPr>
                <w:rFonts w:ascii="TimesNewRomanPSMT" w:hAnsi="TimesNewRomanPSMT" w:cs="TimesNewRomanPSMT"/>
                <w:color w:val="000000" w:themeColor="text1"/>
                <w:sz w:val="20"/>
                <w:szCs w:val="20"/>
              </w:rPr>
              <w:t> </w:t>
            </w:r>
            <w:r w:rsidRPr="0058432E">
              <w:rPr>
                <w:b/>
                <w:color w:val="000000" w:themeColor="text1"/>
              </w:rPr>
              <w:t>8</w:t>
            </w:r>
          </w:p>
        </w:tc>
      </w:tr>
      <w:tr w:rsidR="006542CF" w:rsidRPr="0058432E" w14:paraId="3B44E564" w14:textId="77777777" w:rsidTr="009B0A71">
        <w:trPr>
          <w:cantSplit/>
        </w:trPr>
        <w:tc>
          <w:tcPr>
            <w:tcW w:w="3118" w:type="dxa"/>
            <w:vMerge/>
            <w:tcBorders>
              <w:left w:val="single" w:sz="4" w:space="0" w:color="auto"/>
              <w:bottom w:val="single" w:sz="4" w:space="0" w:color="auto"/>
              <w:right w:val="single" w:sz="4" w:space="0" w:color="auto"/>
            </w:tcBorders>
          </w:tcPr>
          <w:p w14:paraId="744836EB" w14:textId="77777777" w:rsidR="006542CF" w:rsidRPr="0058432E" w:rsidRDefault="006542CF"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116FBDC0" w14:textId="77777777" w:rsidR="006542CF" w:rsidRPr="0058432E" w:rsidRDefault="006542CF"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06CF2347" w14:textId="77777777" w:rsidR="006542CF" w:rsidRPr="0058432E" w:rsidRDefault="00132782" w:rsidP="009B0A71">
            <w:pPr>
              <w:keepNext/>
              <w:jc w:val="center"/>
              <w:rPr>
                <w:b/>
                <w:color w:val="000000" w:themeColor="text1"/>
              </w:rPr>
            </w:pPr>
            <w:r w:rsidRPr="0058432E">
              <w:rPr>
                <w:b/>
                <w:color w:val="000000" w:themeColor="text1"/>
              </w:rPr>
              <w:t>Dose maximale de 160 </w:t>
            </w:r>
            <w:r w:rsidR="006542CF" w:rsidRPr="0058432E">
              <w:rPr>
                <w:b/>
                <w:color w:val="000000" w:themeColor="text1"/>
              </w:rPr>
              <w:t xml:space="preserve">mg à </w:t>
            </w:r>
            <w:r w:rsidRPr="0058432E">
              <w:rPr>
                <w:b/>
                <w:color w:val="000000" w:themeColor="text1"/>
              </w:rPr>
              <w:t>la semaine </w:t>
            </w:r>
            <w:r w:rsidR="006542CF" w:rsidRPr="0058432E">
              <w:rPr>
                <w:b/>
                <w:color w:val="000000" w:themeColor="text1"/>
              </w:rPr>
              <w:t>0/placebo à la semaine</w:t>
            </w:r>
            <w:r w:rsidRPr="0058432E">
              <w:rPr>
                <w:b/>
                <w:color w:val="000000" w:themeColor="text1"/>
              </w:rPr>
              <w:t> </w:t>
            </w:r>
            <w:r w:rsidR="006542CF" w:rsidRPr="0058432E">
              <w:rPr>
                <w:b/>
                <w:color w:val="000000" w:themeColor="text1"/>
              </w:rPr>
              <w:t>1</w:t>
            </w:r>
          </w:p>
          <w:p w14:paraId="53891AEE"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30</w:t>
            </w:r>
          </w:p>
        </w:tc>
        <w:tc>
          <w:tcPr>
            <w:tcW w:w="3108" w:type="dxa"/>
            <w:tcBorders>
              <w:top w:val="single" w:sz="4" w:space="0" w:color="auto"/>
              <w:left w:val="single" w:sz="4" w:space="0" w:color="auto"/>
              <w:bottom w:val="single" w:sz="4" w:space="0" w:color="auto"/>
              <w:right w:val="single" w:sz="4" w:space="0" w:color="auto"/>
            </w:tcBorders>
            <w:hideMark/>
          </w:tcPr>
          <w:p w14:paraId="4DDB08E2" w14:textId="77777777" w:rsidR="006542CF" w:rsidRPr="0058432E" w:rsidRDefault="006542CF" w:rsidP="009B0A71">
            <w:pPr>
              <w:keepNext/>
              <w:jc w:val="center"/>
              <w:rPr>
                <w:b/>
                <w:color w:val="000000" w:themeColor="text1"/>
              </w:rPr>
            </w:pPr>
            <w:proofErr w:type="gramStart"/>
            <w:r w:rsidRPr="0058432E">
              <w:rPr>
                <w:b/>
                <w:color w:val="000000" w:themeColor="text1"/>
              </w:rPr>
              <w:t>Adalimumab</w:t>
            </w:r>
            <w:r w:rsidRPr="0058432E">
              <w:rPr>
                <w:b/>
                <w:color w:val="000000" w:themeColor="text1"/>
                <w:vertAlign w:val="superscript"/>
              </w:rPr>
              <w:t>b,c</w:t>
            </w:r>
            <w:proofErr w:type="gramEnd"/>
          </w:p>
          <w:p w14:paraId="66F09992" w14:textId="77777777" w:rsidR="006542CF" w:rsidRPr="0058432E" w:rsidRDefault="006542CF" w:rsidP="009B0A71">
            <w:pPr>
              <w:keepNext/>
              <w:jc w:val="center"/>
              <w:rPr>
                <w:b/>
                <w:color w:val="000000" w:themeColor="text1"/>
              </w:rPr>
            </w:pPr>
            <w:r w:rsidRPr="0058432E">
              <w:rPr>
                <w:b/>
                <w:color w:val="000000" w:themeColor="text1"/>
              </w:rPr>
              <w:t xml:space="preserve">Dose maximale de </w:t>
            </w:r>
            <w:r w:rsidR="00132782" w:rsidRPr="0058432E">
              <w:rPr>
                <w:b/>
                <w:color w:val="000000" w:themeColor="text1"/>
              </w:rPr>
              <w:t>160 mg à la semaine </w:t>
            </w:r>
            <w:r w:rsidRPr="0058432E">
              <w:rPr>
                <w:b/>
                <w:color w:val="000000" w:themeColor="text1"/>
              </w:rPr>
              <w:t xml:space="preserve">0 </w:t>
            </w:r>
            <w:r w:rsidR="00132782" w:rsidRPr="0058432E">
              <w:rPr>
                <w:b/>
                <w:color w:val="000000" w:themeColor="text1"/>
              </w:rPr>
              <w:t>et à la semaine </w:t>
            </w:r>
            <w:r w:rsidRPr="0058432E">
              <w:rPr>
                <w:b/>
                <w:color w:val="000000" w:themeColor="text1"/>
              </w:rPr>
              <w:t>1</w:t>
            </w:r>
          </w:p>
          <w:p w14:paraId="37405D37" w14:textId="77777777" w:rsidR="006542CF" w:rsidRPr="0058432E" w:rsidRDefault="006542CF"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47</w:t>
            </w:r>
          </w:p>
        </w:tc>
      </w:tr>
      <w:tr w:rsidR="006542CF" w:rsidRPr="0058432E" w14:paraId="0197A9A8"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5D210212" w14:textId="77777777" w:rsidR="006542CF" w:rsidRPr="0058432E" w:rsidRDefault="006542CF" w:rsidP="009B0A71">
            <w:pPr>
              <w:rPr>
                <w:color w:val="000000" w:themeColor="text1"/>
              </w:rPr>
            </w:pPr>
            <w:r w:rsidRPr="0058432E">
              <w:rPr>
                <w:color w:val="000000" w:themeColor="text1"/>
              </w:rPr>
              <w:t>Rémission clinique selon l’indice PUCAI</w:t>
            </w:r>
          </w:p>
        </w:tc>
        <w:tc>
          <w:tcPr>
            <w:tcW w:w="3077" w:type="dxa"/>
            <w:tcBorders>
              <w:top w:val="single" w:sz="4" w:space="0" w:color="auto"/>
              <w:left w:val="single" w:sz="4" w:space="0" w:color="auto"/>
              <w:bottom w:val="single" w:sz="4" w:space="0" w:color="auto"/>
              <w:right w:val="single" w:sz="4" w:space="0" w:color="auto"/>
            </w:tcBorders>
            <w:hideMark/>
          </w:tcPr>
          <w:p w14:paraId="56595716" w14:textId="77777777" w:rsidR="006542CF" w:rsidRPr="0058432E" w:rsidRDefault="006542CF" w:rsidP="009B0A71">
            <w:pPr>
              <w:jc w:val="center"/>
              <w:rPr>
                <w:color w:val="000000" w:themeColor="text1"/>
              </w:rPr>
            </w:pPr>
            <w:r w:rsidRPr="0058432E">
              <w:rPr>
                <w:color w:val="000000" w:themeColor="text1"/>
              </w:rPr>
              <w:t>10/30 (33,3 %)</w:t>
            </w:r>
          </w:p>
        </w:tc>
        <w:tc>
          <w:tcPr>
            <w:tcW w:w="3108" w:type="dxa"/>
            <w:tcBorders>
              <w:top w:val="single" w:sz="4" w:space="0" w:color="auto"/>
              <w:left w:val="single" w:sz="4" w:space="0" w:color="auto"/>
              <w:bottom w:val="single" w:sz="4" w:space="0" w:color="auto"/>
              <w:right w:val="single" w:sz="4" w:space="0" w:color="auto"/>
            </w:tcBorders>
            <w:hideMark/>
          </w:tcPr>
          <w:p w14:paraId="3C6ECC12" w14:textId="77777777" w:rsidR="006542CF" w:rsidRPr="0058432E" w:rsidRDefault="006542CF" w:rsidP="009B0A71">
            <w:pPr>
              <w:jc w:val="center"/>
              <w:rPr>
                <w:color w:val="000000" w:themeColor="text1"/>
              </w:rPr>
            </w:pPr>
            <w:r w:rsidRPr="0058432E">
              <w:rPr>
                <w:color w:val="000000" w:themeColor="text1"/>
              </w:rPr>
              <w:t>22/47 (46,8 %)</w:t>
            </w:r>
          </w:p>
        </w:tc>
      </w:tr>
      <w:tr w:rsidR="006542CF" w:rsidRPr="0058432E" w14:paraId="38EB5659"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325440B6" w14:textId="77777777" w:rsidR="006542CF" w:rsidRPr="0058432E" w:rsidRDefault="006542CF" w:rsidP="009B0A71">
            <w:pPr>
              <w:rPr>
                <w:color w:val="000000" w:themeColor="text1"/>
              </w:rPr>
            </w:pPr>
            <w:r w:rsidRPr="0058432E">
              <w:rPr>
                <w:color w:val="000000" w:themeColor="text1"/>
              </w:rPr>
              <w:t>Réponse clinique selon l’indice PUCAI</w:t>
            </w:r>
          </w:p>
        </w:tc>
        <w:tc>
          <w:tcPr>
            <w:tcW w:w="3077" w:type="dxa"/>
            <w:tcBorders>
              <w:top w:val="single" w:sz="4" w:space="0" w:color="auto"/>
              <w:left w:val="single" w:sz="4" w:space="0" w:color="auto"/>
              <w:bottom w:val="single" w:sz="4" w:space="0" w:color="auto"/>
              <w:right w:val="single" w:sz="4" w:space="0" w:color="auto"/>
            </w:tcBorders>
          </w:tcPr>
          <w:p w14:paraId="6543662D" w14:textId="77777777" w:rsidR="006542CF" w:rsidRPr="0058432E" w:rsidRDefault="006542CF" w:rsidP="009B0A71">
            <w:pPr>
              <w:jc w:val="center"/>
              <w:rPr>
                <w:color w:val="000000" w:themeColor="text1"/>
              </w:rPr>
            </w:pPr>
            <w:r w:rsidRPr="0058432E">
              <w:rPr>
                <w:color w:val="000000" w:themeColor="text1"/>
              </w:rPr>
              <w:t>15/30 (50,0 %)</w:t>
            </w:r>
          </w:p>
        </w:tc>
        <w:tc>
          <w:tcPr>
            <w:tcW w:w="3108" w:type="dxa"/>
            <w:tcBorders>
              <w:top w:val="single" w:sz="4" w:space="0" w:color="auto"/>
              <w:left w:val="single" w:sz="4" w:space="0" w:color="auto"/>
              <w:bottom w:val="single" w:sz="4" w:space="0" w:color="auto"/>
              <w:right w:val="single" w:sz="4" w:space="0" w:color="auto"/>
            </w:tcBorders>
          </w:tcPr>
          <w:p w14:paraId="65B3AC71" w14:textId="77777777" w:rsidR="006542CF" w:rsidRPr="0058432E" w:rsidRDefault="006542CF" w:rsidP="009B0A71">
            <w:pPr>
              <w:jc w:val="center"/>
              <w:rPr>
                <w:color w:val="000000" w:themeColor="text1"/>
              </w:rPr>
            </w:pPr>
            <w:r w:rsidRPr="0058432E">
              <w:rPr>
                <w:color w:val="000000" w:themeColor="text1"/>
              </w:rPr>
              <w:t>32/47 (68,1 %)</w:t>
            </w:r>
          </w:p>
        </w:tc>
      </w:tr>
      <w:tr w:rsidR="006542CF" w:rsidRPr="0058432E" w14:paraId="38F8B34C" w14:textId="77777777" w:rsidTr="009B0A71">
        <w:trPr>
          <w:cantSplit/>
        </w:trPr>
        <w:tc>
          <w:tcPr>
            <w:tcW w:w="3118" w:type="dxa"/>
            <w:vMerge w:val="restart"/>
            <w:tcBorders>
              <w:top w:val="single" w:sz="4" w:space="0" w:color="auto"/>
              <w:left w:val="single" w:sz="4" w:space="0" w:color="auto"/>
              <w:right w:val="single" w:sz="4" w:space="0" w:color="auto"/>
            </w:tcBorders>
          </w:tcPr>
          <w:p w14:paraId="375C725E" w14:textId="77777777" w:rsidR="006542CF" w:rsidRPr="0058432E" w:rsidRDefault="006542CF" w:rsidP="000953C0">
            <w:pPr>
              <w:keepNext/>
              <w:keepLines/>
              <w:rPr>
                <w:color w:val="000000" w:themeColor="text1"/>
              </w:rPr>
            </w:pPr>
          </w:p>
        </w:tc>
        <w:tc>
          <w:tcPr>
            <w:tcW w:w="6185" w:type="dxa"/>
            <w:gridSpan w:val="2"/>
            <w:tcBorders>
              <w:top w:val="single" w:sz="4" w:space="0" w:color="auto"/>
              <w:left w:val="single" w:sz="4" w:space="0" w:color="auto"/>
              <w:bottom w:val="single" w:sz="4" w:space="0" w:color="auto"/>
              <w:right w:val="single" w:sz="4" w:space="0" w:color="auto"/>
            </w:tcBorders>
          </w:tcPr>
          <w:p w14:paraId="709C5869" w14:textId="77777777" w:rsidR="006542CF" w:rsidRPr="0058432E" w:rsidRDefault="006542CF" w:rsidP="000953C0">
            <w:pPr>
              <w:keepNext/>
              <w:keepLines/>
              <w:jc w:val="center"/>
              <w:rPr>
                <w:b/>
                <w:bCs/>
                <w:color w:val="000000" w:themeColor="text1"/>
              </w:rPr>
            </w:pPr>
            <w:r w:rsidRPr="0058432E">
              <w:rPr>
                <w:b/>
                <w:color w:val="000000" w:themeColor="text1"/>
              </w:rPr>
              <w:t>Semaine</w:t>
            </w:r>
            <w:r w:rsidRPr="0058432E">
              <w:rPr>
                <w:rFonts w:ascii="TimesNewRomanPSMT" w:hAnsi="TimesNewRomanPSMT" w:cs="TimesNewRomanPSMT"/>
                <w:color w:val="000000" w:themeColor="text1"/>
                <w:sz w:val="20"/>
                <w:szCs w:val="20"/>
              </w:rPr>
              <w:t> </w:t>
            </w:r>
            <w:r w:rsidRPr="0058432E">
              <w:rPr>
                <w:b/>
                <w:bCs/>
                <w:color w:val="000000" w:themeColor="text1"/>
              </w:rPr>
              <w:t>52</w:t>
            </w:r>
          </w:p>
        </w:tc>
      </w:tr>
      <w:tr w:rsidR="006542CF" w:rsidRPr="0058432E" w14:paraId="112F1B65" w14:textId="77777777" w:rsidTr="009B0A71">
        <w:trPr>
          <w:cantSplit/>
        </w:trPr>
        <w:tc>
          <w:tcPr>
            <w:tcW w:w="3118" w:type="dxa"/>
            <w:vMerge/>
            <w:tcBorders>
              <w:left w:val="single" w:sz="4" w:space="0" w:color="auto"/>
              <w:bottom w:val="single" w:sz="4" w:space="0" w:color="auto"/>
              <w:right w:val="single" w:sz="4" w:space="0" w:color="auto"/>
            </w:tcBorders>
          </w:tcPr>
          <w:p w14:paraId="38034DE4" w14:textId="77777777" w:rsidR="006542CF" w:rsidRPr="0058432E" w:rsidRDefault="006542CF" w:rsidP="000953C0">
            <w:pPr>
              <w:keepNext/>
              <w:keepLines/>
              <w:rPr>
                <w:color w:val="000000" w:themeColor="text1"/>
              </w:rPr>
            </w:pPr>
          </w:p>
        </w:tc>
        <w:tc>
          <w:tcPr>
            <w:tcW w:w="3077" w:type="dxa"/>
            <w:tcBorders>
              <w:top w:val="single" w:sz="4" w:space="0" w:color="auto"/>
              <w:left w:val="single" w:sz="4" w:space="0" w:color="auto"/>
              <w:bottom w:val="single" w:sz="4" w:space="0" w:color="auto"/>
              <w:right w:val="single" w:sz="4" w:space="0" w:color="auto"/>
            </w:tcBorders>
          </w:tcPr>
          <w:p w14:paraId="71CFF127" w14:textId="77777777" w:rsidR="006542CF" w:rsidRPr="0058432E" w:rsidRDefault="006542CF" w:rsidP="000953C0">
            <w:pPr>
              <w:keepNext/>
              <w:keepLines/>
              <w:jc w:val="center"/>
              <w:rPr>
                <w:b/>
                <w:color w:val="000000" w:themeColor="text1"/>
              </w:rPr>
            </w:pPr>
            <w:r w:rsidRPr="0058432E">
              <w:rPr>
                <w:b/>
                <w:color w:val="000000" w:themeColor="text1"/>
              </w:rPr>
              <w:t>Adalimumab</w:t>
            </w:r>
            <w:r w:rsidRPr="0058432E">
              <w:rPr>
                <w:b/>
                <w:color w:val="000000" w:themeColor="text1"/>
                <w:vertAlign w:val="superscript"/>
              </w:rPr>
              <w:t>d</w:t>
            </w:r>
          </w:p>
          <w:p w14:paraId="51635064" w14:textId="77777777" w:rsidR="006542CF" w:rsidRPr="0058432E" w:rsidRDefault="006542CF" w:rsidP="000953C0">
            <w:pPr>
              <w:keepNext/>
              <w:keepLines/>
              <w:jc w:val="center"/>
              <w:rPr>
                <w:b/>
                <w:color w:val="000000" w:themeColor="text1"/>
              </w:rPr>
            </w:pPr>
            <w:r w:rsidRPr="0058432E">
              <w:rPr>
                <w:b/>
                <w:color w:val="000000" w:themeColor="text1"/>
              </w:rPr>
              <w:t>D</w:t>
            </w:r>
            <w:r w:rsidR="00E40C42" w:rsidRPr="0058432E">
              <w:rPr>
                <w:b/>
                <w:color w:val="000000" w:themeColor="text1"/>
              </w:rPr>
              <w:t>ose maximale de 40 </w:t>
            </w:r>
            <w:r w:rsidRPr="0058432E">
              <w:rPr>
                <w:b/>
                <w:color w:val="000000" w:themeColor="text1"/>
              </w:rPr>
              <w:t>mg 1 semaine sur 2</w:t>
            </w:r>
          </w:p>
          <w:p w14:paraId="6A0FE378" w14:textId="77777777" w:rsidR="006542CF" w:rsidRPr="0058432E" w:rsidRDefault="006542CF" w:rsidP="000953C0">
            <w:pPr>
              <w:keepNext/>
              <w:keepLines/>
              <w:jc w:val="center"/>
              <w:rPr>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31</w:t>
            </w:r>
          </w:p>
        </w:tc>
        <w:tc>
          <w:tcPr>
            <w:tcW w:w="3108" w:type="dxa"/>
            <w:tcBorders>
              <w:top w:val="single" w:sz="4" w:space="0" w:color="auto"/>
              <w:left w:val="single" w:sz="4" w:space="0" w:color="auto"/>
              <w:bottom w:val="single" w:sz="4" w:space="0" w:color="auto"/>
              <w:right w:val="single" w:sz="4" w:space="0" w:color="auto"/>
            </w:tcBorders>
          </w:tcPr>
          <w:p w14:paraId="7E9655F2" w14:textId="77777777" w:rsidR="006542CF" w:rsidRPr="0058432E" w:rsidRDefault="006542CF" w:rsidP="000953C0">
            <w:pPr>
              <w:keepNext/>
              <w:keepLines/>
              <w:jc w:val="center"/>
              <w:rPr>
                <w:b/>
                <w:color w:val="000000" w:themeColor="text1"/>
                <w:vertAlign w:val="superscript"/>
              </w:rPr>
            </w:pPr>
            <w:r w:rsidRPr="0058432E">
              <w:rPr>
                <w:b/>
                <w:color w:val="000000" w:themeColor="text1"/>
              </w:rPr>
              <w:t>Adalimumab</w:t>
            </w:r>
            <w:r w:rsidRPr="0058432E">
              <w:rPr>
                <w:b/>
                <w:color w:val="000000" w:themeColor="text1"/>
                <w:vertAlign w:val="superscript"/>
              </w:rPr>
              <w:t>e</w:t>
            </w:r>
          </w:p>
          <w:p w14:paraId="686C1F92" w14:textId="77777777" w:rsidR="006542CF" w:rsidRPr="0058432E" w:rsidRDefault="006542CF" w:rsidP="000953C0">
            <w:pPr>
              <w:keepNext/>
              <w:keepLines/>
              <w:jc w:val="center"/>
              <w:rPr>
                <w:b/>
                <w:color w:val="000000" w:themeColor="text1"/>
              </w:rPr>
            </w:pPr>
            <w:r w:rsidRPr="0058432E">
              <w:rPr>
                <w:b/>
                <w:color w:val="000000" w:themeColor="text1"/>
              </w:rPr>
              <w:t xml:space="preserve">Dose maximale de </w:t>
            </w:r>
            <w:r w:rsidR="00E40C42" w:rsidRPr="0058432E">
              <w:rPr>
                <w:b/>
                <w:color w:val="000000" w:themeColor="text1"/>
              </w:rPr>
              <w:t>40 </w:t>
            </w:r>
            <w:r w:rsidRPr="0058432E">
              <w:rPr>
                <w:b/>
                <w:color w:val="000000" w:themeColor="text1"/>
              </w:rPr>
              <w:t>mg chaque semaine</w:t>
            </w:r>
          </w:p>
          <w:p w14:paraId="17040B38" w14:textId="77777777" w:rsidR="006542CF" w:rsidRPr="0058432E" w:rsidRDefault="006542CF" w:rsidP="000953C0">
            <w:pPr>
              <w:keepNext/>
              <w:keepLines/>
              <w:jc w:val="center"/>
              <w:rPr>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31</w:t>
            </w:r>
          </w:p>
        </w:tc>
      </w:tr>
      <w:tr w:rsidR="006542CF" w:rsidRPr="0058432E" w14:paraId="2187BFBB"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573AA012" w14:textId="77777777" w:rsidR="006542CF" w:rsidRPr="0058432E" w:rsidRDefault="006542CF" w:rsidP="000953C0">
            <w:pPr>
              <w:keepNext/>
              <w:keepLines/>
              <w:rPr>
                <w:color w:val="000000" w:themeColor="text1"/>
              </w:rPr>
            </w:pPr>
            <w:r w:rsidRPr="0058432E">
              <w:rPr>
                <w:color w:val="000000" w:themeColor="text1"/>
              </w:rPr>
              <w:t xml:space="preserve">Rémission clinique chez les </w:t>
            </w:r>
            <w:r w:rsidR="00E40C42" w:rsidRPr="0058432E">
              <w:rPr>
                <w:color w:val="000000" w:themeColor="text1"/>
              </w:rPr>
              <w:t>répondeurs à la semaine </w:t>
            </w:r>
            <w:r w:rsidRPr="0058432E">
              <w:rPr>
                <w:color w:val="000000" w:themeColor="text1"/>
              </w:rPr>
              <w:t>8 selon l’indice PUCAI</w:t>
            </w:r>
          </w:p>
        </w:tc>
        <w:tc>
          <w:tcPr>
            <w:tcW w:w="3077" w:type="dxa"/>
            <w:tcBorders>
              <w:top w:val="single" w:sz="4" w:space="0" w:color="auto"/>
              <w:left w:val="single" w:sz="4" w:space="0" w:color="auto"/>
              <w:bottom w:val="single" w:sz="4" w:space="0" w:color="auto"/>
              <w:right w:val="single" w:sz="4" w:space="0" w:color="auto"/>
            </w:tcBorders>
          </w:tcPr>
          <w:p w14:paraId="7F1BBD15" w14:textId="77777777" w:rsidR="006542CF" w:rsidRPr="0058432E" w:rsidRDefault="006542CF" w:rsidP="000953C0">
            <w:pPr>
              <w:keepNext/>
              <w:keepLines/>
              <w:jc w:val="center"/>
              <w:rPr>
                <w:color w:val="000000" w:themeColor="text1"/>
              </w:rPr>
            </w:pPr>
            <w:r w:rsidRPr="0058432E">
              <w:rPr>
                <w:color w:val="000000" w:themeColor="text1"/>
              </w:rPr>
              <w:t>14/31 (45,2 %)</w:t>
            </w:r>
          </w:p>
        </w:tc>
        <w:tc>
          <w:tcPr>
            <w:tcW w:w="3108" w:type="dxa"/>
            <w:tcBorders>
              <w:top w:val="single" w:sz="4" w:space="0" w:color="auto"/>
              <w:left w:val="single" w:sz="4" w:space="0" w:color="auto"/>
              <w:bottom w:val="single" w:sz="4" w:space="0" w:color="auto"/>
              <w:right w:val="single" w:sz="4" w:space="0" w:color="auto"/>
            </w:tcBorders>
          </w:tcPr>
          <w:p w14:paraId="6631DA12" w14:textId="77777777" w:rsidR="006542CF" w:rsidRPr="0058432E" w:rsidRDefault="006542CF" w:rsidP="000953C0">
            <w:pPr>
              <w:keepNext/>
              <w:keepLines/>
              <w:jc w:val="center"/>
              <w:rPr>
                <w:color w:val="000000" w:themeColor="text1"/>
              </w:rPr>
            </w:pPr>
            <w:r w:rsidRPr="0058432E">
              <w:rPr>
                <w:color w:val="000000" w:themeColor="text1"/>
              </w:rPr>
              <w:t>18/31 (58,1 %)</w:t>
            </w:r>
          </w:p>
        </w:tc>
      </w:tr>
      <w:tr w:rsidR="006542CF" w:rsidRPr="0058432E" w14:paraId="29B1C767"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6FD31E94" w14:textId="77777777" w:rsidR="006542CF" w:rsidRPr="0058432E" w:rsidRDefault="006542CF" w:rsidP="009B0A71">
            <w:pPr>
              <w:rPr>
                <w:color w:val="000000" w:themeColor="text1"/>
              </w:rPr>
            </w:pPr>
            <w:r w:rsidRPr="0058432E">
              <w:rPr>
                <w:color w:val="000000" w:themeColor="text1"/>
              </w:rPr>
              <w:t>Réponse clinique chez les répondeurs à la semai</w:t>
            </w:r>
            <w:r w:rsidR="00E40C42" w:rsidRPr="0058432E">
              <w:rPr>
                <w:color w:val="000000" w:themeColor="text1"/>
              </w:rPr>
              <w:t>ne </w:t>
            </w:r>
            <w:r w:rsidRPr="0058432E">
              <w:rPr>
                <w:color w:val="000000" w:themeColor="text1"/>
              </w:rPr>
              <w:t>8 selon l’indice PUCAI</w:t>
            </w:r>
          </w:p>
        </w:tc>
        <w:tc>
          <w:tcPr>
            <w:tcW w:w="3077" w:type="dxa"/>
            <w:tcBorders>
              <w:top w:val="single" w:sz="4" w:space="0" w:color="auto"/>
              <w:left w:val="single" w:sz="4" w:space="0" w:color="auto"/>
              <w:bottom w:val="single" w:sz="4" w:space="0" w:color="auto"/>
              <w:right w:val="single" w:sz="4" w:space="0" w:color="auto"/>
            </w:tcBorders>
          </w:tcPr>
          <w:p w14:paraId="11491612" w14:textId="77777777" w:rsidR="006542CF" w:rsidRPr="0058432E" w:rsidRDefault="006542CF" w:rsidP="009B0A71">
            <w:pPr>
              <w:jc w:val="center"/>
              <w:rPr>
                <w:color w:val="000000" w:themeColor="text1"/>
              </w:rPr>
            </w:pPr>
            <w:r w:rsidRPr="0058432E">
              <w:rPr>
                <w:color w:val="000000" w:themeColor="text1"/>
              </w:rPr>
              <w:t>18/31 (58,1 %)</w:t>
            </w:r>
          </w:p>
        </w:tc>
        <w:tc>
          <w:tcPr>
            <w:tcW w:w="3108" w:type="dxa"/>
            <w:tcBorders>
              <w:top w:val="single" w:sz="4" w:space="0" w:color="auto"/>
              <w:left w:val="single" w:sz="4" w:space="0" w:color="auto"/>
              <w:bottom w:val="single" w:sz="4" w:space="0" w:color="auto"/>
              <w:right w:val="single" w:sz="4" w:space="0" w:color="auto"/>
            </w:tcBorders>
          </w:tcPr>
          <w:p w14:paraId="3BE05F38" w14:textId="77777777" w:rsidR="006542CF" w:rsidRPr="0058432E" w:rsidRDefault="006542CF" w:rsidP="009B0A71">
            <w:pPr>
              <w:jc w:val="center"/>
              <w:rPr>
                <w:color w:val="000000" w:themeColor="text1"/>
              </w:rPr>
            </w:pPr>
            <w:r w:rsidRPr="0058432E">
              <w:rPr>
                <w:color w:val="000000" w:themeColor="text1"/>
              </w:rPr>
              <w:t>16/31 (51,6 %)</w:t>
            </w:r>
          </w:p>
        </w:tc>
      </w:tr>
    </w:tbl>
    <w:p w14:paraId="243B8F04" w14:textId="77777777" w:rsidR="006542CF" w:rsidRPr="0058432E" w:rsidRDefault="006542CF" w:rsidP="006542CF">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ab/>
        <w:t>Adalimumab 2,4</w:t>
      </w:r>
      <w:r w:rsidRPr="0058432E">
        <w:rPr>
          <w:rFonts w:ascii="TimesNewRomanPSMT" w:hAnsi="TimesNewRomanPSMT" w:cs="TimesNewRomanPSMT"/>
          <w:color w:val="000000" w:themeColor="text1"/>
          <w:sz w:val="20"/>
          <w:szCs w:val="20"/>
        </w:rPr>
        <w:t> </w:t>
      </w:r>
      <w:r w:rsidRPr="0058432E">
        <w:rPr>
          <w:color w:val="000000" w:themeColor="text1"/>
          <w:sz w:val="20"/>
          <w:szCs w:val="20"/>
        </w:rPr>
        <w:t>mg/kg (</w:t>
      </w:r>
      <w:r w:rsidR="00E40C42" w:rsidRPr="0058432E">
        <w:rPr>
          <w:color w:val="000000" w:themeColor="text1"/>
          <w:sz w:val="20"/>
          <w:szCs w:val="20"/>
        </w:rPr>
        <w:t>dose maximale de 160 mg) à la semaine 0, placebo à la semaine </w:t>
      </w:r>
      <w:r w:rsidRPr="0058432E">
        <w:rPr>
          <w:color w:val="000000" w:themeColor="text1"/>
          <w:sz w:val="20"/>
          <w:szCs w:val="20"/>
        </w:rPr>
        <w:t xml:space="preserve">1, et </w:t>
      </w:r>
      <w:r w:rsidR="00E40C42" w:rsidRPr="0058432E">
        <w:rPr>
          <w:color w:val="000000" w:themeColor="text1"/>
          <w:sz w:val="20"/>
          <w:szCs w:val="20"/>
        </w:rPr>
        <w:t>1,2 mg/kg (dose maximale de 80 </w:t>
      </w:r>
      <w:r w:rsidRPr="0058432E">
        <w:rPr>
          <w:color w:val="000000" w:themeColor="text1"/>
          <w:sz w:val="20"/>
          <w:szCs w:val="20"/>
        </w:rPr>
        <w:t>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1BEA42B4" w14:textId="77777777" w:rsidR="006542CF" w:rsidRPr="0058432E" w:rsidRDefault="006542CF" w:rsidP="006542CF">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ab/>
        <w:t>Adalimumab 2,4</w:t>
      </w:r>
      <w:r w:rsidRPr="0058432E">
        <w:rPr>
          <w:rFonts w:ascii="TimesNewRomanPSMT" w:hAnsi="TimesNewRomanPSMT" w:cs="TimesNewRomanPSMT"/>
          <w:color w:val="000000" w:themeColor="text1"/>
          <w:sz w:val="20"/>
          <w:szCs w:val="20"/>
        </w:rPr>
        <w:t> </w:t>
      </w:r>
      <w:r w:rsidRPr="0058432E">
        <w:rPr>
          <w:color w:val="000000" w:themeColor="text1"/>
          <w:sz w:val="20"/>
          <w:szCs w:val="20"/>
        </w:rPr>
        <w:t>mg/kg (</w:t>
      </w:r>
      <w:r w:rsidR="00E40C42" w:rsidRPr="0058432E">
        <w:rPr>
          <w:color w:val="000000" w:themeColor="text1"/>
          <w:sz w:val="20"/>
          <w:szCs w:val="20"/>
        </w:rPr>
        <w:t>dose maximale de 160 </w:t>
      </w:r>
      <w:r w:rsidRPr="0058432E">
        <w:rPr>
          <w:color w:val="000000" w:themeColor="text1"/>
          <w:sz w:val="20"/>
          <w:szCs w:val="20"/>
        </w:rPr>
        <w:t>mg) à la sem</w:t>
      </w:r>
      <w:r w:rsidR="00E40C42" w:rsidRPr="0058432E">
        <w:rPr>
          <w:color w:val="000000" w:themeColor="text1"/>
          <w:sz w:val="20"/>
          <w:szCs w:val="20"/>
        </w:rPr>
        <w:t>aine 0 et à la semaine </w:t>
      </w:r>
      <w:r w:rsidRPr="0058432E">
        <w:rPr>
          <w:color w:val="000000" w:themeColor="text1"/>
          <w:sz w:val="20"/>
          <w:szCs w:val="20"/>
        </w:rPr>
        <w:t xml:space="preserve">1, et </w:t>
      </w:r>
      <w:r w:rsidR="00E40C42" w:rsidRPr="0058432E">
        <w:rPr>
          <w:color w:val="000000" w:themeColor="text1"/>
          <w:sz w:val="20"/>
          <w:szCs w:val="20"/>
        </w:rPr>
        <w:t>1,2 mg/kg (dose maximale de 80 </w:t>
      </w:r>
      <w:r w:rsidRPr="0058432E">
        <w:rPr>
          <w:color w:val="000000" w:themeColor="text1"/>
          <w:sz w:val="20"/>
          <w:szCs w:val="20"/>
        </w:rPr>
        <w:t>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050DBA5A" w14:textId="77777777" w:rsidR="006542CF" w:rsidRPr="0058432E" w:rsidRDefault="006542CF" w:rsidP="006542CF">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ab/>
        <w:t xml:space="preserve">En excluant la dose d’induction en ouvert </w:t>
      </w:r>
      <w:r w:rsidR="00E40C42" w:rsidRPr="0058432E">
        <w:rPr>
          <w:color w:val="000000" w:themeColor="text1"/>
          <w:sz w:val="20"/>
          <w:szCs w:val="20"/>
        </w:rPr>
        <w:t>d’adalimumab de 2,4 </w:t>
      </w:r>
      <w:r w:rsidRPr="0058432E">
        <w:rPr>
          <w:color w:val="000000" w:themeColor="text1"/>
          <w:sz w:val="20"/>
          <w:szCs w:val="20"/>
        </w:rPr>
        <w:t xml:space="preserve">mg/kg (dose maximale de </w:t>
      </w:r>
      <w:r w:rsidR="00E40C42" w:rsidRPr="0058432E">
        <w:rPr>
          <w:color w:val="000000" w:themeColor="text1"/>
          <w:sz w:val="20"/>
          <w:szCs w:val="20"/>
        </w:rPr>
        <w:t>160 mg) à la semaine 0 et à la semaine 1, et de 1,2 mg/kg (dose maximale de 80 </w:t>
      </w:r>
      <w:r w:rsidRPr="0058432E">
        <w:rPr>
          <w:color w:val="000000" w:themeColor="text1"/>
          <w:sz w:val="20"/>
          <w:szCs w:val="20"/>
        </w:rPr>
        <w:t>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7AB2C2B1" w14:textId="77777777" w:rsidR="006542CF" w:rsidRPr="0058432E" w:rsidRDefault="006542CF" w:rsidP="006542CF">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d</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w:t>
      </w:r>
      <w:r w:rsidR="00E40C42" w:rsidRPr="0058432E">
        <w:rPr>
          <w:color w:val="000000" w:themeColor="text1"/>
          <w:sz w:val="20"/>
          <w:szCs w:val="20"/>
        </w:rPr>
        <w:t>dose maximale de 40 </w:t>
      </w:r>
      <w:r w:rsidRPr="0058432E">
        <w:rPr>
          <w:color w:val="000000" w:themeColor="text1"/>
          <w:sz w:val="20"/>
          <w:szCs w:val="20"/>
        </w:rPr>
        <w:t>mg) toutes les deux semaines</w:t>
      </w:r>
    </w:p>
    <w:p w14:paraId="36E402C0" w14:textId="77777777" w:rsidR="006542CF" w:rsidRPr="0058432E" w:rsidRDefault="006542CF" w:rsidP="006542CF">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e</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w:t>
      </w:r>
      <w:r w:rsidR="00E40C42" w:rsidRPr="0058432E">
        <w:rPr>
          <w:color w:val="000000" w:themeColor="text1"/>
          <w:sz w:val="20"/>
          <w:szCs w:val="20"/>
        </w:rPr>
        <w:t>dose maximale de 40 </w:t>
      </w:r>
      <w:r w:rsidRPr="0058432E">
        <w:rPr>
          <w:color w:val="000000" w:themeColor="text1"/>
          <w:sz w:val="20"/>
          <w:szCs w:val="20"/>
        </w:rPr>
        <w:t>mg) chaque semaine</w:t>
      </w:r>
    </w:p>
    <w:p w14:paraId="644A62BA" w14:textId="77777777" w:rsidR="006542CF" w:rsidRPr="0058432E" w:rsidRDefault="006542CF" w:rsidP="006542CF">
      <w:pPr>
        <w:autoSpaceDE w:val="0"/>
        <w:autoSpaceDN w:val="0"/>
        <w:adjustRightInd w:val="0"/>
        <w:rPr>
          <w:color w:val="000000" w:themeColor="text1"/>
          <w:sz w:val="20"/>
          <w:szCs w:val="20"/>
        </w:rPr>
      </w:pPr>
      <w:r w:rsidRPr="0058432E">
        <w:rPr>
          <w:color w:val="000000" w:themeColor="text1"/>
          <w:sz w:val="20"/>
          <w:szCs w:val="20"/>
        </w:rPr>
        <w:t>Remarque</w:t>
      </w:r>
      <w:r w:rsidR="00E40C42" w:rsidRPr="0058432E">
        <w:rPr>
          <w:color w:val="000000" w:themeColor="text1"/>
          <w:sz w:val="20"/>
          <w:szCs w:val="20"/>
        </w:rPr>
        <w:t> </w:t>
      </w:r>
      <w:r w:rsidRPr="0058432E">
        <w:rPr>
          <w:color w:val="000000" w:themeColor="text1"/>
          <w:sz w:val="20"/>
          <w:szCs w:val="20"/>
        </w:rPr>
        <w:t>1 : les deux groupes du traitement d’ind</w:t>
      </w:r>
      <w:r w:rsidR="00E40C42" w:rsidRPr="0058432E">
        <w:rPr>
          <w:color w:val="000000" w:themeColor="text1"/>
          <w:sz w:val="20"/>
          <w:szCs w:val="20"/>
        </w:rPr>
        <w:t>uction ont reçu une dose de 0,6 </w:t>
      </w:r>
      <w:r w:rsidRPr="0058432E">
        <w:rPr>
          <w:color w:val="000000" w:themeColor="text1"/>
          <w:sz w:val="20"/>
          <w:szCs w:val="20"/>
        </w:rPr>
        <w:t>mg/kg (dose maximale de 40</w:t>
      </w:r>
      <w:r w:rsidR="00E40C42" w:rsidRPr="0058432E">
        <w:rPr>
          <w:color w:val="000000" w:themeColor="text1"/>
          <w:sz w:val="20"/>
          <w:szCs w:val="20"/>
        </w:rPr>
        <w:t> </w:t>
      </w:r>
      <w:r w:rsidRPr="0058432E">
        <w:rPr>
          <w:color w:val="000000" w:themeColor="text1"/>
          <w:sz w:val="20"/>
          <w:szCs w:val="20"/>
        </w:rPr>
        <w:t>mg) à l</w:t>
      </w:r>
      <w:r w:rsidR="00E40C42" w:rsidRPr="0058432E">
        <w:rPr>
          <w:color w:val="000000" w:themeColor="text1"/>
          <w:sz w:val="20"/>
          <w:szCs w:val="20"/>
        </w:rPr>
        <w:t>a semaine 4 et à la semaine </w:t>
      </w:r>
      <w:r w:rsidRPr="0058432E">
        <w:rPr>
          <w:color w:val="000000" w:themeColor="text1"/>
          <w:sz w:val="20"/>
          <w:szCs w:val="20"/>
        </w:rPr>
        <w:t>6</w:t>
      </w:r>
    </w:p>
    <w:p w14:paraId="14BA77C1" w14:textId="77777777" w:rsidR="006542CF" w:rsidRPr="0058432E" w:rsidRDefault="00E40C42" w:rsidP="006542CF">
      <w:pPr>
        <w:autoSpaceDE w:val="0"/>
        <w:autoSpaceDN w:val="0"/>
        <w:adjustRightInd w:val="0"/>
        <w:rPr>
          <w:color w:val="000000" w:themeColor="text1"/>
          <w:sz w:val="20"/>
          <w:szCs w:val="20"/>
        </w:rPr>
      </w:pPr>
      <w:r w:rsidRPr="0058432E">
        <w:rPr>
          <w:color w:val="000000" w:themeColor="text1"/>
          <w:sz w:val="20"/>
          <w:szCs w:val="20"/>
        </w:rPr>
        <w:t>Remarque </w:t>
      </w:r>
      <w:r w:rsidR="006542CF" w:rsidRPr="0058432E">
        <w:rPr>
          <w:color w:val="000000" w:themeColor="text1"/>
          <w:sz w:val="20"/>
          <w:szCs w:val="20"/>
        </w:rPr>
        <w:t>2 : pour les patients dont les valeurs étaient manquantes à la semaine</w:t>
      </w:r>
      <w:r w:rsidRPr="0058432E">
        <w:rPr>
          <w:color w:val="000000" w:themeColor="text1"/>
          <w:sz w:val="20"/>
          <w:szCs w:val="20"/>
        </w:rPr>
        <w:t> </w:t>
      </w:r>
      <w:r w:rsidR="006542CF" w:rsidRPr="0058432E">
        <w:rPr>
          <w:color w:val="000000" w:themeColor="text1"/>
          <w:sz w:val="20"/>
          <w:szCs w:val="20"/>
        </w:rPr>
        <w:t>8, les critères d’évaluation sont considérés comme n’étant pas atteints</w:t>
      </w:r>
    </w:p>
    <w:p w14:paraId="5090D618" w14:textId="77777777" w:rsidR="006542CF" w:rsidRPr="0058432E" w:rsidRDefault="00E40C42" w:rsidP="006542CF">
      <w:pPr>
        <w:autoSpaceDE w:val="0"/>
        <w:autoSpaceDN w:val="0"/>
        <w:adjustRightInd w:val="0"/>
        <w:rPr>
          <w:color w:val="000000" w:themeColor="text1"/>
          <w:sz w:val="20"/>
          <w:szCs w:val="20"/>
        </w:rPr>
      </w:pPr>
      <w:r w:rsidRPr="0058432E">
        <w:rPr>
          <w:color w:val="000000" w:themeColor="text1"/>
          <w:sz w:val="20"/>
          <w:szCs w:val="20"/>
        </w:rPr>
        <w:t>Remarque </w:t>
      </w:r>
      <w:r w:rsidR="006542CF" w:rsidRPr="0058432E">
        <w:rPr>
          <w:color w:val="000000" w:themeColor="text1"/>
          <w:sz w:val="20"/>
          <w:szCs w:val="20"/>
        </w:rPr>
        <w:t>3 : les patients dont les valeurs étaient manquantes à la semaine</w:t>
      </w:r>
      <w:r w:rsidRPr="0058432E">
        <w:rPr>
          <w:color w:val="000000" w:themeColor="text1"/>
          <w:sz w:val="20"/>
          <w:szCs w:val="20"/>
        </w:rPr>
        <w:t> </w:t>
      </w:r>
      <w:r w:rsidR="006542CF" w:rsidRPr="0058432E">
        <w:rPr>
          <w:color w:val="000000" w:themeColor="text1"/>
          <w:sz w:val="20"/>
          <w:szCs w:val="20"/>
        </w:rPr>
        <w:t>52 ou qui ont été randomisés pour recevoir un traitement de réinduction ou d’entretien ont été considérés comme non répondeurs d’après les crit</w:t>
      </w:r>
      <w:r w:rsidRPr="0058432E">
        <w:rPr>
          <w:color w:val="000000" w:themeColor="text1"/>
          <w:sz w:val="20"/>
          <w:szCs w:val="20"/>
        </w:rPr>
        <w:t>ères d’évaluation de la semaine </w:t>
      </w:r>
      <w:r w:rsidR="006542CF" w:rsidRPr="0058432E">
        <w:rPr>
          <w:color w:val="000000" w:themeColor="text1"/>
          <w:sz w:val="20"/>
          <w:szCs w:val="20"/>
        </w:rPr>
        <w:t>52</w:t>
      </w:r>
    </w:p>
    <w:p w14:paraId="5F722C49" w14:textId="77777777" w:rsidR="006542CF" w:rsidRPr="0058432E" w:rsidRDefault="006542CF" w:rsidP="006542CF">
      <w:pPr>
        <w:autoSpaceDE w:val="0"/>
        <w:autoSpaceDN w:val="0"/>
        <w:adjustRightInd w:val="0"/>
        <w:rPr>
          <w:color w:val="000000" w:themeColor="text1"/>
        </w:rPr>
      </w:pPr>
    </w:p>
    <w:p w14:paraId="3A19D6FE" w14:textId="77777777" w:rsidR="006542CF" w:rsidRPr="0058432E" w:rsidRDefault="006542CF" w:rsidP="006542CF">
      <w:pPr>
        <w:autoSpaceDE w:val="0"/>
        <w:autoSpaceDN w:val="0"/>
        <w:adjustRightInd w:val="0"/>
        <w:rPr>
          <w:color w:val="000000" w:themeColor="text1"/>
        </w:rPr>
      </w:pPr>
      <w:r w:rsidRPr="0058432E">
        <w:rPr>
          <w:color w:val="000000" w:themeColor="text1"/>
        </w:rPr>
        <w:t xml:space="preserve">Parmi les patients traités par </w:t>
      </w:r>
      <w:r w:rsidR="00E40C42" w:rsidRPr="0058432E">
        <w:rPr>
          <w:color w:val="000000" w:themeColor="text1"/>
        </w:rPr>
        <w:t xml:space="preserve">adalimumab </w:t>
      </w:r>
      <w:r w:rsidRPr="0058432E">
        <w:rPr>
          <w:color w:val="000000" w:themeColor="text1"/>
        </w:rPr>
        <w:t xml:space="preserve">qui ont reçu un traitement de réinduction pendant </w:t>
      </w:r>
      <w:r w:rsidR="00E40C42" w:rsidRPr="0058432E">
        <w:rPr>
          <w:color w:val="000000" w:themeColor="text1"/>
        </w:rPr>
        <w:t>la période d’entretien, 2/6 (33 </w:t>
      </w:r>
      <w:r w:rsidRPr="0058432E">
        <w:rPr>
          <w:color w:val="000000" w:themeColor="text1"/>
        </w:rPr>
        <w:t xml:space="preserve">%) ont </w:t>
      </w:r>
      <w:r w:rsidR="00E438F3" w:rsidRPr="0058432E">
        <w:rPr>
          <w:color w:val="000000" w:themeColor="text1"/>
        </w:rPr>
        <w:t xml:space="preserve">présenté </w:t>
      </w:r>
      <w:r w:rsidRPr="0058432E">
        <w:rPr>
          <w:color w:val="000000" w:themeColor="text1"/>
        </w:rPr>
        <w:t>une réponse cli</w:t>
      </w:r>
      <w:r w:rsidR="00E40C42" w:rsidRPr="0058432E">
        <w:rPr>
          <w:color w:val="000000" w:themeColor="text1"/>
        </w:rPr>
        <w:t>nique selon le SMT à la semaine </w:t>
      </w:r>
      <w:r w:rsidRPr="0058432E">
        <w:rPr>
          <w:color w:val="000000" w:themeColor="text1"/>
        </w:rPr>
        <w:t>52.</w:t>
      </w:r>
    </w:p>
    <w:p w14:paraId="0C59AC63" w14:textId="77777777" w:rsidR="006542CF" w:rsidRPr="0058432E" w:rsidRDefault="006542CF" w:rsidP="006542CF">
      <w:pPr>
        <w:autoSpaceDE w:val="0"/>
        <w:autoSpaceDN w:val="0"/>
        <w:adjustRightInd w:val="0"/>
        <w:rPr>
          <w:i/>
          <w:iCs/>
          <w:color w:val="000000" w:themeColor="text1"/>
        </w:rPr>
      </w:pPr>
    </w:p>
    <w:p w14:paraId="67370AD5" w14:textId="77777777" w:rsidR="006542CF" w:rsidRPr="0058432E" w:rsidRDefault="006542CF" w:rsidP="00757BCE">
      <w:pPr>
        <w:keepNext/>
        <w:autoSpaceDE w:val="0"/>
        <w:autoSpaceDN w:val="0"/>
        <w:adjustRightInd w:val="0"/>
        <w:rPr>
          <w:color w:val="000000" w:themeColor="text1"/>
        </w:rPr>
      </w:pPr>
      <w:r w:rsidRPr="0058432E">
        <w:rPr>
          <w:i/>
          <w:iCs/>
          <w:color w:val="000000" w:themeColor="text1"/>
        </w:rPr>
        <w:t>Qualité de vie</w:t>
      </w:r>
    </w:p>
    <w:p w14:paraId="45A78869" w14:textId="77777777" w:rsidR="006542CF" w:rsidRPr="0058432E" w:rsidRDefault="006542CF" w:rsidP="00491257">
      <w:pPr>
        <w:keepNext/>
        <w:autoSpaceDE w:val="0"/>
        <w:autoSpaceDN w:val="0"/>
        <w:adjustRightInd w:val="0"/>
        <w:rPr>
          <w:color w:val="000000" w:themeColor="text1"/>
        </w:rPr>
      </w:pPr>
    </w:p>
    <w:p w14:paraId="472907B9" w14:textId="77777777" w:rsidR="006542CF" w:rsidRPr="0058432E" w:rsidRDefault="006542CF" w:rsidP="00491257">
      <w:pPr>
        <w:keepNext/>
        <w:autoSpaceDE w:val="0"/>
        <w:autoSpaceDN w:val="0"/>
        <w:adjustRightInd w:val="0"/>
        <w:rPr>
          <w:color w:val="000000" w:themeColor="text1"/>
        </w:rPr>
      </w:pPr>
      <w:r w:rsidRPr="0058432E">
        <w:rPr>
          <w:color w:val="000000" w:themeColor="text1"/>
        </w:rPr>
        <w:t>Par rapport aux données d’inclusion, des améliorations cliniquement significatives ont été observées au niveau des paramètres IMPACT</w:t>
      </w:r>
      <w:r w:rsidR="00E40C42" w:rsidRPr="0058432E">
        <w:rPr>
          <w:color w:val="000000" w:themeColor="text1"/>
        </w:rPr>
        <w:t> </w:t>
      </w:r>
      <w:r w:rsidRPr="0058432E">
        <w:rPr>
          <w:color w:val="000000" w:themeColor="text1"/>
        </w:rPr>
        <w:t>III et des scores du questionnaire à remplir par le soignant sur la productivité au travail et la limitation des activités (</w:t>
      </w:r>
      <w:r w:rsidRPr="0058432E">
        <w:rPr>
          <w:i/>
          <w:color w:val="000000" w:themeColor="text1"/>
        </w:rPr>
        <w:t>Work Productivity and Activity Impairment</w:t>
      </w:r>
      <w:r w:rsidRPr="0058432E">
        <w:rPr>
          <w:color w:val="000000" w:themeColor="text1"/>
        </w:rPr>
        <w:t xml:space="preserve">, WPAI) dans les groupes traités par </w:t>
      </w:r>
      <w:r w:rsidR="00E40C42" w:rsidRPr="0058432E">
        <w:rPr>
          <w:color w:val="000000" w:themeColor="text1"/>
        </w:rPr>
        <w:t>adalimumab</w:t>
      </w:r>
      <w:r w:rsidRPr="0058432E">
        <w:rPr>
          <w:color w:val="000000" w:themeColor="text1"/>
        </w:rPr>
        <w:t>.</w:t>
      </w:r>
    </w:p>
    <w:p w14:paraId="0C1A2D69" w14:textId="77777777" w:rsidR="006542CF" w:rsidRPr="0058432E" w:rsidRDefault="006542CF" w:rsidP="006542CF">
      <w:pPr>
        <w:autoSpaceDE w:val="0"/>
        <w:autoSpaceDN w:val="0"/>
        <w:adjustRightInd w:val="0"/>
        <w:rPr>
          <w:color w:val="000000" w:themeColor="text1"/>
        </w:rPr>
      </w:pPr>
    </w:p>
    <w:p w14:paraId="634CC985" w14:textId="77777777" w:rsidR="006542CF" w:rsidRPr="0058432E" w:rsidRDefault="006542CF" w:rsidP="006542CF">
      <w:pPr>
        <w:autoSpaceDE w:val="0"/>
        <w:autoSpaceDN w:val="0"/>
        <w:adjustRightInd w:val="0"/>
        <w:rPr>
          <w:color w:val="000000" w:themeColor="text1"/>
        </w:rPr>
      </w:pPr>
      <w:r w:rsidRPr="0058432E">
        <w:rPr>
          <w:color w:val="000000" w:themeColor="text1"/>
        </w:rPr>
        <w:t>Par rapport aux données d’inclusion, des augmentations cliniquement significatives (amélioration) de la vitesse de croissance staturale ont été observées dans les groupes traités par adalimumab, et des augmentations cliniquement significatives (amélioration) de l’indice de masse corporelle ont été observées chez les sujets recevant l</w:t>
      </w:r>
      <w:r w:rsidR="00E40C42" w:rsidRPr="0058432E">
        <w:rPr>
          <w:color w:val="000000" w:themeColor="text1"/>
        </w:rPr>
        <w:t>a dose d’entretien élevée de 40 </w:t>
      </w:r>
      <w:r w:rsidRPr="0058432E">
        <w:rPr>
          <w:color w:val="000000" w:themeColor="text1"/>
        </w:rPr>
        <w:t>mg (0,6</w:t>
      </w:r>
      <w:r w:rsidR="00E40C42" w:rsidRPr="0058432E">
        <w:rPr>
          <w:color w:val="000000" w:themeColor="text1"/>
        </w:rPr>
        <w:t> </w:t>
      </w:r>
      <w:r w:rsidRPr="0058432E">
        <w:rPr>
          <w:color w:val="000000" w:themeColor="text1"/>
        </w:rPr>
        <w:t>mg/kg) maximum chaque semaine.</w:t>
      </w:r>
    </w:p>
    <w:p w14:paraId="13DBCBE2" w14:textId="77777777" w:rsidR="006542CF" w:rsidRPr="0058432E" w:rsidRDefault="006542CF" w:rsidP="001456CD">
      <w:pPr>
        <w:pStyle w:val="BodyText"/>
        <w:widowControl/>
        <w:kinsoku w:val="0"/>
        <w:overflowPunct w:val="0"/>
        <w:ind w:left="0"/>
        <w:rPr>
          <w:color w:val="000000" w:themeColor="text1"/>
        </w:rPr>
      </w:pPr>
    </w:p>
    <w:p w14:paraId="72296B66"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Uvéite pédiatrique</w:t>
      </w:r>
    </w:p>
    <w:p w14:paraId="3A0A2124" w14:textId="77777777" w:rsidR="001456CD" w:rsidRPr="0058432E" w:rsidRDefault="001456CD" w:rsidP="001456CD">
      <w:pPr>
        <w:pStyle w:val="BodyText"/>
        <w:keepNext/>
        <w:widowControl/>
        <w:kinsoku w:val="0"/>
        <w:overflowPunct w:val="0"/>
        <w:ind w:left="0"/>
        <w:rPr>
          <w:i/>
          <w:iCs/>
          <w:color w:val="000000" w:themeColor="text1"/>
          <w:szCs w:val="21"/>
        </w:rPr>
      </w:pPr>
    </w:p>
    <w:p w14:paraId="31A629F0"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randomisée, contrôlée, en double aveugle, conduite chez 90 patients pédiatriques âgés de 2 à &lt; 18 ans atteints d’uvéite active antérieure non infectieuse associée à une AJI qui étaient réfractaires à un traitement d’au moins 12 semaines par le méthotrexate. Les patients ont reçu soit un placebo soit 20 mg d’adalimumab (s’ils pesaient &lt; 30 kg) ou 40 mg d’adalimumab (s’ils pesaient ≥ 30 kg) toutes les deux semaines en association avec leur dose initiale de méthotrexate.</w:t>
      </w:r>
    </w:p>
    <w:p w14:paraId="4EA39715" w14:textId="77777777" w:rsidR="001456CD" w:rsidRPr="0058432E" w:rsidRDefault="001456CD" w:rsidP="001456CD">
      <w:pPr>
        <w:pStyle w:val="BodyText"/>
        <w:widowControl/>
        <w:kinsoku w:val="0"/>
        <w:overflowPunct w:val="0"/>
        <w:ind w:left="0"/>
        <w:rPr>
          <w:color w:val="000000" w:themeColor="text1"/>
        </w:rPr>
      </w:pPr>
    </w:p>
    <w:p w14:paraId="74E7D1A0"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 critère d’évaluation principal était le « délai de survenue de la rechute ». Les critères déterminant la rechute étaient une aggravation ou l’absence prolongée d’amélioration de l’inflammation oculaire, une amélioration partielle avec le développement de comorbidités oculaires prolongées ou l’aggravation des comorbidités oculaires, l’utilisation non autorisée de médicaments concomitants et la suspension du traitement sur une durée de temps prolongée.</w:t>
      </w:r>
    </w:p>
    <w:p w14:paraId="7C61CE86" w14:textId="77777777" w:rsidR="001456CD" w:rsidRPr="0058432E" w:rsidRDefault="001456CD" w:rsidP="001456CD">
      <w:pPr>
        <w:pStyle w:val="BodyText"/>
        <w:widowControl/>
        <w:kinsoku w:val="0"/>
        <w:overflowPunct w:val="0"/>
        <w:ind w:left="0"/>
        <w:rPr>
          <w:color w:val="000000" w:themeColor="text1"/>
        </w:rPr>
      </w:pPr>
    </w:p>
    <w:p w14:paraId="4F3CDDFE"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lastRenderedPageBreak/>
        <w:t>Réponse clinique</w:t>
      </w:r>
    </w:p>
    <w:p w14:paraId="6D1D4817" w14:textId="77777777" w:rsidR="001456CD" w:rsidRPr="0058432E" w:rsidRDefault="001456CD" w:rsidP="001456CD">
      <w:pPr>
        <w:pStyle w:val="BodyText"/>
        <w:keepNext/>
        <w:widowControl/>
        <w:kinsoku w:val="0"/>
        <w:overflowPunct w:val="0"/>
        <w:ind w:left="0"/>
        <w:rPr>
          <w:i/>
          <w:iCs/>
          <w:color w:val="000000" w:themeColor="text1"/>
        </w:rPr>
      </w:pPr>
    </w:p>
    <w:p w14:paraId="17638D00" w14:textId="77777777" w:rsidR="001456CD" w:rsidRPr="0058432E" w:rsidRDefault="001456CD" w:rsidP="001456CD">
      <w:pPr>
        <w:pStyle w:val="BodyText"/>
        <w:kinsoku w:val="0"/>
        <w:overflowPunct w:val="0"/>
        <w:ind w:left="0"/>
        <w:rPr>
          <w:color w:val="000000" w:themeColor="text1"/>
        </w:rPr>
      </w:pPr>
      <w:r w:rsidRPr="0058432E">
        <w:rPr>
          <w:color w:val="000000" w:themeColor="text1"/>
        </w:rPr>
        <w:t xml:space="preserve">L’adalimumab a retardé de manière significative le délai de survenue de la rechute </w:t>
      </w:r>
      <w:r w:rsidRPr="0058432E">
        <w:rPr>
          <w:i/>
          <w:color w:val="000000" w:themeColor="text1"/>
        </w:rPr>
        <w:t>versus</w:t>
      </w:r>
      <w:r w:rsidRPr="0058432E">
        <w:rPr>
          <w:color w:val="000000" w:themeColor="text1"/>
        </w:rPr>
        <w:t xml:space="preserve"> placebo (voir figure 2, </w:t>
      </w:r>
      <w:r w:rsidR="00FD4458" w:rsidRPr="0058432E">
        <w:rPr>
          <w:i/>
          <w:color w:val="000000" w:themeColor="text1"/>
        </w:rPr>
        <w:t>p</w:t>
      </w:r>
      <w:r w:rsidRPr="0058432E">
        <w:rPr>
          <w:color w:val="000000" w:themeColor="text1"/>
        </w:rPr>
        <w:t> &lt; 0,0001, test de log rank). Le délai médian de survenue de la rechute était de 24,1 semaines pour les patients recevant le placebo, tandis que le délai médian de survenue de la rechute n’a pas pu être estimé pour les patients traités par l’adalimumab car moins de la moitié de ces patients a présenté une rechute. L’adalimumab a diminué de manière significative le risque de rechute de 75 % par rapport au placebo, comme le montre le hazard ratio (HR = 0,25 [IC à 95 % : 0,12 ; 0,49]).</w:t>
      </w:r>
    </w:p>
    <w:p w14:paraId="6124E92D" w14:textId="77777777" w:rsidR="001456CD" w:rsidRPr="0058432E" w:rsidRDefault="001456CD" w:rsidP="001456CD">
      <w:pPr>
        <w:rPr>
          <w:color w:val="000000" w:themeColor="text1"/>
        </w:rPr>
      </w:pPr>
    </w:p>
    <w:p w14:paraId="60125BAE" w14:textId="77777777" w:rsidR="001456CD" w:rsidRPr="0058432E" w:rsidRDefault="001456CD" w:rsidP="001456CD">
      <w:pPr>
        <w:keepNext/>
        <w:rPr>
          <w:color w:val="000000" w:themeColor="text1"/>
        </w:rPr>
      </w:pPr>
      <w:r w:rsidRPr="0058432E">
        <w:rPr>
          <w:b/>
          <w:color w:val="000000" w:themeColor="text1"/>
        </w:rPr>
        <w:t>Figure 2. Courbes de Kaplan-Meier illustrant le délai de survenue de la rechute dans l’étude sur l’uvéite pédiatrique</w:t>
      </w:r>
    </w:p>
    <w:p w14:paraId="3B541779" w14:textId="5EAFC639" w:rsidR="001456CD" w:rsidRPr="0058432E" w:rsidRDefault="009D65D0" w:rsidP="001456CD">
      <w:pPr>
        <w:rPr>
          <w:color w:val="000000" w:themeColor="text1"/>
        </w:rPr>
      </w:pPr>
      <w:r w:rsidRPr="0058432E">
        <w:rPr>
          <w:noProof/>
          <w:color w:val="000000" w:themeColor="text1"/>
        </w:rPr>
        <w:drawing>
          <wp:inline distT="0" distB="0" distL="0" distR="0" wp14:anchorId="1ECB8A36" wp14:editId="1B8F2CA0">
            <wp:extent cx="5753735" cy="476186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735" cy="4761865"/>
                    </a:xfrm>
                    <a:prstGeom prst="rect">
                      <a:avLst/>
                    </a:prstGeom>
                    <a:noFill/>
                    <a:ln>
                      <a:noFill/>
                    </a:ln>
                  </pic:spPr>
                </pic:pic>
              </a:graphicData>
            </a:graphic>
          </wp:inline>
        </w:drawing>
      </w:r>
    </w:p>
    <w:p w14:paraId="24156110" w14:textId="77777777" w:rsidR="001456CD" w:rsidRPr="0058432E" w:rsidRDefault="001456CD" w:rsidP="001456CD">
      <w:pPr>
        <w:rPr>
          <w:color w:val="000000" w:themeColor="text1"/>
          <w:sz w:val="20"/>
        </w:rPr>
      </w:pPr>
      <w:r w:rsidRPr="0058432E">
        <w:rPr>
          <w:color w:val="000000" w:themeColor="text1"/>
          <w:sz w:val="20"/>
        </w:rPr>
        <w:t>Remarque : P = Placebo (Nombre de patients à risque) ; H = Adalimumab (Nombre de patients à risque).</w:t>
      </w:r>
    </w:p>
    <w:p w14:paraId="63397010" w14:textId="77777777" w:rsidR="00C46587" w:rsidRPr="0058432E" w:rsidRDefault="00C46587" w:rsidP="00982118">
      <w:pPr>
        <w:rPr>
          <w:color w:val="000000" w:themeColor="text1"/>
        </w:rPr>
      </w:pPr>
    </w:p>
    <w:p w14:paraId="2D8CFA11" w14:textId="77777777" w:rsidR="00C46587" w:rsidRPr="0058432E" w:rsidRDefault="00C46587" w:rsidP="00982118">
      <w:pPr>
        <w:keepNext/>
        <w:tabs>
          <w:tab w:val="left" w:pos="562"/>
        </w:tabs>
        <w:rPr>
          <w:b/>
          <w:color w:val="000000" w:themeColor="text1"/>
        </w:rPr>
      </w:pPr>
      <w:r w:rsidRPr="0058432E">
        <w:rPr>
          <w:b/>
          <w:color w:val="000000" w:themeColor="text1"/>
        </w:rPr>
        <w:t>5.2</w:t>
      </w:r>
      <w:r w:rsidRPr="0058432E">
        <w:rPr>
          <w:b/>
          <w:color w:val="000000" w:themeColor="text1"/>
        </w:rPr>
        <w:tab/>
        <w:t xml:space="preserve">Propriétés pharmacocinétiques </w:t>
      </w:r>
    </w:p>
    <w:p w14:paraId="1462395E" w14:textId="77777777" w:rsidR="00C46587" w:rsidRPr="0058432E" w:rsidRDefault="00C46587" w:rsidP="00982118">
      <w:pPr>
        <w:keepNext/>
        <w:rPr>
          <w:color w:val="000000" w:themeColor="text1"/>
        </w:rPr>
      </w:pPr>
    </w:p>
    <w:p w14:paraId="173F80CD" w14:textId="77777777" w:rsidR="00C46587" w:rsidRPr="0058432E" w:rsidRDefault="00C46587" w:rsidP="00982118">
      <w:pPr>
        <w:keepNext/>
        <w:rPr>
          <w:color w:val="000000" w:themeColor="text1"/>
          <w:u w:val="single"/>
        </w:rPr>
      </w:pPr>
      <w:r w:rsidRPr="0058432E">
        <w:rPr>
          <w:color w:val="000000" w:themeColor="text1"/>
          <w:u w:val="single"/>
        </w:rPr>
        <w:t xml:space="preserve">Absorption et distribution </w:t>
      </w:r>
    </w:p>
    <w:p w14:paraId="7A3CEE0B" w14:textId="77777777" w:rsidR="00C46587" w:rsidRPr="0058432E" w:rsidRDefault="00C46587" w:rsidP="00982118">
      <w:pPr>
        <w:keepNext/>
        <w:rPr>
          <w:color w:val="000000" w:themeColor="text1"/>
        </w:rPr>
      </w:pPr>
    </w:p>
    <w:p w14:paraId="0E851755" w14:textId="77777777" w:rsidR="00C46587" w:rsidRPr="0058432E" w:rsidRDefault="00C46587" w:rsidP="00982118">
      <w:pPr>
        <w:rPr>
          <w:color w:val="000000" w:themeColor="text1"/>
        </w:rPr>
      </w:pPr>
      <w:r w:rsidRPr="0058432E">
        <w:rPr>
          <w:color w:val="000000" w:themeColor="text1"/>
        </w:rPr>
        <w:t>Après administration sous-cutanée de 24 mg/m</w:t>
      </w:r>
      <w:r w:rsidRPr="0058432E">
        <w:rPr>
          <w:color w:val="000000" w:themeColor="text1"/>
          <w:vertAlign w:val="superscript"/>
        </w:rPr>
        <w:t>2</w:t>
      </w:r>
      <w:r w:rsidRPr="0058432E">
        <w:rPr>
          <w:color w:val="000000" w:themeColor="text1"/>
        </w:rPr>
        <w:t xml:space="preserve"> (maximum de 40 mg) toutes les deux semaines chez des patients atteints d’arthrite juvénile idiopathique (AJI) polyarticulaire âgés de 4 à 17</w:t>
      </w:r>
      <w:r w:rsidR="004F5825" w:rsidRPr="0058432E">
        <w:rPr>
          <w:color w:val="000000" w:themeColor="text1"/>
        </w:rPr>
        <w:t> </w:t>
      </w:r>
      <w:r w:rsidRPr="0058432E">
        <w:rPr>
          <w:color w:val="000000" w:themeColor="text1"/>
        </w:rPr>
        <w:t xml:space="preserve">ans, la concentration sérique résiduelle moyenne de l’adalimumab </w:t>
      </w:r>
      <w:r w:rsidR="00491C18" w:rsidRPr="0058432E">
        <w:rPr>
          <w:color w:val="000000" w:themeColor="text1"/>
        </w:rPr>
        <w:t xml:space="preserve">à l’état d’équilibre </w:t>
      </w:r>
      <w:r w:rsidRPr="0058432E">
        <w:rPr>
          <w:color w:val="000000" w:themeColor="text1"/>
        </w:rPr>
        <w:t xml:space="preserve">(valeurs mesurées des semaines 20 à 48) </w:t>
      </w:r>
      <w:r w:rsidR="00491C18" w:rsidRPr="0058432E">
        <w:rPr>
          <w:color w:val="000000" w:themeColor="text1"/>
        </w:rPr>
        <w:t>était</w:t>
      </w:r>
      <w:r w:rsidRPr="0058432E">
        <w:rPr>
          <w:color w:val="000000" w:themeColor="text1"/>
        </w:rPr>
        <w:t xml:space="preserve"> de 5,6 ± 5,6 µg/ml (CV 102 %) lorsque l’adalimumab était administré sans traitement concomitant par méthotrexate et de 10,9 ± 5,2 µg/ml (CV 47,7 %) en cas d’administration concomitante avec le méthotrexate. </w:t>
      </w:r>
    </w:p>
    <w:p w14:paraId="22DCCAC2" w14:textId="77777777" w:rsidR="00C46587" w:rsidRPr="0058432E" w:rsidRDefault="00C46587" w:rsidP="00982118">
      <w:pPr>
        <w:rPr>
          <w:color w:val="000000" w:themeColor="text1"/>
        </w:rPr>
      </w:pPr>
    </w:p>
    <w:p w14:paraId="0B5B34C5" w14:textId="77777777" w:rsidR="00C46587" w:rsidRPr="0058432E" w:rsidRDefault="00C46587" w:rsidP="00982118">
      <w:pPr>
        <w:rPr>
          <w:color w:val="000000" w:themeColor="text1"/>
        </w:rPr>
      </w:pPr>
      <w:r w:rsidRPr="0058432E">
        <w:rPr>
          <w:color w:val="000000" w:themeColor="text1"/>
        </w:rPr>
        <w:t>Chez les patients atteints d’AJI polyarticulaire âgés de 2 à &lt; 4 ans ou âgés de 4 ans et plus d’un poids &lt; 15 kg ayant reçu l’adalimumab à la dose de 24 mg/m</w:t>
      </w:r>
      <w:r w:rsidRPr="0058432E">
        <w:rPr>
          <w:color w:val="000000" w:themeColor="text1"/>
          <w:vertAlign w:val="superscript"/>
        </w:rPr>
        <w:t>2</w:t>
      </w:r>
      <w:r w:rsidRPr="0058432E">
        <w:rPr>
          <w:color w:val="000000" w:themeColor="text1"/>
        </w:rPr>
        <w:t xml:space="preserve">, la concentration sérique résiduelle moyenne de l’adalimumab </w:t>
      </w:r>
      <w:r w:rsidR="00491C18" w:rsidRPr="0058432E">
        <w:rPr>
          <w:color w:val="000000" w:themeColor="text1"/>
        </w:rPr>
        <w:t xml:space="preserve">à l’état d’équilibre </w:t>
      </w:r>
      <w:r w:rsidRPr="0058432E">
        <w:rPr>
          <w:color w:val="000000" w:themeColor="text1"/>
        </w:rPr>
        <w:t xml:space="preserve">était de 6,0 ± 6,1 µg/ml (CV 101 %) lorsque l’adalimumab était </w:t>
      </w:r>
      <w:r w:rsidRPr="0058432E">
        <w:rPr>
          <w:color w:val="000000" w:themeColor="text1"/>
        </w:rPr>
        <w:lastRenderedPageBreak/>
        <w:t xml:space="preserve">administré sans traitement concomitant par méthotrexate et de 7,9 ± 5,6 µg/ml (CV 71,2 %) en cas d’administration concomitante avec le méthotrexate. </w:t>
      </w:r>
    </w:p>
    <w:p w14:paraId="45041733" w14:textId="77777777" w:rsidR="00C46587" w:rsidRPr="0058432E" w:rsidRDefault="00C46587" w:rsidP="00982118">
      <w:pPr>
        <w:rPr>
          <w:color w:val="000000" w:themeColor="text1"/>
        </w:rPr>
      </w:pPr>
    </w:p>
    <w:p w14:paraId="48FACAC1" w14:textId="77777777" w:rsidR="00C46587" w:rsidRPr="0058432E" w:rsidRDefault="00C46587" w:rsidP="00982118">
      <w:pPr>
        <w:rPr>
          <w:color w:val="000000" w:themeColor="text1"/>
        </w:rPr>
      </w:pPr>
      <w:r w:rsidRPr="0058432E">
        <w:rPr>
          <w:color w:val="000000" w:themeColor="text1"/>
        </w:rPr>
        <w:t>Après administration sous-cutanée d’une dose de 24 mg/m</w:t>
      </w:r>
      <w:r w:rsidRPr="0058432E">
        <w:rPr>
          <w:color w:val="000000" w:themeColor="text1"/>
          <w:vertAlign w:val="superscript"/>
        </w:rPr>
        <w:t>2</w:t>
      </w:r>
      <w:r w:rsidRPr="0058432E">
        <w:rPr>
          <w:color w:val="000000" w:themeColor="text1"/>
        </w:rPr>
        <w:t xml:space="preserve"> (dose maximale de 40 mg) toutes les deux semaines chez des patients atteints d’arthrite liée à l’enthésite âgés de 6 à 17 ans, la concentration sérique résiduelle moyenne de l’adalimumab à l’état d’équilibre (valeurs mesurées à la semaine 24) </w:t>
      </w:r>
      <w:r w:rsidR="00491C18" w:rsidRPr="0058432E">
        <w:rPr>
          <w:color w:val="000000" w:themeColor="text1"/>
        </w:rPr>
        <w:t>était</w:t>
      </w:r>
      <w:r w:rsidRPr="0058432E">
        <w:rPr>
          <w:color w:val="000000" w:themeColor="text1"/>
        </w:rPr>
        <w:t xml:space="preserve"> de 8,8 ± 6,6 µg/ml lorsque l’adalimumab était administré sans traitement concomitant par méthotrexate et de 11,8 ± 4,3 µg/ml en cas d’administration concomitante avec le méthotrexate. </w:t>
      </w:r>
    </w:p>
    <w:p w14:paraId="5841360A" w14:textId="77777777" w:rsidR="009047DB" w:rsidRPr="0058432E" w:rsidRDefault="009047DB" w:rsidP="00982118">
      <w:pPr>
        <w:rPr>
          <w:color w:val="000000" w:themeColor="text1"/>
        </w:rPr>
      </w:pPr>
    </w:p>
    <w:p w14:paraId="58C2F4FF" w14:textId="77777777" w:rsidR="009047DB" w:rsidRPr="0058432E" w:rsidRDefault="009047DB" w:rsidP="00982118">
      <w:pPr>
        <w:rPr>
          <w:color w:val="000000" w:themeColor="text1"/>
        </w:rPr>
      </w:pPr>
      <w:r w:rsidRPr="0058432E">
        <w:rPr>
          <w:color w:val="000000" w:themeColor="text1"/>
        </w:rPr>
        <w:t xml:space="preserve">Après administration sous-cutanée de 0,8 mg/kg (dose maximale de 40 mg) toutes les deux semaines chez des patients pédiatriques atteints de psoriasis en plaques chronique, la concentration résiduelle moyenne de l’adalimumab </w:t>
      </w:r>
      <w:r w:rsidR="00491C18" w:rsidRPr="0058432E">
        <w:rPr>
          <w:color w:val="000000" w:themeColor="text1"/>
        </w:rPr>
        <w:t xml:space="preserve">à l’état d’équilibre </w:t>
      </w:r>
      <w:r w:rsidRPr="0058432E">
        <w:rPr>
          <w:color w:val="000000" w:themeColor="text1"/>
        </w:rPr>
        <w:t xml:space="preserve">(moyenne ± ET) était d’environ 7,4 ± 5,8 µg/ml (CV 79 %). </w:t>
      </w:r>
    </w:p>
    <w:p w14:paraId="4A3DD2E5" w14:textId="77777777" w:rsidR="009047DB" w:rsidRPr="0058432E" w:rsidRDefault="009047DB" w:rsidP="00982118">
      <w:pPr>
        <w:rPr>
          <w:color w:val="000000" w:themeColor="text1"/>
        </w:rPr>
      </w:pPr>
    </w:p>
    <w:p w14:paraId="40D0897C" w14:textId="77777777" w:rsidR="009047DB" w:rsidRPr="0058432E" w:rsidRDefault="009047DB" w:rsidP="00982118">
      <w:pPr>
        <w:rPr>
          <w:color w:val="000000" w:themeColor="text1"/>
        </w:rPr>
      </w:pPr>
      <w:r w:rsidRPr="0058432E">
        <w:rPr>
          <w:color w:val="000000" w:themeColor="text1"/>
        </w:rPr>
        <w:t xml:space="preserve">L’exposition à l’adalimumab chez les adolescents atteints d’HS a été prédite en utilisant une modélisation pharmacocinétique de population et </w:t>
      </w:r>
      <w:proofErr w:type="gramStart"/>
      <w:r w:rsidRPr="0058432E">
        <w:rPr>
          <w:color w:val="000000" w:themeColor="text1"/>
        </w:rPr>
        <w:t>une simulation basée</w:t>
      </w:r>
      <w:r w:rsidR="00FD6456" w:rsidRPr="0058432E">
        <w:rPr>
          <w:color w:val="000000" w:themeColor="text1"/>
        </w:rPr>
        <w:t>s</w:t>
      </w:r>
      <w:proofErr w:type="gramEnd"/>
      <w:r w:rsidRPr="0058432E">
        <w:rPr>
          <w:color w:val="000000" w:themeColor="text1"/>
        </w:rPr>
        <w:t xml:space="preserve"> sur la pharmacocinétique observée dans des indications croisées chez d’autres patients pédiatriques (psoriasis pédiatrique, arthrite juvénile idiopathique, maladie de Crohn pédiatrique et arthrite liée à l’enthésite). Le schéma posologique recommandé chez les adolescents atteints d’HS est 40 mg toutes les deux semaines. Comme l’exposition à l’adalimumab peut être modifiée par la masse corporelle, les adolescents avec un poids corporel plus élevé et une réponse insuffisante pourraient bénéficier de la dose recommandée chez l’adulte de 40 mg par semaine. </w:t>
      </w:r>
    </w:p>
    <w:p w14:paraId="1B374246" w14:textId="77777777" w:rsidR="00C46587" w:rsidRPr="0058432E" w:rsidRDefault="00C46587" w:rsidP="00982118">
      <w:pPr>
        <w:rPr>
          <w:color w:val="000000" w:themeColor="text1"/>
        </w:rPr>
      </w:pPr>
    </w:p>
    <w:p w14:paraId="31F6444F" w14:textId="77777777" w:rsidR="00C46587" w:rsidRPr="0058432E" w:rsidRDefault="00C46587" w:rsidP="00982118">
      <w:pPr>
        <w:rPr>
          <w:color w:val="000000" w:themeColor="text1"/>
        </w:rPr>
      </w:pPr>
      <w:r w:rsidRPr="0058432E">
        <w:rPr>
          <w:color w:val="000000" w:themeColor="text1"/>
        </w:rPr>
        <w:t xml:space="preserve">Chez les enfants et les adolescents atteints de MC modérée à sévère, la dose d’induction de l’adalimumab en ouvert était respectivement de 160/80 mg ou 80/40 mg aux semaines 0 et 2, en fonction d’une valeur seuil de poids de 40 kg. À la semaine 4, les patients ont été randomisés selon un rapport de 1/1 pour recevoir un traitement d’entretien soit à la dose standard (40/20 mg toutes les deux semaines) soit à la dose faible (20/10 mg toutes les deux semaines) en fonction de leur poids. Les concentrations sériques résiduelles moyennes (± ET) de l’adalimumab obtenues à la semaine 4 </w:t>
      </w:r>
      <w:r w:rsidR="00FF4175" w:rsidRPr="0058432E">
        <w:rPr>
          <w:color w:val="000000" w:themeColor="text1"/>
        </w:rPr>
        <w:t>étaient</w:t>
      </w:r>
      <w:r w:rsidRPr="0058432E">
        <w:rPr>
          <w:color w:val="000000" w:themeColor="text1"/>
        </w:rPr>
        <w:t xml:space="preserve"> de 15,7 ± 6,6 μg/ml chez les patients de poids ≥ 40 kg (160/80 mg) et de 10,6 ± 6,1 μg/ml chez les patients de poids &lt; 40 kg (80/40 mg). </w:t>
      </w:r>
    </w:p>
    <w:p w14:paraId="4FA74C1C" w14:textId="77777777" w:rsidR="00C46587" w:rsidRPr="0058432E" w:rsidRDefault="00C46587" w:rsidP="00982118">
      <w:pPr>
        <w:rPr>
          <w:color w:val="000000" w:themeColor="text1"/>
        </w:rPr>
      </w:pPr>
    </w:p>
    <w:p w14:paraId="601FBDF7" w14:textId="77777777" w:rsidR="00C46587" w:rsidRPr="0058432E" w:rsidRDefault="00C46587" w:rsidP="00982118">
      <w:pPr>
        <w:rPr>
          <w:color w:val="000000" w:themeColor="text1"/>
        </w:rPr>
      </w:pPr>
      <w:r w:rsidRPr="0058432E">
        <w:rPr>
          <w:color w:val="000000" w:themeColor="text1"/>
        </w:rPr>
        <w:t xml:space="preserve">Chez les patients toujours traités, les concentrations résiduelles moyennes (± ET) de l’adalimumab à la semaine 52 étaient de 9,5 ± 5,6 μg/ml dans le groupe traité à la dose standard et de 3,5 ± 2,2 μg/ml dans le groupe traité à la dose faible. Les concentrations résiduelles moyennes ont été maintenues chez les patients ayant continué à recevoir le traitement </w:t>
      </w:r>
      <w:r w:rsidR="008E7545" w:rsidRPr="0058432E">
        <w:rPr>
          <w:color w:val="000000" w:themeColor="text1"/>
        </w:rPr>
        <w:t>par adalimumab</w:t>
      </w:r>
      <w:r w:rsidRPr="0058432E">
        <w:rPr>
          <w:color w:val="000000" w:themeColor="text1"/>
        </w:rPr>
        <w:t xml:space="preserve"> toutes les deux semaines pendant 52 semaines. Chez les patients dont le schéma posologique est passé de toutes les deux semaines à toutes les semaines, les concentrations sériques moyennes (± ET) de l’adalimumab à la semaine 52 </w:t>
      </w:r>
      <w:r w:rsidR="00FF4175" w:rsidRPr="0058432E">
        <w:rPr>
          <w:color w:val="000000" w:themeColor="text1"/>
        </w:rPr>
        <w:t>étaient</w:t>
      </w:r>
      <w:r w:rsidRPr="0058432E">
        <w:rPr>
          <w:color w:val="000000" w:themeColor="text1"/>
        </w:rPr>
        <w:t xml:space="preserve"> de 15,3 ± 11,4 μg/ml (40/20 mg, toutes les semaines) et de 6,7 ± 3,5 μg/ml (20/10 mg, toutes les semaines). </w:t>
      </w:r>
    </w:p>
    <w:p w14:paraId="3CC786DF" w14:textId="77777777" w:rsidR="00C46587" w:rsidRPr="0058432E" w:rsidRDefault="00C46587" w:rsidP="00982118">
      <w:pPr>
        <w:rPr>
          <w:color w:val="000000" w:themeColor="text1"/>
        </w:rPr>
      </w:pPr>
    </w:p>
    <w:p w14:paraId="4D8DE031" w14:textId="77777777" w:rsidR="00671B82" w:rsidRPr="0058432E" w:rsidRDefault="00671B82" w:rsidP="00671B82">
      <w:pPr>
        <w:rPr>
          <w:color w:val="000000" w:themeColor="text1"/>
        </w:rPr>
      </w:pPr>
      <w:r w:rsidRPr="0058432E">
        <w:rPr>
          <w:color w:val="000000" w:themeColor="text1"/>
        </w:rPr>
        <w:t>Après administration sous-cutanée de la dose</w:t>
      </w:r>
      <w:r w:rsidR="009B0A71" w:rsidRPr="0058432E">
        <w:rPr>
          <w:color w:val="000000" w:themeColor="text1"/>
        </w:rPr>
        <w:t xml:space="preserve"> déterminée par le poids de 0,6 mg/kg (dose maximale de 40 </w:t>
      </w:r>
      <w:r w:rsidRPr="0058432E">
        <w:rPr>
          <w:color w:val="000000" w:themeColor="text1"/>
        </w:rPr>
        <w:t xml:space="preserve">mg) toutes les deux semaines chez des </w:t>
      </w:r>
      <w:r w:rsidR="009B0A71" w:rsidRPr="0058432E">
        <w:rPr>
          <w:color w:val="000000" w:themeColor="text1"/>
        </w:rPr>
        <w:t>patients pédiatriques</w:t>
      </w:r>
      <w:r w:rsidRPr="0058432E">
        <w:rPr>
          <w:color w:val="000000" w:themeColor="text1"/>
        </w:rPr>
        <w:t xml:space="preserve"> atteints de rectocolite hémorragique, la concentration sérique résiduelle moyenne de l’adalimumab à l</w:t>
      </w:r>
      <w:r w:rsidR="009B0A71" w:rsidRPr="0058432E">
        <w:rPr>
          <w:color w:val="000000" w:themeColor="text1"/>
        </w:rPr>
        <w:t>’état d’équilibre était de 5,01 ± 3,28 </w:t>
      </w:r>
      <w:r w:rsidRPr="0058432E">
        <w:rPr>
          <w:color w:val="000000" w:themeColor="text1"/>
        </w:rPr>
        <w:t>μg/ml à la semaine</w:t>
      </w:r>
      <w:r w:rsidR="009B0A71" w:rsidRPr="0058432E">
        <w:rPr>
          <w:color w:val="000000" w:themeColor="text1"/>
        </w:rPr>
        <w:t> </w:t>
      </w:r>
      <w:r w:rsidRPr="0058432E">
        <w:rPr>
          <w:color w:val="000000" w:themeColor="text1"/>
        </w:rPr>
        <w:t>52. Chez les patients</w:t>
      </w:r>
      <w:r w:rsidR="009B0A71" w:rsidRPr="0058432E">
        <w:rPr>
          <w:color w:val="000000" w:themeColor="text1"/>
        </w:rPr>
        <w:t xml:space="preserve"> qui recevaient une dose de 0,6 mg/kg (dose maximale de 40 </w:t>
      </w:r>
      <w:r w:rsidRPr="0058432E">
        <w:rPr>
          <w:color w:val="000000" w:themeColor="text1"/>
        </w:rPr>
        <w:t>mg) chaque semaine, la concentratio</w:t>
      </w:r>
      <w:r w:rsidR="009B0A71" w:rsidRPr="0058432E">
        <w:rPr>
          <w:color w:val="000000" w:themeColor="text1"/>
        </w:rPr>
        <w:t>n sérique résiduelle moyenne (± </w:t>
      </w:r>
      <w:r w:rsidRPr="0058432E">
        <w:rPr>
          <w:color w:val="000000" w:themeColor="text1"/>
        </w:rPr>
        <w:t>ET) de l’adalimumab à l</w:t>
      </w:r>
      <w:r w:rsidR="009B0A71" w:rsidRPr="0058432E">
        <w:rPr>
          <w:color w:val="000000" w:themeColor="text1"/>
        </w:rPr>
        <w:t>’état d’équilibre était de 15,7 ± 5,60 μg/ml à la semaine </w:t>
      </w:r>
      <w:r w:rsidRPr="0058432E">
        <w:rPr>
          <w:color w:val="000000" w:themeColor="text1"/>
        </w:rPr>
        <w:t>52.</w:t>
      </w:r>
    </w:p>
    <w:p w14:paraId="56DEA711" w14:textId="77777777" w:rsidR="00671B82" w:rsidRPr="0058432E" w:rsidRDefault="00671B82" w:rsidP="00982118">
      <w:pPr>
        <w:rPr>
          <w:color w:val="000000" w:themeColor="text1"/>
        </w:rPr>
      </w:pPr>
    </w:p>
    <w:p w14:paraId="36BC2D43" w14:textId="77777777" w:rsidR="00A84E59" w:rsidRPr="0058432E" w:rsidRDefault="00A84E59" w:rsidP="00982118">
      <w:pPr>
        <w:rPr>
          <w:color w:val="000000" w:themeColor="text1"/>
        </w:rPr>
      </w:pPr>
      <w:r w:rsidRPr="0058432E">
        <w:rPr>
          <w:color w:val="000000" w:themeColor="text1"/>
        </w:rPr>
        <w:t>L’exposition à l’adalimumab chez les patients atteints d’uvéite pédiatrique a été prédite en utilisant une modélisation pharmacocinétique de population et une simulation basée sur la pharmacocinétique observée dans différentes indications pédiatriques (psoriasis pédiatrique, arthrite juvénile idiopathique, maladie de Crohn pédiatrique et arthrite liée à l’enthésite). Aucune donnée d’exposition clinique n’est disponible sur l’utilisation d’une dose de charge chez les enfants âgés de moins de 6 ans. Les expositions prévisibles indiquent qu’en l’absence de méthotrexate, une dose de charge peut entraîner une augmentation initiale de l’exposition systémique.</w:t>
      </w:r>
    </w:p>
    <w:p w14:paraId="6C21475E" w14:textId="77777777" w:rsidR="00A84E59" w:rsidRPr="0058432E" w:rsidRDefault="00A84E59" w:rsidP="00982118">
      <w:pPr>
        <w:rPr>
          <w:color w:val="000000" w:themeColor="text1"/>
        </w:rPr>
      </w:pPr>
    </w:p>
    <w:p w14:paraId="53BBCDCB" w14:textId="77777777" w:rsidR="009138D9" w:rsidRPr="0058432E" w:rsidRDefault="009138D9" w:rsidP="00ED34EF">
      <w:pPr>
        <w:keepNext/>
        <w:rPr>
          <w:color w:val="000000" w:themeColor="text1"/>
          <w:u w:val="single"/>
        </w:rPr>
      </w:pPr>
      <w:r w:rsidRPr="0058432E">
        <w:rPr>
          <w:color w:val="000000" w:themeColor="text1"/>
          <w:u w:val="single"/>
        </w:rPr>
        <w:lastRenderedPageBreak/>
        <w:t>Relation exposition-réponse dans la population pédiatrique</w:t>
      </w:r>
    </w:p>
    <w:p w14:paraId="66D2CD45" w14:textId="77777777" w:rsidR="002510E7" w:rsidRPr="0058432E" w:rsidRDefault="002510E7" w:rsidP="00ED34EF">
      <w:pPr>
        <w:keepNext/>
        <w:rPr>
          <w:color w:val="000000" w:themeColor="text1"/>
        </w:rPr>
      </w:pPr>
    </w:p>
    <w:p w14:paraId="4019B8D1" w14:textId="77777777" w:rsidR="009138D9" w:rsidRPr="0058432E" w:rsidRDefault="009138D9" w:rsidP="00982118">
      <w:pPr>
        <w:autoSpaceDE w:val="0"/>
        <w:autoSpaceDN w:val="0"/>
        <w:adjustRightInd w:val="0"/>
        <w:rPr>
          <w:rFonts w:cs="TimesNewRomanPSMT"/>
          <w:color w:val="000000" w:themeColor="text1"/>
        </w:rPr>
      </w:pPr>
      <w:r w:rsidRPr="0058432E">
        <w:rPr>
          <w:color w:val="000000" w:themeColor="text1"/>
        </w:rPr>
        <w:t xml:space="preserve">Sur la base des données des essais cliniques chez les patients atteints d’AJI (AJI polyarticulaire et arthrite liée à l’enthésite), une relation exposition-réponse a été démontrée entre les concentrations plasmatiques et la réponse ACR </w:t>
      </w:r>
      <w:r w:rsidR="00660970" w:rsidRPr="0058432E">
        <w:rPr>
          <w:color w:val="000000" w:themeColor="text1"/>
        </w:rPr>
        <w:t>pédiatrique</w:t>
      </w:r>
      <w:r w:rsidRPr="0058432E">
        <w:rPr>
          <w:color w:val="000000" w:themeColor="text1"/>
        </w:rPr>
        <w:t xml:space="preserve"> 50. La concentration plasmatique d’adalimumab apparente produisant la moitié de la probabilité maximale de réponse ACR </w:t>
      </w:r>
      <w:r w:rsidR="00660970" w:rsidRPr="0058432E">
        <w:rPr>
          <w:color w:val="000000" w:themeColor="text1"/>
        </w:rPr>
        <w:t>pédiatrique</w:t>
      </w:r>
      <w:r w:rsidRPr="0058432E">
        <w:rPr>
          <w:color w:val="000000" w:themeColor="text1"/>
        </w:rPr>
        <w:t xml:space="preserve"> 50 (CE50) était de 3 µg/ml (IC à 95 % : 1</w:t>
      </w:r>
      <w:r w:rsidR="000C1DE3" w:rsidRPr="0058432E">
        <w:rPr>
          <w:color w:val="000000" w:themeColor="text1"/>
        </w:rPr>
        <w:t> – </w:t>
      </w:r>
      <w:r w:rsidRPr="0058432E">
        <w:rPr>
          <w:color w:val="000000" w:themeColor="text1"/>
        </w:rPr>
        <w:t>6 μg/ml).</w:t>
      </w:r>
    </w:p>
    <w:p w14:paraId="35D40138" w14:textId="77777777" w:rsidR="009138D9" w:rsidRPr="0058432E" w:rsidRDefault="009138D9" w:rsidP="00982118">
      <w:pPr>
        <w:autoSpaceDE w:val="0"/>
        <w:autoSpaceDN w:val="0"/>
        <w:adjustRightInd w:val="0"/>
        <w:rPr>
          <w:rFonts w:cs="TimesNewRomanPSMT"/>
          <w:color w:val="000000" w:themeColor="text1"/>
        </w:rPr>
      </w:pPr>
    </w:p>
    <w:p w14:paraId="213F8C46" w14:textId="77777777" w:rsidR="009138D9" w:rsidRPr="0058432E" w:rsidRDefault="009138D9" w:rsidP="00982118">
      <w:pPr>
        <w:autoSpaceDE w:val="0"/>
        <w:autoSpaceDN w:val="0"/>
        <w:adjustRightInd w:val="0"/>
        <w:rPr>
          <w:color w:val="000000" w:themeColor="text1"/>
        </w:rPr>
      </w:pPr>
      <w:r w:rsidRPr="0058432E">
        <w:rPr>
          <w:color w:val="000000" w:themeColor="text1"/>
        </w:rPr>
        <w:t>Des relations exposition-réponse entre la concentration d’adalimumab et l’efficacité chez les patients pédiatriques atteints de psoriasis en plaques sévère ont été établies pour les résultats PASI 75 et PGA « clair ou minimal », respectivement. Les taux de résultats PASI 75 et PGA « clair ou minimal » ont augmenté à mesure de l’augmentation des concentrations d’adalimumab, avec une CE50 apparente similaire d’environ 4,5 μg/ml (IC à 95 % respectifs de 0,4</w:t>
      </w:r>
      <w:r w:rsidR="00422CC0" w:rsidRPr="0058432E">
        <w:rPr>
          <w:color w:val="000000" w:themeColor="text1"/>
        </w:rPr>
        <w:t> – </w:t>
      </w:r>
      <w:r w:rsidRPr="0058432E">
        <w:rPr>
          <w:color w:val="000000" w:themeColor="text1"/>
        </w:rPr>
        <w:t>47,6 et 1,9</w:t>
      </w:r>
      <w:r w:rsidR="00422CC0" w:rsidRPr="0058432E">
        <w:rPr>
          <w:color w:val="000000" w:themeColor="text1"/>
        </w:rPr>
        <w:t> – </w:t>
      </w:r>
      <w:r w:rsidRPr="0058432E">
        <w:rPr>
          <w:color w:val="000000" w:themeColor="text1"/>
        </w:rPr>
        <w:t>10,5) dans les deux cas.</w:t>
      </w:r>
    </w:p>
    <w:p w14:paraId="1DF5257C" w14:textId="77777777" w:rsidR="009138D9" w:rsidRPr="0058432E" w:rsidRDefault="009138D9" w:rsidP="00982118">
      <w:pPr>
        <w:rPr>
          <w:color w:val="000000" w:themeColor="text1"/>
        </w:rPr>
      </w:pPr>
    </w:p>
    <w:p w14:paraId="60ABC788" w14:textId="77777777" w:rsidR="00C46587" w:rsidRPr="0058432E" w:rsidRDefault="00C46587" w:rsidP="00ED34EF">
      <w:pPr>
        <w:keepNext/>
        <w:rPr>
          <w:color w:val="000000" w:themeColor="text1"/>
          <w:u w:val="single"/>
        </w:rPr>
      </w:pPr>
      <w:r w:rsidRPr="0058432E">
        <w:rPr>
          <w:color w:val="000000" w:themeColor="text1"/>
          <w:u w:val="single"/>
        </w:rPr>
        <w:t xml:space="preserve">Adultes </w:t>
      </w:r>
    </w:p>
    <w:p w14:paraId="3912A32B" w14:textId="77777777" w:rsidR="00C46587" w:rsidRPr="0058432E" w:rsidRDefault="00C46587" w:rsidP="00ED34EF">
      <w:pPr>
        <w:keepNext/>
        <w:rPr>
          <w:color w:val="000000" w:themeColor="text1"/>
        </w:rPr>
      </w:pPr>
    </w:p>
    <w:p w14:paraId="1B0A7EA4" w14:textId="77777777" w:rsidR="00C46587" w:rsidRPr="0058432E" w:rsidRDefault="00C46587" w:rsidP="00982118">
      <w:pPr>
        <w:rPr>
          <w:color w:val="000000" w:themeColor="text1"/>
        </w:rPr>
      </w:pPr>
      <w:r w:rsidRPr="0058432E">
        <w:rPr>
          <w:color w:val="000000" w:themeColor="text1"/>
        </w:rPr>
        <w:t>Après administration sous-cutanée d’une dose unique de 40 mg, l’absorption et la distribution de l’adalimumab ont été lentes, le pic de concentration sérique étant atteint 5 jours environ après l’administration. La biodisponibilité absolue moyenne de l’adalimumab, estimée à partir de trois études, a été de 64 % après une dose sous-cutanée unique de 40 mg. Après administration de doses intraveineuses uniques variant de 0,25 à 10 mg/kg, les concentrations ont été proportionnelles à la dose. Après administration de doses de 0,5 mg/kg (~40 mg), les clairances étaient de 11 à 15 ml/heure, le volume de distribution (V</w:t>
      </w:r>
      <w:r w:rsidRPr="0058432E">
        <w:rPr>
          <w:color w:val="000000" w:themeColor="text1"/>
          <w:vertAlign w:val="subscript"/>
        </w:rPr>
        <w:t>ss</w:t>
      </w:r>
      <w:r w:rsidRPr="0058432E">
        <w:rPr>
          <w:color w:val="000000" w:themeColor="text1"/>
        </w:rPr>
        <w:t>) était compris entre 5 et 6 litres et la demi</w:t>
      </w:r>
      <w:r w:rsidRPr="0058432E">
        <w:rPr>
          <w:color w:val="000000" w:themeColor="text1"/>
        </w:rPr>
        <w:noBreakHyphen/>
        <w:t xml:space="preserve">vie terminale moyenne a été de deux semaines environ. La concentration d’adalimumab dans le liquide synovial de plusieurs patients atteints de polyarthrite rhumatoïde était comprise entre 31 et 96 % des concentrations sériques. </w:t>
      </w:r>
    </w:p>
    <w:p w14:paraId="7CA92122" w14:textId="77777777" w:rsidR="00C46587" w:rsidRPr="0058432E" w:rsidRDefault="00C46587" w:rsidP="00982118">
      <w:pPr>
        <w:rPr>
          <w:color w:val="000000" w:themeColor="text1"/>
        </w:rPr>
      </w:pPr>
    </w:p>
    <w:p w14:paraId="7F690118" w14:textId="77777777" w:rsidR="00C46587" w:rsidRPr="0058432E" w:rsidRDefault="00C46587" w:rsidP="00982118">
      <w:pPr>
        <w:rPr>
          <w:color w:val="000000" w:themeColor="text1"/>
        </w:rPr>
      </w:pPr>
      <w:r w:rsidRPr="0058432E">
        <w:rPr>
          <w:color w:val="000000" w:themeColor="text1"/>
        </w:rPr>
        <w:t xml:space="preserve">Après administration sous-cutanée de 40 mg d’adalimumab toutes les deux semaines chez des patients adultes atteints de polyarthrite rhumatoïde (PR), les concentrations </w:t>
      </w:r>
      <w:r w:rsidR="00FF4175" w:rsidRPr="0058432E">
        <w:rPr>
          <w:color w:val="000000" w:themeColor="text1"/>
        </w:rPr>
        <w:t xml:space="preserve">résiduelles </w:t>
      </w:r>
      <w:r w:rsidRPr="0058432E">
        <w:rPr>
          <w:color w:val="000000" w:themeColor="text1"/>
        </w:rPr>
        <w:t xml:space="preserve">moyennes </w:t>
      </w:r>
      <w:r w:rsidR="00FF4175" w:rsidRPr="0058432E">
        <w:rPr>
          <w:color w:val="000000" w:themeColor="text1"/>
        </w:rPr>
        <w:t>à l’état d’équilibre</w:t>
      </w:r>
      <w:r w:rsidRPr="0058432E">
        <w:rPr>
          <w:color w:val="000000" w:themeColor="text1"/>
        </w:rPr>
        <w:t xml:space="preserve"> étaient de l’ordre d’environ 5 μg/ml (sans méthotrexate) et de 8 à 9 μg/ml (avec méthotrexate). Les concentrations sériques </w:t>
      </w:r>
      <w:r w:rsidR="00FF4175" w:rsidRPr="0058432E">
        <w:rPr>
          <w:color w:val="000000" w:themeColor="text1"/>
        </w:rPr>
        <w:t xml:space="preserve">résiduelles </w:t>
      </w:r>
      <w:r w:rsidRPr="0058432E">
        <w:rPr>
          <w:color w:val="000000" w:themeColor="text1"/>
        </w:rPr>
        <w:t xml:space="preserve">d’adalimumab à l’état d’équilibre ont augmenté de façon à peu près dose-dépendante après l’administration par voie sous-cutanée de 20, 40 et 80 mg toutes les deux semaines et toutes les semaines. </w:t>
      </w:r>
    </w:p>
    <w:p w14:paraId="7A5BFDB6" w14:textId="77777777" w:rsidR="00C46587" w:rsidRPr="0058432E" w:rsidRDefault="00C46587" w:rsidP="00982118">
      <w:pPr>
        <w:rPr>
          <w:color w:val="000000" w:themeColor="text1"/>
        </w:rPr>
      </w:pPr>
    </w:p>
    <w:p w14:paraId="36212308" w14:textId="77777777" w:rsidR="00C46587" w:rsidRPr="0058432E" w:rsidRDefault="00C46587" w:rsidP="00982118">
      <w:pPr>
        <w:rPr>
          <w:color w:val="000000" w:themeColor="text1"/>
        </w:rPr>
      </w:pPr>
      <w:r w:rsidRPr="0058432E">
        <w:rPr>
          <w:color w:val="000000" w:themeColor="text1"/>
        </w:rPr>
        <w:t xml:space="preserve">Chez les patients adultes atteints de psoriasis, la concentration </w:t>
      </w:r>
      <w:r w:rsidR="00FF4175" w:rsidRPr="0058432E">
        <w:rPr>
          <w:color w:val="000000" w:themeColor="text1"/>
        </w:rPr>
        <w:t xml:space="preserve">résiduelle </w:t>
      </w:r>
      <w:r w:rsidRPr="0058432E">
        <w:rPr>
          <w:color w:val="000000" w:themeColor="text1"/>
        </w:rPr>
        <w:t xml:space="preserve">moyenne à l’état d’équilibre était de 5 μg/ml pendant le traitement par 40 mg d’adalimumab </w:t>
      </w:r>
      <w:r w:rsidR="001B430D" w:rsidRPr="0058432E">
        <w:rPr>
          <w:color w:val="000000" w:themeColor="text1"/>
        </w:rPr>
        <w:t>toutes les deux semaines</w:t>
      </w:r>
      <w:r w:rsidRPr="0058432E">
        <w:rPr>
          <w:color w:val="000000" w:themeColor="text1"/>
        </w:rPr>
        <w:t xml:space="preserve"> en monothérapie. </w:t>
      </w:r>
    </w:p>
    <w:p w14:paraId="3049C3BF" w14:textId="77777777" w:rsidR="009047DB" w:rsidRPr="0058432E" w:rsidRDefault="009047DB" w:rsidP="00982118">
      <w:pPr>
        <w:rPr>
          <w:color w:val="000000" w:themeColor="text1"/>
        </w:rPr>
      </w:pPr>
    </w:p>
    <w:p w14:paraId="18E74810" w14:textId="77777777" w:rsidR="009047DB" w:rsidRPr="0058432E" w:rsidRDefault="009047DB" w:rsidP="00982118">
      <w:pPr>
        <w:rPr>
          <w:color w:val="000000" w:themeColor="text1"/>
        </w:rPr>
      </w:pPr>
      <w:r w:rsidRPr="0058432E">
        <w:rPr>
          <w:color w:val="000000" w:themeColor="text1"/>
        </w:rPr>
        <w:t xml:space="preserve">Chez les patients adultes atteints d’hidrosadénite suppurée, une dose de 160 mg d’adalimumab à la </w:t>
      </w:r>
      <w:r w:rsidR="00651B8A" w:rsidRPr="0058432E">
        <w:rPr>
          <w:color w:val="000000" w:themeColor="text1"/>
        </w:rPr>
        <w:t>s</w:t>
      </w:r>
      <w:r w:rsidRPr="0058432E">
        <w:rPr>
          <w:color w:val="000000" w:themeColor="text1"/>
        </w:rPr>
        <w:t>emaine</w:t>
      </w:r>
      <w:r w:rsidR="00651B8A" w:rsidRPr="0058432E">
        <w:rPr>
          <w:color w:val="000000" w:themeColor="text1"/>
        </w:rPr>
        <w:t> </w:t>
      </w:r>
      <w:r w:rsidRPr="0058432E">
        <w:rPr>
          <w:color w:val="000000" w:themeColor="text1"/>
        </w:rPr>
        <w:t xml:space="preserve">0 suivie d’une dose de 80 mg à la </w:t>
      </w:r>
      <w:r w:rsidR="00651B8A" w:rsidRPr="0058432E">
        <w:rPr>
          <w:color w:val="000000" w:themeColor="text1"/>
        </w:rPr>
        <w:t>s</w:t>
      </w:r>
      <w:r w:rsidRPr="0058432E">
        <w:rPr>
          <w:color w:val="000000" w:themeColor="text1"/>
        </w:rPr>
        <w:t>emaine</w:t>
      </w:r>
      <w:r w:rsidR="00651B8A" w:rsidRPr="0058432E">
        <w:rPr>
          <w:color w:val="000000" w:themeColor="text1"/>
        </w:rPr>
        <w:t> </w:t>
      </w:r>
      <w:r w:rsidRPr="0058432E">
        <w:rPr>
          <w:color w:val="000000" w:themeColor="text1"/>
        </w:rPr>
        <w:t xml:space="preserve">2, ont permis d’obtenir des concentrations sériques résiduelles d’adalimumab d’environ 7 à 8 μg/ml à la </w:t>
      </w:r>
      <w:r w:rsidR="00577ABD" w:rsidRPr="0058432E">
        <w:rPr>
          <w:color w:val="000000" w:themeColor="text1"/>
        </w:rPr>
        <w:t>s</w:t>
      </w:r>
      <w:r w:rsidRPr="0058432E">
        <w:rPr>
          <w:color w:val="000000" w:themeColor="text1"/>
        </w:rPr>
        <w:t xml:space="preserve">emaine 2 et à la </w:t>
      </w:r>
      <w:r w:rsidR="00577ABD" w:rsidRPr="0058432E">
        <w:rPr>
          <w:color w:val="000000" w:themeColor="text1"/>
        </w:rPr>
        <w:t>s</w:t>
      </w:r>
      <w:r w:rsidRPr="0058432E">
        <w:rPr>
          <w:color w:val="000000" w:themeColor="text1"/>
        </w:rPr>
        <w:t xml:space="preserve">emaine 4. Au cours du traitement </w:t>
      </w:r>
      <w:r w:rsidR="008E7545" w:rsidRPr="0058432E">
        <w:rPr>
          <w:color w:val="000000" w:themeColor="text1"/>
        </w:rPr>
        <w:t>par adalimumab</w:t>
      </w:r>
      <w:r w:rsidRPr="0058432E">
        <w:rPr>
          <w:color w:val="000000" w:themeColor="text1"/>
        </w:rPr>
        <w:t xml:space="preserve"> 40 mg par semaine, les concentrations résiduelles moyennes à l’état d’équilibre, de la </w:t>
      </w:r>
      <w:r w:rsidR="00FF0B86" w:rsidRPr="0058432E">
        <w:rPr>
          <w:color w:val="000000" w:themeColor="text1"/>
        </w:rPr>
        <w:t>s</w:t>
      </w:r>
      <w:r w:rsidRPr="0058432E">
        <w:rPr>
          <w:color w:val="000000" w:themeColor="text1"/>
        </w:rPr>
        <w:t>emaine</w:t>
      </w:r>
      <w:r w:rsidR="00FF0B86" w:rsidRPr="0058432E">
        <w:rPr>
          <w:color w:val="000000" w:themeColor="text1"/>
        </w:rPr>
        <w:t> </w:t>
      </w:r>
      <w:r w:rsidRPr="0058432E">
        <w:rPr>
          <w:color w:val="000000" w:themeColor="text1"/>
        </w:rPr>
        <w:t xml:space="preserve">12 jusqu’à la </w:t>
      </w:r>
      <w:r w:rsidR="00FF0B86" w:rsidRPr="0058432E">
        <w:rPr>
          <w:color w:val="000000" w:themeColor="text1"/>
        </w:rPr>
        <w:t>s</w:t>
      </w:r>
      <w:r w:rsidRPr="0058432E">
        <w:rPr>
          <w:color w:val="000000" w:themeColor="text1"/>
        </w:rPr>
        <w:t>emaine</w:t>
      </w:r>
      <w:r w:rsidR="00FF0B86" w:rsidRPr="0058432E">
        <w:rPr>
          <w:color w:val="000000" w:themeColor="text1"/>
        </w:rPr>
        <w:t> </w:t>
      </w:r>
      <w:r w:rsidRPr="0058432E">
        <w:rPr>
          <w:color w:val="000000" w:themeColor="text1"/>
        </w:rPr>
        <w:t xml:space="preserve">36, </w:t>
      </w:r>
      <w:r w:rsidR="00683A84" w:rsidRPr="0058432E">
        <w:rPr>
          <w:color w:val="000000" w:themeColor="text1"/>
        </w:rPr>
        <w:t>étaient</w:t>
      </w:r>
      <w:r w:rsidRPr="0058432E">
        <w:rPr>
          <w:color w:val="000000" w:themeColor="text1"/>
        </w:rPr>
        <w:t xml:space="preserve"> d’environ 8 à 10 μg/ml.</w:t>
      </w:r>
    </w:p>
    <w:p w14:paraId="7BC440D6" w14:textId="77777777" w:rsidR="009047DB" w:rsidRPr="0058432E" w:rsidRDefault="009047DB" w:rsidP="00982118">
      <w:pPr>
        <w:rPr>
          <w:color w:val="000000" w:themeColor="text1"/>
        </w:rPr>
      </w:pPr>
    </w:p>
    <w:p w14:paraId="32F84655" w14:textId="77777777" w:rsidR="009047DB" w:rsidRPr="0058432E" w:rsidRDefault="009047DB" w:rsidP="00982118">
      <w:pPr>
        <w:rPr>
          <w:color w:val="000000" w:themeColor="text1"/>
        </w:rPr>
      </w:pPr>
      <w:r w:rsidRPr="0058432E">
        <w:rPr>
          <w:color w:val="000000" w:themeColor="text1"/>
        </w:rPr>
        <w:t>Chez les patients atteints de la maladie de Crohn, la dose de charge de 80 mg d’adalimumab à la semaine 0 suivie de 40 mg d’adalimumab à la semaine 2 permet d’obtenir des concentrations</w:t>
      </w:r>
      <w:r w:rsidR="00A7364D" w:rsidRPr="0058432E">
        <w:rPr>
          <w:color w:val="000000" w:themeColor="text1"/>
        </w:rPr>
        <w:t xml:space="preserve"> </w:t>
      </w:r>
      <w:r w:rsidR="00244663" w:rsidRPr="0058432E">
        <w:rPr>
          <w:color w:val="000000" w:themeColor="text1"/>
        </w:rPr>
        <w:t xml:space="preserve">résiduelles </w:t>
      </w:r>
      <w:r w:rsidRPr="0058432E">
        <w:rPr>
          <w:color w:val="000000" w:themeColor="text1"/>
        </w:rPr>
        <w:t xml:space="preserve">d’adalimumab d’environ 5,5 μg/ml pendant la période d’induction. Une dose de charge de 160 mg d’adalimumab à la semaine 0 suivie de 80 mg d’adalimumab à la semaine 2 permet d’obtenir des concentrations sériques </w:t>
      </w:r>
      <w:r w:rsidR="00244663" w:rsidRPr="0058432E">
        <w:rPr>
          <w:color w:val="000000" w:themeColor="text1"/>
        </w:rPr>
        <w:t xml:space="preserve">résiduelles </w:t>
      </w:r>
      <w:r w:rsidRPr="0058432E">
        <w:rPr>
          <w:color w:val="000000" w:themeColor="text1"/>
        </w:rPr>
        <w:t xml:space="preserve">d’adalimumab d’environ 12 μg/ml pendant la période d’induction. Des concentrations </w:t>
      </w:r>
      <w:r w:rsidR="00244663" w:rsidRPr="0058432E">
        <w:rPr>
          <w:color w:val="000000" w:themeColor="text1"/>
        </w:rPr>
        <w:t xml:space="preserve">résiduelles </w:t>
      </w:r>
      <w:r w:rsidR="00514BFF" w:rsidRPr="0058432E">
        <w:rPr>
          <w:color w:val="000000" w:themeColor="text1"/>
        </w:rPr>
        <w:t xml:space="preserve">moyennes </w:t>
      </w:r>
      <w:r w:rsidRPr="0058432E">
        <w:rPr>
          <w:color w:val="000000" w:themeColor="text1"/>
        </w:rPr>
        <w:t>à l’état d’équilibre d’environ 7 μg/ml ont été obtenues chez des patients atteints de la maladie de Crohn ayant reçu une dose d’entretien de 40 mg d’adalimumab toutes les deux semaines.</w:t>
      </w:r>
    </w:p>
    <w:p w14:paraId="79AEF6A1" w14:textId="77777777" w:rsidR="000102A9" w:rsidRPr="0058432E" w:rsidRDefault="000102A9" w:rsidP="00982118">
      <w:pPr>
        <w:rPr>
          <w:color w:val="000000" w:themeColor="text1"/>
        </w:rPr>
      </w:pPr>
    </w:p>
    <w:p w14:paraId="483870D4" w14:textId="77777777" w:rsidR="009047DB" w:rsidRPr="0058432E" w:rsidRDefault="009047DB" w:rsidP="00982118">
      <w:pPr>
        <w:rPr>
          <w:color w:val="000000" w:themeColor="text1"/>
        </w:rPr>
      </w:pPr>
      <w:r w:rsidRPr="0058432E">
        <w:rPr>
          <w:color w:val="000000" w:themeColor="text1"/>
        </w:rPr>
        <w:t xml:space="preserve">Chez les patients adultes atteints d’uvéite, la dose </w:t>
      </w:r>
      <w:r w:rsidR="00244663" w:rsidRPr="0058432E">
        <w:rPr>
          <w:color w:val="000000" w:themeColor="text1"/>
        </w:rPr>
        <w:t xml:space="preserve">de charge </w:t>
      </w:r>
      <w:r w:rsidRPr="0058432E">
        <w:rPr>
          <w:color w:val="000000" w:themeColor="text1"/>
        </w:rPr>
        <w:t xml:space="preserve">de 80 mg d’adalimumab à la </w:t>
      </w:r>
      <w:r w:rsidR="00BC5E46" w:rsidRPr="0058432E">
        <w:rPr>
          <w:color w:val="000000" w:themeColor="text1"/>
        </w:rPr>
        <w:t>s</w:t>
      </w:r>
      <w:r w:rsidRPr="0058432E">
        <w:rPr>
          <w:color w:val="000000" w:themeColor="text1"/>
        </w:rPr>
        <w:t>emaine</w:t>
      </w:r>
      <w:r w:rsidR="00BC5E46" w:rsidRPr="0058432E">
        <w:rPr>
          <w:color w:val="000000" w:themeColor="text1"/>
        </w:rPr>
        <w:t> </w:t>
      </w:r>
      <w:r w:rsidRPr="0058432E">
        <w:rPr>
          <w:color w:val="000000" w:themeColor="text1"/>
        </w:rPr>
        <w:t xml:space="preserve">0 suivie de 40 mg d’adalimumab toutes les deux semaines à partir de la </w:t>
      </w:r>
      <w:r w:rsidR="00BC5E46" w:rsidRPr="0058432E">
        <w:rPr>
          <w:color w:val="000000" w:themeColor="text1"/>
        </w:rPr>
        <w:t>s</w:t>
      </w:r>
      <w:r w:rsidRPr="0058432E">
        <w:rPr>
          <w:color w:val="000000" w:themeColor="text1"/>
        </w:rPr>
        <w:t>emaine</w:t>
      </w:r>
      <w:r w:rsidR="00BC5E46" w:rsidRPr="0058432E">
        <w:rPr>
          <w:color w:val="000000" w:themeColor="text1"/>
        </w:rPr>
        <w:t> </w:t>
      </w:r>
      <w:r w:rsidRPr="0058432E">
        <w:rPr>
          <w:color w:val="000000" w:themeColor="text1"/>
        </w:rPr>
        <w:t>1 a permis d’obtenir des concentrations moyennes d’adalimumab à l’état d’équilibre d’environ 8 à 10 μg/ml.</w:t>
      </w:r>
    </w:p>
    <w:p w14:paraId="384D560C" w14:textId="77777777" w:rsidR="0093431B" w:rsidRPr="0058432E" w:rsidRDefault="0093431B" w:rsidP="00982118">
      <w:pPr>
        <w:rPr>
          <w:color w:val="000000" w:themeColor="text1"/>
        </w:rPr>
      </w:pPr>
    </w:p>
    <w:p w14:paraId="09EAECD2" w14:textId="77777777" w:rsidR="0093431B" w:rsidRPr="0058432E" w:rsidRDefault="0093431B" w:rsidP="00982118">
      <w:pPr>
        <w:autoSpaceDE w:val="0"/>
        <w:autoSpaceDN w:val="0"/>
        <w:adjustRightInd w:val="0"/>
        <w:rPr>
          <w:color w:val="000000" w:themeColor="text1"/>
        </w:rPr>
      </w:pPr>
      <w:r w:rsidRPr="0058432E">
        <w:rPr>
          <w:color w:val="000000" w:themeColor="text1"/>
        </w:rPr>
        <w:lastRenderedPageBreak/>
        <w:t xml:space="preserve">Une modélisation et une simulation pharmacocinétiques et pharmacocinétiques/pharmacodynamiques de population ont prédit une exposition et une efficacité </w:t>
      </w:r>
      <w:r w:rsidR="00244663" w:rsidRPr="0058432E">
        <w:rPr>
          <w:color w:val="000000" w:themeColor="text1"/>
        </w:rPr>
        <w:t xml:space="preserve">d’adalimumab </w:t>
      </w:r>
      <w:r w:rsidRPr="0058432E">
        <w:rPr>
          <w:color w:val="000000" w:themeColor="text1"/>
        </w:rPr>
        <w:t>comparables chez les patients traités par 80 mg toutes les deux semaines en comparaison avec 40 mg toutes les semaines (y compris les patients adultes atteints de PR, HS, RCH, MC ou Ps, les adolescents atteints d’HS, et les patients pédiatriques ≥ 40 kg atteints de MC</w:t>
      </w:r>
      <w:r w:rsidR="00671B82" w:rsidRPr="0058432E">
        <w:rPr>
          <w:color w:val="000000" w:themeColor="text1"/>
        </w:rPr>
        <w:t xml:space="preserve"> et RCH</w:t>
      </w:r>
      <w:r w:rsidRPr="0058432E">
        <w:rPr>
          <w:color w:val="000000" w:themeColor="text1"/>
        </w:rPr>
        <w:t>).</w:t>
      </w:r>
    </w:p>
    <w:p w14:paraId="148BDB54" w14:textId="77777777" w:rsidR="000102A9" w:rsidRPr="0058432E" w:rsidRDefault="000102A9" w:rsidP="00982118">
      <w:pPr>
        <w:rPr>
          <w:color w:val="000000" w:themeColor="text1"/>
        </w:rPr>
      </w:pPr>
    </w:p>
    <w:p w14:paraId="5469F158" w14:textId="77777777" w:rsidR="00C46587" w:rsidRPr="0058432E" w:rsidRDefault="00C46587" w:rsidP="00ED34EF">
      <w:pPr>
        <w:keepNext/>
        <w:rPr>
          <w:color w:val="000000" w:themeColor="text1"/>
          <w:u w:val="single"/>
        </w:rPr>
      </w:pPr>
      <w:r w:rsidRPr="0058432E">
        <w:rPr>
          <w:color w:val="000000" w:themeColor="text1"/>
          <w:u w:val="single"/>
        </w:rPr>
        <w:t xml:space="preserve">Élimination </w:t>
      </w:r>
    </w:p>
    <w:p w14:paraId="7F5C8FE9" w14:textId="77777777" w:rsidR="00C46587" w:rsidRPr="0058432E" w:rsidRDefault="00C46587" w:rsidP="00ED34EF">
      <w:pPr>
        <w:keepNext/>
        <w:rPr>
          <w:color w:val="000000" w:themeColor="text1"/>
        </w:rPr>
      </w:pPr>
    </w:p>
    <w:p w14:paraId="1D09E0C6" w14:textId="77777777" w:rsidR="00C46587" w:rsidRPr="0058432E" w:rsidRDefault="00C46587" w:rsidP="00982118">
      <w:pPr>
        <w:rPr>
          <w:color w:val="000000" w:themeColor="text1"/>
        </w:rPr>
      </w:pPr>
      <w:r w:rsidRPr="0058432E">
        <w:rPr>
          <w:color w:val="000000" w:themeColor="text1"/>
        </w:rPr>
        <w:t>Les analyses pharmacocinétiques de populations portant sur des données recueillies chez plus de 1</w:t>
      </w:r>
      <w:r w:rsidR="00DB2437" w:rsidRPr="0058432E">
        <w:rPr>
          <w:color w:val="000000" w:themeColor="text1"/>
        </w:rPr>
        <w:t> </w:t>
      </w:r>
      <w:r w:rsidRPr="0058432E">
        <w:rPr>
          <w:color w:val="000000" w:themeColor="text1"/>
        </w:rPr>
        <w:t>300</w:t>
      </w:r>
      <w:r w:rsidR="00DB2437" w:rsidRPr="0058432E">
        <w:rPr>
          <w:color w:val="000000" w:themeColor="text1"/>
        </w:rPr>
        <w:t> </w:t>
      </w:r>
      <w:r w:rsidRPr="0058432E">
        <w:rPr>
          <w:color w:val="000000" w:themeColor="text1"/>
        </w:rPr>
        <w:t>patients atteints de PR, ont révélé une tendance à une augmentation de la clairance apparente de l’adalimumab avec une augmentation du poids corporel. Après ajustement en fonction des différences pondérales, le sexe et l’âge ont semblé avoir peu d’effet sur la clairance de l’adalimumab. Il a été observé que les taux sériques d’adalimumab libre (non lié aux anticorps anti</w:t>
      </w:r>
      <w:r w:rsidRPr="0058432E">
        <w:rPr>
          <w:color w:val="000000" w:themeColor="text1"/>
        </w:rPr>
        <w:noBreakHyphen/>
        <w:t xml:space="preserve">adalimumab, AAA) étaient plus bas chez les patients dont les AAA étaient mesurables. </w:t>
      </w:r>
    </w:p>
    <w:p w14:paraId="1F00BA9D" w14:textId="77777777" w:rsidR="00C46587" w:rsidRPr="0058432E" w:rsidRDefault="00C46587" w:rsidP="00982118">
      <w:pPr>
        <w:rPr>
          <w:color w:val="000000" w:themeColor="text1"/>
        </w:rPr>
      </w:pPr>
    </w:p>
    <w:p w14:paraId="7A03D2BA" w14:textId="77777777" w:rsidR="00C46587" w:rsidRPr="0058432E" w:rsidRDefault="00C46587" w:rsidP="00ED34EF">
      <w:pPr>
        <w:keepNext/>
        <w:rPr>
          <w:color w:val="000000" w:themeColor="text1"/>
          <w:u w:val="single"/>
        </w:rPr>
      </w:pPr>
      <w:r w:rsidRPr="0058432E">
        <w:rPr>
          <w:color w:val="000000" w:themeColor="text1"/>
          <w:u w:val="single"/>
        </w:rPr>
        <w:t xml:space="preserve">Insuffisance hépatique ou rénale </w:t>
      </w:r>
    </w:p>
    <w:p w14:paraId="7FB82486" w14:textId="77777777" w:rsidR="00C46587" w:rsidRPr="0058432E" w:rsidRDefault="00C46587" w:rsidP="00ED34EF">
      <w:pPr>
        <w:keepNext/>
        <w:rPr>
          <w:color w:val="000000" w:themeColor="text1"/>
        </w:rPr>
      </w:pPr>
    </w:p>
    <w:p w14:paraId="565E2BBA" w14:textId="77777777" w:rsidR="00C46587" w:rsidRPr="0058432E" w:rsidRDefault="005A4709" w:rsidP="00982118">
      <w:pPr>
        <w:rPr>
          <w:color w:val="000000" w:themeColor="text1"/>
        </w:rPr>
      </w:pPr>
      <w:r w:rsidRPr="0058432E">
        <w:rPr>
          <w:color w:val="000000" w:themeColor="text1"/>
        </w:rPr>
        <w:t xml:space="preserve">L’adalimumab n’a pas été étudié chez les patients présentant une insuffisance hépatique ou rénale. </w:t>
      </w:r>
    </w:p>
    <w:p w14:paraId="75C072EE" w14:textId="77777777" w:rsidR="00C46587" w:rsidRPr="0058432E" w:rsidRDefault="00C46587" w:rsidP="00982118">
      <w:pPr>
        <w:rPr>
          <w:color w:val="000000" w:themeColor="text1"/>
        </w:rPr>
      </w:pPr>
    </w:p>
    <w:p w14:paraId="73061808" w14:textId="77777777" w:rsidR="00C46587" w:rsidRPr="0058432E" w:rsidRDefault="00C46587" w:rsidP="00ED34EF">
      <w:pPr>
        <w:keepNext/>
        <w:tabs>
          <w:tab w:val="left" w:pos="562"/>
        </w:tabs>
        <w:rPr>
          <w:b/>
          <w:color w:val="000000" w:themeColor="text1"/>
        </w:rPr>
      </w:pPr>
      <w:r w:rsidRPr="0058432E">
        <w:rPr>
          <w:b/>
          <w:color w:val="000000" w:themeColor="text1"/>
        </w:rPr>
        <w:t>5.3</w:t>
      </w:r>
      <w:r w:rsidRPr="0058432E">
        <w:rPr>
          <w:b/>
          <w:color w:val="000000" w:themeColor="text1"/>
        </w:rPr>
        <w:tab/>
        <w:t xml:space="preserve">Données de sécurité préclinique </w:t>
      </w:r>
    </w:p>
    <w:p w14:paraId="4BD4E99C" w14:textId="77777777" w:rsidR="00C46587" w:rsidRPr="0058432E" w:rsidRDefault="00C46587" w:rsidP="00ED34EF">
      <w:pPr>
        <w:keepNext/>
        <w:rPr>
          <w:color w:val="000000" w:themeColor="text1"/>
        </w:rPr>
      </w:pPr>
    </w:p>
    <w:p w14:paraId="4212E581" w14:textId="77777777" w:rsidR="00C46587" w:rsidRPr="0058432E" w:rsidRDefault="00C46587" w:rsidP="00982118">
      <w:pPr>
        <w:rPr>
          <w:color w:val="000000" w:themeColor="text1"/>
        </w:rPr>
      </w:pPr>
      <w:r w:rsidRPr="0058432E">
        <w:rPr>
          <w:color w:val="000000" w:themeColor="text1"/>
        </w:rPr>
        <w:t xml:space="preserve">Les données non cliniques issues des études de toxicologie en administration unique, toxicologie en administration répétée et de génotoxicité, n’ont pas révélé de risque particulier pour l’homme. </w:t>
      </w:r>
    </w:p>
    <w:p w14:paraId="69FB6BEA" w14:textId="77777777" w:rsidR="00C46587" w:rsidRPr="0058432E" w:rsidRDefault="00C46587" w:rsidP="00982118">
      <w:pPr>
        <w:rPr>
          <w:color w:val="000000" w:themeColor="text1"/>
        </w:rPr>
      </w:pPr>
    </w:p>
    <w:p w14:paraId="6D67D8FB" w14:textId="77777777" w:rsidR="00C46587" w:rsidRPr="0058432E" w:rsidRDefault="00C46587" w:rsidP="00982118">
      <w:pPr>
        <w:rPr>
          <w:color w:val="000000" w:themeColor="text1"/>
        </w:rPr>
      </w:pPr>
      <w:r w:rsidRPr="0058432E">
        <w:rPr>
          <w:color w:val="000000" w:themeColor="text1"/>
        </w:rPr>
        <w:t>Une étude de toxicité portant sur le développement embryo</w:t>
      </w:r>
      <w:r w:rsidRPr="0058432E">
        <w:rPr>
          <w:color w:val="000000" w:themeColor="text1"/>
        </w:rPr>
        <w:noBreakHyphen/>
        <w:t>fœtal et le développement périnatal a été réalisée chez des singes cynomolgus à 0, 30 et 100 mg/kg (9</w:t>
      </w:r>
      <w:r w:rsidR="005746FF" w:rsidRPr="0058432E">
        <w:rPr>
          <w:color w:val="000000" w:themeColor="text1"/>
        </w:rPr>
        <w:t> – </w:t>
      </w:r>
      <w:r w:rsidRPr="0058432E">
        <w:rPr>
          <w:color w:val="000000" w:themeColor="text1"/>
        </w:rPr>
        <w:t>17 singes/groupe) ; elle n’a pas révélé de signe de fœto</w:t>
      </w:r>
      <w:r w:rsidRPr="0058432E">
        <w:rPr>
          <w:color w:val="000000" w:themeColor="text1"/>
        </w:rPr>
        <w:noBreakHyphen/>
        <w:t>toxicité de l’adalimumab. Ni une étude du pouvoir carcinogène, ni une évaluation standard sur la fertilité et la toxicité post</w:t>
      </w:r>
      <w:r w:rsidRPr="0058432E">
        <w:rPr>
          <w:color w:val="000000" w:themeColor="text1"/>
        </w:rPr>
        <w:noBreakHyphen/>
        <w:t xml:space="preserve">natale n’ont été effectuées avec l’adalimumab en raison du manque de modèles appropriés pour un anticorps présentant une réactivité croisée limitée avec le TNF de rongeur et du développement d’anticorps neutralisants chez le rongeur. </w:t>
      </w:r>
    </w:p>
    <w:p w14:paraId="43FC0161" w14:textId="77777777" w:rsidR="00C46587" w:rsidRPr="0058432E" w:rsidRDefault="00C46587" w:rsidP="00982118">
      <w:pPr>
        <w:rPr>
          <w:color w:val="000000" w:themeColor="text1"/>
        </w:rPr>
      </w:pPr>
    </w:p>
    <w:p w14:paraId="35CDCB2B" w14:textId="77777777" w:rsidR="00C46587" w:rsidRPr="0058432E" w:rsidRDefault="00C46587" w:rsidP="00982118">
      <w:pPr>
        <w:rPr>
          <w:color w:val="000000" w:themeColor="text1"/>
        </w:rPr>
      </w:pPr>
    </w:p>
    <w:p w14:paraId="32F7FDCC" w14:textId="77777777" w:rsidR="00C46587" w:rsidRPr="0058432E" w:rsidRDefault="00C46587" w:rsidP="00ED34EF">
      <w:pPr>
        <w:keepNext/>
        <w:tabs>
          <w:tab w:val="left" w:pos="562"/>
        </w:tabs>
        <w:rPr>
          <w:b/>
          <w:color w:val="000000" w:themeColor="text1"/>
        </w:rPr>
      </w:pPr>
      <w:r w:rsidRPr="0058432E">
        <w:rPr>
          <w:b/>
          <w:color w:val="000000" w:themeColor="text1"/>
        </w:rPr>
        <w:t>6.</w:t>
      </w:r>
      <w:r w:rsidRPr="0058432E">
        <w:rPr>
          <w:b/>
          <w:color w:val="000000" w:themeColor="text1"/>
        </w:rPr>
        <w:tab/>
        <w:t xml:space="preserve">DONNÉES PHARMACEUTIQUES </w:t>
      </w:r>
    </w:p>
    <w:p w14:paraId="6ED05864" w14:textId="77777777" w:rsidR="00C46587" w:rsidRPr="0058432E" w:rsidRDefault="00C46587" w:rsidP="00ED34EF">
      <w:pPr>
        <w:keepNext/>
        <w:rPr>
          <w:color w:val="000000" w:themeColor="text1"/>
        </w:rPr>
      </w:pPr>
    </w:p>
    <w:p w14:paraId="49DBFA00" w14:textId="77777777" w:rsidR="00C46587" w:rsidRPr="0058432E" w:rsidRDefault="00C46587" w:rsidP="00ED34EF">
      <w:pPr>
        <w:keepNext/>
        <w:tabs>
          <w:tab w:val="left" w:pos="562"/>
        </w:tabs>
        <w:rPr>
          <w:b/>
          <w:color w:val="000000" w:themeColor="text1"/>
        </w:rPr>
      </w:pPr>
      <w:r w:rsidRPr="0058432E">
        <w:rPr>
          <w:b/>
          <w:color w:val="000000" w:themeColor="text1"/>
        </w:rPr>
        <w:t>6.1</w:t>
      </w:r>
      <w:r w:rsidRPr="0058432E">
        <w:rPr>
          <w:b/>
          <w:color w:val="000000" w:themeColor="text1"/>
        </w:rPr>
        <w:tab/>
        <w:t xml:space="preserve">Liste des excipients </w:t>
      </w:r>
    </w:p>
    <w:p w14:paraId="1712ADA4" w14:textId="77777777" w:rsidR="00C46587" w:rsidRPr="0058432E" w:rsidRDefault="00C46587" w:rsidP="00ED34EF">
      <w:pPr>
        <w:keepNext/>
        <w:rPr>
          <w:color w:val="000000" w:themeColor="text1"/>
        </w:rPr>
      </w:pPr>
    </w:p>
    <w:p w14:paraId="429C25AC" w14:textId="77777777" w:rsidR="00443AC9" w:rsidRPr="0058432E" w:rsidRDefault="00443AC9" w:rsidP="00982118">
      <w:pPr>
        <w:rPr>
          <w:color w:val="000000" w:themeColor="text1"/>
        </w:rPr>
      </w:pPr>
      <w:r w:rsidRPr="0058432E">
        <w:rPr>
          <w:color w:val="000000" w:themeColor="text1"/>
        </w:rPr>
        <w:t>L-histidine</w:t>
      </w:r>
    </w:p>
    <w:p w14:paraId="7B5E210E" w14:textId="77777777" w:rsidR="00443AC9" w:rsidRPr="0058432E" w:rsidRDefault="00443AC9" w:rsidP="00982118">
      <w:pPr>
        <w:rPr>
          <w:color w:val="000000" w:themeColor="text1"/>
        </w:rPr>
      </w:pPr>
      <w:r w:rsidRPr="0058432E">
        <w:rPr>
          <w:color w:val="000000" w:themeColor="text1"/>
        </w:rPr>
        <w:t>Chlorhydrate de L-histidine monohydraté</w:t>
      </w:r>
    </w:p>
    <w:p w14:paraId="652713AA" w14:textId="77777777" w:rsidR="00443AC9" w:rsidRPr="0058432E" w:rsidRDefault="00443AC9" w:rsidP="00982118">
      <w:pPr>
        <w:rPr>
          <w:color w:val="000000" w:themeColor="text1"/>
        </w:rPr>
      </w:pPr>
      <w:r w:rsidRPr="0058432E">
        <w:rPr>
          <w:color w:val="000000" w:themeColor="text1"/>
        </w:rPr>
        <w:t>Saccharose</w:t>
      </w:r>
    </w:p>
    <w:p w14:paraId="272A4B15" w14:textId="77777777" w:rsidR="00443AC9" w:rsidRPr="0058432E" w:rsidRDefault="00443AC9" w:rsidP="00982118">
      <w:pPr>
        <w:rPr>
          <w:color w:val="000000" w:themeColor="text1"/>
        </w:rPr>
      </w:pPr>
      <w:r w:rsidRPr="0058432E">
        <w:rPr>
          <w:color w:val="000000" w:themeColor="text1"/>
        </w:rPr>
        <w:t xml:space="preserve">Édétate disodique dihydraté </w:t>
      </w:r>
    </w:p>
    <w:p w14:paraId="1C8F34CE" w14:textId="77777777" w:rsidR="00443AC9" w:rsidRPr="0058432E" w:rsidRDefault="00443AC9" w:rsidP="00982118">
      <w:pPr>
        <w:rPr>
          <w:color w:val="000000" w:themeColor="text1"/>
        </w:rPr>
      </w:pPr>
      <w:r w:rsidRPr="0058432E">
        <w:rPr>
          <w:color w:val="000000" w:themeColor="text1"/>
        </w:rPr>
        <w:t>L-méthionine</w:t>
      </w:r>
    </w:p>
    <w:p w14:paraId="3CE983F3" w14:textId="77777777" w:rsidR="00443AC9" w:rsidRPr="0058432E" w:rsidRDefault="00443AC9" w:rsidP="00982118">
      <w:pPr>
        <w:rPr>
          <w:color w:val="000000" w:themeColor="text1"/>
        </w:rPr>
      </w:pPr>
      <w:r w:rsidRPr="0058432E">
        <w:rPr>
          <w:color w:val="000000" w:themeColor="text1"/>
        </w:rPr>
        <w:t>Polysorbate 80</w:t>
      </w:r>
    </w:p>
    <w:p w14:paraId="6577D532" w14:textId="77777777" w:rsidR="00443AC9" w:rsidRPr="0058432E" w:rsidRDefault="00443AC9" w:rsidP="00982118">
      <w:pPr>
        <w:rPr>
          <w:color w:val="000000" w:themeColor="text1"/>
        </w:rPr>
      </w:pPr>
      <w:r w:rsidRPr="0058432E">
        <w:rPr>
          <w:color w:val="000000" w:themeColor="text1"/>
        </w:rPr>
        <w:t>Eau pour préparations injectables</w:t>
      </w:r>
    </w:p>
    <w:p w14:paraId="413AC9CA" w14:textId="77777777" w:rsidR="00C46587" w:rsidRPr="0058432E" w:rsidRDefault="00C46587" w:rsidP="00982118">
      <w:pPr>
        <w:rPr>
          <w:color w:val="000000" w:themeColor="text1"/>
        </w:rPr>
      </w:pPr>
    </w:p>
    <w:p w14:paraId="075C1012" w14:textId="77777777" w:rsidR="00C46587" w:rsidRPr="0058432E" w:rsidRDefault="00C46587" w:rsidP="00ED34EF">
      <w:pPr>
        <w:keepNext/>
        <w:tabs>
          <w:tab w:val="left" w:pos="562"/>
        </w:tabs>
        <w:rPr>
          <w:b/>
          <w:color w:val="000000" w:themeColor="text1"/>
        </w:rPr>
      </w:pPr>
      <w:r w:rsidRPr="0058432E">
        <w:rPr>
          <w:b/>
          <w:color w:val="000000" w:themeColor="text1"/>
        </w:rPr>
        <w:t>6.2</w:t>
      </w:r>
      <w:r w:rsidRPr="0058432E">
        <w:rPr>
          <w:b/>
          <w:color w:val="000000" w:themeColor="text1"/>
        </w:rPr>
        <w:tab/>
        <w:t xml:space="preserve">Incompatibilités </w:t>
      </w:r>
    </w:p>
    <w:p w14:paraId="71E1332A" w14:textId="77777777" w:rsidR="00C46587" w:rsidRPr="0058432E" w:rsidRDefault="00C46587" w:rsidP="00ED34EF">
      <w:pPr>
        <w:keepNext/>
        <w:rPr>
          <w:color w:val="000000" w:themeColor="text1"/>
        </w:rPr>
      </w:pPr>
    </w:p>
    <w:p w14:paraId="6774CE0A" w14:textId="77777777" w:rsidR="00C46587" w:rsidRPr="0058432E" w:rsidRDefault="00C46587" w:rsidP="00982118">
      <w:pPr>
        <w:rPr>
          <w:color w:val="000000" w:themeColor="text1"/>
        </w:rPr>
      </w:pPr>
      <w:r w:rsidRPr="0058432E">
        <w:rPr>
          <w:color w:val="000000" w:themeColor="text1"/>
        </w:rPr>
        <w:t xml:space="preserve">En l’absence d’études de compatibilité, ce médicament ne doit pas être mélangé avec d’autres médicaments. </w:t>
      </w:r>
    </w:p>
    <w:p w14:paraId="0711322C" w14:textId="77777777" w:rsidR="00C46587" w:rsidRPr="0058432E" w:rsidRDefault="00C46587" w:rsidP="00982118">
      <w:pPr>
        <w:rPr>
          <w:color w:val="000000" w:themeColor="text1"/>
        </w:rPr>
      </w:pPr>
    </w:p>
    <w:p w14:paraId="39BE81F9" w14:textId="77777777" w:rsidR="00C46587" w:rsidRPr="0058432E" w:rsidRDefault="00C46587" w:rsidP="00ED34EF">
      <w:pPr>
        <w:keepNext/>
        <w:tabs>
          <w:tab w:val="left" w:pos="562"/>
        </w:tabs>
        <w:rPr>
          <w:b/>
          <w:color w:val="000000" w:themeColor="text1"/>
        </w:rPr>
      </w:pPr>
      <w:r w:rsidRPr="0058432E">
        <w:rPr>
          <w:b/>
          <w:color w:val="000000" w:themeColor="text1"/>
        </w:rPr>
        <w:t>6.3</w:t>
      </w:r>
      <w:r w:rsidRPr="0058432E">
        <w:rPr>
          <w:b/>
          <w:color w:val="000000" w:themeColor="text1"/>
        </w:rPr>
        <w:tab/>
        <w:t xml:space="preserve">Durée de conservation </w:t>
      </w:r>
    </w:p>
    <w:p w14:paraId="5C8D0BF1" w14:textId="77777777" w:rsidR="00C46587" w:rsidRPr="0058432E" w:rsidRDefault="00C46587" w:rsidP="00ED34EF">
      <w:pPr>
        <w:keepNext/>
        <w:rPr>
          <w:color w:val="000000" w:themeColor="text1"/>
        </w:rPr>
      </w:pPr>
    </w:p>
    <w:p w14:paraId="2A0FF844" w14:textId="77777777" w:rsidR="00C46587" w:rsidRPr="0058432E" w:rsidRDefault="00443AC9" w:rsidP="00982118">
      <w:pPr>
        <w:rPr>
          <w:color w:val="000000" w:themeColor="text1"/>
        </w:rPr>
      </w:pPr>
      <w:r w:rsidRPr="0058432E">
        <w:rPr>
          <w:color w:val="000000" w:themeColor="text1"/>
        </w:rPr>
        <w:t xml:space="preserve">3 ans </w:t>
      </w:r>
    </w:p>
    <w:p w14:paraId="41B408C4" w14:textId="77777777" w:rsidR="00C46587" w:rsidRPr="0058432E" w:rsidRDefault="00C46587" w:rsidP="00982118">
      <w:pPr>
        <w:rPr>
          <w:color w:val="000000" w:themeColor="text1"/>
        </w:rPr>
      </w:pPr>
    </w:p>
    <w:p w14:paraId="32C12CA8" w14:textId="77777777" w:rsidR="00C46587" w:rsidRPr="0058432E" w:rsidRDefault="00C46587" w:rsidP="00982118">
      <w:pPr>
        <w:keepNext/>
        <w:tabs>
          <w:tab w:val="left" w:pos="562"/>
        </w:tabs>
        <w:rPr>
          <w:b/>
          <w:color w:val="000000" w:themeColor="text1"/>
        </w:rPr>
      </w:pPr>
      <w:r w:rsidRPr="0058432E">
        <w:rPr>
          <w:b/>
          <w:color w:val="000000" w:themeColor="text1"/>
        </w:rPr>
        <w:t>6.4</w:t>
      </w:r>
      <w:r w:rsidRPr="0058432E">
        <w:rPr>
          <w:b/>
          <w:color w:val="000000" w:themeColor="text1"/>
        </w:rPr>
        <w:tab/>
        <w:t xml:space="preserve">Précautions particulières de conservation </w:t>
      </w:r>
    </w:p>
    <w:p w14:paraId="37DB00A0" w14:textId="77777777" w:rsidR="00C46587" w:rsidRPr="0058432E" w:rsidRDefault="00C46587" w:rsidP="00982118">
      <w:pPr>
        <w:keepNext/>
        <w:rPr>
          <w:color w:val="000000" w:themeColor="text1"/>
        </w:rPr>
      </w:pPr>
    </w:p>
    <w:p w14:paraId="67B3BA90" w14:textId="77777777" w:rsidR="00C46587" w:rsidRPr="0058432E" w:rsidRDefault="00C46587" w:rsidP="00982118">
      <w:pPr>
        <w:rPr>
          <w:color w:val="000000" w:themeColor="text1"/>
        </w:rPr>
      </w:pPr>
      <w:r w:rsidRPr="0058432E">
        <w:rPr>
          <w:color w:val="000000" w:themeColor="text1"/>
        </w:rPr>
        <w:t xml:space="preserve">À conserver au réfrigérateur (entre 2 °C et 8 °C). Ne pas congeler. Conserver le flacon dans l’emballage extérieur à l’abri de la lumière. </w:t>
      </w:r>
    </w:p>
    <w:p w14:paraId="7509083E" w14:textId="77777777" w:rsidR="00C46587" w:rsidRPr="0058432E" w:rsidRDefault="00C46587" w:rsidP="00982118">
      <w:pPr>
        <w:rPr>
          <w:color w:val="000000" w:themeColor="text1"/>
        </w:rPr>
      </w:pPr>
    </w:p>
    <w:p w14:paraId="768E1BDF" w14:textId="77777777" w:rsidR="00945E10" w:rsidRPr="0058432E" w:rsidRDefault="00945E10" w:rsidP="00982118">
      <w:pPr>
        <w:pStyle w:val="BodyText"/>
        <w:widowControl/>
        <w:kinsoku w:val="0"/>
        <w:overflowPunct w:val="0"/>
        <w:ind w:left="0" w:right="244"/>
        <w:rPr>
          <w:color w:val="000000" w:themeColor="text1"/>
        </w:rPr>
      </w:pPr>
      <w:r w:rsidRPr="0058432E">
        <w:rPr>
          <w:color w:val="000000" w:themeColor="text1"/>
        </w:rPr>
        <w:t>Un flacon d’Amsparity peut être conservé à des températures allant jusqu’à 30 °C pendant 30 jours maximum, à l’abri de la lumière. Après cette période, le flacon doit être jeté.</w:t>
      </w:r>
    </w:p>
    <w:p w14:paraId="44D022D6" w14:textId="77777777" w:rsidR="00945E10" w:rsidRPr="0058432E" w:rsidRDefault="00945E10" w:rsidP="00982118">
      <w:pPr>
        <w:rPr>
          <w:color w:val="000000" w:themeColor="text1"/>
        </w:rPr>
      </w:pPr>
    </w:p>
    <w:p w14:paraId="7FD54A13" w14:textId="77777777" w:rsidR="00C46587" w:rsidRPr="0058432E" w:rsidRDefault="00C46587" w:rsidP="00ED34EF">
      <w:pPr>
        <w:keepNext/>
        <w:tabs>
          <w:tab w:val="left" w:pos="562"/>
        </w:tabs>
        <w:rPr>
          <w:b/>
          <w:color w:val="000000" w:themeColor="text1"/>
        </w:rPr>
      </w:pPr>
      <w:r w:rsidRPr="0058432E">
        <w:rPr>
          <w:b/>
          <w:color w:val="000000" w:themeColor="text1"/>
        </w:rPr>
        <w:t>6.5</w:t>
      </w:r>
      <w:r w:rsidRPr="0058432E">
        <w:rPr>
          <w:b/>
          <w:color w:val="000000" w:themeColor="text1"/>
        </w:rPr>
        <w:tab/>
        <w:t xml:space="preserve">Nature et contenu de l’emballage extérieur </w:t>
      </w:r>
    </w:p>
    <w:p w14:paraId="3487AF0B" w14:textId="77777777" w:rsidR="00C46587" w:rsidRPr="0058432E" w:rsidRDefault="00C46587" w:rsidP="00ED34EF">
      <w:pPr>
        <w:keepNext/>
        <w:rPr>
          <w:color w:val="000000" w:themeColor="text1"/>
        </w:rPr>
      </w:pPr>
    </w:p>
    <w:p w14:paraId="54530173" w14:textId="77777777" w:rsidR="00C46587" w:rsidRPr="0058432E" w:rsidRDefault="006A1144" w:rsidP="00982118">
      <w:pPr>
        <w:rPr>
          <w:color w:val="000000" w:themeColor="text1"/>
        </w:rPr>
      </w:pPr>
      <w:r w:rsidRPr="0058432E">
        <w:rPr>
          <w:color w:val="000000" w:themeColor="text1"/>
        </w:rPr>
        <w:t xml:space="preserve">Amsparity 40 mg, solution injectable en flacon à usage unique (verre de type I) muni d’un bouchon (caoutchouc) avec un sertissage en aluminium et scellé par une capsule de type flip-off. </w:t>
      </w:r>
    </w:p>
    <w:p w14:paraId="0F6B8B6C" w14:textId="77777777" w:rsidR="00C46587" w:rsidRPr="0058432E" w:rsidRDefault="00C46587" w:rsidP="00982118">
      <w:pPr>
        <w:rPr>
          <w:color w:val="000000" w:themeColor="text1"/>
        </w:rPr>
      </w:pPr>
    </w:p>
    <w:p w14:paraId="2BD05E44" w14:textId="77777777" w:rsidR="00C46587" w:rsidRPr="0058432E" w:rsidRDefault="00C46587" w:rsidP="00982118">
      <w:pPr>
        <w:rPr>
          <w:color w:val="000000" w:themeColor="text1"/>
        </w:rPr>
      </w:pPr>
      <w:r w:rsidRPr="0058432E">
        <w:rPr>
          <w:color w:val="000000" w:themeColor="text1"/>
        </w:rPr>
        <w:t xml:space="preserve">1 étui avec 2 boîtes contenant chacune : </w:t>
      </w:r>
    </w:p>
    <w:p w14:paraId="73BD1ABC" w14:textId="77777777" w:rsidR="00C46587" w:rsidRPr="0058432E" w:rsidRDefault="00C46587" w:rsidP="00982118">
      <w:pPr>
        <w:rPr>
          <w:color w:val="000000" w:themeColor="text1"/>
        </w:rPr>
      </w:pPr>
      <w:r w:rsidRPr="0058432E">
        <w:rPr>
          <w:color w:val="000000" w:themeColor="text1"/>
        </w:rPr>
        <w:t xml:space="preserve">1 flacon (0,8 ml de solution stérile), 1 seringue stérile pour injection, 1 aiguille, 1 adaptateur pour flacon et 2 tampons d’alcool. </w:t>
      </w:r>
    </w:p>
    <w:p w14:paraId="38B79BCD" w14:textId="77777777" w:rsidR="00C46587" w:rsidRPr="0058432E" w:rsidRDefault="00C46587" w:rsidP="00982118">
      <w:pPr>
        <w:rPr>
          <w:color w:val="000000" w:themeColor="text1"/>
        </w:rPr>
      </w:pPr>
    </w:p>
    <w:p w14:paraId="76E0EAE6" w14:textId="77777777" w:rsidR="00C46587" w:rsidRPr="0058432E" w:rsidRDefault="00C46587" w:rsidP="00ED34EF">
      <w:pPr>
        <w:keepNext/>
        <w:tabs>
          <w:tab w:val="left" w:pos="562"/>
        </w:tabs>
        <w:rPr>
          <w:b/>
          <w:color w:val="000000" w:themeColor="text1"/>
        </w:rPr>
      </w:pPr>
      <w:r w:rsidRPr="0058432E">
        <w:rPr>
          <w:b/>
          <w:color w:val="000000" w:themeColor="text1"/>
        </w:rPr>
        <w:t>6.6</w:t>
      </w:r>
      <w:r w:rsidRPr="0058432E">
        <w:rPr>
          <w:b/>
          <w:color w:val="000000" w:themeColor="text1"/>
        </w:rPr>
        <w:tab/>
        <w:t xml:space="preserve">Précautions particulières d’élimination </w:t>
      </w:r>
    </w:p>
    <w:p w14:paraId="2DA07B2F" w14:textId="77777777" w:rsidR="00C46587" w:rsidRPr="0058432E" w:rsidRDefault="00C46587" w:rsidP="00ED34EF">
      <w:pPr>
        <w:keepNext/>
        <w:rPr>
          <w:color w:val="000000" w:themeColor="text1"/>
        </w:rPr>
      </w:pPr>
    </w:p>
    <w:p w14:paraId="00A276D8" w14:textId="77777777" w:rsidR="00C46587" w:rsidRPr="0058432E" w:rsidRDefault="00C46587" w:rsidP="00982118">
      <w:pPr>
        <w:rPr>
          <w:color w:val="000000" w:themeColor="text1"/>
        </w:rPr>
      </w:pPr>
      <w:r w:rsidRPr="0058432E">
        <w:rPr>
          <w:color w:val="000000" w:themeColor="text1"/>
        </w:rPr>
        <w:t xml:space="preserve">Tout médicament non utilisé ou déchet doit être éliminé conformément à la réglementation en vigueur. </w:t>
      </w:r>
    </w:p>
    <w:p w14:paraId="73B5FBDB" w14:textId="77777777" w:rsidR="00C46587" w:rsidRPr="0058432E" w:rsidRDefault="00C46587" w:rsidP="00982118">
      <w:pPr>
        <w:rPr>
          <w:color w:val="000000" w:themeColor="text1"/>
        </w:rPr>
      </w:pPr>
    </w:p>
    <w:p w14:paraId="278BF407" w14:textId="77777777" w:rsidR="00C46587" w:rsidRPr="0058432E" w:rsidRDefault="00C46587" w:rsidP="00982118">
      <w:pPr>
        <w:rPr>
          <w:color w:val="000000" w:themeColor="text1"/>
        </w:rPr>
      </w:pPr>
    </w:p>
    <w:p w14:paraId="3F1D6C1D" w14:textId="77777777" w:rsidR="00C46587" w:rsidRPr="0058432E" w:rsidRDefault="00C46587" w:rsidP="00ED34EF">
      <w:pPr>
        <w:keepNext/>
        <w:tabs>
          <w:tab w:val="left" w:pos="562"/>
        </w:tabs>
        <w:rPr>
          <w:b/>
          <w:color w:val="000000" w:themeColor="text1"/>
        </w:rPr>
      </w:pPr>
      <w:r w:rsidRPr="0058432E">
        <w:rPr>
          <w:b/>
          <w:color w:val="000000" w:themeColor="text1"/>
        </w:rPr>
        <w:t>7.</w:t>
      </w:r>
      <w:r w:rsidRPr="0058432E">
        <w:rPr>
          <w:b/>
          <w:color w:val="000000" w:themeColor="text1"/>
        </w:rPr>
        <w:tab/>
        <w:t xml:space="preserve">TITULAIRE DE L’AUTORISATION DE MISE SUR LE MARCHÉ </w:t>
      </w:r>
    </w:p>
    <w:p w14:paraId="66C95785" w14:textId="77777777" w:rsidR="00C46587" w:rsidRPr="0058432E" w:rsidRDefault="00C46587" w:rsidP="00ED34EF">
      <w:pPr>
        <w:keepNext/>
        <w:rPr>
          <w:color w:val="000000" w:themeColor="text1"/>
        </w:rPr>
      </w:pPr>
    </w:p>
    <w:p w14:paraId="552F71FE" w14:textId="77777777" w:rsidR="00792CD9" w:rsidRPr="0058432E" w:rsidRDefault="00792CD9" w:rsidP="00ED34EF">
      <w:pPr>
        <w:pStyle w:val="Default"/>
        <w:keepNext/>
        <w:widowControl/>
        <w:autoSpaceDE/>
        <w:autoSpaceDN/>
        <w:adjustRightInd/>
        <w:rPr>
          <w:color w:val="000000" w:themeColor="text1"/>
          <w:sz w:val="22"/>
          <w:szCs w:val="22"/>
        </w:rPr>
      </w:pPr>
      <w:r w:rsidRPr="0058432E">
        <w:rPr>
          <w:color w:val="000000" w:themeColor="text1"/>
          <w:sz w:val="22"/>
          <w:szCs w:val="22"/>
        </w:rPr>
        <w:t>Pfizer Europe MA EEIG</w:t>
      </w:r>
    </w:p>
    <w:p w14:paraId="1834ED99" w14:textId="77777777" w:rsidR="004F6641" w:rsidRPr="0058432E" w:rsidRDefault="004F6641" w:rsidP="00ED34EF">
      <w:pPr>
        <w:pStyle w:val="BodyText"/>
        <w:keepNext/>
        <w:widowControl/>
        <w:ind w:left="0"/>
        <w:rPr>
          <w:color w:val="000000" w:themeColor="text1"/>
        </w:rPr>
      </w:pPr>
      <w:r w:rsidRPr="0058432E">
        <w:rPr>
          <w:color w:val="000000" w:themeColor="text1"/>
        </w:rPr>
        <w:t>Boulevard de la Plaine 17</w:t>
      </w:r>
    </w:p>
    <w:p w14:paraId="418BD5A2" w14:textId="77777777" w:rsidR="004F6641" w:rsidRPr="0058432E" w:rsidRDefault="004F6641" w:rsidP="00ED34EF">
      <w:pPr>
        <w:pStyle w:val="BodyText"/>
        <w:keepNext/>
        <w:widowControl/>
        <w:ind w:left="0"/>
        <w:rPr>
          <w:color w:val="000000" w:themeColor="text1"/>
        </w:rPr>
      </w:pPr>
      <w:r w:rsidRPr="0058432E">
        <w:rPr>
          <w:color w:val="000000" w:themeColor="text1"/>
        </w:rPr>
        <w:t>1050 Bruxelles</w:t>
      </w:r>
    </w:p>
    <w:p w14:paraId="2C8F7388" w14:textId="77777777" w:rsidR="004F6641" w:rsidRPr="0058432E" w:rsidRDefault="004F6641" w:rsidP="00982118">
      <w:pPr>
        <w:pStyle w:val="BodyText"/>
        <w:widowControl/>
        <w:kinsoku w:val="0"/>
        <w:overflowPunct w:val="0"/>
        <w:ind w:left="0"/>
        <w:rPr>
          <w:color w:val="000000" w:themeColor="text1"/>
        </w:rPr>
      </w:pPr>
      <w:r w:rsidRPr="0058432E">
        <w:rPr>
          <w:color w:val="000000" w:themeColor="text1"/>
        </w:rPr>
        <w:t>Belgique</w:t>
      </w:r>
    </w:p>
    <w:p w14:paraId="164FED6B" w14:textId="77777777" w:rsidR="00C46587" w:rsidRPr="0058432E" w:rsidRDefault="00C46587" w:rsidP="00982118">
      <w:pPr>
        <w:rPr>
          <w:color w:val="000000" w:themeColor="text1"/>
        </w:rPr>
      </w:pPr>
    </w:p>
    <w:p w14:paraId="1353E084" w14:textId="77777777" w:rsidR="00C46587" w:rsidRPr="0058432E" w:rsidRDefault="00C46587" w:rsidP="00982118">
      <w:pPr>
        <w:rPr>
          <w:color w:val="000000" w:themeColor="text1"/>
        </w:rPr>
      </w:pPr>
    </w:p>
    <w:p w14:paraId="13D8D5BD" w14:textId="77777777" w:rsidR="00C46587" w:rsidRPr="0058432E" w:rsidRDefault="00C46587" w:rsidP="00ED34EF">
      <w:pPr>
        <w:keepNext/>
        <w:tabs>
          <w:tab w:val="left" w:pos="562"/>
        </w:tabs>
        <w:rPr>
          <w:b/>
          <w:color w:val="000000" w:themeColor="text1"/>
        </w:rPr>
      </w:pPr>
      <w:r w:rsidRPr="0058432E">
        <w:rPr>
          <w:b/>
          <w:color w:val="000000" w:themeColor="text1"/>
        </w:rPr>
        <w:t>8.</w:t>
      </w:r>
      <w:r w:rsidRPr="0058432E">
        <w:rPr>
          <w:b/>
          <w:color w:val="000000" w:themeColor="text1"/>
        </w:rPr>
        <w:tab/>
        <w:t xml:space="preserve">NUMÉRO D’AUTORISATION DE MISE SUR LE MARCHÉ </w:t>
      </w:r>
    </w:p>
    <w:p w14:paraId="008C6677" w14:textId="77777777" w:rsidR="00C46587" w:rsidRPr="0058432E" w:rsidRDefault="00C46587" w:rsidP="00ED34EF">
      <w:pPr>
        <w:keepNext/>
        <w:rPr>
          <w:color w:val="000000" w:themeColor="text1"/>
        </w:rPr>
      </w:pPr>
    </w:p>
    <w:p w14:paraId="25439C8D" w14:textId="77777777" w:rsidR="00C46587" w:rsidRPr="0058432E" w:rsidRDefault="00E3672A" w:rsidP="00982118">
      <w:pPr>
        <w:rPr>
          <w:color w:val="000000" w:themeColor="text1"/>
        </w:rPr>
      </w:pPr>
      <w:r w:rsidRPr="0058432E">
        <w:rPr>
          <w:color w:val="000000" w:themeColor="text1"/>
        </w:rPr>
        <w:t>EU/1/19/1415/002</w:t>
      </w:r>
    </w:p>
    <w:p w14:paraId="2DD9A557" w14:textId="77777777" w:rsidR="00DA16F6" w:rsidRPr="0058432E" w:rsidRDefault="00DA16F6" w:rsidP="00982118">
      <w:pPr>
        <w:rPr>
          <w:color w:val="000000" w:themeColor="text1"/>
        </w:rPr>
      </w:pPr>
    </w:p>
    <w:p w14:paraId="11A8D0F7" w14:textId="77777777" w:rsidR="006B001C" w:rsidRPr="0058432E" w:rsidRDefault="006B001C" w:rsidP="00982118">
      <w:pPr>
        <w:rPr>
          <w:color w:val="000000" w:themeColor="text1"/>
        </w:rPr>
      </w:pPr>
    </w:p>
    <w:p w14:paraId="1465411A" w14:textId="77777777" w:rsidR="00C46587" w:rsidRPr="0058432E" w:rsidRDefault="00C46587" w:rsidP="00B51A46">
      <w:pPr>
        <w:keepNext/>
        <w:tabs>
          <w:tab w:val="left" w:pos="562"/>
        </w:tabs>
        <w:ind w:left="567" w:hanging="567"/>
        <w:rPr>
          <w:b/>
          <w:color w:val="000000" w:themeColor="text1"/>
        </w:rPr>
      </w:pPr>
      <w:r w:rsidRPr="0058432E">
        <w:rPr>
          <w:b/>
          <w:color w:val="000000" w:themeColor="text1"/>
        </w:rPr>
        <w:t>9.</w:t>
      </w:r>
      <w:r w:rsidRPr="0058432E">
        <w:rPr>
          <w:b/>
          <w:color w:val="000000" w:themeColor="text1"/>
        </w:rPr>
        <w:tab/>
        <w:t xml:space="preserve">DATE DE PREMIÈRE AUTORISATION/DE RENOUVELLEMENT DE L’AUTORISATION </w:t>
      </w:r>
    </w:p>
    <w:p w14:paraId="0B7F4878" w14:textId="77777777" w:rsidR="00C46587" w:rsidRPr="0058432E" w:rsidRDefault="00C46587" w:rsidP="00ED34EF">
      <w:pPr>
        <w:keepNext/>
        <w:rPr>
          <w:color w:val="000000" w:themeColor="text1"/>
        </w:rPr>
      </w:pPr>
    </w:p>
    <w:p w14:paraId="2D0BE066" w14:textId="77777777" w:rsidR="00732F67" w:rsidRPr="0058432E" w:rsidRDefault="00732F67" w:rsidP="00982118">
      <w:pPr>
        <w:rPr>
          <w:color w:val="000000" w:themeColor="text1"/>
        </w:rPr>
      </w:pPr>
      <w:r w:rsidRPr="0058432E">
        <w:rPr>
          <w:color w:val="000000" w:themeColor="text1"/>
        </w:rPr>
        <w:t xml:space="preserve">Date de première autorisation : </w:t>
      </w:r>
      <w:r w:rsidR="00CD6E04" w:rsidRPr="0058432E">
        <w:rPr>
          <w:color w:val="000000" w:themeColor="text1"/>
        </w:rPr>
        <w:t>13 février 2020</w:t>
      </w:r>
    </w:p>
    <w:p w14:paraId="43A97A98" w14:textId="0662F74E" w:rsidR="001471FD" w:rsidRPr="0058432E" w:rsidRDefault="001471FD" w:rsidP="00982118">
      <w:pPr>
        <w:rPr>
          <w:i/>
          <w:color w:val="000000" w:themeColor="text1"/>
        </w:rPr>
      </w:pPr>
      <w:r w:rsidRPr="0058432E">
        <w:rPr>
          <w:color w:val="000000" w:themeColor="text1"/>
        </w:rPr>
        <w:t xml:space="preserve">Date du dernier renouvellement : </w:t>
      </w:r>
      <w:r w:rsidR="00C50EAF" w:rsidRPr="0058432E">
        <w:rPr>
          <w:color w:val="000000" w:themeColor="text1"/>
        </w:rPr>
        <w:t>19 septembre 2024</w:t>
      </w:r>
    </w:p>
    <w:p w14:paraId="3BAC7F1C" w14:textId="77777777" w:rsidR="00732F67" w:rsidRPr="0058432E" w:rsidRDefault="00732F67" w:rsidP="00982118">
      <w:pPr>
        <w:rPr>
          <w:color w:val="000000" w:themeColor="text1"/>
        </w:rPr>
      </w:pPr>
    </w:p>
    <w:p w14:paraId="63953364" w14:textId="77777777" w:rsidR="00C46587" w:rsidRPr="0058432E" w:rsidRDefault="00C46587" w:rsidP="00982118">
      <w:pPr>
        <w:rPr>
          <w:color w:val="000000" w:themeColor="text1"/>
        </w:rPr>
      </w:pPr>
    </w:p>
    <w:p w14:paraId="6DE18028" w14:textId="77777777" w:rsidR="00C46587" w:rsidRPr="0058432E" w:rsidRDefault="00C46587" w:rsidP="00ED34EF">
      <w:pPr>
        <w:keepNext/>
        <w:tabs>
          <w:tab w:val="left" w:pos="562"/>
        </w:tabs>
        <w:rPr>
          <w:b/>
          <w:color w:val="000000" w:themeColor="text1"/>
        </w:rPr>
      </w:pPr>
      <w:r w:rsidRPr="0058432E">
        <w:rPr>
          <w:b/>
          <w:color w:val="000000" w:themeColor="text1"/>
        </w:rPr>
        <w:t>10.</w:t>
      </w:r>
      <w:r w:rsidRPr="0058432E">
        <w:rPr>
          <w:b/>
          <w:color w:val="000000" w:themeColor="text1"/>
        </w:rPr>
        <w:tab/>
        <w:t xml:space="preserve">DATE DE MISE À JOUR DU TEXTE </w:t>
      </w:r>
    </w:p>
    <w:p w14:paraId="7EFE6FE5" w14:textId="77777777" w:rsidR="00C46587" w:rsidRPr="0058432E" w:rsidRDefault="00C46587" w:rsidP="00ED34EF">
      <w:pPr>
        <w:keepNext/>
        <w:rPr>
          <w:color w:val="000000" w:themeColor="text1"/>
        </w:rPr>
      </w:pPr>
    </w:p>
    <w:p w14:paraId="02179DA7" w14:textId="1B6A8300" w:rsidR="00C13BE3" w:rsidRPr="0058432E" w:rsidRDefault="00C46587" w:rsidP="00982118">
      <w:pPr>
        <w:rPr>
          <w:color w:val="000000" w:themeColor="text1"/>
        </w:rPr>
      </w:pPr>
      <w:r w:rsidRPr="0058432E">
        <w:rPr>
          <w:color w:val="000000" w:themeColor="text1"/>
        </w:rPr>
        <w:t xml:space="preserve">Des informations détaillées sur ce médicament sont disponibles sur le site internet de l’Agence européenne des médicaments </w:t>
      </w:r>
      <w:hyperlink r:id="rId17" w:history="1">
        <w:r w:rsidR="000A6168" w:rsidRPr="0058432E">
          <w:rPr>
            <w:rStyle w:val="Hyperlink"/>
          </w:rPr>
          <w:t>https://www.ema.europa.eu</w:t>
        </w:r>
      </w:hyperlink>
      <w:r w:rsidRPr="0058432E">
        <w:rPr>
          <w:color w:val="000000" w:themeColor="text1"/>
        </w:rPr>
        <w:t xml:space="preserve">. </w:t>
      </w:r>
    </w:p>
    <w:p w14:paraId="5F07D413" w14:textId="46490287" w:rsidR="00C46587" w:rsidRPr="0058432E" w:rsidRDefault="00C46587" w:rsidP="00982118">
      <w:pPr>
        <w:rPr>
          <w:color w:val="000000" w:themeColor="text1"/>
        </w:rPr>
      </w:pPr>
      <w:r w:rsidRPr="0058432E">
        <w:rPr>
          <w:color w:val="000000" w:themeColor="text1"/>
        </w:rPr>
        <w:br w:type="page"/>
      </w:r>
      <w:bookmarkStart w:id="4" w:name="_Hlk22290874"/>
    </w:p>
    <w:p w14:paraId="42193972" w14:textId="77777777" w:rsidR="00C46587" w:rsidRPr="0058432E" w:rsidRDefault="00C46587" w:rsidP="00982118">
      <w:pPr>
        <w:keepNext/>
        <w:tabs>
          <w:tab w:val="left" w:pos="562"/>
        </w:tabs>
        <w:rPr>
          <w:b/>
          <w:color w:val="000000" w:themeColor="text1"/>
        </w:rPr>
      </w:pPr>
      <w:r w:rsidRPr="0058432E">
        <w:rPr>
          <w:b/>
          <w:color w:val="000000" w:themeColor="text1"/>
        </w:rPr>
        <w:lastRenderedPageBreak/>
        <w:t xml:space="preserve">1. </w:t>
      </w:r>
      <w:r w:rsidRPr="0058432E">
        <w:rPr>
          <w:b/>
          <w:color w:val="000000" w:themeColor="text1"/>
        </w:rPr>
        <w:tab/>
        <w:t xml:space="preserve">DÉNOMINATION DU MÉDICAMENT </w:t>
      </w:r>
    </w:p>
    <w:p w14:paraId="5CBDA0BB" w14:textId="77777777" w:rsidR="00C46587" w:rsidRPr="0058432E" w:rsidRDefault="00C46587" w:rsidP="00ED34EF">
      <w:pPr>
        <w:keepNext/>
        <w:rPr>
          <w:color w:val="000000" w:themeColor="text1"/>
        </w:rPr>
      </w:pPr>
    </w:p>
    <w:p w14:paraId="71CC095C" w14:textId="77777777" w:rsidR="00C46587" w:rsidRPr="0058432E" w:rsidRDefault="006A1144" w:rsidP="00982118">
      <w:pPr>
        <w:rPr>
          <w:color w:val="000000" w:themeColor="text1"/>
        </w:rPr>
      </w:pPr>
      <w:r w:rsidRPr="0058432E">
        <w:rPr>
          <w:color w:val="000000" w:themeColor="text1"/>
        </w:rPr>
        <w:t xml:space="preserve">Amsparity 40 mg, solution injectable en seringue préremplie </w:t>
      </w:r>
    </w:p>
    <w:p w14:paraId="3B90100C" w14:textId="77777777" w:rsidR="00C46587" w:rsidRPr="0058432E" w:rsidRDefault="006A1144" w:rsidP="00982118">
      <w:pPr>
        <w:rPr>
          <w:color w:val="000000" w:themeColor="text1"/>
        </w:rPr>
      </w:pPr>
      <w:r w:rsidRPr="0058432E">
        <w:rPr>
          <w:color w:val="000000" w:themeColor="text1"/>
        </w:rPr>
        <w:t xml:space="preserve">Amsparity 40 mg, solution injectable en stylo prérempli </w:t>
      </w:r>
    </w:p>
    <w:p w14:paraId="20C47F7E" w14:textId="77777777" w:rsidR="00C46587" w:rsidRPr="0058432E" w:rsidRDefault="00C46587" w:rsidP="00982118">
      <w:pPr>
        <w:rPr>
          <w:color w:val="000000" w:themeColor="text1"/>
        </w:rPr>
      </w:pPr>
    </w:p>
    <w:p w14:paraId="2D5BC42A" w14:textId="77777777" w:rsidR="00C46587" w:rsidRPr="0058432E" w:rsidRDefault="00C46587" w:rsidP="00982118">
      <w:pPr>
        <w:rPr>
          <w:color w:val="000000" w:themeColor="text1"/>
        </w:rPr>
      </w:pPr>
    </w:p>
    <w:p w14:paraId="34814C5C" w14:textId="77777777" w:rsidR="00C46587" w:rsidRPr="0058432E" w:rsidRDefault="00C46587" w:rsidP="00982118">
      <w:pPr>
        <w:keepNext/>
        <w:tabs>
          <w:tab w:val="left" w:pos="562"/>
        </w:tabs>
        <w:rPr>
          <w:b/>
          <w:color w:val="000000" w:themeColor="text1"/>
        </w:rPr>
      </w:pPr>
      <w:r w:rsidRPr="0058432E">
        <w:rPr>
          <w:b/>
          <w:color w:val="000000" w:themeColor="text1"/>
        </w:rPr>
        <w:t xml:space="preserve">2. </w:t>
      </w:r>
      <w:r w:rsidRPr="0058432E">
        <w:rPr>
          <w:b/>
          <w:color w:val="000000" w:themeColor="text1"/>
        </w:rPr>
        <w:tab/>
        <w:t xml:space="preserve">COMPOSITION QUALITATIVE ET QUANTITATIVE </w:t>
      </w:r>
    </w:p>
    <w:p w14:paraId="5F5B3BBD" w14:textId="77777777" w:rsidR="00C46587" w:rsidRPr="0058432E" w:rsidRDefault="00C46587" w:rsidP="00ED34EF">
      <w:pPr>
        <w:keepNext/>
        <w:rPr>
          <w:color w:val="000000" w:themeColor="text1"/>
        </w:rPr>
      </w:pPr>
    </w:p>
    <w:p w14:paraId="4A0FA517" w14:textId="77777777" w:rsidR="00C46587" w:rsidRPr="0058432E" w:rsidRDefault="006A1144" w:rsidP="00ED34EF">
      <w:pPr>
        <w:keepNext/>
        <w:rPr>
          <w:color w:val="000000" w:themeColor="text1"/>
          <w:u w:val="single"/>
        </w:rPr>
      </w:pPr>
      <w:r w:rsidRPr="0058432E">
        <w:rPr>
          <w:color w:val="000000" w:themeColor="text1"/>
          <w:u w:val="single"/>
        </w:rPr>
        <w:t xml:space="preserve">Amsparity 40 mg, solution injectable en seringue préremplie </w:t>
      </w:r>
    </w:p>
    <w:p w14:paraId="553D3E9E" w14:textId="77777777" w:rsidR="00566288" w:rsidRPr="0058432E" w:rsidRDefault="00566288" w:rsidP="00ED34EF">
      <w:pPr>
        <w:keepNext/>
        <w:rPr>
          <w:color w:val="000000" w:themeColor="text1"/>
        </w:rPr>
      </w:pPr>
    </w:p>
    <w:p w14:paraId="29981661" w14:textId="77777777" w:rsidR="00C46587" w:rsidRPr="0058432E" w:rsidRDefault="00C46587" w:rsidP="00982118">
      <w:pPr>
        <w:rPr>
          <w:color w:val="000000" w:themeColor="text1"/>
        </w:rPr>
      </w:pPr>
      <w:r w:rsidRPr="0058432E">
        <w:rPr>
          <w:color w:val="000000" w:themeColor="text1"/>
        </w:rPr>
        <w:t xml:space="preserve">Une </w:t>
      </w:r>
      <w:r w:rsidR="00953253" w:rsidRPr="0058432E">
        <w:rPr>
          <w:color w:val="000000" w:themeColor="text1"/>
        </w:rPr>
        <w:t xml:space="preserve">seringue préremplie unidose </w:t>
      </w:r>
      <w:r w:rsidRPr="0058432E">
        <w:rPr>
          <w:color w:val="000000" w:themeColor="text1"/>
        </w:rPr>
        <w:t xml:space="preserve">de 0,8 ml contient 40 mg d’adalimumab. </w:t>
      </w:r>
    </w:p>
    <w:p w14:paraId="4A9F5F0E" w14:textId="77777777" w:rsidR="00C46587" w:rsidRPr="0058432E" w:rsidRDefault="00C46587" w:rsidP="00982118">
      <w:pPr>
        <w:rPr>
          <w:color w:val="000000" w:themeColor="text1"/>
        </w:rPr>
      </w:pPr>
    </w:p>
    <w:p w14:paraId="5F0E716D" w14:textId="77777777" w:rsidR="00C46587" w:rsidRPr="0058432E" w:rsidRDefault="006A1144" w:rsidP="00ED34EF">
      <w:pPr>
        <w:keepNext/>
        <w:rPr>
          <w:color w:val="000000" w:themeColor="text1"/>
          <w:u w:val="single"/>
        </w:rPr>
      </w:pPr>
      <w:r w:rsidRPr="0058432E">
        <w:rPr>
          <w:color w:val="000000" w:themeColor="text1"/>
          <w:u w:val="single"/>
        </w:rPr>
        <w:t xml:space="preserve">Amsparity 40 mg, solution injectable en stylo prérempli </w:t>
      </w:r>
    </w:p>
    <w:p w14:paraId="48225E87" w14:textId="77777777" w:rsidR="00566288" w:rsidRPr="0058432E" w:rsidRDefault="00566288" w:rsidP="00ED34EF">
      <w:pPr>
        <w:keepNext/>
        <w:rPr>
          <w:color w:val="000000" w:themeColor="text1"/>
        </w:rPr>
      </w:pPr>
    </w:p>
    <w:p w14:paraId="69914B84" w14:textId="77777777" w:rsidR="00C46587" w:rsidRPr="0058432E" w:rsidRDefault="00C46587" w:rsidP="00982118">
      <w:pPr>
        <w:rPr>
          <w:color w:val="000000" w:themeColor="text1"/>
        </w:rPr>
      </w:pPr>
      <w:r w:rsidRPr="0058432E">
        <w:rPr>
          <w:color w:val="000000" w:themeColor="text1"/>
        </w:rPr>
        <w:t xml:space="preserve">Un stylo prérempli unidose de 0,8 ml contient 40 mg d’adalimumab. </w:t>
      </w:r>
    </w:p>
    <w:p w14:paraId="060AE511" w14:textId="77777777" w:rsidR="00C46587" w:rsidRPr="0058432E" w:rsidRDefault="00C46587" w:rsidP="00982118">
      <w:pPr>
        <w:rPr>
          <w:color w:val="000000" w:themeColor="text1"/>
        </w:rPr>
      </w:pPr>
    </w:p>
    <w:p w14:paraId="6B02760B" w14:textId="77777777" w:rsidR="00C46587" w:rsidRPr="0058432E" w:rsidRDefault="00C46587" w:rsidP="00982118">
      <w:pPr>
        <w:rPr>
          <w:color w:val="000000" w:themeColor="text1"/>
        </w:rPr>
      </w:pPr>
      <w:r w:rsidRPr="0058432E">
        <w:rPr>
          <w:color w:val="000000" w:themeColor="text1"/>
        </w:rPr>
        <w:t xml:space="preserve">L’adalimumab est un anticorps monoclonal humain recombinant produit dans des cellules ovariennes de hamster chinois. </w:t>
      </w:r>
    </w:p>
    <w:p w14:paraId="58777F07" w14:textId="77777777" w:rsidR="00C46587" w:rsidRPr="0058432E" w:rsidRDefault="00C46587" w:rsidP="00982118">
      <w:pPr>
        <w:rPr>
          <w:color w:val="000000" w:themeColor="text1"/>
        </w:rPr>
      </w:pPr>
    </w:p>
    <w:p w14:paraId="1CCAEEAF" w14:textId="3A91846C" w:rsidR="00C50EAF" w:rsidRPr="0058432E" w:rsidRDefault="00C50EAF" w:rsidP="00C50EAF">
      <w:pPr>
        <w:rPr>
          <w:color w:val="000000" w:themeColor="text1"/>
          <w:u w:val="single"/>
        </w:rPr>
      </w:pPr>
      <w:r w:rsidRPr="0058432E">
        <w:rPr>
          <w:color w:val="000000" w:themeColor="text1"/>
          <w:u w:val="single"/>
        </w:rPr>
        <w:t>Excipient</w:t>
      </w:r>
      <w:r w:rsidR="00403BB8" w:rsidRPr="0058432E">
        <w:rPr>
          <w:color w:val="000000" w:themeColor="text1"/>
          <w:u w:val="single"/>
        </w:rPr>
        <w:t>s</w:t>
      </w:r>
      <w:r w:rsidRPr="0058432E">
        <w:rPr>
          <w:color w:val="000000" w:themeColor="text1"/>
          <w:u w:val="single"/>
        </w:rPr>
        <w:t xml:space="preserve"> à effet notoire</w:t>
      </w:r>
      <w:r w:rsidR="00403BB8" w:rsidRPr="0058432E">
        <w:rPr>
          <w:color w:val="000000" w:themeColor="text1"/>
          <w:u w:val="single"/>
        </w:rPr>
        <w:t> :</w:t>
      </w:r>
      <w:r w:rsidRPr="0058432E">
        <w:rPr>
          <w:color w:val="000000" w:themeColor="text1"/>
          <w:u w:val="single"/>
        </w:rPr>
        <w:br/>
      </w:r>
    </w:p>
    <w:p w14:paraId="508175EB" w14:textId="28506383" w:rsidR="00C50EAF" w:rsidRPr="0058432E" w:rsidRDefault="00C50EAF" w:rsidP="00C50EAF">
      <w:pPr>
        <w:rPr>
          <w:color w:val="000000" w:themeColor="text1"/>
        </w:rPr>
      </w:pPr>
      <w:r w:rsidRPr="0058432E">
        <w:rPr>
          <w:color w:val="000000" w:themeColor="text1"/>
        </w:rPr>
        <w:t xml:space="preserve">Amsparity 40 mg, solution injectable contient 0,16 mg de polysorbate 80 </w:t>
      </w:r>
      <w:r w:rsidR="00403BB8" w:rsidRPr="0058432E">
        <w:rPr>
          <w:color w:val="000000" w:themeColor="text1"/>
        </w:rPr>
        <w:t>par</w:t>
      </w:r>
      <w:r w:rsidRPr="0058432E">
        <w:rPr>
          <w:color w:val="000000" w:themeColor="text1"/>
        </w:rPr>
        <w:t xml:space="preserve"> seringue préremplie unidose et </w:t>
      </w:r>
      <w:r w:rsidR="00403BB8" w:rsidRPr="0058432E">
        <w:rPr>
          <w:color w:val="000000" w:themeColor="text1"/>
        </w:rPr>
        <w:t xml:space="preserve">par </w:t>
      </w:r>
      <w:r w:rsidRPr="0058432E">
        <w:rPr>
          <w:color w:val="000000" w:themeColor="text1"/>
        </w:rPr>
        <w:t>stylo prérempli unidose de 0,8 ml, équiva</w:t>
      </w:r>
      <w:r w:rsidR="00403BB8" w:rsidRPr="0058432E">
        <w:rPr>
          <w:color w:val="000000" w:themeColor="text1"/>
        </w:rPr>
        <w:t>lant</w:t>
      </w:r>
      <w:r w:rsidRPr="0058432E">
        <w:rPr>
          <w:color w:val="000000" w:themeColor="text1"/>
        </w:rPr>
        <w:t xml:space="preserve"> à 0,2 mg/ml de polysorbate 80.</w:t>
      </w:r>
    </w:p>
    <w:p w14:paraId="79426450" w14:textId="77777777" w:rsidR="00C50EAF" w:rsidRPr="0058432E" w:rsidRDefault="00C50EAF" w:rsidP="00982118">
      <w:pPr>
        <w:rPr>
          <w:color w:val="000000" w:themeColor="text1"/>
        </w:rPr>
      </w:pPr>
    </w:p>
    <w:p w14:paraId="7B511345" w14:textId="66983BFE" w:rsidR="00C46587" w:rsidRPr="0058432E" w:rsidRDefault="00C46587" w:rsidP="00982118">
      <w:pPr>
        <w:rPr>
          <w:color w:val="000000" w:themeColor="text1"/>
        </w:rPr>
      </w:pPr>
      <w:r w:rsidRPr="0058432E">
        <w:rPr>
          <w:color w:val="000000" w:themeColor="text1"/>
        </w:rPr>
        <w:t xml:space="preserve">Pour la liste complète des excipients, voir rubrique 6.1. </w:t>
      </w:r>
    </w:p>
    <w:p w14:paraId="705D3533" w14:textId="77777777" w:rsidR="00C46587" w:rsidRPr="0058432E" w:rsidRDefault="00C46587" w:rsidP="00982118">
      <w:pPr>
        <w:rPr>
          <w:color w:val="000000" w:themeColor="text1"/>
        </w:rPr>
      </w:pPr>
    </w:p>
    <w:p w14:paraId="42CEDE89" w14:textId="77777777" w:rsidR="00C46587" w:rsidRPr="0058432E" w:rsidRDefault="00C46587" w:rsidP="00982118">
      <w:pPr>
        <w:rPr>
          <w:color w:val="000000" w:themeColor="text1"/>
        </w:rPr>
      </w:pPr>
    </w:p>
    <w:p w14:paraId="153C1519" w14:textId="77777777" w:rsidR="00C46587" w:rsidRPr="0058432E" w:rsidRDefault="00C46587" w:rsidP="00982118">
      <w:pPr>
        <w:keepNext/>
        <w:tabs>
          <w:tab w:val="left" w:pos="562"/>
        </w:tabs>
        <w:rPr>
          <w:b/>
          <w:color w:val="000000" w:themeColor="text1"/>
        </w:rPr>
      </w:pPr>
      <w:r w:rsidRPr="0058432E">
        <w:rPr>
          <w:b/>
          <w:color w:val="000000" w:themeColor="text1"/>
        </w:rPr>
        <w:t xml:space="preserve">3. </w:t>
      </w:r>
      <w:r w:rsidRPr="0058432E">
        <w:rPr>
          <w:b/>
          <w:color w:val="000000" w:themeColor="text1"/>
        </w:rPr>
        <w:tab/>
        <w:t xml:space="preserve">FORME PHARMACEUTIQUE </w:t>
      </w:r>
    </w:p>
    <w:p w14:paraId="3D022611" w14:textId="77777777" w:rsidR="00C46587" w:rsidRPr="0058432E" w:rsidRDefault="00C46587" w:rsidP="00982118">
      <w:pPr>
        <w:rPr>
          <w:color w:val="000000" w:themeColor="text1"/>
        </w:rPr>
      </w:pPr>
    </w:p>
    <w:p w14:paraId="167B26AE" w14:textId="77777777" w:rsidR="00C46587" w:rsidRPr="0058432E" w:rsidRDefault="00C46587" w:rsidP="00982118">
      <w:pPr>
        <w:rPr>
          <w:color w:val="000000" w:themeColor="text1"/>
        </w:rPr>
      </w:pPr>
      <w:r w:rsidRPr="0058432E">
        <w:rPr>
          <w:color w:val="000000" w:themeColor="text1"/>
        </w:rPr>
        <w:t>Solution injectable. (</w:t>
      </w:r>
      <w:proofErr w:type="gramStart"/>
      <w:r w:rsidRPr="0058432E">
        <w:rPr>
          <w:color w:val="000000" w:themeColor="text1"/>
        </w:rPr>
        <w:t>injection</w:t>
      </w:r>
      <w:proofErr w:type="gramEnd"/>
      <w:r w:rsidRPr="0058432E">
        <w:rPr>
          <w:color w:val="000000" w:themeColor="text1"/>
        </w:rPr>
        <w:t>)</w:t>
      </w:r>
    </w:p>
    <w:p w14:paraId="0D87A626" w14:textId="77777777" w:rsidR="00C46587" w:rsidRPr="0058432E" w:rsidRDefault="00C46587" w:rsidP="00982118">
      <w:pPr>
        <w:rPr>
          <w:color w:val="000000" w:themeColor="text1"/>
        </w:rPr>
      </w:pPr>
    </w:p>
    <w:p w14:paraId="27FDB77A" w14:textId="77777777" w:rsidR="00C46587" w:rsidRPr="0058432E" w:rsidRDefault="00C46587" w:rsidP="00982118">
      <w:pPr>
        <w:rPr>
          <w:color w:val="000000" w:themeColor="text1"/>
        </w:rPr>
      </w:pPr>
      <w:r w:rsidRPr="0058432E">
        <w:rPr>
          <w:color w:val="000000" w:themeColor="text1"/>
        </w:rPr>
        <w:t xml:space="preserve">Solution limpide, incolore à brun très clair. </w:t>
      </w:r>
    </w:p>
    <w:p w14:paraId="4B749B96" w14:textId="77777777" w:rsidR="00C46587" w:rsidRPr="0058432E" w:rsidRDefault="00C46587" w:rsidP="00982118">
      <w:pPr>
        <w:rPr>
          <w:color w:val="000000" w:themeColor="text1"/>
        </w:rPr>
      </w:pPr>
    </w:p>
    <w:p w14:paraId="5381A248" w14:textId="77777777" w:rsidR="00C46587" w:rsidRPr="0058432E" w:rsidRDefault="00C46587" w:rsidP="00982118">
      <w:pPr>
        <w:rPr>
          <w:color w:val="000000" w:themeColor="text1"/>
        </w:rPr>
      </w:pPr>
    </w:p>
    <w:p w14:paraId="2F3B875D" w14:textId="77777777" w:rsidR="00C46587" w:rsidRPr="0058432E" w:rsidRDefault="00C46587" w:rsidP="00ED34EF">
      <w:pPr>
        <w:keepNext/>
        <w:tabs>
          <w:tab w:val="left" w:pos="562"/>
        </w:tabs>
        <w:rPr>
          <w:b/>
          <w:color w:val="000000" w:themeColor="text1"/>
        </w:rPr>
      </w:pPr>
      <w:r w:rsidRPr="0058432E">
        <w:rPr>
          <w:b/>
          <w:color w:val="000000" w:themeColor="text1"/>
        </w:rPr>
        <w:t xml:space="preserve">4. </w:t>
      </w:r>
      <w:r w:rsidRPr="0058432E">
        <w:rPr>
          <w:b/>
          <w:color w:val="000000" w:themeColor="text1"/>
        </w:rPr>
        <w:tab/>
        <w:t xml:space="preserve">INFORMATIONS CLINIQUES </w:t>
      </w:r>
    </w:p>
    <w:p w14:paraId="19C4C125" w14:textId="77777777" w:rsidR="00C46587" w:rsidRPr="0058432E" w:rsidRDefault="00C46587" w:rsidP="00ED34EF">
      <w:pPr>
        <w:keepNext/>
        <w:rPr>
          <w:color w:val="000000" w:themeColor="text1"/>
        </w:rPr>
      </w:pPr>
    </w:p>
    <w:p w14:paraId="2C32716C" w14:textId="77777777" w:rsidR="00C46587" w:rsidRPr="0058432E" w:rsidRDefault="00C46587" w:rsidP="00ED34EF">
      <w:pPr>
        <w:keepNext/>
        <w:tabs>
          <w:tab w:val="left" w:pos="562"/>
        </w:tabs>
        <w:rPr>
          <w:b/>
          <w:color w:val="000000" w:themeColor="text1"/>
        </w:rPr>
      </w:pPr>
      <w:r w:rsidRPr="0058432E">
        <w:rPr>
          <w:b/>
          <w:color w:val="000000" w:themeColor="text1"/>
        </w:rPr>
        <w:t>4.1</w:t>
      </w:r>
      <w:r w:rsidRPr="0058432E">
        <w:rPr>
          <w:b/>
          <w:color w:val="000000" w:themeColor="text1"/>
        </w:rPr>
        <w:tab/>
        <w:t xml:space="preserve">Indications thérapeutiques </w:t>
      </w:r>
    </w:p>
    <w:p w14:paraId="263612EE" w14:textId="77777777" w:rsidR="00C46587" w:rsidRPr="0058432E" w:rsidRDefault="00C46587" w:rsidP="00ED34EF">
      <w:pPr>
        <w:keepNext/>
        <w:rPr>
          <w:color w:val="000000" w:themeColor="text1"/>
        </w:rPr>
      </w:pPr>
    </w:p>
    <w:p w14:paraId="0380EE03" w14:textId="77777777" w:rsidR="00C46587" w:rsidRPr="0058432E" w:rsidRDefault="00C46587" w:rsidP="00ED34EF">
      <w:pPr>
        <w:keepNext/>
        <w:rPr>
          <w:color w:val="000000" w:themeColor="text1"/>
          <w:u w:val="single"/>
        </w:rPr>
      </w:pPr>
      <w:r w:rsidRPr="0058432E">
        <w:rPr>
          <w:color w:val="000000" w:themeColor="text1"/>
          <w:u w:val="single"/>
        </w:rPr>
        <w:t xml:space="preserve">Polyarthrite rhumatoïde </w:t>
      </w:r>
    </w:p>
    <w:p w14:paraId="04378963" w14:textId="77777777" w:rsidR="00C46587" w:rsidRPr="0058432E" w:rsidRDefault="00C46587" w:rsidP="00ED34EF">
      <w:pPr>
        <w:keepNext/>
        <w:rPr>
          <w:color w:val="000000" w:themeColor="text1"/>
        </w:rPr>
      </w:pPr>
    </w:p>
    <w:p w14:paraId="619E5974" w14:textId="77777777" w:rsidR="00C46587" w:rsidRPr="0058432E" w:rsidRDefault="006A1144" w:rsidP="00982118">
      <w:pPr>
        <w:rPr>
          <w:color w:val="000000" w:themeColor="text1"/>
        </w:rPr>
      </w:pPr>
      <w:r w:rsidRPr="0058432E">
        <w:rPr>
          <w:color w:val="000000" w:themeColor="text1"/>
        </w:rPr>
        <w:t xml:space="preserve">Amsparity en association au méthotrexate est indiqué pour : </w:t>
      </w:r>
    </w:p>
    <w:p w14:paraId="12DAA3B7" w14:textId="77777777" w:rsidR="00C46587" w:rsidRPr="0058432E" w:rsidRDefault="00C46587" w:rsidP="00982118">
      <w:pPr>
        <w:rPr>
          <w:color w:val="000000" w:themeColor="text1"/>
        </w:rPr>
      </w:pPr>
    </w:p>
    <w:p w14:paraId="68C75E86" w14:textId="77777777" w:rsidR="00C46587" w:rsidRPr="0058432E" w:rsidRDefault="00C46587" w:rsidP="007C4B2C">
      <w:pPr>
        <w:numPr>
          <w:ilvl w:val="0"/>
          <w:numId w:val="61"/>
        </w:numPr>
        <w:ind w:left="360"/>
        <w:rPr>
          <w:color w:val="000000" w:themeColor="text1"/>
        </w:rPr>
      </w:pPr>
      <w:proofErr w:type="gramStart"/>
      <w:r w:rsidRPr="0058432E">
        <w:rPr>
          <w:color w:val="000000" w:themeColor="text1"/>
        </w:rPr>
        <w:t>le</w:t>
      </w:r>
      <w:proofErr w:type="gramEnd"/>
      <w:r w:rsidRPr="0058432E">
        <w:rPr>
          <w:color w:val="000000" w:themeColor="text1"/>
        </w:rPr>
        <w:t xml:space="preserve"> traitement de la polyarthrite rhumatoïde modér</w:t>
      </w:r>
      <w:r w:rsidR="008D243B" w:rsidRPr="0058432E">
        <w:rPr>
          <w:color w:val="000000" w:themeColor="text1"/>
        </w:rPr>
        <w:t>é</w:t>
      </w:r>
      <w:r w:rsidRPr="0058432E">
        <w:rPr>
          <w:color w:val="000000" w:themeColor="text1"/>
        </w:rPr>
        <w:t xml:space="preserve"> à sévère</w:t>
      </w:r>
      <w:r w:rsidR="008D243B" w:rsidRPr="0058432E">
        <w:rPr>
          <w:color w:val="000000" w:themeColor="text1"/>
        </w:rPr>
        <w:t>,</w:t>
      </w:r>
      <w:r w:rsidRPr="0058432E">
        <w:rPr>
          <w:color w:val="000000" w:themeColor="text1"/>
        </w:rPr>
        <w:t xml:space="preserve"> active </w:t>
      </w:r>
      <w:r w:rsidR="00E01200" w:rsidRPr="0058432E">
        <w:rPr>
          <w:color w:val="000000" w:themeColor="text1"/>
        </w:rPr>
        <w:t>chez les patients adultes</w:t>
      </w:r>
      <w:r w:rsidRPr="0058432E">
        <w:rPr>
          <w:color w:val="000000" w:themeColor="text1"/>
        </w:rPr>
        <w:t xml:space="preserve"> lorsque la réponse aux traitements de fond</w:t>
      </w:r>
      <w:r w:rsidR="008A656A" w:rsidRPr="0058432E">
        <w:rPr>
          <w:color w:val="000000" w:themeColor="text1"/>
        </w:rPr>
        <w:t xml:space="preserve"> antirhumatismaux</w:t>
      </w:r>
      <w:r w:rsidRPr="0058432E">
        <w:rPr>
          <w:color w:val="000000" w:themeColor="text1"/>
        </w:rPr>
        <w:t xml:space="preserve">, y compris le méthotrexate, est inadéquate. </w:t>
      </w:r>
    </w:p>
    <w:p w14:paraId="4382199D" w14:textId="77777777" w:rsidR="00C46587" w:rsidRPr="0058432E" w:rsidRDefault="00C46587" w:rsidP="007C4B2C">
      <w:pPr>
        <w:numPr>
          <w:ilvl w:val="0"/>
          <w:numId w:val="61"/>
        </w:numPr>
        <w:ind w:left="360"/>
        <w:rPr>
          <w:color w:val="000000" w:themeColor="text1"/>
        </w:rPr>
      </w:pPr>
      <w:proofErr w:type="gramStart"/>
      <w:r w:rsidRPr="0058432E">
        <w:rPr>
          <w:color w:val="000000" w:themeColor="text1"/>
        </w:rPr>
        <w:t>le</w:t>
      </w:r>
      <w:proofErr w:type="gramEnd"/>
      <w:r w:rsidRPr="0058432E">
        <w:rPr>
          <w:color w:val="000000" w:themeColor="text1"/>
        </w:rPr>
        <w:t xml:space="preserve"> traitement de la polyarthrite rhumatoïde sévère, active et évolutive chez les adultes non précédemment traités par le méthotrexate. </w:t>
      </w:r>
    </w:p>
    <w:p w14:paraId="711D7B31" w14:textId="77777777" w:rsidR="00C46587" w:rsidRPr="0058432E" w:rsidRDefault="00C46587" w:rsidP="00982118">
      <w:pPr>
        <w:rPr>
          <w:color w:val="000000" w:themeColor="text1"/>
        </w:rPr>
      </w:pPr>
    </w:p>
    <w:p w14:paraId="130BFADE" w14:textId="77777777" w:rsidR="00C46587" w:rsidRPr="0058432E" w:rsidRDefault="006A1144" w:rsidP="00982118">
      <w:pPr>
        <w:rPr>
          <w:color w:val="000000" w:themeColor="text1"/>
        </w:rPr>
      </w:pPr>
      <w:r w:rsidRPr="0058432E">
        <w:rPr>
          <w:color w:val="000000" w:themeColor="text1"/>
        </w:rPr>
        <w:t xml:space="preserve">Amsparity peut être donné en monothérapie en cas d’intolérance au méthotrexate ou lorsque la poursuite du traitement </w:t>
      </w:r>
      <w:r w:rsidR="00E01200" w:rsidRPr="0058432E">
        <w:rPr>
          <w:color w:val="000000" w:themeColor="text1"/>
        </w:rPr>
        <w:t>par</w:t>
      </w:r>
      <w:r w:rsidRPr="0058432E">
        <w:rPr>
          <w:color w:val="000000" w:themeColor="text1"/>
        </w:rPr>
        <w:t xml:space="preserve"> méthotrexate est inadaptée. </w:t>
      </w:r>
    </w:p>
    <w:p w14:paraId="4DA3D80F" w14:textId="77777777" w:rsidR="00C46587" w:rsidRPr="0058432E" w:rsidRDefault="00C46587" w:rsidP="00982118">
      <w:pPr>
        <w:rPr>
          <w:color w:val="000000" w:themeColor="text1"/>
        </w:rPr>
      </w:pPr>
    </w:p>
    <w:p w14:paraId="21A4A73F" w14:textId="77777777" w:rsidR="00C46587" w:rsidRPr="0058432E" w:rsidRDefault="001A02E3" w:rsidP="00982118">
      <w:pPr>
        <w:rPr>
          <w:color w:val="000000" w:themeColor="text1"/>
        </w:rPr>
      </w:pPr>
      <w:r w:rsidRPr="0058432E">
        <w:rPr>
          <w:color w:val="000000" w:themeColor="text1"/>
        </w:rPr>
        <w:t xml:space="preserve">Il a été </w:t>
      </w:r>
      <w:r w:rsidR="00E01200" w:rsidRPr="0058432E">
        <w:rPr>
          <w:color w:val="000000" w:themeColor="text1"/>
        </w:rPr>
        <w:t>dé</w:t>
      </w:r>
      <w:r w:rsidRPr="0058432E">
        <w:rPr>
          <w:color w:val="000000" w:themeColor="text1"/>
        </w:rPr>
        <w:t xml:space="preserve">montré qu’Amsparity ralentit la progression des dommages articulaires mesurés par radiographie et améliore les capacités fonctionnelles lorsqu’il est administré en association au méthotrexate. </w:t>
      </w:r>
    </w:p>
    <w:p w14:paraId="44B0CFAA" w14:textId="77777777" w:rsidR="00C46587" w:rsidRPr="0058432E" w:rsidRDefault="00C46587" w:rsidP="00982118">
      <w:pPr>
        <w:rPr>
          <w:color w:val="000000" w:themeColor="text1"/>
        </w:rPr>
      </w:pPr>
    </w:p>
    <w:p w14:paraId="4E1B73F0" w14:textId="77777777" w:rsidR="00C46587" w:rsidRPr="0058432E" w:rsidRDefault="00566288" w:rsidP="00ED34EF">
      <w:pPr>
        <w:keepNext/>
        <w:rPr>
          <w:color w:val="000000" w:themeColor="text1"/>
          <w:u w:val="single"/>
        </w:rPr>
      </w:pPr>
      <w:r w:rsidRPr="0058432E">
        <w:rPr>
          <w:color w:val="000000" w:themeColor="text1"/>
          <w:u w:val="single"/>
        </w:rPr>
        <w:lastRenderedPageBreak/>
        <w:t>Arthrite juvénile idiopathique</w:t>
      </w:r>
    </w:p>
    <w:p w14:paraId="0E3BAD76" w14:textId="77777777" w:rsidR="00C46587" w:rsidRPr="0058432E" w:rsidRDefault="00C46587" w:rsidP="00ED34EF">
      <w:pPr>
        <w:keepNext/>
        <w:rPr>
          <w:color w:val="000000" w:themeColor="text1"/>
        </w:rPr>
      </w:pPr>
    </w:p>
    <w:p w14:paraId="227A313B" w14:textId="77777777" w:rsidR="00C46587" w:rsidRPr="0058432E" w:rsidRDefault="00C46587" w:rsidP="00ED34EF">
      <w:pPr>
        <w:keepNext/>
        <w:rPr>
          <w:i/>
          <w:color w:val="000000" w:themeColor="text1"/>
        </w:rPr>
      </w:pPr>
      <w:r w:rsidRPr="0058432E">
        <w:rPr>
          <w:i/>
          <w:color w:val="000000" w:themeColor="text1"/>
        </w:rPr>
        <w:t xml:space="preserve">Arthrite juvénile idiopathique polyarticulaire </w:t>
      </w:r>
    </w:p>
    <w:p w14:paraId="44BF621A" w14:textId="77777777" w:rsidR="00C46587" w:rsidRPr="0058432E" w:rsidRDefault="00C46587" w:rsidP="00ED34EF">
      <w:pPr>
        <w:keepNext/>
        <w:rPr>
          <w:color w:val="000000" w:themeColor="text1"/>
        </w:rPr>
      </w:pPr>
    </w:p>
    <w:p w14:paraId="7D2345BA" w14:textId="77777777" w:rsidR="00C46587" w:rsidRPr="0058432E" w:rsidRDefault="006A1144" w:rsidP="00982118">
      <w:pPr>
        <w:rPr>
          <w:color w:val="000000" w:themeColor="text1"/>
        </w:rPr>
      </w:pPr>
      <w:r w:rsidRPr="0058432E">
        <w:rPr>
          <w:color w:val="000000" w:themeColor="text1"/>
        </w:rPr>
        <w:t xml:space="preserve">Amsparity en association au méthotrexate est indiqué pour le traitement de l’arthrite juvénile idiopathique polyarticulaire </w:t>
      </w:r>
      <w:r w:rsidR="00B31284" w:rsidRPr="0058432E">
        <w:rPr>
          <w:color w:val="000000" w:themeColor="text1"/>
        </w:rPr>
        <w:t xml:space="preserve">active </w:t>
      </w:r>
      <w:r w:rsidRPr="0058432E">
        <w:rPr>
          <w:color w:val="000000" w:themeColor="text1"/>
        </w:rPr>
        <w:t xml:space="preserve">chez les patients à partir de 2 ans en cas de réponse insuffisante à un ou plusieurs </w:t>
      </w:r>
      <w:r w:rsidR="004613ED" w:rsidRPr="0058432E">
        <w:rPr>
          <w:color w:val="000000" w:themeColor="text1"/>
        </w:rPr>
        <w:t xml:space="preserve">traitements de fond antirhumatismaux (DMARDs : </w:t>
      </w:r>
      <w:r w:rsidR="004613ED" w:rsidRPr="0058432E">
        <w:rPr>
          <w:i/>
          <w:color w:val="000000" w:themeColor="text1"/>
        </w:rPr>
        <w:t>Disease-Modifying Antirheumatic Drugs</w:t>
      </w:r>
      <w:r w:rsidR="004613ED" w:rsidRPr="0058432E">
        <w:rPr>
          <w:color w:val="000000" w:themeColor="text1"/>
        </w:rPr>
        <w:t>)</w:t>
      </w:r>
      <w:r w:rsidRPr="0058432E">
        <w:rPr>
          <w:color w:val="000000" w:themeColor="text1"/>
        </w:rPr>
        <w:t>. Amsparity peut être administré en monothérapie en cas d’intolérance au méthotrexate ou lorsque la poursuite du traitement par le méthotrexate est inadaptée (pour l’efficacité en monothérapie</w:t>
      </w:r>
      <w:r w:rsidR="008A656A" w:rsidRPr="0058432E">
        <w:rPr>
          <w:color w:val="000000" w:themeColor="text1"/>
        </w:rPr>
        <w:t xml:space="preserve"> </w:t>
      </w:r>
      <w:proofErr w:type="gramStart"/>
      <w:r w:rsidRPr="0058432E">
        <w:rPr>
          <w:color w:val="000000" w:themeColor="text1"/>
        </w:rPr>
        <w:t>voir</w:t>
      </w:r>
      <w:proofErr w:type="gramEnd"/>
      <w:r w:rsidRPr="0058432E">
        <w:rPr>
          <w:color w:val="000000" w:themeColor="text1"/>
        </w:rPr>
        <w:t xml:space="preserve"> rubrique 5.1). L’adalimumab n’a pas été étudié chez les patients de moins de 2 ans. </w:t>
      </w:r>
    </w:p>
    <w:p w14:paraId="4D36D8F2" w14:textId="77777777" w:rsidR="00C46587" w:rsidRPr="0058432E" w:rsidRDefault="00C46587" w:rsidP="00982118">
      <w:pPr>
        <w:rPr>
          <w:color w:val="000000" w:themeColor="text1"/>
        </w:rPr>
      </w:pPr>
    </w:p>
    <w:p w14:paraId="4C2D96CD" w14:textId="77777777" w:rsidR="00C46587" w:rsidRPr="0058432E" w:rsidRDefault="00C46587" w:rsidP="00982118">
      <w:pPr>
        <w:keepNext/>
        <w:rPr>
          <w:i/>
          <w:color w:val="000000" w:themeColor="text1"/>
        </w:rPr>
      </w:pPr>
      <w:r w:rsidRPr="0058432E">
        <w:rPr>
          <w:i/>
          <w:color w:val="000000" w:themeColor="text1"/>
        </w:rPr>
        <w:t xml:space="preserve">Arthrite liée à l’enthésite </w:t>
      </w:r>
    </w:p>
    <w:p w14:paraId="0BFF1CFA" w14:textId="77777777" w:rsidR="00C46587" w:rsidRPr="0058432E" w:rsidRDefault="00C46587" w:rsidP="00ED34EF">
      <w:pPr>
        <w:keepNext/>
        <w:rPr>
          <w:color w:val="000000" w:themeColor="text1"/>
        </w:rPr>
      </w:pPr>
    </w:p>
    <w:p w14:paraId="550768E1" w14:textId="77777777" w:rsidR="00C46587" w:rsidRPr="0058432E" w:rsidRDefault="006A1144" w:rsidP="00982118">
      <w:pPr>
        <w:rPr>
          <w:color w:val="000000" w:themeColor="text1"/>
        </w:rPr>
      </w:pPr>
      <w:r w:rsidRPr="0058432E">
        <w:rPr>
          <w:color w:val="000000" w:themeColor="text1"/>
        </w:rPr>
        <w:t xml:space="preserve">Amsparity est indiqué pour le traitement de l’arthrite active liée à l’enthésite chez les patients à partir de 6 ans en cas de réponse insuffisante ou d’intolérance au traitement conventionnel (voir rubrique 5.1). </w:t>
      </w:r>
    </w:p>
    <w:p w14:paraId="184F5336" w14:textId="77777777" w:rsidR="00C46587" w:rsidRPr="0058432E" w:rsidRDefault="00C46587" w:rsidP="00982118">
      <w:pPr>
        <w:rPr>
          <w:color w:val="000000" w:themeColor="text1"/>
        </w:rPr>
      </w:pPr>
    </w:p>
    <w:p w14:paraId="3637FF6E" w14:textId="77777777" w:rsidR="00C46587" w:rsidRPr="0058432E" w:rsidRDefault="00C46587" w:rsidP="00ED34EF">
      <w:pPr>
        <w:keepNext/>
        <w:rPr>
          <w:color w:val="000000" w:themeColor="text1"/>
          <w:u w:val="single"/>
        </w:rPr>
      </w:pPr>
      <w:r w:rsidRPr="0058432E">
        <w:rPr>
          <w:color w:val="000000" w:themeColor="text1"/>
          <w:u w:val="single"/>
        </w:rPr>
        <w:t>Spondyl</w:t>
      </w:r>
      <w:r w:rsidR="00B412CF" w:rsidRPr="0058432E">
        <w:rPr>
          <w:color w:val="000000" w:themeColor="text1"/>
          <w:u w:val="single"/>
        </w:rPr>
        <w:t>o</w:t>
      </w:r>
      <w:r w:rsidRPr="0058432E">
        <w:rPr>
          <w:color w:val="000000" w:themeColor="text1"/>
          <w:u w:val="single"/>
        </w:rPr>
        <w:t xml:space="preserve">arthrite axiale </w:t>
      </w:r>
    </w:p>
    <w:p w14:paraId="1D4EFD5F" w14:textId="77777777" w:rsidR="00C46587" w:rsidRPr="0058432E" w:rsidRDefault="00C46587" w:rsidP="00ED34EF">
      <w:pPr>
        <w:keepNext/>
        <w:rPr>
          <w:color w:val="000000" w:themeColor="text1"/>
        </w:rPr>
      </w:pPr>
    </w:p>
    <w:p w14:paraId="7A5AFA41" w14:textId="77777777" w:rsidR="00C46587" w:rsidRPr="0058432E" w:rsidRDefault="00C46587" w:rsidP="00ED34EF">
      <w:pPr>
        <w:keepNext/>
        <w:rPr>
          <w:i/>
          <w:color w:val="000000" w:themeColor="text1"/>
        </w:rPr>
      </w:pPr>
      <w:r w:rsidRPr="0058432E">
        <w:rPr>
          <w:i/>
          <w:color w:val="000000" w:themeColor="text1"/>
        </w:rPr>
        <w:t xml:space="preserve">Spondylarthrite ankylosante (SA) </w:t>
      </w:r>
    </w:p>
    <w:p w14:paraId="0F3F7A2A" w14:textId="77777777" w:rsidR="00C46587" w:rsidRPr="0058432E" w:rsidRDefault="00C46587" w:rsidP="00ED34EF">
      <w:pPr>
        <w:keepNext/>
        <w:rPr>
          <w:color w:val="000000" w:themeColor="text1"/>
        </w:rPr>
      </w:pPr>
    </w:p>
    <w:p w14:paraId="113E5C20" w14:textId="77777777" w:rsidR="00C46587" w:rsidRPr="0058432E" w:rsidRDefault="006A1144" w:rsidP="00982118">
      <w:pPr>
        <w:rPr>
          <w:color w:val="000000" w:themeColor="text1"/>
        </w:rPr>
      </w:pPr>
      <w:r w:rsidRPr="0058432E">
        <w:rPr>
          <w:color w:val="000000" w:themeColor="text1"/>
        </w:rPr>
        <w:t xml:space="preserve">Amsparity est indiqué pour le traitement de la spondylarthrite ankylosante sévère et active chez </w:t>
      </w:r>
      <w:r w:rsidR="009C0B47" w:rsidRPr="0058432E">
        <w:rPr>
          <w:color w:val="000000" w:themeColor="text1"/>
        </w:rPr>
        <w:t xml:space="preserve">les adultes </w:t>
      </w:r>
      <w:r w:rsidRPr="0058432E">
        <w:rPr>
          <w:color w:val="000000" w:themeColor="text1"/>
        </w:rPr>
        <w:t xml:space="preserve">ayant eu une réponse inadéquate au traitement conventionnel. </w:t>
      </w:r>
    </w:p>
    <w:p w14:paraId="2060FA50" w14:textId="77777777" w:rsidR="00C46587" w:rsidRPr="0058432E" w:rsidRDefault="00C46587" w:rsidP="00982118">
      <w:pPr>
        <w:rPr>
          <w:color w:val="000000" w:themeColor="text1"/>
        </w:rPr>
      </w:pPr>
    </w:p>
    <w:p w14:paraId="436F9BDD" w14:textId="77777777" w:rsidR="00C46587" w:rsidRPr="0058432E" w:rsidRDefault="00C46587" w:rsidP="00ED34EF">
      <w:pPr>
        <w:keepNext/>
        <w:rPr>
          <w:i/>
          <w:color w:val="000000" w:themeColor="text1"/>
        </w:rPr>
      </w:pPr>
      <w:r w:rsidRPr="0058432E">
        <w:rPr>
          <w:i/>
          <w:color w:val="000000" w:themeColor="text1"/>
        </w:rPr>
        <w:t>Spondyl</w:t>
      </w:r>
      <w:r w:rsidR="00B412CF" w:rsidRPr="0058432E">
        <w:rPr>
          <w:i/>
          <w:color w:val="000000" w:themeColor="text1"/>
        </w:rPr>
        <w:t>o</w:t>
      </w:r>
      <w:r w:rsidRPr="0058432E">
        <w:rPr>
          <w:i/>
          <w:color w:val="000000" w:themeColor="text1"/>
        </w:rPr>
        <w:t xml:space="preserve">arthrite axiale sans signes radiographiques de SA </w:t>
      </w:r>
    </w:p>
    <w:p w14:paraId="2BBB4E18" w14:textId="77777777" w:rsidR="00C46587" w:rsidRPr="0058432E" w:rsidRDefault="00C46587" w:rsidP="00ED34EF">
      <w:pPr>
        <w:keepNext/>
        <w:rPr>
          <w:color w:val="000000" w:themeColor="text1"/>
        </w:rPr>
      </w:pPr>
    </w:p>
    <w:p w14:paraId="4BAFBC45" w14:textId="77777777" w:rsidR="00C46587" w:rsidRPr="0058432E" w:rsidRDefault="006A1144" w:rsidP="00982118">
      <w:pPr>
        <w:rPr>
          <w:color w:val="000000" w:themeColor="text1"/>
        </w:rPr>
      </w:pPr>
      <w:r w:rsidRPr="0058432E">
        <w:rPr>
          <w:color w:val="000000" w:themeColor="text1"/>
        </w:rPr>
        <w:t>Amsparity est indiqué dans le traitement de la spondyl</w:t>
      </w:r>
      <w:r w:rsidR="00B412CF" w:rsidRPr="0058432E">
        <w:rPr>
          <w:color w:val="000000" w:themeColor="text1"/>
        </w:rPr>
        <w:t>o</w:t>
      </w:r>
      <w:r w:rsidRPr="0058432E">
        <w:rPr>
          <w:color w:val="000000" w:themeColor="text1"/>
        </w:rPr>
        <w:t>arthrite axiale sévère sans signes radiographiques de SA, mais avec des signes objectifs d’inflammation à l’IRM et/ou un taux élevé de CRP chez les adultes ayant eu une réponse inadéquate ou une intolérance aux anti</w:t>
      </w:r>
      <w:r w:rsidRPr="0058432E">
        <w:rPr>
          <w:color w:val="000000" w:themeColor="text1"/>
        </w:rPr>
        <w:noBreakHyphen/>
        <w:t>inflammatoires non stéroïdiens</w:t>
      </w:r>
      <w:r w:rsidR="0003735C" w:rsidRPr="0058432E">
        <w:rPr>
          <w:color w:val="000000" w:themeColor="text1"/>
        </w:rPr>
        <w:t xml:space="preserve"> (AINS)</w:t>
      </w:r>
      <w:r w:rsidRPr="0058432E">
        <w:rPr>
          <w:color w:val="000000" w:themeColor="text1"/>
        </w:rPr>
        <w:t xml:space="preserve">. </w:t>
      </w:r>
    </w:p>
    <w:p w14:paraId="2FD67CD5" w14:textId="77777777" w:rsidR="00C46587" w:rsidRPr="0058432E" w:rsidRDefault="00C46587" w:rsidP="00982118">
      <w:pPr>
        <w:rPr>
          <w:color w:val="000000" w:themeColor="text1"/>
        </w:rPr>
      </w:pPr>
    </w:p>
    <w:p w14:paraId="527FC215" w14:textId="77777777" w:rsidR="00C46587" w:rsidRPr="0058432E" w:rsidRDefault="00566288" w:rsidP="00ED34EF">
      <w:pPr>
        <w:keepNext/>
        <w:rPr>
          <w:color w:val="000000" w:themeColor="text1"/>
          <w:u w:val="single"/>
        </w:rPr>
      </w:pPr>
      <w:r w:rsidRPr="0058432E">
        <w:rPr>
          <w:color w:val="000000" w:themeColor="text1"/>
          <w:u w:val="single"/>
        </w:rPr>
        <w:t>Rhumatisme psoriasique</w:t>
      </w:r>
    </w:p>
    <w:p w14:paraId="0A457D25" w14:textId="77777777" w:rsidR="00C46587" w:rsidRPr="0058432E" w:rsidRDefault="00C46587" w:rsidP="00ED34EF">
      <w:pPr>
        <w:keepNext/>
        <w:rPr>
          <w:color w:val="000000" w:themeColor="text1"/>
        </w:rPr>
      </w:pPr>
    </w:p>
    <w:p w14:paraId="26DE9BEE" w14:textId="77777777" w:rsidR="00C46587" w:rsidRPr="0058432E" w:rsidRDefault="006A1144" w:rsidP="00982118">
      <w:pPr>
        <w:rPr>
          <w:color w:val="000000" w:themeColor="text1"/>
        </w:rPr>
      </w:pPr>
      <w:r w:rsidRPr="0058432E">
        <w:rPr>
          <w:color w:val="000000" w:themeColor="text1"/>
        </w:rPr>
        <w:t xml:space="preserve">Amsparity est indiqué pour le traitement du rhumatisme psoriasique actif et évolutif chez </w:t>
      </w:r>
      <w:r w:rsidR="009C0B47" w:rsidRPr="0058432E">
        <w:rPr>
          <w:color w:val="000000" w:themeColor="text1"/>
        </w:rPr>
        <w:t xml:space="preserve">les adultes </w:t>
      </w:r>
      <w:r w:rsidRPr="0058432E">
        <w:rPr>
          <w:color w:val="000000" w:themeColor="text1"/>
        </w:rPr>
        <w:t xml:space="preserve">lorsque la réponse à un traitement </w:t>
      </w:r>
      <w:r w:rsidR="009C0B47" w:rsidRPr="0058432E">
        <w:rPr>
          <w:color w:val="000000" w:themeColor="text1"/>
        </w:rPr>
        <w:t>antérieur par antirhumatismal modificateur de la maladie</w:t>
      </w:r>
      <w:r w:rsidRPr="0058432E">
        <w:rPr>
          <w:color w:val="000000" w:themeColor="text1"/>
        </w:rPr>
        <w:t xml:space="preserve"> a été inadéquate. Il a été </w:t>
      </w:r>
      <w:r w:rsidR="00D32BF1" w:rsidRPr="0058432E">
        <w:rPr>
          <w:color w:val="000000" w:themeColor="text1"/>
        </w:rPr>
        <w:t>dé</w:t>
      </w:r>
      <w:r w:rsidRPr="0058432E">
        <w:rPr>
          <w:color w:val="000000" w:themeColor="text1"/>
        </w:rPr>
        <w:t xml:space="preserve">montré qu’Amsparity ralentit la progression des dommages articulaires périphériques tels que mesurés par radiographie, chez les patients ayant des formes polyarticulaires symétriques de la maladie (voir rubrique 5.1) et améliore les capacités fonctionnelles. </w:t>
      </w:r>
    </w:p>
    <w:p w14:paraId="4510C8BC" w14:textId="77777777" w:rsidR="00C46587" w:rsidRPr="0058432E" w:rsidRDefault="00C46587" w:rsidP="00982118">
      <w:pPr>
        <w:rPr>
          <w:color w:val="000000" w:themeColor="text1"/>
        </w:rPr>
      </w:pPr>
    </w:p>
    <w:p w14:paraId="2FF1B4E1" w14:textId="77777777" w:rsidR="00C46587" w:rsidRPr="0058432E" w:rsidRDefault="00C46587" w:rsidP="00ED34EF">
      <w:pPr>
        <w:keepNext/>
        <w:rPr>
          <w:color w:val="000000" w:themeColor="text1"/>
          <w:u w:val="single"/>
        </w:rPr>
      </w:pPr>
      <w:r w:rsidRPr="0058432E">
        <w:rPr>
          <w:color w:val="000000" w:themeColor="text1"/>
          <w:u w:val="single"/>
        </w:rPr>
        <w:t>Psoriasis</w:t>
      </w:r>
    </w:p>
    <w:p w14:paraId="66B4FABF" w14:textId="77777777" w:rsidR="00C46587" w:rsidRPr="0058432E" w:rsidRDefault="00C46587" w:rsidP="00ED34EF">
      <w:pPr>
        <w:keepNext/>
        <w:rPr>
          <w:color w:val="000000" w:themeColor="text1"/>
        </w:rPr>
      </w:pPr>
    </w:p>
    <w:p w14:paraId="48045784" w14:textId="77777777" w:rsidR="00C46587" w:rsidRPr="0058432E" w:rsidRDefault="006A1144" w:rsidP="00982118">
      <w:pPr>
        <w:rPr>
          <w:color w:val="000000" w:themeColor="text1"/>
        </w:rPr>
      </w:pPr>
      <w:r w:rsidRPr="0058432E">
        <w:rPr>
          <w:color w:val="000000" w:themeColor="text1"/>
        </w:rPr>
        <w:t xml:space="preserve">Amsparity est indiqué dans le traitement du psoriasis en plaques, modéré à sévère, chez les patients adultes qui nécessitent un traitement systémique. </w:t>
      </w:r>
    </w:p>
    <w:p w14:paraId="699E2C88" w14:textId="77777777" w:rsidR="00C46587" w:rsidRPr="0058432E" w:rsidRDefault="00C46587" w:rsidP="00982118">
      <w:pPr>
        <w:rPr>
          <w:color w:val="000000" w:themeColor="text1"/>
        </w:rPr>
      </w:pPr>
    </w:p>
    <w:p w14:paraId="741F457B" w14:textId="77777777" w:rsidR="00C46587" w:rsidRPr="0058432E" w:rsidRDefault="00BD3A11" w:rsidP="00ED34EF">
      <w:pPr>
        <w:keepNext/>
        <w:rPr>
          <w:color w:val="000000" w:themeColor="text1"/>
          <w:u w:val="single"/>
        </w:rPr>
      </w:pPr>
      <w:r w:rsidRPr="0058432E">
        <w:rPr>
          <w:color w:val="000000" w:themeColor="text1"/>
          <w:u w:val="single"/>
        </w:rPr>
        <w:t xml:space="preserve">Psoriasis en plaques </w:t>
      </w:r>
      <w:r w:rsidR="001E3516" w:rsidRPr="0058432E">
        <w:rPr>
          <w:color w:val="000000" w:themeColor="text1"/>
          <w:u w:val="single"/>
        </w:rPr>
        <w:t>pédiatrique</w:t>
      </w:r>
    </w:p>
    <w:p w14:paraId="6EB964FC" w14:textId="77777777" w:rsidR="00C46587" w:rsidRPr="0058432E" w:rsidRDefault="00C46587" w:rsidP="00ED34EF">
      <w:pPr>
        <w:keepNext/>
        <w:rPr>
          <w:color w:val="000000" w:themeColor="text1"/>
        </w:rPr>
      </w:pPr>
    </w:p>
    <w:p w14:paraId="59640790" w14:textId="77777777" w:rsidR="00C46587" w:rsidRPr="0058432E" w:rsidRDefault="006A1144" w:rsidP="00982118">
      <w:pPr>
        <w:rPr>
          <w:color w:val="000000" w:themeColor="text1"/>
        </w:rPr>
      </w:pPr>
      <w:r w:rsidRPr="0058432E">
        <w:rPr>
          <w:color w:val="000000" w:themeColor="text1"/>
        </w:rPr>
        <w:t xml:space="preserve">Amsparity est indiqué dans le traitement du psoriasis en plaques chronique sévère chez les enfants à partir de 4 ans et les adolescents en cas de réponse insuffisante à un traitement topique et aux photothérapies ou lorsque ces traitements sont inappropriés. </w:t>
      </w:r>
    </w:p>
    <w:p w14:paraId="6D830E6E" w14:textId="77777777" w:rsidR="00C46587" w:rsidRPr="0058432E" w:rsidRDefault="00C46587" w:rsidP="00982118">
      <w:pPr>
        <w:rPr>
          <w:color w:val="000000" w:themeColor="text1"/>
        </w:rPr>
      </w:pPr>
    </w:p>
    <w:p w14:paraId="57CD7A1C" w14:textId="77777777" w:rsidR="00C46587" w:rsidRPr="0058432E" w:rsidRDefault="00BD3A11" w:rsidP="00ED34EF">
      <w:pPr>
        <w:keepNext/>
        <w:rPr>
          <w:color w:val="000000" w:themeColor="text1"/>
        </w:rPr>
      </w:pPr>
      <w:r w:rsidRPr="0058432E">
        <w:rPr>
          <w:color w:val="000000" w:themeColor="text1"/>
          <w:u w:val="single"/>
        </w:rPr>
        <w:t>Hidrosadénite suppurée</w:t>
      </w:r>
      <w:r w:rsidR="00596D2D" w:rsidRPr="0058432E">
        <w:rPr>
          <w:color w:val="000000" w:themeColor="text1"/>
          <w:u w:val="single"/>
        </w:rPr>
        <w:t xml:space="preserve"> </w:t>
      </w:r>
    </w:p>
    <w:p w14:paraId="00D27099" w14:textId="77777777" w:rsidR="00C46587" w:rsidRPr="0058432E" w:rsidRDefault="006A1144" w:rsidP="00982118">
      <w:pPr>
        <w:rPr>
          <w:color w:val="000000" w:themeColor="text1"/>
        </w:rPr>
      </w:pPr>
      <w:r w:rsidRPr="0058432E">
        <w:rPr>
          <w:color w:val="000000" w:themeColor="text1"/>
        </w:rPr>
        <w:t xml:space="preserve">Amsparity est indiqué dans le traitement de l’hidrosadénite suppurée </w:t>
      </w:r>
      <w:r w:rsidR="007530C3" w:rsidRPr="0058432E">
        <w:rPr>
          <w:color w:val="000000" w:themeColor="text1"/>
        </w:rPr>
        <w:t xml:space="preserve">(HS) </w:t>
      </w:r>
      <w:r w:rsidRPr="0058432E">
        <w:rPr>
          <w:color w:val="000000" w:themeColor="text1"/>
        </w:rPr>
        <w:t>(maladie de Verneuil</w:t>
      </w:r>
      <w:r w:rsidR="001E3516" w:rsidRPr="0058432E">
        <w:rPr>
          <w:color w:val="000000" w:themeColor="text1"/>
        </w:rPr>
        <w:t>, acné inverse</w:t>
      </w:r>
      <w:r w:rsidRPr="0058432E">
        <w:rPr>
          <w:color w:val="000000" w:themeColor="text1"/>
        </w:rPr>
        <w:t xml:space="preserve">) active, modérée à sévère, chez les adultes et les adolescents à partir de 12 ans en cas de réponse insuffisante au traitement systémique conventionnel de l’HS (voir rubriques 5.1 et 5.2). </w:t>
      </w:r>
    </w:p>
    <w:p w14:paraId="24364AB1" w14:textId="77777777" w:rsidR="00C46587" w:rsidRPr="0058432E" w:rsidRDefault="00C46587" w:rsidP="00982118">
      <w:pPr>
        <w:rPr>
          <w:color w:val="000000" w:themeColor="text1"/>
        </w:rPr>
      </w:pPr>
    </w:p>
    <w:p w14:paraId="51DC291D" w14:textId="77777777" w:rsidR="00C46587" w:rsidRPr="0058432E" w:rsidRDefault="00BD3A11" w:rsidP="00ED34EF">
      <w:pPr>
        <w:keepNext/>
        <w:rPr>
          <w:color w:val="000000" w:themeColor="text1"/>
          <w:u w:val="single"/>
        </w:rPr>
      </w:pPr>
      <w:r w:rsidRPr="0058432E">
        <w:rPr>
          <w:color w:val="000000" w:themeColor="text1"/>
          <w:u w:val="single"/>
        </w:rPr>
        <w:lastRenderedPageBreak/>
        <w:t>Maladie de Crohn</w:t>
      </w:r>
    </w:p>
    <w:p w14:paraId="06222773" w14:textId="77777777" w:rsidR="00C46587" w:rsidRPr="0058432E" w:rsidRDefault="00C46587" w:rsidP="00ED34EF">
      <w:pPr>
        <w:keepNext/>
        <w:rPr>
          <w:color w:val="000000" w:themeColor="text1"/>
        </w:rPr>
      </w:pPr>
    </w:p>
    <w:p w14:paraId="675023C4" w14:textId="77777777" w:rsidR="00C46587" w:rsidRPr="0058432E" w:rsidRDefault="006A1144" w:rsidP="00982118">
      <w:pPr>
        <w:rPr>
          <w:color w:val="000000" w:themeColor="text1"/>
        </w:rPr>
      </w:pPr>
      <w:r w:rsidRPr="0058432E">
        <w:rPr>
          <w:color w:val="000000" w:themeColor="text1"/>
        </w:rPr>
        <w:t>Amsparity est indiqué dans le traitement de la maladie de Crohn active modérée à sévère, chez les patients adultes qui n’ont pas répondu malgré un traitement approprié et bien conduit par un corticoïde et/ou un immunosuppresseur</w:t>
      </w:r>
      <w:r w:rsidR="00D02742" w:rsidRPr="0058432E">
        <w:rPr>
          <w:color w:val="000000" w:themeColor="text1"/>
        </w:rPr>
        <w:t>,</w:t>
      </w:r>
      <w:r w:rsidRPr="0058432E">
        <w:rPr>
          <w:color w:val="000000" w:themeColor="text1"/>
        </w:rPr>
        <w:t xml:space="preserve"> ou chez lesquels </w:t>
      </w:r>
      <w:r w:rsidR="00F57631" w:rsidRPr="0058432E">
        <w:rPr>
          <w:color w:val="000000" w:themeColor="text1"/>
        </w:rPr>
        <w:t>ces traitements sont mal tolérés ou contre-indiqués</w:t>
      </w:r>
      <w:r w:rsidRPr="0058432E">
        <w:rPr>
          <w:color w:val="000000" w:themeColor="text1"/>
        </w:rPr>
        <w:t xml:space="preserve">. </w:t>
      </w:r>
    </w:p>
    <w:p w14:paraId="087910DD" w14:textId="77777777" w:rsidR="00C46587" w:rsidRPr="0058432E" w:rsidRDefault="00C46587" w:rsidP="00982118">
      <w:pPr>
        <w:rPr>
          <w:color w:val="000000" w:themeColor="text1"/>
        </w:rPr>
      </w:pPr>
    </w:p>
    <w:p w14:paraId="2788AF06" w14:textId="77777777" w:rsidR="00C46587" w:rsidRPr="0058432E" w:rsidRDefault="00C46587" w:rsidP="00982118">
      <w:pPr>
        <w:keepNext/>
        <w:rPr>
          <w:color w:val="000000" w:themeColor="text1"/>
          <w:u w:val="single"/>
        </w:rPr>
      </w:pPr>
      <w:r w:rsidRPr="0058432E">
        <w:rPr>
          <w:color w:val="000000" w:themeColor="text1"/>
          <w:u w:val="single"/>
        </w:rPr>
        <w:t xml:space="preserve">Maladie de Crohn </w:t>
      </w:r>
      <w:r w:rsidR="00F57631" w:rsidRPr="0058432E">
        <w:rPr>
          <w:color w:val="000000" w:themeColor="text1"/>
          <w:u w:val="single"/>
        </w:rPr>
        <w:t>pédiatrique</w:t>
      </w:r>
    </w:p>
    <w:p w14:paraId="41AF509F" w14:textId="77777777" w:rsidR="00C46587" w:rsidRPr="0058432E" w:rsidRDefault="00C46587" w:rsidP="00DC3A99">
      <w:pPr>
        <w:keepNext/>
        <w:rPr>
          <w:color w:val="000000" w:themeColor="text1"/>
        </w:rPr>
      </w:pPr>
    </w:p>
    <w:p w14:paraId="7DB4BCA0" w14:textId="77777777" w:rsidR="00C46587" w:rsidRPr="0058432E" w:rsidRDefault="006A1144" w:rsidP="00982118">
      <w:pPr>
        <w:rPr>
          <w:color w:val="000000" w:themeColor="text1"/>
        </w:rPr>
      </w:pPr>
      <w:r w:rsidRPr="0058432E">
        <w:rPr>
          <w:color w:val="000000" w:themeColor="text1"/>
        </w:rPr>
        <w:t xml:space="preserve">Amsparity est indiqué dans le traitement de la maladie de Crohn active modérée à sévère, chez les enfants et les adolescents à partir de 6 ans, qui n’ont pas répondu à un traitement conventionnel comprenant un traitement nutritionnel de première intention et un corticoïde et/ou un immunomodulateur, ou chez lesquels ces traitements sont mal tolérés ou contre-indiqués. </w:t>
      </w:r>
    </w:p>
    <w:p w14:paraId="19B5304D" w14:textId="77777777" w:rsidR="00C46587" w:rsidRPr="0058432E" w:rsidRDefault="00C46587" w:rsidP="00982118">
      <w:pPr>
        <w:rPr>
          <w:color w:val="000000" w:themeColor="text1"/>
        </w:rPr>
      </w:pPr>
    </w:p>
    <w:p w14:paraId="570ABC48" w14:textId="77777777" w:rsidR="00C46587" w:rsidRPr="0058432E" w:rsidRDefault="00BD3A11" w:rsidP="00982118">
      <w:pPr>
        <w:keepNext/>
        <w:rPr>
          <w:color w:val="000000" w:themeColor="text1"/>
          <w:u w:val="single"/>
        </w:rPr>
      </w:pPr>
      <w:r w:rsidRPr="0058432E">
        <w:rPr>
          <w:color w:val="000000" w:themeColor="text1"/>
          <w:u w:val="single"/>
        </w:rPr>
        <w:t>Rectocolite hémorragique</w:t>
      </w:r>
    </w:p>
    <w:p w14:paraId="51E60CD8" w14:textId="77777777" w:rsidR="00C46587" w:rsidRPr="0058432E" w:rsidRDefault="00C46587" w:rsidP="00982118">
      <w:pPr>
        <w:keepNext/>
        <w:rPr>
          <w:color w:val="000000" w:themeColor="text1"/>
        </w:rPr>
      </w:pPr>
    </w:p>
    <w:p w14:paraId="01878986" w14:textId="77777777" w:rsidR="00C46587" w:rsidRPr="0058432E" w:rsidRDefault="006A1144" w:rsidP="00982118">
      <w:pPr>
        <w:rPr>
          <w:color w:val="000000" w:themeColor="text1"/>
        </w:rPr>
      </w:pPr>
      <w:r w:rsidRPr="0058432E">
        <w:rPr>
          <w:color w:val="000000" w:themeColor="text1"/>
        </w:rPr>
        <w:t>Amsparity est indiqué dans le traitement de la rectocolite hémorragique active, modérée à sévère chez les patients adultes ayant eu une réponse inadéquate au traitement conventionnel, comprenant les corticoïdes et la 6</w:t>
      </w:r>
      <w:r w:rsidRPr="0058432E">
        <w:rPr>
          <w:color w:val="000000" w:themeColor="text1"/>
        </w:rPr>
        <w:noBreakHyphen/>
        <w:t>mercaptopurine (6</w:t>
      </w:r>
      <w:r w:rsidRPr="0058432E">
        <w:rPr>
          <w:color w:val="000000" w:themeColor="text1"/>
        </w:rPr>
        <w:noBreakHyphen/>
        <w:t xml:space="preserve">MP) ou l’azathioprine (AZA), ou chez lesquels </w:t>
      </w:r>
      <w:r w:rsidR="00525636" w:rsidRPr="0058432E">
        <w:rPr>
          <w:color w:val="000000" w:themeColor="text1"/>
        </w:rPr>
        <w:t>ces traitements sont mal tolérés ou contre-indiqués</w:t>
      </w:r>
      <w:r w:rsidRPr="0058432E">
        <w:rPr>
          <w:color w:val="000000" w:themeColor="text1"/>
        </w:rPr>
        <w:t xml:space="preserve">. </w:t>
      </w:r>
    </w:p>
    <w:p w14:paraId="47B37EFE" w14:textId="77777777" w:rsidR="00C46587" w:rsidRPr="0058432E" w:rsidRDefault="00C46587" w:rsidP="00982118">
      <w:pPr>
        <w:rPr>
          <w:color w:val="000000" w:themeColor="text1"/>
        </w:rPr>
      </w:pPr>
    </w:p>
    <w:p w14:paraId="4C1BC1A5" w14:textId="77777777" w:rsidR="00DF5639" w:rsidRPr="0058432E" w:rsidRDefault="00DF5639" w:rsidP="00DF5639">
      <w:pPr>
        <w:rPr>
          <w:color w:val="000000" w:themeColor="text1"/>
          <w:u w:val="single"/>
        </w:rPr>
      </w:pPr>
      <w:r w:rsidRPr="0058432E">
        <w:rPr>
          <w:color w:val="000000" w:themeColor="text1"/>
          <w:u w:val="single"/>
        </w:rPr>
        <w:t>Rectocolite hémorragique pédiatrique</w:t>
      </w:r>
    </w:p>
    <w:p w14:paraId="5FE0C768" w14:textId="77777777" w:rsidR="00DF5639" w:rsidRPr="0058432E" w:rsidRDefault="00DF5639" w:rsidP="00DF5639">
      <w:pPr>
        <w:rPr>
          <w:color w:val="000000" w:themeColor="text1"/>
        </w:rPr>
      </w:pPr>
    </w:p>
    <w:p w14:paraId="4D4ED345" w14:textId="77777777" w:rsidR="00DF5639" w:rsidRPr="0058432E" w:rsidRDefault="00DF5639" w:rsidP="00DF5639">
      <w:pPr>
        <w:rPr>
          <w:color w:val="000000" w:themeColor="text1"/>
        </w:rPr>
      </w:pPr>
      <w:r w:rsidRPr="0058432E">
        <w:rPr>
          <w:color w:val="000000" w:themeColor="text1"/>
        </w:rPr>
        <w:t>Amsparity est indiqué dans le traitement de la rectocolite hémorragique active, modérée à sévère chez les patients pédiatriques (à partir de 6 ans) ayant eu une réponse inadéquate au traitement conventionnel, comprenant les corticoïdes et/ou la 6-mercaptopurine (6-MP) ou l’azathioprine (AZA), ou chez lesquels ces traitements sont mal tolérés ou contre-indiqués.</w:t>
      </w:r>
    </w:p>
    <w:p w14:paraId="640BECE2" w14:textId="77777777" w:rsidR="00671B82" w:rsidRPr="0058432E" w:rsidRDefault="00671B82" w:rsidP="00982118">
      <w:pPr>
        <w:rPr>
          <w:color w:val="000000" w:themeColor="text1"/>
        </w:rPr>
      </w:pPr>
    </w:p>
    <w:p w14:paraId="388B8CBE" w14:textId="77777777" w:rsidR="00C46587" w:rsidRPr="0058432E" w:rsidRDefault="00C46587" w:rsidP="00DC3A99">
      <w:pPr>
        <w:keepNext/>
        <w:rPr>
          <w:color w:val="000000" w:themeColor="text1"/>
          <w:u w:val="single"/>
        </w:rPr>
      </w:pPr>
      <w:r w:rsidRPr="0058432E">
        <w:rPr>
          <w:color w:val="000000" w:themeColor="text1"/>
          <w:u w:val="single"/>
        </w:rPr>
        <w:t>Uvéite</w:t>
      </w:r>
    </w:p>
    <w:p w14:paraId="5CA32B6A" w14:textId="77777777" w:rsidR="00C46587" w:rsidRPr="0058432E" w:rsidRDefault="00C46587" w:rsidP="00DC3A99">
      <w:pPr>
        <w:keepNext/>
        <w:rPr>
          <w:color w:val="000000" w:themeColor="text1"/>
        </w:rPr>
      </w:pPr>
    </w:p>
    <w:p w14:paraId="7AC56BE7" w14:textId="77777777" w:rsidR="00C46587" w:rsidRPr="0058432E" w:rsidRDefault="006A1144" w:rsidP="00982118">
      <w:pPr>
        <w:rPr>
          <w:color w:val="000000" w:themeColor="text1"/>
        </w:rPr>
      </w:pPr>
      <w:r w:rsidRPr="0058432E">
        <w:rPr>
          <w:color w:val="000000" w:themeColor="text1"/>
        </w:rPr>
        <w:t xml:space="preserve">Amsparity est indiqué dans le traitement de l’uvéite non infectieuse, intermédiaire, postérieure et de la panuvéite chez les patients adultes ayant eu une réponse insuffisante à la corticothérapie, chez les patients nécessitant une épargne cortisonique, ou chez lesquels la corticothérapie est inappropriée. </w:t>
      </w:r>
    </w:p>
    <w:p w14:paraId="02C97A6D" w14:textId="77777777" w:rsidR="00C46587" w:rsidRPr="0058432E" w:rsidRDefault="00C46587" w:rsidP="00982118">
      <w:pPr>
        <w:rPr>
          <w:color w:val="000000" w:themeColor="text1"/>
        </w:rPr>
      </w:pPr>
    </w:p>
    <w:p w14:paraId="066A64AB" w14:textId="77777777" w:rsidR="00FF5AEF" w:rsidRPr="0058432E" w:rsidRDefault="00FF5AEF" w:rsidP="00DC3A99">
      <w:pPr>
        <w:keepNext/>
        <w:rPr>
          <w:color w:val="000000" w:themeColor="text1"/>
          <w:u w:val="single"/>
        </w:rPr>
      </w:pPr>
      <w:r w:rsidRPr="0058432E">
        <w:rPr>
          <w:color w:val="000000" w:themeColor="text1"/>
          <w:u w:val="single"/>
        </w:rPr>
        <w:t xml:space="preserve">Uvéite </w:t>
      </w:r>
      <w:r w:rsidR="00525636" w:rsidRPr="0058432E">
        <w:rPr>
          <w:color w:val="000000" w:themeColor="text1"/>
          <w:u w:val="single"/>
        </w:rPr>
        <w:t>pédiatrique</w:t>
      </w:r>
    </w:p>
    <w:p w14:paraId="3AA4A906" w14:textId="77777777" w:rsidR="007D2614" w:rsidRPr="0058432E" w:rsidRDefault="007D2614" w:rsidP="00DC3A99">
      <w:pPr>
        <w:keepNext/>
        <w:rPr>
          <w:color w:val="000000" w:themeColor="text1"/>
        </w:rPr>
      </w:pPr>
    </w:p>
    <w:p w14:paraId="59F51ECA" w14:textId="77777777" w:rsidR="00FF5AEF" w:rsidRPr="0058432E" w:rsidRDefault="006A1144" w:rsidP="00982118">
      <w:pPr>
        <w:rPr>
          <w:color w:val="000000" w:themeColor="text1"/>
        </w:rPr>
      </w:pPr>
      <w:r w:rsidRPr="0058432E">
        <w:rPr>
          <w:color w:val="000000" w:themeColor="text1"/>
        </w:rPr>
        <w:t xml:space="preserve">Amsparity est indiqué dans le traitement de l’uvéite </w:t>
      </w:r>
      <w:r w:rsidR="00091FFA" w:rsidRPr="0058432E">
        <w:rPr>
          <w:color w:val="000000" w:themeColor="text1"/>
        </w:rPr>
        <w:t xml:space="preserve">pédiatrique </w:t>
      </w:r>
      <w:r w:rsidRPr="0058432E">
        <w:rPr>
          <w:color w:val="000000" w:themeColor="text1"/>
        </w:rPr>
        <w:t xml:space="preserve">antérieure chronique non infectieuse chez les </w:t>
      </w:r>
      <w:r w:rsidR="00091FFA" w:rsidRPr="0058432E">
        <w:rPr>
          <w:color w:val="000000" w:themeColor="text1"/>
        </w:rPr>
        <w:t xml:space="preserve">patients </w:t>
      </w:r>
      <w:r w:rsidRPr="0058432E">
        <w:rPr>
          <w:color w:val="000000" w:themeColor="text1"/>
        </w:rPr>
        <w:t>à partir de 2 ans en cas de réponse insuffisante ou d’intolérance au traitement conventionnel ou pour lesquels un traitement conventionnel est inapproprié.</w:t>
      </w:r>
    </w:p>
    <w:p w14:paraId="2BAB1136" w14:textId="77777777" w:rsidR="00C46587" w:rsidRPr="0058432E" w:rsidRDefault="00C46587" w:rsidP="00982118">
      <w:pPr>
        <w:rPr>
          <w:color w:val="000000" w:themeColor="text1"/>
        </w:rPr>
      </w:pPr>
    </w:p>
    <w:p w14:paraId="5CC018AF" w14:textId="77777777" w:rsidR="00C46587" w:rsidRPr="0058432E" w:rsidRDefault="00C46587" w:rsidP="00982118">
      <w:pPr>
        <w:tabs>
          <w:tab w:val="left" w:pos="562"/>
        </w:tabs>
        <w:rPr>
          <w:b/>
          <w:color w:val="000000" w:themeColor="text1"/>
        </w:rPr>
      </w:pPr>
      <w:r w:rsidRPr="0058432E">
        <w:rPr>
          <w:b/>
          <w:color w:val="000000" w:themeColor="text1"/>
        </w:rPr>
        <w:t>4.2</w:t>
      </w:r>
      <w:r w:rsidRPr="0058432E">
        <w:rPr>
          <w:b/>
          <w:color w:val="000000" w:themeColor="text1"/>
        </w:rPr>
        <w:tab/>
        <w:t xml:space="preserve">Posologie et mode d’administration </w:t>
      </w:r>
    </w:p>
    <w:p w14:paraId="507FEA22" w14:textId="77777777" w:rsidR="00C46587" w:rsidRPr="0058432E" w:rsidRDefault="00C46587" w:rsidP="00982118">
      <w:pPr>
        <w:rPr>
          <w:color w:val="000000" w:themeColor="text1"/>
        </w:rPr>
      </w:pPr>
    </w:p>
    <w:p w14:paraId="5645FE28" w14:textId="77777777" w:rsidR="00C46587" w:rsidRPr="0058432E" w:rsidRDefault="006A1144" w:rsidP="00982118">
      <w:pPr>
        <w:rPr>
          <w:color w:val="000000" w:themeColor="text1"/>
        </w:rPr>
      </w:pPr>
      <w:r w:rsidRPr="0058432E">
        <w:rPr>
          <w:color w:val="000000" w:themeColor="text1"/>
        </w:rPr>
        <w:t xml:space="preserve">Le traitement par Amsparity doit être instauré et supervisé par un médecin spécialiste qualifié en matière de diagnostic et de traitement des pathologies dans lesquelles Amsparity est indiqué. Il est recommandé aux ophtalmologistes de consulter un spécialiste approprié avant d’instaurer un traitement par Amsparity (voir rubrique 4.4). Une carte </w:t>
      </w:r>
      <w:r w:rsidR="00CB7E36" w:rsidRPr="0058432E">
        <w:rPr>
          <w:color w:val="000000" w:themeColor="text1"/>
        </w:rPr>
        <w:t>de rappel patient</w:t>
      </w:r>
      <w:r w:rsidRPr="0058432E">
        <w:rPr>
          <w:color w:val="000000" w:themeColor="text1"/>
        </w:rPr>
        <w:t xml:space="preserve"> sera remise aux patients traités par Amsparity. </w:t>
      </w:r>
    </w:p>
    <w:p w14:paraId="56341C45" w14:textId="77777777" w:rsidR="00C46587" w:rsidRPr="0058432E" w:rsidRDefault="00C46587" w:rsidP="00982118">
      <w:pPr>
        <w:rPr>
          <w:color w:val="000000" w:themeColor="text1"/>
        </w:rPr>
      </w:pPr>
    </w:p>
    <w:p w14:paraId="282D77CE" w14:textId="77777777" w:rsidR="00C46587" w:rsidRPr="0058432E" w:rsidRDefault="00013356" w:rsidP="00982118">
      <w:pPr>
        <w:rPr>
          <w:color w:val="000000" w:themeColor="text1"/>
        </w:rPr>
      </w:pPr>
      <w:r w:rsidRPr="0058432E">
        <w:rPr>
          <w:color w:val="000000" w:themeColor="text1"/>
        </w:rPr>
        <w:t xml:space="preserve">Après une formation </w:t>
      </w:r>
      <w:r w:rsidR="00404065" w:rsidRPr="0058432E">
        <w:rPr>
          <w:color w:val="000000" w:themeColor="text1"/>
        </w:rPr>
        <w:t xml:space="preserve">correcte à la </w:t>
      </w:r>
      <w:r w:rsidRPr="0058432E">
        <w:rPr>
          <w:color w:val="000000" w:themeColor="text1"/>
        </w:rPr>
        <w:t>technique d'injection, l</w:t>
      </w:r>
      <w:r w:rsidR="00F25353" w:rsidRPr="0058432E">
        <w:rPr>
          <w:color w:val="000000" w:themeColor="text1"/>
        </w:rPr>
        <w:t xml:space="preserve">es patients peuvent s’auto-injecter Amsparity, si leur médecin l’estime possible, sous le couvert d’un suivi médical approprié. </w:t>
      </w:r>
    </w:p>
    <w:p w14:paraId="7359F386" w14:textId="77777777" w:rsidR="00C46587" w:rsidRPr="0058432E" w:rsidRDefault="00C46587" w:rsidP="00982118">
      <w:pPr>
        <w:rPr>
          <w:color w:val="000000" w:themeColor="text1"/>
        </w:rPr>
      </w:pPr>
    </w:p>
    <w:p w14:paraId="5CE045C7" w14:textId="77777777" w:rsidR="00C46587" w:rsidRPr="0058432E" w:rsidRDefault="00C46587" w:rsidP="00982118">
      <w:pPr>
        <w:rPr>
          <w:color w:val="000000" w:themeColor="text1"/>
        </w:rPr>
      </w:pPr>
      <w:r w:rsidRPr="0058432E">
        <w:rPr>
          <w:color w:val="000000" w:themeColor="text1"/>
        </w:rPr>
        <w:t xml:space="preserve">Pendant le traitement par Amsparity, les autres traitements concomitants (tels que les corticoïdes et/ou immunomodulateurs) devront être optimisés. </w:t>
      </w:r>
    </w:p>
    <w:p w14:paraId="22E1C4ED" w14:textId="77777777" w:rsidR="00C46587" w:rsidRPr="0058432E" w:rsidRDefault="00C46587" w:rsidP="00982118">
      <w:pPr>
        <w:rPr>
          <w:color w:val="000000" w:themeColor="text1"/>
        </w:rPr>
      </w:pPr>
    </w:p>
    <w:p w14:paraId="4A4C8593" w14:textId="77777777" w:rsidR="00C46587" w:rsidRPr="0058432E" w:rsidRDefault="00435311" w:rsidP="00DC3A99">
      <w:pPr>
        <w:keepNext/>
        <w:rPr>
          <w:color w:val="000000" w:themeColor="text1"/>
          <w:u w:val="single"/>
        </w:rPr>
      </w:pPr>
      <w:r w:rsidRPr="0058432E">
        <w:rPr>
          <w:color w:val="000000" w:themeColor="text1"/>
          <w:u w:val="single"/>
        </w:rPr>
        <w:lastRenderedPageBreak/>
        <w:t>Posologie</w:t>
      </w:r>
    </w:p>
    <w:p w14:paraId="74AD2B32" w14:textId="77777777" w:rsidR="00C46587" w:rsidRPr="0058432E" w:rsidRDefault="00C46587" w:rsidP="00DC3A99">
      <w:pPr>
        <w:keepNext/>
        <w:rPr>
          <w:color w:val="000000" w:themeColor="text1"/>
        </w:rPr>
      </w:pPr>
    </w:p>
    <w:p w14:paraId="325F125A" w14:textId="77777777" w:rsidR="00C46587" w:rsidRPr="0058432E" w:rsidRDefault="00C46587" w:rsidP="00DC3A99">
      <w:pPr>
        <w:keepNext/>
        <w:rPr>
          <w:i/>
          <w:color w:val="000000" w:themeColor="text1"/>
        </w:rPr>
      </w:pPr>
      <w:r w:rsidRPr="0058432E">
        <w:rPr>
          <w:i/>
          <w:color w:val="000000" w:themeColor="text1"/>
        </w:rPr>
        <w:t xml:space="preserve">Polyarthrite rhumatoïde </w:t>
      </w:r>
    </w:p>
    <w:p w14:paraId="044FE3D6" w14:textId="77777777" w:rsidR="00C46587" w:rsidRPr="0058432E" w:rsidRDefault="00C46587" w:rsidP="00DC3A99">
      <w:pPr>
        <w:keepNext/>
        <w:rPr>
          <w:color w:val="000000" w:themeColor="text1"/>
        </w:rPr>
      </w:pPr>
    </w:p>
    <w:p w14:paraId="07E433C1" w14:textId="77777777" w:rsidR="00C46587" w:rsidRPr="0058432E" w:rsidRDefault="00C46587" w:rsidP="00982118">
      <w:pPr>
        <w:rPr>
          <w:color w:val="000000" w:themeColor="text1"/>
        </w:rPr>
      </w:pPr>
      <w:r w:rsidRPr="0058432E">
        <w:rPr>
          <w:color w:val="000000" w:themeColor="text1"/>
        </w:rPr>
        <w:t xml:space="preserve">Chez les patients adultes atteints de polyarthrite rhumatoïde, la posologie recommandée d’Amsparity est une dose unique de 40 mg d’adalimumab administrée toutes les deux semaines, par voie sous-cutanée. L’administration de méthotrexate doit être continuée pendant le traitement par Amsparity. </w:t>
      </w:r>
    </w:p>
    <w:p w14:paraId="58A230A1" w14:textId="77777777" w:rsidR="00C46587" w:rsidRPr="0058432E" w:rsidRDefault="00C46587" w:rsidP="00982118">
      <w:pPr>
        <w:rPr>
          <w:color w:val="000000" w:themeColor="text1"/>
        </w:rPr>
      </w:pPr>
    </w:p>
    <w:p w14:paraId="61306F32" w14:textId="77777777" w:rsidR="00C46587" w:rsidRPr="0058432E" w:rsidRDefault="00C46587" w:rsidP="00982118">
      <w:pPr>
        <w:rPr>
          <w:color w:val="000000" w:themeColor="text1"/>
        </w:rPr>
      </w:pPr>
      <w:r w:rsidRPr="0058432E">
        <w:rPr>
          <w:color w:val="000000" w:themeColor="text1"/>
        </w:rPr>
        <w:t>Les glucocorticoïdes, les salicylés, les anti</w:t>
      </w:r>
      <w:r w:rsidRPr="0058432E">
        <w:rPr>
          <w:color w:val="000000" w:themeColor="text1"/>
        </w:rPr>
        <w:noBreakHyphen/>
        <w:t xml:space="preserve">inflammatoires non stéroïdiens ou les antalgiques peuvent être poursuivis pendant le traitement par Amsparity. En ce qui concerne l’association aux </w:t>
      </w:r>
      <w:r w:rsidR="008A656A" w:rsidRPr="0058432E">
        <w:rPr>
          <w:color w:val="000000" w:themeColor="text1"/>
        </w:rPr>
        <w:t xml:space="preserve">traitements de fond </w:t>
      </w:r>
      <w:r w:rsidRPr="0058432E">
        <w:rPr>
          <w:color w:val="000000" w:themeColor="text1"/>
        </w:rPr>
        <w:t>antirhumatismaux autres que le méthotrexate</w:t>
      </w:r>
      <w:r w:rsidR="00CB7E36" w:rsidRPr="0058432E">
        <w:rPr>
          <w:color w:val="000000" w:themeColor="text1"/>
        </w:rPr>
        <w:t>,</w:t>
      </w:r>
      <w:r w:rsidRPr="0058432E">
        <w:rPr>
          <w:color w:val="000000" w:themeColor="text1"/>
        </w:rPr>
        <w:t xml:space="preserve"> voir rubriques 4.4 et 5.1. </w:t>
      </w:r>
    </w:p>
    <w:p w14:paraId="1A26C1C9" w14:textId="77777777" w:rsidR="00C46587" w:rsidRPr="0058432E" w:rsidRDefault="00C46587" w:rsidP="00982118">
      <w:pPr>
        <w:rPr>
          <w:color w:val="000000" w:themeColor="text1"/>
        </w:rPr>
      </w:pPr>
    </w:p>
    <w:p w14:paraId="5BE4EFB8" w14:textId="77777777" w:rsidR="00C46587" w:rsidRPr="0058432E" w:rsidRDefault="00C46587" w:rsidP="00982118">
      <w:pPr>
        <w:autoSpaceDE w:val="0"/>
        <w:autoSpaceDN w:val="0"/>
        <w:adjustRightInd w:val="0"/>
        <w:rPr>
          <w:color w:val="000000" w:themeColor="text1"/>
        </w:rPr>
      </w:pPr>
      <w:r w:rsidRPr="0058432E">
        <w:rPr>
          <w:color w:val="000000" w:themeColor="text1"/>
        </w:rPr>
        <w:t xml:space="preserve">En monothérapie, certains patients chez qui l’on observe une diminution de leur réponse à Amsparity 40 mg toutes les deux semaines, peuvent bénéficier d’une augmentation de la posologie à 40 mg d’adalimumab toutes les semaines ou 80 mg toutes les deux semaines. </w:t>
      </w:r>
    </w:p>
    <w:p w14:paraId="78CD4C6B" w14:textId="77777777" w:rsidR="00C46587" w:rsidRPr="0058432E" w:rsidRDefault="00C46587" w:rsidP="00982118">
      <w:pPr>
        <w:rPr>
          <w:color w:val="000000" w:themeColor="text1"/>
        </w:rPr>
      </w:pPr>
    </w:p>
    <w:p w14:paraId="76F99842" w14:textId="77777777" w:rsidR="00C46587" w:rsidRPr="0058432E" w:rsidRDefault="00C46587" w:rsidP="00982118">
      <w:pPr>
        <w:rPr>
          <w:color w:val="000000" w:themeColor="text1"/>
        </w:rPr>
      </w:pPr>
      <w:r w:rsidRPr="0058432E">
        <w:rPr>
          <w:color w:val="000000" w:themeColor="text1"/>
        </w:rPr>
        <w:t xml:space="preserve">Les données disponibles laissent supposer que la réponse clinique est habituellement obtenue en 12 semaines de traitement. La poursuite du traitement devra être reconsidérée chez un patient n’ayant pas répondu dans ces délais. </w:t>
      </w:r>
    </w:p>
    <w:p w14:paraId="605311B0" w14:textId="77777777" w:rsidR="00C46587" w:rsidRPr="0058432E" w:rsidRDefault="00C46587" w:rsidP="00982118">
      <w:pPr>
        <w:rPr>
          <w:color w:val="000000" w:themeColor="text1"/>
        </w:rPr>
      </w:pPr>
    </w:p>
    <w:p w14:paraId="6DDA7490" w14:textId="77777777" w:rsidR="00F91B40"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70B69A2B" w14:textId="77777777" w:rsidR="00F91B40" w:rsidRPr="0058432E" w:rsidRDefault="00F91B40" w:rsidP="00982118">
      <w:pPr>
        <w:rPr>
          <w:color w:val="000000" w:themeColor="text1"/>
        </w:rPr>
      </w:pPr>
    </w:p>
    <w:p w14:paraId="28454627" w14:textId="77777777" w:rsidR="00C46587" w:rsidRPr="0058432E" w:rsidRDefault="00435311" w:rsidP="00DC3A99">
      <w:pPr>
        <w:keepNext/>
        <w:rPr>
          <w:i/>
          <w:color w:val="000000" w:themeColor="text1"/>
          <w:u w:val="single"/>
        </w:rPr>
      </w:pPr>
      <w:r w:rsidRPr="0058432E">
        <w:rPr>
          <w:i/>
          <w:color w:val="000000" w:themeColor="text1"/>
          <w:u w:val="single"/>
        </w:rPr>
        <w:t>Interruption du traitement</w:t>
      </w:r>
    </w:p>
    <w:p w14:paraId="04A11A9E" w14:textId="77777777" w:rsidR="00C46587" w:rsidRPr="0058432E" w:rsidRDefault="00C46587" w:rsidP="00DC3A99">
      <w:pPr>
        <w:keepNext/>
        <w:rPr>
          <w:color w:val="000000" w:themeColor="text1"/>
        </w:rPr>
      </w:pPr>
    </w:p>
    <w:p w14:paraId="3386C7B6" w14:textId="77777777" w:rsidR="00C46587" w:rsidRPr="0058432E" w:rsidRDefault="00C46587" w:rsidP="00982118">
      <w:pPr>
        <w:rPr>
          <w:color w:val="000000" w:themeColor="text1"/>
        </w:rPr>
      </w:pPr>
      <w:r w:rsidRPr="0058432E">
        <w:rPr>
          <w:color w:val="000000" w:themeColor="text1"/>
        </w:rPr>
        <w:t xml:space="preserve">Il peut être nécessaire d’interrompre le traitement, par </w:t>
      </w:r>
      <w:r w:rsidR="001946D2" w:rsidRPr="0058432E">
        <w:rPr>
          <w:color w:val="000000" w:themeColor="text1"/>
        </w:rPr>
        <w:t>ex</w:t>
      </w:r>
      <w:r w:rsidR="00A67736" w:rsidRPr="0058432E">
        <w:rPr>
          <w:color w:val="000000" w:themeColor="text1"/>
        </w:rPr>
        <w:t>emple</w:t>
      </w:r>
      <w:r w:rsidRPr="0058432E">
        <w:rPr>
          <w:color w:val="000000" w:themeColor="text1"/>
        </w:rPr>
        <w:t xml:space="preserve"> avant une intervention chirurgicale ou en cas d’infection sévère. Les données disponibles suggèrent que la ré</w:t>
      </w:r>
      <w:r w:rsidRPr="0058432E">
        <w:rPr>
          <w:color w:val="000000" w:themeColor="text1"/>
        </w:rPr>
        <w:noBreakHyphen/>
        <w:t xml:space="preserve">introduction de l’adalimumab après un arrêt de 70 jours ou plus entraîne une réponse clinique de même ampleur et un profil de </w:t>
      </w:r>
      <w:r w:rsidR="00975593" w:rsidRPr="0058432E">
        <w:rPr>
          <w:color w:val="000000" w:themeColor="text1"/>
        </w:rPr>
        <w:t xml:space="preserve">tolérance </w:t>
      </w:r>
      <w:r w:rsidRPr="0058432E">
        <w:rPr>
          <w:color w:val="000000" w:themeColor="text1"/>
        </w:rPr>
        <w:t xml:space="preserve">similaire à celui observé avant l’interruption du traitement. </w:t>
      </w:r>
    </w:p>
    <w:p w14:paraId="54A86051" w14:textId="77777777" w:rsidR="00C46587" w:rsidRPr="0058432E" w:rsidRDefault="00C46587" w:rsidP="00982118">
      <w:pPr>
        <w:rPr>
          <w:color w:val="000000" w:themeColor="text1"/>
        </w:rPr>
      </w:pPr>
    </w:p>
    <w:p w14:paraId="5A83DD0A" w14:textId="77777777" w:rsidR="00C46587" w:rsidRPr="0058432E" w:rsidRDefault="00C46587" w:rsidP="00982118">
      <w:pPr>
        <w:keepNext/>
        <w:rPr>
          <w:i/>
          <w:color w:val="000000" w:themeColor="text1"/>
        </w:rPr>
      </w:pPr>
      <w:r w:rsidRPr="0058432E">
        <w:rPr>
          <w:i/>
          <w:color w:val="000000" w:themeColor="text1"/>
        </w:rPr>
        <w:t>Spondylarthrite ankylosante, spondyl</w:t>
      </w:r>
      <w:r w:rsidR="00B412CF" w:rsidRPr="0058432E">
        <w:rPr>
          <w:i/>
          <w:color w:val="000000" w:themeColor="text1"/>
        </w:rPr>
        <w:t>o</w:t>
      </w:r>
      <w:r w:rsidRPr="0058432E">
        <w:rPr>
          <w:i/>
          <w:color w:val="000000" w:themeColor="text1"/>
        </w:rPr>
        <w:t xml:space="preserve">arthrite axiale sans signes radiographiques de SA et rhumatisme psoriasique </w:t>
      </w:r>
    </w:p>
    <w:p w14:paraId="0FC3ABC4" w14:textId="77777777" w:rsidR="00C46587" w:rsidRPr="0058432E" w:rsidRDefault="00C46587" w:rsidP="00982118">
      <w:pPr>
        <w:keepNext/>
        <w:rPr>
          <w:color w:val="000000" w:themeColor="text1"/>
        </w:rPr>
      </w:pPr>
    </w:p>
    <w:p w14:paraId="60A13D97" w14:textId="77777777" w:rsidR="00C46587" w:rsidRPr="0058432E" w:rsidRDefault="00C46587" w:rsidP="00982118">
      <w:pPr>
        <w:rPr>
          <w:color w:val="000000" w:themeColor="text1"/>
        </w:rPr>
      </w:pPr>
      <w:r w:rsidRPr="0058432E">
        <w:rPr>
          <w:color w:val="000000" w:themeColor="text1"/>
        </w:rPr>
        <w:t>La posologie recommandée d’Amsparity pour les patients atteints de spondylarthrite ankylosante, de spondyl</w:t>
      </w:r>
      <w:r w:rsidR="00B412CF" w:rsidRPr="0058432E">
        <w:rPr>
          <w:color w:val="000000" w:themeColor="text1"/>
        </w:rPr>
        <w:t>o</w:t>
      </w:r>
      <w:r w:rsidRPr="0058432E">
        <w:rPr>
          <w:color w:val="000000" w:themeColor="text1"/>
        </w:rPr>
        <w:t xml:space="preserve">arthrite axiale sans signes radiographiques de SA et pour les patients atteints de rhumatisme psoriasique est de 40 mg d’adalimumab en dose unique toutes les deux semaines, en injection sous-cutanée. </w:t>
      </w:r>
    </w:p>
    <w:p w14:paraId="24C4BD52" w14:textId="77777777" w:rsidR="00C46587" w:rsidRPr="0058432E" w:rsidRDefault="00C46587" w:rsidP="00982118">
      <w:pPr>
        <w:rPr>
          <w:color w:val="000000" w:themeColor="text1"/>
        </w:rPr>
      </w:pPr>
    </w:p>
    <w:p w14:paraId="2A9FC91C" w14:textId="77777777" w:rsidR="00C46587" w:rsidRPr="0058432E" w:rsidRDefault="00C46587" w:rsidP="00982118">
      <w:pPr>
        <w:rPr>
          <w:color w:val="000000" w:themeColor="text1"/>
        </w:rPr>
      </w:pPr>
      <w:r w:rsidRPr="0058432E">
        <w:rPr>
          <w:color w:val="000000" w:themeColor="text1"/>
        </w:rPr>
        <w:t xml:space="preserve">Les données disponibles laissent supposer que la réponse clinique est habituellement obtenue en 12 semaines de traitement. La poursuite du traitement devra être reconsidérée chez un patient n’ayant pas répondu dans ces délais. </w:t>
      </w:r>
    </w:p>
    <w:p w14:paraId="4EF2F43D" w14:textId="77777777" w:rsidR="00C46587" w:rsidRPr="0058432E" w:rsidRDefault="00C46587" w:rsidP="00982118">
      <w:pPr>
        <w:rPr>
          <w:color w:val="000000" w:themeColor="text1"/>
        </w:rPr>
      </w:pPr>
    </w:p>
    <w:p w14:paraId="5990A36C" w14:textId="77777777" w:rsidR="00C46587" w:rsidRPr="0058432E" w:rsidRDefault="00C46587" w:rsidP="00DC3A99">
      <w:pPr>
        <w:keepNext/>
        <w:rPr>
          <w:i/>
          <w:color w:val="000000" w:themeColor="text1"/>
        </w:rPr>
      </w:pPr>
      <w:r w:rsidRPr="0058432E">
        <w:rPr>
          <w:i/>
          <w:color w:val="000000" w:themeColor="text1"/>
        </w:rPr>
        <w:t xml:space="preserve">Psoriasis </w:t>
      </w:r>
    </w:p>
    <w:p w14:paraId="1CDA4938" w14:textId="77777777" w:rsidR="00C46587" w:rsidRPr="0058432E" w:rsidRDefault="00C46587" w:rsidP="00DC3A99">
      <w:pPr>
        <w:keepNext/>
        <w:rPr>
          <w:color w:val="000000" w:themeColor="text1"/>
        </w:rPr>
      </w:pPr>
    </w:p>
    <w:p w14:paraId="7D379ACB" w14:textId="77777777" w:rsidR="00C46587" w:rsidRPr="0058432E" w:rsidRDefault="00C46587" w:rsidP="00982118">
      <w:pPr>
        <w:rPr>
          <w:color w:val="000000" w:themeColor="text1"/>
        </w:rPr>
      </w:pPr>
      <w:r w:rsidRPr="0058432E">
        <w:rPr>
          <w:color w:val="000000" w:themeColor="text1"/>
        </w:rPr>
        <w:t xml:space="preserve">La posologie recommandée d’Amsparity pour débuter le traitement chez l’adulte est de 80 mg par voie sous-cutanée. La posologie se poursuivra une semaine après par 40 mg en voie sous-cutanée </w:t>
      </w:r>
      <w:r w:rsidR="001B430D" w:rsidRPr="0058432E">
        <w:rPr>
          <w:color w:val="000000" w:themeColor="text1"/>
        </w:rPr>
        <w:t>toutes les deux semaines</w:t>
      </w:r>
      <w:r w:rsidRPr="0058432E">
        <w:rPr>
          <w:color w:val="000000" w:themeColor="text1"/>
        </w:rPr>
        <w:t xml:space="preserve">. </w:t>
      </w:r>
    </w:p>
    <w:p w14:paraId="593A5974" w14:textId="77777777" w:rsidR="00C46587" w:rsidRPr="0058432E" w:rsidRDefault="00C46587" w:rsidP="00982118">
      <w:pPr>
        <w:rPr>
          <w:color w:val="000000" w:themeColor="text1"/>
        </w:rPr>
      </w:pPr>
    </w:p>
    <w:p w14:paraId="2E868CC9" w14:textId="77777777" w:rsidR="00C46587" w:rsidRPr="0058432E" w:rsidRDefault="00C46587" w:rsidP="00982118">
      <w:pPr>
        <w:rPr>
          <w:color w:val="000000" w:themeColor="text1"/>
        </w:rPr>
      </w:pPr>
      <w:r w:rsidRPr="0058432E">
        <w:rPr>
          <w:color w:val="000000" w:themeColor="text1"/>
        </w:rPr>
        <w:t xml:space="preserve">La poursuite du traitement au-delà de 16 semaines doit être soigneusement reconsidérée chez un patient n’ayant pas répondu dans ces délais. </w:t>
      </w:r>
    </w:p>
    <w:p w14:paraId="7AD3C618" w14:textId="77777777" w:rsidR="00C46587" w:rsidRPr="0058432E" w:rsidRDefault="00C46587" w:rsidP="00982118">
      <w:pPr>
        <w:rPr>
          <w:color w:val="000000" w:themeColor="text1"/>
        </w:rPr>
      </w:pPr>
    </w:p>
    <w:p w14:paraId="29638713" w14:textId="77777777" w:rsidR="00C46587" w:rsidRPr="0058432E" w:rsidRDefault="00C46587" w:rsidP="00982118">
      <w:pPr>
        <w:rPr>
          <w:color w:val="000000" w:themeColor="text1"/>
        </w:rPr>
      </w:pPr>
      <w:r w:rsidRPr="0058432E">
        <w:rPr>
          <w:color w:val="000000" w:themeColor="text1"/>
        </w:rPr>
        <w:t xml:space="preserve">Au-delà de 16 semaines, en cas de réponse insuffisante à Amsparity 40 mg toutes les deux semaines, les patients peuvent bénéficier d’une augmentation de la posologie à 40 mg toutes les semaines ou 80 mg toutes les deux semaines. Les bénéfices et les risques d’un traitement continu de 40 mg toutes les semaines ou 80 mg toutes les deux semaines doivent être soigneusement reconsidérés chez un patient en cas de réponse insuffisante après l’augmentation de la posologie (voir rubrique 5.1). En cas </w:t>
      </w:r>
      <w:r w:rsidRPr="0058432E">
        <w:rPr>
          <w:color w:val="000000" w:themeColor="text1"/>
        </w:rPr>
        <w:lastRenderedPageBreak/>
        <w:t xml:space="preserve">de réponse suffisante obtenue avec 40 mg toutes les semaines ou 80 mg toutes les deux semaines, la posologie peut ensuite être réduite à 40 mg toutes les </w:t>
      </w:r>
      <w:r w:rsidR="00BA7A54" w:rsidRPr="0058432E">
        <w:rPr>
          <w:color w:val="000000" w:themeColor="text1"/>
        </w:rPr>
        <w:t>deux</w:t>
      </w:r>
      <w:r w:rsidRPr="0058432E">
        <w:rPr>
          <w:color w:val="000000" w:themeColor="text1"/>
        </w:rPr>
        <w:t xml:space="preserve"> semaines. </w:t>
      </w:r>
    </w:p>
    <w:p w14:paraId="6A419D38" w14:textId="77777777" w:rsidR="00C46587" w:rsidRPr="0058432E" w:rsidRDefault="00C46587" w:rsidP="00982118">
      <w:pPr>
        <w:rPr>
          <w:color w:val="000000" w:themeColor="text1"/>
        </w:rPr>
      </w:pPr>
    </w:p>
    <w:p w14:paraId="72396BD2" w14:textId="77777777" w:rsidR="005D644B"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1FEA4882" w14:textId="77777777" w:rsidR="005D644B" w:rsidRPr="0058432E" w:rsidRDefault="005D644B" w:rsidP="00982118">
      <w:pPr>
        <w:rPr>
          <w:color w:val="000000" w:themeColor="text1"/>
        </w:rPr>
      </w:pPr>
    </w:p>
    <w:p w14:paraId="79EC6862" w14:textId="77777777" w:rsidR="00C46587" w:rsidRPr="0058432E" w:rsidRDefault="00C46587" w:rsidP="00DC3A99">
      <w:pPr>
        <w:keepNext/>
        <w:rPr>
          <w:i/>
          <w:color w:val="000000" w:themeColor="text1"/>
        </w:rPr>
      </w:pPr>
      <w:r w:rsidRPr="0058432E">
        <w:rPr>
          <w:i/>
          <w:color w:val="000000" w:themeColor="text1"/>
        </w:rPr>
        <w:t xml:space="preserve">Hidrosadénite suppurée </w:t>
      </w:r>
    </w:p>
    <w:p w14:paraId="7D6D6A8A" w14:textId="77777777" w:rsidR="00C46587" w:rsidRPr="0058432E" w:rsidRDefault="00C46587" w:rsidP="00DC3A99">
      <w:pPr>
        <w:keepNext/>
        <w:rPr>
          <w:color w:val="000000" w:themeColor="text1"/>
        </w:rPr>
      </w:pPr>
    </w:p>
    <w:p w14:paraId="699D228C" w14:textId="77777777" w:rsidR="00C46587" w:rsidRPr="0058432E" w:rsidRDefault="00C46587" w:rsidP="00982118">
      <w:pPr>
        <w:rPr>
          <w:color w:val="000000" w:themeColor="text1"/>
        </w:rPr>
      </w:pPr>
      <w:r w:rsidRPr="0058432E">
        <w:rPr>
          <w:color w:val="000000" w:themeColor="text1"/>
        </w:rPr>
        <w:t xml:space="preserve">Le schéma posologique recommandé d’Amsparity chez les patients adultes atteints d’hidrosadénite suppurée (HS) est d’une dose initiale de 160 mg au Jour 1 (administrée sous forme de 4 injections de 40 mg sur un jour ou de 2 injections de 40 mg par jour pendant deux jours consécutifs), suivie d’une dose de 80 mg deux semaines après au Jour 15 (administrée sous forme de 2 injections de 40 mg sur un jour). Deux semaines plus tard (Jour 29), poursuivre avec une dose de 40 mg </w:t>
      </w:r>
      <w:r w:rsidR="00432F58" w:rsidRPr="0058432E">
        <w:rPr>
          <w:color w:val="000000" w:themeColor="text1"/>
        </w:rPr>
        <w:t>toutes les</w:t>
      </w:r>
      <w:r w:rsidRPr="0058432E">
        <w:rPr>
          <w:color w:val="000000" w:themeColor="text1"/>
        </w:rPr>
        <w:t xml:space="preserve"> semaine</w:t>
      </w:r>
      <w:r w:rsidR="00432F58" w:rsidRPr="0058432E">
        <w:rPr>
          <w:color w:val="000000" w:themeColor="text1"/>
        </w:rPr>
        <w:t>s</w:t>
      </w:r>
      <w:r w:rsidRPr="0058432E">
        <w:rPr>
          <w:color w:val="000000" w:themeColor="text1"/>
        </w:rPr>
        <w:t xml:space="preserve"> ou de 80 mg toutes les deux semaines (administrés sous forme de deux injections de 40 mg par jour). Si nécessaire, les antibiotiques peuvent être poursuivis au cours du traitement par Amsparity. Au cours du traitement par Amsparity, il est recommandé au patient de nettoyer quotidiennement ses lésions </w:t>
      </w:r>
      <w:r w:rsidR="006E3E21" w:rsidRPr="0058432E">
        <w:rPr>
          <w:color w:val="000000" w:themeColor="text1"/>
        </w:rPr>
        <w:t>d’</w:t>
      </w:r>
      <w:r w:rsidR="00103DA2" w:rsidRPr="0058432E">
        <w:rPr>
          <w:color w:val="000000" w:themeColor="text1"/>
        </w:rPr>
        <w:t xml:space="preserve">HS </w:t>
      </w:r>
      <w:r w:rsidRPr="0058432E">
        <w:rPr>
          <w:color w:val="000000" w:themeColor="text1"/>
        </w:rPr>
        <w:t xml:space="preserve">avec un antiseptique topique. </w:t>
      </w:r>
    </w:p>
    <w:p w14:paraId="4C433CC9" w14:textId="77777777" w:rsidR="00C46587" w:rsidRPr="0058432E" w:rsidRDefault="00C46587" w:rsidP="00982118">
      <w:pPr>
        <w:rPr>
          <w:color w:val="000000" w:themeColor="text1"/>
        </w:rPr>
      </w:pPr>
    </w:p>
    <w:p w14:paraId="4A7FC263" w14:textId="77777777" w:rsidR="00C46587" w:rsidRPr="0058432E" w:rsidRDefault="00C46587" w:rsidP="00982118">
      <w:pPr>
        <w:rPr>
          <w:color w:val="000000" w:themeColor="text1"/>
        </w:rPr>
      </w:pPr>
      <w:r w:rsidRPr="0058432E">
        <w:rPr>
          <w:color w:val="000000" w:themeColor="text1"/>
        </w:rPr>
        <w:t xml:space="preserve">La poursuite du traitement au-delà de 12 semaines doit être soigneusement reconsidérée chez les patients ne présentant pas d’amélioration pendant cette période. </w:t>
      </w:r>
    </w:p>
    <w:p w14:paraId="225121DD" w14:textId="77777777" w:rsidR="00C46587" w:rsidRPr="0058432E" w:rsidRDefault="00C46587" w:rsidP="00982118">
      <w:pPr>
        <w:rPr>
          <w:color w:val="000000" w:themeColor="text1"/>
        </w:rPr>
      </w:pPr>
    </w:p>
    <w:p w14:paraId="1D8CE338" w14:textId="77777777" w:rsidR="00C46587" w:rsidRPr="0058432E" w:rsidRDefault="00C46587" w:rsidP="00982118">
      <w:pPr>
        <w:rPr>
          <w:color w:val="000000" w:themeColor="text1"/>
        </w:rPr>
      </w:pPr>
      <w:r w:rsidRPr="0058432E">
        <w:rPr>
          <w:color w:val="000000" w:themeColor="text1"/>
        </w:rPr>
        <w:t xml:space="preserve">Si le traitement est interrompu, Amsparity 40 mg toutes les semaines ou 80 mg toutes les deux semaines pourrait être réintroduit (voir rubrique 5.1). </w:t>
      </w:r>
    </w:p>
    <w:p w14:paraId="40F59D35" w14:textId="77777777" w:rsidR="00C46587" w:rsidRPr="0058432E" w:rsidRDefault="00C46587" w:rsidP="00982118">
      <w:pPr>
        <w:rPr>
          <w:color w:val="000000" w:themeColor="text1"/>
        </w:rPr>
      </w:pPr>
    </w:p>
    <w:p w14:paraId="299CC722" w14:textId="77777777" w:rsidR="00C46587" w:rsidRPr="0058432E" w:rsidRDefault="00C46587" w:rsidP="00982118">
      <w:pPr>
        <w:rPr>
          <w:color w:val="000000" w:themeColor="text1"/>
        </w:rPr>
      </w:pPr>
      <w:r w:rsidRPr="0058432E">
        <w:rPr>
          <w:color w:val="000000" w:themeColor="text1"/>
        </w:rPr>
        <w:t xml:space="preserve">Le bénéfice et le risque d’un traitement continu à long terme doivent faire l’objet d’une évaluation régulière (voir rubrique 5.1). </w:t>
      </w:r>
    </w:p>
    <w:p w14:paraId="7E9024C3" w14:textId="77777777" w:rsidR="00C46587" w:rsidRPr="0058432E" w:rsidRDefault="00C46587" w:rsidP="00982118">
      <w:pPr>
        <w:rPr>
          <w:color w:val="000000" w:themeColor="text1"/>
        </w:rPr>
      </w:pPr>
    </w:p>
    <w:p w14:paraId="7ADF3CA1" w14:textId="77777777" w:rsidR="004C3306"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6125ECFD" w14:textId="77777777" w:rsidR="004C3306" w:rsidRPr="0058432E" w:rsidRDefault="004C3306" w:rsidP="00982118">
      <w:pPr>
        <w:rPr>
          <w:color w:val="000000" w:themeColor="text1"/>
        </w:rPr>
      </w:pPr>
    </w:p>
    <w:p w14:paraId="07019389" w14:textId="77777777" w:rsidR="00C46587" w:rsidRPr="0058432E" w:rsidRDefault="00C46587" w:rsidP="00982118">
      <w:pPr>
        <w:keepNext/>
        <w:rPr>
          <w:i/>
          <w:color w:val="000000" w:themeColor="text1"/>
        </w:rPr>
      </w:pPr>
      <w:r w:rsidRPr="0058432E">
        <w:rPr>
          <w:i/>
          <w:color w:val="000000" w:themeColor="text1"/>
        </w:rPr>
        <w:t xml:space="preserve">Maladie de Crohn </w:t>
      </w:r>
    </w:p>
    <w:p w14:paraId="62859847" w14:textId="77777777" w:rsidR="00C46587" w:rsidRPr="0058432E" w:rsidRDefault="00C46587" w:rsidP="00982118">
      <w:pPr>
        <w:keepNext/>
        <w:rPr>
          <w:color w:val="000000" w:themeColor="text1"/>
        </w:rPr>
      </w:pPr>
    </w:p>
    <w:p w14:paraId="3A2FCDC2" w14:textId="77777777" w:rsidR="00C46587" w:rsidRPr="0058432E" w:rsidRDefault="00C46587" w:rsidP="00982118">
      <w:pPr>
        <w:rPr>
          <w:color w:val="000000" w:themeColor="text1"/>
        </w:rPr>
      </w:pPr>
      <w:r w:rsidRPr="0058432E">
        <w:rPr>
          <w:color w:val="000000" w:themeColor="text1"/>
        </w:rPr>
        <w:t xml:space="preserve">Chez les patients adultes atteints de maladie de Crohn active modérée à sévère, le schéma posologique d’induction recommandé d’Amsparity est de 80 mg à la semaine 0, suivis de 40 mg à la semaine 2. S’il est nécessaire d’obtenir une réponse plus rapide au traitement, le schéma 160 mg à la semaine 0 (administrés sous forme de 4 injections de 40 mg par jour ou de 2 injections de 40 mg par jour pendant deux jours consécutifs), </w:t>
      </w:r>
      <w:r w:rsidR="00671B82" w:rsidRPr="0058432E">
        <w:rPr>
          <w:color w:val="000000" w:themeColor="text1"/>
        </w:rPr>
        <w:t xml:space="preserve">puis </w:t>
      </w:r>
      <w:r w:rsidRPr="0058432E">
        <w:rPr>
          <w:color w:val="000000" w:themeColor="text1"/>
        </w:rPr>
        <w:t xml:space="preserve">80 mg à la semaine 2 (administrés sous forme de deux injections de 40 mg par jour), peut être utilisé sachant que le risque d’événements indésirables est plus élevé pendant cette phase d’induction. </w:t>
      </w:r>
    </w:p>
    <w:p w14:paraId="56F56FE1" w14:textId="77777777" w:rsidR="00C46587" w:rsidRPr="0058432E" w:rsidRDefault="00C46587" w:rsidP="00982118">
      <w:pPr>
        <w:rPr>
          <w:color w:val="000000" w:themeColor="text1"/>
        </w:rPr>
      </w:pPr>
    </w:p>
    <w:p w14:paraId="20D1F3DD" w14:textId="77777777" w:rsidR="00C46587" w:rsidRPr="0058432E" w:rsidRDefault="00C46587" w:rsidP="00982118">
      <w:pPr>
        <w:rPr>
          <w:color w:val="000000" w:themeColor="text1"/>
        </w:rPr>
      </w:pPr>
      <w:r w:rsidRPr="0058432E">
        <w:rPr>
          <w:color w:val="000000" w:themeColor="text1"/>
        </w:rPr>
        <w:t>Après le traitement d’induction, la posologie recommandée est une dose de 40 mg administrée toutes les deux semaines, en injection sous-cutanée. Si un patient a arrêté le traitement par Amsparity et si les signes et symptômes de la maladie réapparaissent, Amsparity pourra être ré</w:t>
      </w:r>
      <w:r w:rsidRPr="0058432E">
        <w:rPr>
          <w:color w:val="000000" w:themeColor="text1"/>
        </w:rPr>
        <w:noBreakHyphen/>
        <w:t>administré. L’expérience de la ré</w:t>
      </w:r>
      <w:r w:rsidRPr="0058432E">
        <w:rPr>
          <w:color w:val="000000" w:themeColor="text1"/>
        </w:rPr>
        <w:noBreakHyphen/>
        <w:t xml:space="preserve">administration du traitement au-delà de 8 semaines après la dose précédente est limitée. </w:t>
      </w:r>
    </w:p>
    <w:p w14:paraId="3185390E" w14:textId="77777777" w:rsidR="00C46587" w:rsidRPr="0058432E" w:rsidRDefault="00C46587" w:rsidP="00982118">
      <w:pPr>
        <w:rPr>
          <w:color w:val="000000" w:themeColor="text1"/>
        </w:rPr>
      </w:pPr>
    </w:p>
    <w:p w14:paraId="5EEAAAC5" w14:textId="77777777" w:rsidR="00C46587" w:rsidRPr="0058432E" w:rsidRDefault="00C46587" w:rsidP="00982118">
      <w:pPr>
        <w:rPr>
          <w:color w:val="000000" w:themeColor="text1"/>
        </w:rPr>
      </w:pPr>
      <w:r w:rsidRPr="0058432E">
        <w:rPr>
          <w:color w:val="000000" w:themeColor="text1"/>
        </w:rPr>
        <w:t xml:space="preserve">Pendant le traitement d'entretien, les corticoïdes pourront être progressivement diminués conformément aux recommandations de pratique clinique. </w:t>
      </w:r>
    </w:p>
    <w:p w14:paraId="6BA63BDA" w14:textId="77777777" w:rsidR="00C46587" w:rsidRPr="0058432E" w:rsidRDefault="00C46587" w:rsidP="00982118">
      <w:pPr>
        <w:rPr>
          <w:color w:val="000000" w:themeColor="text1"/>
        </w:rPr>
      </w:pPr>
    </w:p>
    <w:p w14:paraId="635316CD" w14:textId="77777777" w:rsidR="00C46587" w:rsidRPr="0058432E" w:rsidRDefault="00C46587" w:rsidP="00982118">
      <w:pPr>
        <w:rPr>
          <w:color w:val="000000" w:themeColor="text1"/>
        </w:rPr>
      </w:pPr>
      <w:r w:rsidRPr="0058432E">
        <w:rPr>
          <w:color w:val="000000" w:themeColor="text1"/>
        </w:rPr>
        <w:t xml:space="preserve">Certains patients chez qui une diminution de la réponse </w:t>
      </w:r>
      <w:r w:rsidR="00A964DC" w:rsidRPr="0058432E">
        <w:rPr>
          <w:color w:val="000000" w:themeColor="text1"/>
        </w:rPr>
        <w:t>par Amsparity</w:t>
      </w:r>
      <w:r w:rsidRPr="0058432E">
        <w:rPr>
          <w:color w:val="000000" w:themeColor="text1"/>
        </w:rPr>
        <w:t xml:space="preserve"> 40 mg toutes les deux semaines est observée</w:t>
      </w:r>
      <w:r w:rsidR="00A964DC" w:rsidRPr="0058432E">
        <w:rPr>
          <w:color w:val="000000" w:themeColor="text1"/>
        </w:rPr>
        <w:t>,</w:t>
      </w:r>
      <w:r w:rsidRPr="0058432E">
        <w:rPr>
          <w:color w:val="000000" w:themeColor="text1"/>
        </w:rPr>
        <w:t xml:space="preserve"> peuvent bénéficier d’une augmentation de la posologie à 40 mg d’Amsparity toutes les semaines ou 80 mg toutes les deux semaines. </w:t>
      </w:r>
    </w:p>
    <w:p w14:paraId="059E9303" w14:textId="77777777" w:rsidR="00C46587" w:rsidRPr="0058432E" w:rsidRDefault="00C46587" w:rsidP="00982118">
      <w:pPr>
        <w:rPr>
          <w:color w:val="000000" w:themeColor="text1"/>
        </w:rPr>
      </w:pPr>
    </w:p>
    <w:p w14:paraId="2F7A9A14" w14:textId="77777777" w:rsidR="00C46587" w:rsidRPr="0058432E" w:rsidRDefault="00C46587" w:rsidP="00982118">
      <w:pPr>
        <w:rPr>
          <w:color w:val="000000" w:themeColor="text1"/>
        </w:rPr>
      </w:pPr>
      <w:r w:rsidRPr="0058432E">
        <w:rPr>
          <w:color w:val="000000" w:themeColor="text1"/>
        </w:rPr>
        <w:t xml:space="preserve">Certains patients n’ayant pas répondu au traitement à la semaine 4 peuvent poursuivre le traitement d’entretien jusqu’à la semaine 12. La poursuite du traitement devra être soigneusement reconsidérée chez un patient n’ayant pas répondu dans ces délais. </w:t>
      </w:r>
    </w:p>
    <w:p w14:paraId="0D75CFC1" w14:textId="77777777" w:rsidR="00C46587" w:rsidRPr="0058432E" w:rsidRDefault="00C46587" w:rsidP="00982118">
      <w:pPr>
        <w:rPr>
          <w:color w:val="000000" w:themeColor="text1"/>
        </w:rPr>
      </w:pPr>
    </w:p>
    <w:p w14:paraId="7BAFD475" w14:textId="77777777" w:rsidR="00694D04" w:rsidRPr="0058432E" w:rsidRDefault="006A1144" w:rsidP="00982118">
      <w:pPr>
        <w:autoSpaceDE w:val="0"/>
        <w:autoSpaceDN w:val="0"/>
        <w:adjustRightInd w:val="0"/>
        <w:rPr>
          <w:color w:val="000000" w:themeColor="text1"/>
        </w:rPr>
      </w:pPr>
      <w:r w:rsidRPr="0058432E">
        <w:rPr>
          <w:color w:val="000000" w:themeColor="text1"/>
        </w:rPr>
        <w:lastRenderedPageBreak/>
        <w:t>D’autres dosages et/ou présentations d’Amsparity peuvent être disponibles en fonction des besoins thérapeutiques de chaque patient.</w:t>
      </w:r>
    </w:p>
    <w:p w14:paraId="2376994C" w14:textId="77777777" w:rsidR="00694D04" w:rsidRPr="0058432E" w:rsidRDefault="00694D04" w:rsidP="00982118">
      <w:pPr>
        <w:rPr>
          <w:color w:val="000000" w:themeColor="text1"/>
        </w:rPr>
      </w:pPr>
    </w:p>
    <w:p w14:paraId="17E3B7C7" w14:textId="77777777" w:rsidR="00C46587" w:rsidRPr="0058432E" w:rsidRDefault="00C46587" w:rsidP="00DC3A99">
      <w:pPr>
        <w:keepNext/>
        <w:rPr>
          <w:i/>
          <w:color w:val="000000" w:themeColor="text1"/>
        </w:rPr>
      </w:pPr>
      <w:r w:rsidRPr="0058432E">
        <w:rPr>
          <w:i/>
          <w:color w:val="000000" w:themeColor="text1"/>
        </w:rPr>
        <w:t xml:space="preserve">Rectocolite hémorragique </w:t>
      </w:r>
    </w:p>
    <w:p w14:paraId="160E057E" w14:textId="77777777" w:rsidR="00C46587" w:rsidRPr="0058432E" w:rsidRDefault="00C46587" w:rsidP="00DC3A99">
      <w:pPr>
        <w:keepNext/>
        <w:rPr>
          <w:color w:val="000000" w:themeColor="text1"/>
        </w:rPr>
      </w:pPr>
    </w:p>
    <w:p w14:paraId="32F56F18" w14:textId="77777777" w:rsidR="00C46587" w:rsidRPr="0058432E" w:rsidRDefault="00C46587" w:rsidP="00982118">
      <w:pPr>
        <w:rPr>
          <w:color w:val="000000" w:themeColor="text1"/>
        </w:rPr>
      </w:pPr>
      <w:r w:rsidRPr="0058432E">
        <w:rPr>
          <w:color w:val="000000" w:themeColor="text1"/>
        </w:rPr>
        <w:t>Chez les patients adultes atteints de rectocolite hémorragique modérée à sévère, le schéma posologique d’induction recommandé d’Amsparity est de 160 mg à la semaine 0 (administrés sous forme de 4</w:t>
      </w:r>
      <w:r w:rsidR="004C1D7E" w:rsidRPr="0058432E">
        <w:rPr>
          <w:color w:val="000000" w:themeColor="text1"/>
        </w:rPr>
        <w:t> </w:t>
      </w:r>
      <w:r w:rsidRPr="0058432E">
        <w:rPr>
          <w:color w:val="000000" w:themeColor="text1"/>
        </w:rPr>
        <w:t xml:space="preserve">injections de 40 mg par jour ou de 2 injections de 40 mg par jour pendant deux jours consécutifs) et de 80 mg à la semaine 2 (administrés sous forme de deux injections de 40 mg par jour). Après le traitement d’induction, la posologie recommandée est de 40 mg administrée toutes les deux semaines, en injection sous-cutanée. </w:t>
      </w:r>
    </w:p>
    <w:p w14:paraId="0CB3A7AA" w14:textId="77777777" w:rsidR="00C46587" w:rsidRPr="0058432E" w:rsidRDefault="00C46587" w:rsidP="00982118">
      <w:pPr>
        <w:rPr>
          <w:color w:val="000000" w:themeColor="text1"/>
        </w:rPr>
      </w:pPr>
    </w:p>
    <w:p w14:paraId="6333E438" w14:textId="77777777" w:rsidR="00C46587" w:rsidRPr="0058432E" w:rsidRDefault="00C46587" w:rsidP="00982118">
      <w:pPr>
        <w:rPr>
          <w:color w:val="000000" w:themeColor="text1"/>
        </w:rPr>
      </w:pPr>
      <w:r w:rsidRPr="0058432E">
        <w:rPr>
          <w:color w:val="000000" w:themeColor="text1"/>
        </w:rPr>
        <w:t xml:space="preserve">Pendant le traitement d'entretien, les corticoïdes pourront être progressivement diminués conformément aux recommandations de pratique clinique. </w:t>
      </w:r>
    </w:p>
    <w:p w14:paraId="58C732C6" w14:textId="77777777" w:rsidR="00C46587" w:rsidRPr="0058432E" w:rsidRDefault="00C46587" w:rsidP="00982118">
      <w:pPr>
        <w:rPr>
          <w:color w:val="000000" w:themeColor="text1"/>
        </w:rPr>
      </w:pPr>
    </w:p>
    <w:p w14:paraId="6CF3CE7D" w14:textId="77777777" w:rsidR="00C46587" w:rsidRPr="0058432E" w:rsidRDefault="00C46587" w:rsidP="00982118">
      <w:pPr>
        <w:rPr>
          <w:color w:val="000000" w:themeColor="text1"/>
        </w:rPr>
      </w:pPr>
      <w:r w:rsidRPr="0058432E">
        <w:rPr>
          <w:color w:val="000000" w:themeColor="text1"/>
        </w:rPr>
        <w:t xml:space="preserve">Certains patients chez qui une diminution de la réponse au traitement </w:t>
      </w:r>
      <w:r w:rsidR="00432F58" w:rsidRPr="0058432E">
        <w:rPr>
          <w:color w:val="000000" w:themeColor="text1"/>
        </w:rPr>
        <w:t xml:space="preserve">par Amsparity </w:t>
      </w:r>
      <w:r w:rsidRPr="0058432E">
        <w:rPr>
          <w:color w:val="000000" w:themeColor="text1"/>
        </w:rPr>
        <w:t>40mg toutes les deux semaines est observée</w:t>
      </w:r>
      <w:r w:rsidR="0060301C" w:rsidRPr="0058432E">
        <w:rPr>
          <w:color w:val="000000" w:themeColor="text1"/>
        </w:rPr>
        <w:t>,</w:t>
      </w:r>
      <w:r w:rsidRPr="0058432E">
        <w:rPr>
          <w:color w:val="000000" w:themeColor="text1"/>
        </w:rPr>
        <w:t xml:space="preserve"> peuvent bénéficier d’une augmentation de la posologie à 40 mg d’Amsparity toutes les semaines ou 80 mg toutes les deux semaines. </w:t>
      </w:r>
    </w:p>
    <w:p w14:paraId="60457537" w14:textId="77777777" w:rsidR="00C46587" w:rsidRPr="0058432E" w:rsidRDefault="00C46587" w:rsidP="00982118">
      <w:pPr>
        <w:rPr>
          <w:color w:val="000000" w:themeColor="text1"/>
        </w:rPr>
      </w:pPr>
    </w:p>
    <w:p w14:paraId="63AE96B8" w14:textId="77777777" w:rsidR="00C46587" w:rsidRPr="0058432E" w:rsidRDefault="00C46587" w:rsidP="00982118">
      <w:pPr>
        <w:rPr>
          <w:color w:val="000000" w:themeColor="text1"/>
        </w:rPr>
      </w:pPr>
      <w:r w:rsidRPr="0058432E">
        <w:rPr>
          <w:color w:val="000000" w:themeColor="text1"/>
        </w:rPr>
        <w:t xml:space="preserve">Les données disponibles laissent supposer que la réponse clinique est habituellement obtenue en 2 à 8 semaines de traitement. Le traitement par Amsparity ne doit pas être poursuivi chez les patients n’ayant pas répondu dans ces délais. </w:t>
      </w:r>
    </w:p>
    <w:p w14:paraId="3BD90595" w14:textId="77777777" w:rsidR="00C46587" w:rsidRPr="0058432E" w:rsidRDefault="00C46587" w:rsidP="00982118">
      <w:pPr>
        <w:rPr>
          <w:color w:val="000000" w:themeColor="text1"/>
        </w:rPr>
      </w:pPr>
    </w:p>
    <w:p w14:paraId="0FB7FED2" w14:textId="77777777" w:rsidR="002A6BAF"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20B78207" w14:textId="77777777" w:rsidR="002A6BAF" w:rsidRPr="0058432E" w:rsidRDefault="002A6BAF" w:rsidP="00982118">
      <w:pPr>
        <w:rPr>
          <w:color w:val="000000" w:themeColor="text1"/>
        </w:rPr>
      </w:pPr>
    </w:p>
    <w:p w14:paraId="3B0401D0" w14:textId="77777777" w:rsidR="00C46587" w:rsidRPr="0058432E" w:rsidRDefault="00C46587" w:rsidP="00DC3A99">
      <w:pPr>
        <w:keepNext/>
        <w:rPr>
          <w:i/>
          <w:color w:val="000000" w:themeColor="text1"/>
        </w:rPr>
      </w:pPr>
      <w:r w:rsidRPr="0058432E">
        <w:rPr>
          <w:i/>
          <w:color w:val="000000" w:themeColor="text1"/>
        </w:rPr>
        <w:t xml:space="preserve">Uvéite </w:t>
      </w:r>
    </w:p>
    <w:p w14:paraId="23C6560A" w14:textId="77777777" w:rsidR="00C46587" w:rsidRPr="0058432E" w:rsidRDefault="00C46587" w:rsidP="00DC3A99">
      <w:pPr>
        <w:keepNext/>
        <w:rPr>
          <w:color w:val="000000" w:themeColor="text1"/>
        </w:rPr>
      </w:pPr>
    </w:p>
    <w:p w14:paraId="0ADF906F" w14:textId="77777777" w:rsidR="00C46587" w:rsidRPr="0058432E" w:rsidRDefault="00C46587" w:rsidP="00982118">
      <w:pPr>
        <w:rPr>
          <w:color w:val="000000" w:themeColor="text1"/>
        </w:rPr>
      </w:pPr>
      <w:r w:rsidRPr="0058432E">
        <w:rPr>
          <w:color w:val="000000" w:themeColor="text1"/>
        </w:rPr>
        <w:t xml:space="preserve">Chez les patients adultes atteints d’uvéite, la posologie recommandée d’Amsparity est d’une dose initiale de 80 mg suivie d’une dose de 40 mg toutes les deux semaines en commençant une semaine après l’administration de la première dose. L’expérience sur l’instauration du traitement par Amsparity en monothérapie est limitée. Le traitement par Amsparity peut être débuté en association avec une corticothérapie et/ou avec d’autres traitements immunomodulateurs non biologiques. La dose de corticoïdes associée peut être progressivement diminuée conformément à la pratique clinique, en débutant deux semaines après l’instauration du traitement par Amsparity. </w:t>
      </w:r>
    </w:p>
    <w:p w14:paraId="3DB49AC9" w14:textId="77777777" w:rsidR="00C46587" w:rsidRPr="0058432E" w:rsidRDefault="00C46587" w:rsidP="00982118">
      <w:pPr>
        <w:rPr>
          <w:color w:val="000000" w:themeColor="text1"/>
        </w:rPr>
      </w:pPr>
    </w:p>
    <w:p w14:paraId="54A2EE28" w14:textId="77777777" w:rsidR="00C46587" w:rsidRPr="0058432E" w:rsidRDefault="00C46587" w:rsidP="00982118">
      <w:pPr>
        <w:rPr>
          <w:color w:val="000000" w:themeColor="text1"/>
        </w:rPr>
      </w:pPr>
      <w:r w:rsidRPr="0058432E">
        <w:rPr>
          <w:color w:val="000000" w:themeColor="text1"/>
        </w:rPr>
        <w:t xml:space="preserve">Une réévaluation annuelle des bénéfices et des risques associés au traitement continu à long terme est recommandée (voir rubrique 5.1). </w:t>
      </w:r>
    </w:p>
    <w:p w14:paraId="099745E8" w14:textId="77777777" w:rsidR="00C46587" w:rsidRPr="0058432E" w:rsidRDefault="00C46587" w:rsidP="00982118">
      <w:pPr>
        <w:rPr>
          <w:color w:val="000000" w:themeColor="text1"/>
        </w:rPr>
      </w:pPr>
    </w:p>
    <w:p w14:paraId="0B6192CD" w14:textId="77777777" w:rsidR="009A75C3"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39497AD2" w14:textId="77777777" w:rsidR="009A75C3" w:rsidRPr="0058432E" w:rsidRDefault="009A75C3" w:rsidP="00982118">
      <w:pPr>
        <w:rPr>
          <w:color w:val="000000" w:themeColor="text1"/>
        </w:rPr>
      </w:pPr>
    </w:p>
    <w:p w14:paraId="52F9948B" w14:textId="77777777" w:rsidR="009963F3" w:rsidRPr="0058432E" w:rsidRDefault="009963F3" w:rsidP="00982118">
      <w:pPr>
        <w:keepNext/>
        <w:rPr>
          <w:color w:val="000000" w:themeColor="text1"/>
          <w:u w:val="single"/>
        </w:rPr>
      </w:pPr>
      <w:r w:rsidRPr="0058432E">
        <w:rPr>
          <w:color w:val="000000" w:themeColor="text1"/>
          <w:u w:val="single"/>
        </w:rPr>
        <w:t>Populations particulières</w:t>
      </w:r>
    </w:p>
    <w:p w14:paraId="4BC4728F" w14:textId="77777777" w:rsidR="009963F3" w:rsidRPr="0058432E" w:rsidRDefault="009963F3" w:rsidP="00982118">
      <w:pPr>
        <w:keepNext/>
        <w:rPr>
          <w:color w:val="000000" w:themeColor="text1"/>
          <w:u w:val="single"/>
        </w:rPr>
      </w:pPr>
    </w:p>
    <w:p w14:paraId="4A6BBE87" w14:textId="77777777" w:rsidR="00C46587" w:rsidRPr="0058432E" w:rsidRDefault="007710F5" w:rsidP="00982118">
      <w:pPr>
        <w:keepNext/>
        <w:rPr>
          <w:color w:val="000000" w:themeColor="text1"/>
        </w:rPr>
      </w:pPr>
      <w:r w:rsidRPr="0058432E">
        <w:rPr>
          <w:color w:val="000000" w:themeColor="text1"/>
        </w:rPr>
        <w:t>Sujets âgés</w:t>
      </w:r>
    </w:p>
    <w:p w14:paraId="22790E12" w14:textId="77777777" w:rsidR="00C46587" w:rsidRPr="0058432E" w:rsidRDefault="00C46587" w:rsidP="00982118">
      <w:pPr>
        <w:keepNext/>
        <w:rPr>
          <w:color w:val="000000" w:themeColor="text1"/>
        </w:rPr>
      </w:pPr>
    </w:p>
    <w:p w14:paraId="191D97E4" w14:textId="77777777" w:rsidR="00C46587" w:rsidRPr="0058432E" w:rsidRDefault="00C46587" w:rsidP="00982118">
      <w:pPr>
        <w:rPr>
          <w:color w:val="000000" w:themeColor="text1"/>
        </w:rPr>
      </w:pPr>
      <w:r w:rsidRPr="0058432E">
        <w:rPr>
          <w:color w:val="000000" w:themeColor="text1"/>
        </w:rPr>
        <w:t xml:space="preserve">Aucun ajustement de la posologie n'est nécessaire. </w:t>
      </w:r>
    </w:p>
    <w:p w14:paraId="1F58C705" w14:textId="77777777" w:rsidR="00C46587" w:rsidRPr="0058432E" w:rsidRDefault="00C46587" w:rsidP="00982118">
      <w:pPr>
        <w:rPr>
          <w:color w:val="000000" w:themeColor="text1"/>
        </w:rPr>
      </w:pPr>
    </w:p>
    <w:p w14:paraId="2BD7BF58" w14:textId="77777777" w:rsidR="00C46587" w:rsidRPr="0058432E" w:rsidRDefault="007710F5" w:rsidP="00982118">
      <w:pPr>
        <w:rPr>
          <w:color w:val="000000" w:themeColor="text1"/>
        </w:rPr>
      </w:pPr>
      <w:r w:rsidRPr="0058432E">
        <w:rPr>
          <w:color w:val="000000" w:themeColor="text1"/>
        </w:rPr>
        <w:t>Insuffisants rénaux et/ou hépatiques</w:t>
      </w:r>
    </w:p>
    <w:p w14:paraId="0ED4531C" w14:textId="77777777" w:rsidR="00C46587" w:rsidRPr="0058432E" w:rsidRDefault="00C46587" w:rsidP="00982118">
      <w:pPr>
        <w:rPr>
          <w:color w:val="000000" w:themeColor="text1"/>
        </w:rPr>
      </w:pPr>
    </w:p>
    <w:p w14:paraId="02851F3C" w14:textId="77777777" w:rsidR="00C46587" w:rsidRPr="0058432E" w:rsidRDefault="005A4709" w:rsidP="00982118">
      <w:pPr>
        <w:rPr>
          <w:color w:val="000000" w:themeColor="text1"/>
        </w:rPr>
      </w:pPr>
      <w:r w:rsidRPr="0058432E">
        <w:rPr>
          <w:color w:val="000000" w:themeColor="text1"/>
        </w:rPr>
        <w:t xml:space="preserve">L’adalimumab n’a pas été étudié dans ces populations de patients. Il n’est pas possible de recommander des posologies. </w:t>
      </w:r>
    </w:p>
    <w:p w14:paraId="480BEDE7" w14:textId="77777777" w:rsidR="00C46587" w:rsidRPr="0058432E" w:rsidRDefault="00C46587" w:rsidP="00982118">
      <w:pPr>
        <w:rPr>
          <w:color w:val="000000" w:themeColor="text1"/>
        </w:rPr>
      </w:pPr>
    </w:p>
    <w:p w14:paraId="0CB29E1A" w14:textId="77777777" w:rsidR="00C46587" w:rsidRPr="0058432E" w:rsidRDefault="007710F5" w:rsidP="00982118">
      <w:pPr>
        <w:keepNext/>
        <w:rPr>
          <w:color w:val="000000" w:themeColor="text1"/>
        </w:rPr>
      </w:pPr>
      <w:r w:rsidRPr="0058432E">
        <w:rPr>
          <w:color w:val="000000" w:themeColor="text1"/>
        </w:rPr>
        <w:lastRenderedPageBreak/>
        <w:t>Population pédiatrique</w:t>
      </w:r>
    </w:p>
    <w:p w14:paraId="3B67F422" w14:textId="77777777" w:rsidR="00C46587" w:rsidRPr="0058432E" w:rsidRDefault="00C46587" w:rsidP="00982118">
      <w:pPr>
        <w:keepNext/>
        <w:rPr>
          <w:color w:val="000000" w:themeColor="text1"/>
        </w:rPr>
      </w:pPr>
    </w:p>
    <w:p w14:paraId="1E0D8808" w14:textId="77777777" w:rsidR="00C46587" w:rsidRPr="0058432E" w:rsidRDefault="00C46587" w:rsidP="00982118">
      <w:pPr>
        <w:keepNext/>
        <w:rPr>
          <w:i/>
          <w:color w:val="000000" w:themeColor="text1"/>
        </w:rPr>
      </w:pPr>
      <w:r w:rsidRPr="0058432E">
        <w:rPr>
          <w:i/>
          <w:color w:val="000000" w:themeColor="text1"/>
        </w:rPr>
        <w:t xml:space="preserve">Arthrite juvénile idiopathique </w:t>
      </w:r>
    </w:p>
    <w:p w14:paraId="08285FEB" w14:textId="77777777" w:rsidR="00C46587" w:rsidRPr="0058432E" w:rsidRDefault="00C46587" w:rsidP="00982118">
      <w:pPr>
        <w:keepNext/>
        <w:rPr>
          <w:color w:val="000000" w:themeColor="text1"/>
        </w:rPr>
      </w:pPr>
    </w:p>
    <w:p w14:paraId="0FF47904" w14:textId="77777777" w:rsidR="00C46587" w:rsidRPr="0058432E" w:rsidRDefault="00C46587" w:rsidP="00982118">
      <w:pPr>
        <w:rPr>
          <w:i/>
          <w:color w:val="000000" w:themeColor="text1"/>
          <w:u w:val="single"/>
        </w:rPr>
      </w:pPr>
      <w:r w:rsidRPr="0058432E">
        <w:rPr>
          <w:i/>
          <w:color w:val="000000" w:themeColor="text1"/>
          <w:u w:val="single"/>
        </w:rPr>
        <w:t>Arthrite juvénile idiopathique polyarticulaire à partir de 2 ans</w:t>
      </w:r>
    </w:p>
    <w:p w14:paraId="30D33C3C" w14:textId="77777777" w:rsidR="00C46587" w:rsidRPr="0058432E" w:rsidRDefault="00C46587" w:rsidP="00982118">
      <w:pPr>
        <w:rPr>
          <w:color w:val="000000" w:themeColor="text1"/>
        </w:rPr>
      </w:pPr>
    </w:p>
    <w:p w14:paraId="32BAA2F6"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d’arthrite juvénile idiopathique polyarticulaire à partir de l’âge de 2 ans dépend du poids corporel (tableau 1). Amsparity est administré toutes les deux semaines en injection sous-cutanée. </w:t>
      </w:r>
    </w:p>
    <w:p w14:paraId="3D0A970D" w14:textId="77777777" w:rsidR="00C46587" w:rsidRPr="0058432E" w:rsidRDefault="00C46587" w:rsidP="00982118">
      <w:pPr>
        <w:rPr>
          <w:color w:val="000000" w:themeColor="text1"/>
        </w:rPr>
      </w:pPr>
    </w:p>
    <w:p w14:paraId="5A51A5D6" w14:textId="77777777" w:rsidR="00150D33" w:rsidRPr="0058432E" w:rsidRDefault="00C46587" w:rsidP="00A53E17">
      <w:pPr>
        <w:keepNext/>
        <w:rPr>
          <w:b/>
          <w:color w:val="000000" w:themeColor="text1"/>
        </w:rPr>
      </w:pPr>
      <w:r w:rsidRPr="0058432E">
        <w:rPr>
          <w:b/>
          <w:color w:val="000000" w:themeColor="text1"/>
        </w:rPr>
        <w:t>Tableau 1</w:t>
      </w:r>
      <w:r w:rsidR="002A7CDF" w:rsidRPr="0058432E">
        <w:rPr>
          <w:b/>
          <w:color w:val="000000" w:themeColor="text1"/>
        </w:rPr>
        <w:t>.</w:t>
      </w:r>
      <w:r w:rsidRPr="0058432E">
        <w:rPr>
          <w:b/>
          <w:color w:val="000000" w:themeColor="text1"/>
        </w:rPr>
        <w:t xml:space="preserve"> </w:t>
      </w:r>
    </w:p>
    <w:p w14:paraId="0953F3F6" w14:textId="77777777" w:rsidR="00C46587" w:rsidRPr="0058432E" w:rsidRDefault="006A1144" w:rsidP="00A53E17">
      <w:pPr>
        <w:keepNext/>
        <w:rPr>
          <w:b/>
          <w:color w:val="000000" w:themeColor="text1"/>
        </w:rPr>
      </w:pPr>
      <w:r w:rsidRPr="0058432E">
        <w:rPr>
          <w:b/>
          <w:color w:val="000000" w:themeColor="text1"/>
        </w:rPr>
        <w:t>Posologie d’Amsparity chez les patients atteints d’arthrite juvénile idiopathique polyarticulaire</w:t>
      </w:r>
    </w:p>
    <w:p w14:paraId="74C2E973" w14:textId="77777777" w:rsidR="00C46587" w:rsidRPr="0058432E" w:rsidRDefault="00C46587" w:rsidP="00982118">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40"/>
      </w:tblGrid>
      <w:tr w:rsidR="001D51F9" w:rsidRPr="0058432E" w14:paraId="64B4B26A" w14:textId="77777777" w:rsidTr="00A53E17">
        <w:tc>
          <w:tcPr>
            <w:tcW w:w="4651" w:type="dxa"/>
            <w:shd w:val="clear" w:color="auto" w:fill="auto"/>
          </w:tcPr>
          <w:p w14:paraId="7482CCBF" w14:textId="77777777" w:rsidR="001D51F9" w:rsidRPr="0058432E" w:rsidRDefault="001D51F9" w:rsidP="00982118">
            <w:pPr>
              <w:jc w:val="center"/>
              <w:rPr>
                <w:b/>
                <w:color w:val="000000" w:themeColor="text1"/>
              </w:rPr>
            </w:pPr>
            <w:r w:rsidRPr="0058432E">
              <w:rPr>
                <w:b/>
                <w:color w:val="000000" w:themeColor="text1"/>
              </w:rPr>
              <w:t>Poids du patient</w:t>
            </w:r>
          </w:p>
        </w:tc>
        <w:tc>
          <w:tcPr>
            <w:tcW w:w="4652" w:type="dxa"/>
            <w:shd w:val="clear" w:color="auto" w:fill="auto"/>
          </w:tcPr>
          <w:p w14:paraId="58F5B1D9" w14:textId="77777777" w:rsidR="001D51F9" w:rsidRPr="0058432E" w:rsidRDefault="001D51F9" w:rsidP="00982118">
            <w:pPr>
              <w:jc w:val="center"/>
              <w:rPr>
                <w:b/>
                <w:color w:val="000000" w:themeColor="text1"/>
              </w:rPr>
            </w:pPr>
            <w:r w:rsidRPr="0058432E">
              <w:rPr>
                <w:b/>
                <w:color w:val="000000" w:themeColor="text1"/>
              </w:rPr>
              <w:t>Schéma posologique</w:t>
            </w:r>
          </w:p>
        </w:tc>
      </w:tr>
      <w:tr w:rsidR="001D51F9" w:rsidRPr="0058432E" w14:paraId="2B6B2836" w14:textId="77777777" w:rsidTr="00A53E17">
        <w:tc>
          <w:tcPr>
            <w:tcW w:w="4651" w:type="dxa"/>
            <w:shd w:val="clear" w:color="auto" w:fill="auto"/>
          </w:tcPr>
          <w:p w14:paraId="032D6B85" w14:textId="77777777" w:rsidR="001D51F9" w:rsidRPr="0058432E" w:rsidRDefault="001D51F9" w:rsidP="00982118">
            <w:pPr>
              <w:jc w:val="center"/>
              <w:rPr>
                <w:color w:val="000000" w:themeColor="text1"/>
              </w:rPr>
            </w:pPr>
            <w:r w:rsidRPr="0058432E">
              <w:rPr>
                <w:color w:val="000000" w:themeColor="text1"/>
              </w:rPr>
              <w:t>10 kg à &lt; 30 kg</w:t>
            </w:r>
          </w:p>
        </w:tc>
        <w:tc>
          <w:tcPr>
            <w:tcW w:w="4652" w:type="dxa"/>
            <w:shd w:val="clear" w:color="auto" w:fill="auto"/>
          </w:tcPr>
          <w:p w14:paraId="00828D16" w14:textId="77777777" w:rsidR="001D51F9" w:rsidRPr="0058432E" w:rsidRDefault="001D51F9" w:rsidP="00982118">
            <w:pPr>
              <w:jc w:val="center"/>
              <w:rPr>
                <w:color w:val="000000" w:themeColor="text1"/>
              </w:rPr>
            </w:pPr>
            <w:r w:rsidRPr="0058432E">
              <w:rPr>
                <w:color w:val="000000" w:themeColor="text1"/>
              </w:rPr>
              <w:t>20 mg toutes les deux semaines</w:t>
            </w:r>
          </w:p>
        </w:tc>
      </w:tr>
      <w:tr w:rsidR="001D51F9" w:rsidRPr="0058432E" w14:paraId="086DE99A" w14:textId="77777777" w:rsidTr="00A53E17">
        <w:tc>
          <w:tcPr>
            <w:tcW w:w="4651" w:type="dxa"/>
            <w:shd w:val="clear" w:color="auto" w:fill="auto"/>
          </w:tcPr>
          <w:p w14:paraId="48F27854" w14:textId="77777777" w:rsidR="001D51F9" w:rsidRPr="0058432E" w:rsidRDefault="001D51F9" w:rsidP="00982118">
            <w:pPr>
              <w:jc w:val="center"/>
              <w:rPr>
                <w:color w:val="000000" w:themeColor="text1"/>
              </w:rPr>
            </w:pPr>
            <w:r w:rsidRPr="0058432E">
              <w:rPr>
                <w:color w:val="000000" w:themeColor="text1"/>
              </w:rPr>
              <w:t>≥ 30 kg</w:t>
            </w:r>
          </w:p>
        </w:tc>
        <w:tc>
          <w:tcPr>
            <w:tcW w:w="4652" w:type="dxa"/>
            <w:shd w:val="clear" w:color="auto" w:fill="auto"/>
          </w:tcPr>
          <w:p w14:paraId="18FEF79C" w14:textId="77777777" w:rsidR="001D51F9" w:rsidRPr="0058432E" w:rsidRDefault="001D51F9" w:rsidP="00982118">
            <w:pPr>
              <w:jc w:val="center"/>
              <w:rPr>
                <w:color w:val="000000" w:themeColor="text1"/>
              </w:rPr>
            </w:pPr>
            <w:r w:rsidRPr="0058432E">
              <w:rPr>
                <w:color w:val="000000" w:themeColor="text1"/>
              </w:rPr>
              <w:t>40 mg toutes les deux semaines</w:t>
            </w:r>
          </w:p>
        </w:tc>
      </w:tr>
    </w:tbl>
    <w:p w14:paraId="7BA768D2" w14:textId="77777777" w:rsidR="001D51F9" w:rsidRPr="0058432E" w:rsidRDefault="001D51F9" w:rsidP="00982118">
      <w:pPr>
        <w:keepNext/>
        <w:rPr>
          <w:color w:val="000000" w:themeColor="text1"/>
        </w:rPr>
      </w:pPr>
    </w:p>
    <w:p w14:paraId="606D431D" w14:textId="77777777" w:rsidR="00C46587" w:rsidRPr="0058432E" w:rsidRDefault="00C46587" w:rsidP="00982118">
      <w:pPr>
        <w:rPr>
          <w:color w:val="000000" w:themeColor="text1"/>
        </w:rPr>
      </w:pPr>
      <w:r w:rsidRPr="0058432E">
        <w:rPr>
          <w:color w:val="000000" w:themeColor="text1"/>
        </w:rPr>
        <w:t xml:space="preserve">Les données disponibles laissent supposer que la réponse clinique est habituellement obtenue en 12 semaines de traitement. La poursuite du traitement devra être soigneusement reconsidérée chez un patient n’ayant pas répondu dans ces délais. </w:t>
      </w:r>
    </w:p>
    <w:p w14:paraId="5AB48F11" w14:textId="77777777" w:rsidR="00C46587" w:rsidRPr="0058432E" w:rsidRDefault="00C46587" w:rsidP="00982118">
      <w:pPr>
        <w:rPr>
          <w:color w:val="000000" w:themeColor="text1"/>
        </w:rPr>
      </w:pPr>
    </w:p>
    <w:p w14:paraId="5BE16FB7"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patients âgés de moins de 2 ans dans cette indication. </w:t>
      </w:r>
    </w:p>
    <w:p w14:paraId="7287B8F0" w14:textId="77777777" w:rsidR="004D46DF" w:rsidRPr="0058432E" w:rsidRDefault="004D46DF" w:rsidP="00982118">
      <w:pPr>
        <w:autoSpaceDE w:val="0"/>
        <w:autoSpaceDN w:val="0"/>
        <w:adjustRightInd w:val="0"/>
        <w:rPr>
          <w:color w:val="000000" w:themeColor="text1"/>
        </w:rPr>
      </w:pPr>
    </w:p>
    <w:p w14:paraId="5BCEB9E2" w14:textId="77777777" w:rsidR="009A75C3"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24BE061E" w14:textId="77777777" w:rsidR="00C46587" w:rsidRPr="0058432E" w:rsidRDefault="00C46587" w:rsidP="00982118">
      <w:pPr>
        <w:rPr>
          <w:color w:val="000000" w:themeColor="text1"/>
        </w:rPr>
      </w:pPr>
    </w:p>
    <w:p w14:paraId="28FD7FC5" w14:textId="77777777" w:rsidR="00C46587" w:rsidRPr="0058432E" w:rsidRDefault="00C46587" w:rsidP="00150D33">
      <w:pPr>
        <w:keepNext/>
        <w:rPr>
          <w:i/>
          <w:color w:val="000000" w:themeColor="text1"/>
          <w:u w:val="single"/>
        </w:rPr>
      </w:pPr>
      <w:r w:rsidRPr="0058432E">
        <w:rPr>
          <w:i/>
          <w:color w:val="000000" w:themeColor="text1"/>
          <w:u w:val="single"/>
        </w:rPr>
        <w:t xml:space="preserve">Arthrite liée à l’enthésite </w:t>
      </w:r>
    </w:p>
    <w:p w14:paraId="201B7E5D" w14:textId="77777777" w:rsidR="00C46587" w:rsidRPr="0058432E" w:rsidRDefault="00C46587" w:rsidP="00DC3A99">
      <w:pPr>
        <w:keepNext/>
        <w:rPr>
          <w:color w:val="000000" w:themeColor="text1"/>
        </w:rPr>
      </w:pPr>
    </w:p>
    <w:p w14:paraId="59CB686F"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d’arthrite liée à l’enthésite à partir de l’âge de 6 ans dépend du poids corporel (tableau 2). Amsparity est administré toutes les deux semaines en injection sous-cutanée. </w:t>
      </w:r>
    </w:p>
    <w:p w14:paraId="6B72626F" w14:textId="77777777" w:rsidR="00C46587" w:rsidRPr="0058432E" w:rsidRDefault="00C46587" w:rsidP="00982118">
      <w:pPr>
        <w:rPr>
          <w:color w:val="000000" w:themeColor="text1"/>
        </w:rPr>
      </w:pPr>
    </w:p>
    <w:p w14:paraId="1E371CAF" w14:textId="77777777" w:rsidR="00150D33" w:rsidRPr="0058432E" w:rsidRDefault="001D51F9" w:rsidP="00A53E17">
      <w:pPr>
        <w:rPr>
          <w:b/>
          <w:color w:val="000000" w:themeColor="text1"/>
        </w:rPr>
      </w:pPr>
      <w:r w:rsidRPr="0058432E">
        <w:rPr>
          <w:b/>
          <w:color w:val="000000" w:themeColor="text1"/>
        </w:rPr>
        <w:t>Tableau 2</w:t>
      </w:r>
      <w:r w:rsidR="002A7CDF" w:rsidRPr="0058432E">
        <w:rPr>
          <w:b/>
          <w:color w:val="000000" w:themeColor="text1"/>
        </w:rPr>
        <w:t>.</w:t>
      </w:r>
      <w:r w:rsidRPr="0058432E">
        <w:rPr>
          <w:b/>
          <w:color w:val="000000" w:themeColor="text1"/>
        </w:rPr>
        <w:t xml:space="preserve"> </w:t>
      </w:r>
    </w:p>
    <w:p w14:paraId="43542FD4" w14:textId="77777777" w:rsidR="001D51F9" w:rsidRPr="0058432E" w:rsidRDefault="006A1144" w:rsidP="00A53E17">
      <w:pPr>
        <w:rPr>
          <w:b/>
          <w:color w:val="000000" w:themeColor="text1"/>
        </w:rPr>
      </w:pPr>
      <w:r w:rsidRPr="0058432E">
        <w:rPr>
          <w:b/>
          <w:color w:val="000000" w:themeColor="text1"/>
        </w:rPr>
        <w:t>Posologie d’Amsparity chez les patients atteints d’arthrite liée à l’enthésite</w:t>
      </w:r>
    </w:p>
    <w:p w14:paraId="0FBBB215" w14:textId="77777777" w:rsidR="001D51F9" w:rsidRPr="0058432E" w:rsidRDefault="001D51F9"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540"/>
      </w:tblGrid>
      <w:tr w:rsidR="001D51F9" w:rsidRPr="0058432E" w14:paraId="2D30BD7D" w14:textId="77777777" w:rsidTr="00A53E17">
        <w:tc>
          <w:tcPr>
            <w:tcW w:w="4651" w:type="dxa"/>
            <w:shd w:val="clear" w:color="auto" w:fill="auto"/>
          </w:tcPr>
          <w:p w14:paraId="2EAB8FD8" w14:textId="77777777" w:rsidR="001D51F9" w:rsidRPr="0058432E" w:rsidRDefault="001D51F9" w:rsidP="00982118">
            <w:pPr>
              <w:jc w:val="center"/>
              <w:rPr>
                <w:b/>
                <w:color w:val="000000" w:themeColor="text1"/>
              </w:rPr>
            </w:pPr>
            <w:r w:rsidRPr="0058432E">
              <w:rPr>
                <w:b/>
                <w:color w:val="000000" w:themeColor="text1"/>
              </w:rPr>
              <w:t>Poids du patient</w:t>
            </w:r>
          </w:p>
        </w:tc>
        <w:tc>
          <w:tcPr>
            <w:tcW w:w="4652" w:type="dxa"/>
            <w:shd w:val="clear" w:color="auto" w:fill="auto"/>
          </w:tcPr>
          <w:p w14:paraId="06BA1E80" w14:textId="77777777" w:rsidR="001D51F9" w:rsidRPr="0058432E" w:rsidRDefault="001D51F9" w:rsidP="00982118">
            <w:pPr>
              <w:jc w:val="center"/>
              <w:rPr>
                <w:b/>
                <w:color w:val="000000" w:themeColor="text1"/>
              </w:rPr>
            </w:pPr>
            <w:r w:rsidRPr="0058432E">
              <w:rPr>
                <w:b/>
                <w:color w:val="000000" w:themeColor="text1"/>
              </w:rPr>
              <w:t>Schéma posologique</w:t>
            </w:r>
          </w:p>
        </w:tc>
      </w:tr>
      <w:tr w:rsidR="001D51F9" w:rsidRPr="0058432E" w14:paraId="11AE9719" w14:textId="77777777" w:rsidTr="00A53E17">
        <w:tc>
          <w:tcPr>
            <w:tcW w:w="4651" w:type="dxa"/>
            <w:shd w:val="clear" w:color="auto" w:fill="auto"/>
          </w:tcPr>
          <w:p w14:paraId="41E22599" w14:textId="77777777" w:rsidR="001D51F9" w:rsidRPr="0058432E" w:rsidRDefault="001D51F9" w:rsidP="00982118">
            <w:pPr>
              <w:jc w:val="center"/>
              <w:rPr>
                <w:color w:val="000000" w:themeColor="text1"/>
              </w:rPr>
            </w:pPr>
            <w:r w:rsidRPr="0058432E">
              <w:rPr>
                <w:color w:val="000000" w:themeColor="text1"/>
              </w:rPr>
              <w:t>15 kg à &lt; 30 kg</w:t>
            </w:r>
          </w:p>
        </w:tc>
        <w:tc>
          <w:tcPr>
            <w:tcW w:w="4652" w:type="dxa"/>
            <w:shd w:val="clear" w:color="auto" w:fill="auto"/>
          </w:tcPr>
          <w:p w14:paraId="1BC93979" w14:textId="77777777" w:rsidR="001D51F9" w:rsidRPr="0058432E" w:rsidRDefault="001D51F9" w:rsidP="00982118">
            <w:pPr>
              <w:jc w:val="center"/>
              <w:rPr>
                <w:color w:val="000000" w:themeColor="text1"/>
              </w:rPr>
            </w:pPr>
            <w:r w:rsidRPr="0058432E">
              <w:rPr>
                <w:color w:val="000000" w:themeColor="text1"/>
              </w:rPr>
              <w:t>20 mg toutes les deux semaines</w:t>
            </w:r>
          </w:p>
        </w:tc>
      </w:tr>
      <w:tr w:rsidR="001D51F9" w:rsidRPr="0058432E" w14:paraId="059A9A30" w14:textId="77777777" w:rsidTr="00A53E17">
        <w:tc>
          <w:tcPr>
            <w:tcW w:w="4651" w:type="dxa"/>
            <w:shd w:val="clear" w:color="auto" w:fill="auto"/>
          </w:tcPr>
          <w:p w14:paraId="71E76023" w14:textId="77777777" w:rsidR="001D51F9" w:rsidRPr="0058432E" w:rsidRDefault="001D51F9" w:rsidP="00982118">
            <w:pPr>
              <w:jc w:val="center"/>
              <w:rPr>
                <w:color w:val="000000" w:themeColor="text1"/>
              </w:rPr>
            </w:pPr>
            <w:r w:rsidRPr="0058432E">
              <w:rPr>
                <w:color w:val="000000" w:themeColor="text1"/>
              </w:rPr>
              <w:t>≥ 30 kg</w:t>
            </w:r>
          </w:p>
        </w:tc>
        <w:tc>
          <w:tcPr>
            <w:tcW w:w="4652" w:type="dxa"/>
            <w:shd w:val="clear" w:color="auto" w:fill="auto"/>
          </w:tcPr>
          <w:p w14:paraId="5460188C" w14:textId="77777777" w:rsidR="001D51F9" w:rsidRPr="0058432E" w:rsidRDefault="001D51F9" w:rsidP="00982118">
            <w:pPr>
              <w:jc w:val="center"/>
              <w:rPr>
                <w:color w:val="000000" w:themeColor="text1"/>
              </w:rPr>
            </w:pPr>
            <w:r w:rsidRPr="0058432E">
              <w:rPr>
                <w:color w:val="000000" w:themeColor="text1"/>
              </w:rPr>
              <w:t>40 mg toutes les deux semaines</w:t>
            </w:r>
          </w:p>
        </w:tc>
      </w:tr>
    </w:tbl>
    <w:p w14:paraId="1719E96C" w14:textId="77777777" w:rsidR="001D51F9" w:rsidRPr="0058432E" w:rsidRDefault="001D51F9" w:rsidP="00982118">
      <w:pPr>
        <w:rPr>
          <w:color w:val="000000" w:themeColor="text1"/>
        </w:rPr>
      </w:pPr>
    </w:p>
    <w:p w14:paraId="581CA0BC" w14:textId="77777777" w:rsidR="00C46587" w:rsidRPr="0058432E" w:rsidRDefault="005A4709" w:rsidP="00982118">
      <w:pPr>
        <w:rPr>
          <w:color w:val="000000" w:themeColor="text1"/>
        </w:rPr>
      </w:pPr>
      <w:r w:rsidRPr="0058432E">
        <w:rPr>
          <w:color w:val="000000" w:themeColor="text1"/>
        </w:rPr>
        <w:t xml:space="preserve">L’adalimumab n’a pas été étudié chez les patients de moins de 6 ans atteints d’arthrite liée à l’enthésite. </w:t>
      </w:r>
    </w:p>
    <w:p w14:paraId="5D4F3798" w14:textId="77777777" w:rsidR="00C46587" w:rsidRPr="0058432E" w:rsidRDefault="00C46587" w:rsidP="00982118">
      <w:pPr>
        <w:rPr>
          <w:color w:val="000000" w:themeColor="text1"/>
        </w:rPr>
      </w:pPr>
    </w:p>
    <w:p w14:paraId="4314A041" w14:textId="77777777" w:rsidR="009A75C3"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0954B5E2" w14:textId="77777777" w:rsidR="009A75C3" w:rsidRPr="0058432E" w:rsidRDefault="009A75C3" w:rsidP="00982118">
      <w:pPr>
        <w:rPr>
          <w:color w:val="000000" w:themeColor="text1"/>
        </w:rPr>
      </w:pPr>
    </w:p>
    <w:p w14:paraId="11D25188" w14:textId="77777777" w:rsidR="00671B82" w:rsidRPr="0058432E" w:rsidRDefault="00671B82" w:rsidP="00671B82">
      <w:pPr>
        <w:rPr>
          <w:i/>
          <w:color w:val="000000" w:themeColor="text1"/>
        </w:rPr>
      </w:pPr>
      <w:r w:rsidRPr="0058432E">
        <w:rPr>
          <w:i/>
          <w:color w:val="000000" w:themeColor="text1"/>
        </w:rPr>
        <w:t>Rhumatisme psoriasique et spondyloarthrite axiale y compris spondylarthrite ankylosante</w:t>
      </w:r>
    </w:p>
    <w:p w14:paraId="4C8E8B3F" w14:textId="77777777" w:rsidR="00671B82" w:rsidRPr="0058432E" w:rsidRDefault="00671B82" w:rsidP="00671B82">
      <w:pPr>
        <w:rPr>
          <w:color w:val="000000" w:themeColor="text1"/>
        </w:rPr>
      </w:pPr>
    </w:p>
    <w:p w14:paraId="1380DC9C" w14:textId="77777777" w:rsidR="00671B82" w:rsidRPr="0058432E" w:rsidRDefault="00671B82" w:rsidP="00671B82">
      <w:pPr>
        <w:rPr>
          <w:color w:val="000000" w:themeColor="text1"/>
        </w:rPr>
      </w:pPr>
      <w:r w:rsidRPr="0058432E">
        <w:rPr>
          <w:color w:val="000000" w:themeColor="text1"/>
        </w:rPr>
        <w:t xml:space="preserve">Il n’y a pas d’utilisation justifiée </w:t>
      </w:r>
      <w:r w:rsidR="001345F1" w:rsidRPr="0058432E">
        <w:rPr>
          <w:color w:val="000000" w:themeColor="text1"/>
        </w:rPr>
        <w:t>de l’adalimumab</w:t>
      </w:r>
      <w:r w:rsidRPr="0058432E">
        <w:rPr>
          <w:color w:val="000000" w:themeColor="text1"/>
        </w:rPr>
        <w:t xml:space="preserve"> dans la population pédiatrique dans les indications </w:t>
      </w:r>
      <w:r w:rsidR="00B92CBC" w:rsidRPr="0058432E">
        <w:rPr>
          <w:color w:val="000000" w:themeColor="text1"/>
        </w:rPr>
        <w:t xml:space="preserve">de </w:t>
      </w:r>
      <w:r w:rsidRPr="0058432E">
        <w:rPr>
          <w:color w:val="000000" w:themeColor="text1"/>
        </w:rPr>
        <w:t xml:space="preserve">spondylarthrite ankylosante et </w:t>
      </w:r>
      <w:r w:rsidR="00B92CBC" w:rsidRPr="0058432E">
        <w:rPr>
          <w:color w:val="000000" w:themeColor="text1"/>
        </w:rPr>
        <w:t xml:space="preserve">de </w:t>
      </w:r>
      <w:r w:rsidRPr="0058432E">
        <w:rPr>
          <w:color w:val="000000" w:themeColor="text1"/>
        </w:rPr>
        <w:t>rhumatisme psoriasique.</w:t>
      </w:r>
    </w:p>
    <w:p w14:paraId="519C15A7" w14:textId="77777777" w:rsidR="00671B82" w:rsidRPr="0058432E" w:rsidRDefault="00671B82" w:rsidP="00982118">
      <w:pPr>
        <w:rPr>
          <w:color w:val="000000" w:themeColor="text1"/>
        </w:rPr>
      </w:pPr>
    </w:p>
    <w:p w14:paraId="6BF77E5C" w14:textId="77777777" w:rsidR="00C46587" w:rsidRPr="0058432E" w:rsidRDefault="00C46587" w:rsidP="00DC3A99">
      <w:pPr>
        <w:keepNext/>
        <w:rPr>
          <w:i/>
          <w:color w:val="000000" w:themeColor="text1"/>
        </w:rPr>
      </w:pPr>
      <w:r w:rsidRPr="0058432E">
        <w:rPr>
          <w:i/>
          <w:color w:val="000000" w:themeColor="text1"/>
        </w:rPr>
        <w:t xml:space="preserve">Psoriasis en plaques </w:t>
      </w:r>
      <w:r w:rsidR="005E242B" w:rsidRPr="0058432E">
        <w:rPr>
          <w:i/>
          <w:color w:val="000000" w:themeColor="text1"/>
        </w:rPr>
        <w:t>pédiatrique</w:t>
      </w:r>
      <w:r w:rsidRPr="0058432E">
        <w:rPr>
          <w:i/>
          <w:color w:val="000000" w:themeColor="text1"/>
        </w:rPr>
        <w:t xml:space="preserve"> </w:t>
      </w:r>
    </w:p>
    <w:p w14:paraId="10B76F55" w14:textId="77777777" w:rsidR="00C46587" w:rsidRPr="0058432E" w:rsidRDefault="00C46587" w:rsidP="00DC3A99">
      <w:pPr>
        <w:keepNext/>
        <w:rPr>
          <w:color w:val="000000" w:themeColor="text1"/>
        </w:rPr>
      </w:pPr>
    </w:p>
    <w:p w14:paraId="6836D689" w14:textId="77777777" w:rsidR="00C46587" w:rsidRPr="0058432E" w:rsidRDefault="00C46587" w:rsidP="00982118">
      <w:pPr>
        <w:rPr>
          <w:color w:val="000000" w:themeColor="text1"/>
        </w:rPr>
      </w:pPr>
      <w:r w:rsidRPr="0058432E">
        <w:rPr>
          <w:color w:val="000000" w:themeColor="text1"/>
        </w:rPr>
        <w:t xml:space="preserve">La posologie recommandée d’Amsparity pour les patients atteints de psoriasis en plaques âgés de 4 à 17 ans dépend du poids corporel (tableau 3). Amsparity est administré en injection sous-cutanée. </w:t>
      </w:r>
    </w:p>
    <w:p w14:paraId="1AD12AA0" w14:textId="77777777" w:rsidR="00C46587" w:rsidRPr="0058432E" w:rsidRDefault="00C46587" w:rsidP="00982118">
      <w:pPr>
        <w:rPr>
          <w:color w:val="000000" w:themeColor="text1"/>
        </w:rPr>
      </w:pPr>
    </w:p>
    <w:p w14:paraId="655D0255" w14:textId="77777777" w:rsidR="00150D33" w:rsidRPr="0058432E" w:rsidRDefault="00917E35" w:rsidP="006D1A33">
      <w:pPr>
        <w:keepNext/>
        <w:keepLines/>
        <w:rPr>
          <w:b/>
          <w:color w:val="000000" w:themeColor="text1"/>
        </w:rPr>
      </w:pPr>
      <w:r w:rsidRPr="0058432E">
        <w:rPr>
          <w:b/>
          <w:color w:val="000000" w:themeColor="text1"/>
        </w:rPr>
        <w:lastRenderedPageBreak/>
        <w:t>Tableau 3</w:t>
      </w:r>
      <w:r w:rsidR="00456A4F" w:rsidRPr="0058432E">
        <w:rPr>
          <w:b/>
          <w:color w:val="000000" w:themeColor="text1"/>
        </w:rPr>
        <w:t>.</w:t>
      </w:r>
      <w:r w:rsidRPr="0058432E">
        <w:rPr>
          <w:b/>
          <w:color w:val="000000" w:themeColor="text1"/>
        </w:rPr>
        <w:t xml:space="preserve"> </w:t>
      </w:r>
    </w:p>
    <w:p w14:paraId="3C2F5849" w14:textId="77777777" w:rsidR="00917E35" w:rsidRPr="0058432E" w:rsidRDefault="006A1144" w:rsidP="00A53E17">
      <w:pPr>
        <w:rPr>
          <w:b/>
          <w:color w:val="000000" w:themeColor="text1"/>
        </w:rPr>
      </w:pPr>
      <w:r w:rsidRPr="0058432E">
        <w:rPr>
          <w:b/>
          <w:color w:val="000000" w:themeColor="text1"/>
        </w:rPr>
        <w:t>Posologie d’Amsparity chez les enfants et les adolescents atteints de psoriasis en plaques</w:t>
      </w:r>
    </w:p>
    <w:p w14:paraId="7F5AC773" w14:textId="77777777" w:rsidR="00917E35" w:rsidRPr="0058432E" w:rsidRDefault="00917E35" w:rsidP="00456A4F">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0"/>
        <w:gridCol w:w="4935"/>
      </w:tblGrid>
      <w:tr w:rsidR="00917E35" w:rsidRPr="0058432E" w14:paraId="1CE9F4EE" w14:textId="77777777" w:rsidTr="00A53E17">
        <w:tc>
          <w:tcPr>
            <w:tcW w:w="4248" w:type="dxa"/>
            <w:shd w:val="clear" w:color="auto" w:fill="auto"/>
          </w:tcPr>
          <w:p w14:paraId="58A28C4C" w14:textId="77777777" w:rsidR="00917E35" w:rsidRPr="0058432E" w:rsidRDefault="00917E35" w:rsidP="00982118">
            <w:pPr>
              <w:jc w:val="center"/>
              <w:rPr>
                <w:b/>
                <w:color w:val="000000" w:themeColor="text1"/>
              </w:rPr>
            </w:pPr>
            <w:r w:rsidRPr="0058432E">
              <w:rPr>
                <w:b/>
                <w:color w:val="000000" w:themeColor="text1"/>
              </w:rPr>
              <w:t>Poids du patient</w:t>
            </w:r>
          </w:p>
        </w:tc>
        <w:tc>
          <w:tcPr>
            <w:tcW w:w="5055" w:type="dxa"/>
            <w:shd w:val="clear" w:color="auto" w:fill="auto"/>
          </w:tcPr>
          <w:p w14:paraId="6EED33D2" w14:textId="77777777" w:rsidR="00917E35" w:rsidRPr="0058432E" w:rsidRDefault="00917E35" w:rsidP="00982118">
            <w:pPr>
              <w:jc w:val="center"/>
              <w:rPr>
                <w:b/>
                <w:color w:val="000000" w:themeColor="text1"/>
              </w:rPr>
            </w:pPr>
            <w:r w:rsidRPr="0058432E">
              <w:rPr>
                <w:b/>
                <w:color w:val="000000" w:themeColor="text1"/>
              </w:rPr>
              <w:t>Schéma posologique</w:t>
            </w:r>
          </w:p>
        </w:tc>
      </w:tr>
      <w:tr w:rsidR="00917E35" w:rsidRPr="0058432E" w14:paraId="3EB85041" w14:textId="77777777" w:rsidTr="00A53E17">
        <w:tc>
          <w:tcPr>
            <w:tcW w:w="4248" w:type="dxa"/>
            <w:shd w:val="clear" w:color="auto" w:fill="auto"/>
          </w:tcPr>
          <w:p w14:paraId="566608D4" w14:textId="77777777" w:rsidR="00917E35" w:rsidRPr="0058432E" w:rsidRDefault="00917E35" w:rsidP="00982118">
            <w:pPr>
              <w:jc w:val="center"/>
              <w:rPr>
                <w:color w:val="000000" w:themeColor="text1"/>
              </w:rPr>
            </w:pPr>
            <w:r w:rsidRPr="0058432E">
              <w:rPr>
                <w:color w:val="000000" w:themeColor="text1"/>
              </w:rPr>
              <w:t>15 kg à &lt; 30 kg</w:t>
            </w:r>
          </w:p>
        </w:tc>
        <w:tc>
          <w:tcPr>
            <w:tcW w:w="5055" w:type="dxa"/>
            <w:shd w:val="clear" w:color="auto" w:fill="auto"/>
          </w:tcPr>
          <w:p w14:paraId="236D99F7" w14:textId="77777777" w:rsidR="00917E35" w:rsidRPr="0058432E" w:rsidRDefault="00917E35" w:rsidP="00150D33">
            <w:pPr>
              <w:rPr>
                <w:color w:val="000000" w:themeColor="text1"/>
              </w:rPr>
            </w:pPr>
            <w:r w:rsidRPr="0058432E">
              <w:rPr>
                <w:color w:val="000000" w:themeColor="text1"/>
              </w:rPr>
              <w:t>Dose initiale de 20 mg puis 20 mg toutes les deux semaines en commençant une semaine après l’administration de la dose initiale.</w:t>
            </w:r>
          </w:p>
        </w:tc>
      </w:tr>
      <w:tr w:rsidR="00917E35" w:rsidRPr="0058432E" w14:paraId="09180B97" w14:textId="77777777" w:rsidTr="00A53E17">
        <w:tc>
          <w:tcPr>
            <w:tcW w:w="4248" w:type="dxa"/>
            <w:shd w:val="clear" w:color="auto" w:fill="auto"/>
          </w:tcPr>
          <w:p w14:paraId="3FEB97F1" w14:textId="77777777" w:rsidR="00917E35" w:rsidRPr="0058432E" w:rsidRDefault="00917E35" w:rsidP="00982118">
            <w:pPr>
              <w:jc w:val="center"/>
              <w:rPr>
                <w:color w:val="000000" w:themeColor="text1"/>
              </w:rPr>
            </w:pPr>
            <w:r w:rsidRPr="0058432E">
              <w:rPr>
                <w:color w:val="000000" w:themeColor="text1"/>
              </w:rPr>
              <w:t>≥ 30 kg</w:t>
            </w:r>
          </w:p>
        </w:tc>
        <w:tc>
          <w:tcPr>
            <w:tcW w:w="5055" w:type="dxa"/>
            <w:shd w:val="clear" w:color="auto" w:fill="auto"/>
          </w:tcPr>
          <w:p w14:paraId="4C30D995" w14:textId="77777777" w:rsidR="00917E35" w:rsidRPr="0058432E" w:rsidRDefault="00917E35" w:rsidP="00150D33">
            <w:pPr>
              <w:rPr>
                <w:color w:val="000000" w:themeColor="text1"/>
              </w:rPr>
            </w:pPr>
            <w:r w:rsidRPr="0058432E">
              <w:rPr>
                <w:color w:val="000000" w:themeColor="text1"/>
              </w:rPr>
              <w:t>Dose initiale de 40 mg puis 40 mg toutes les deux semaines en commençant une semaine après l’administration de la dose initiale.</w:t>
            </w:r>
          </w:p>
        </w:tc>
      </w:tr>
    </w:tbl>
    <w:p w14:paraId="7A8146E4" w14:textId="77777777" w:rsidR="00917E35" w:rsidRPr="0058432E" w:rsidRDefault="00917E35" w:rsidP="00982118">
      <w:pPr>
        <w:rPr>
          <w:color w:val="000000" w:themeColor="text1"/>
        </w:rPr>
      </w:pPr>
    </w:p>
    <w:p w14:paraId="4C898B05" w14:textId="77777777" w:rsidR="00C46587" w:rsidRPr="0058432E" w:rsidRDefault="00C46587" w:rsidP="00982118">
      <w:pPr>
        <w:rPr>
          <w:color w:val="000000" w:themeColor="text1"/>
        </w:rPr>
      </w:pPr>
      <w:r w:rsidRPr="0058432E">
        <w:rPr>
          <w:color w:val="000000" w:themeColor="text1"/>
        </w:rPr>
        <w:t xml:space="preserve">La poursuite du traitement au-delà de 16 semaines doit être soigneusement reconsidérée chez un patient n’ayant pas répondu dans ces délais. </w:t>
      </w:r>
    </w:p>
    <w:p w14:paraId="53A711C3" w14:textId="77777777" w:rsidR="00C46587" w:rsidRPr="0058432E" w:rsidRDefault="00C46587" w:rsidP="00982118">
      <w:pPr>
        <w:rPr>
          <w:color w:val="000000" w:themeColor="text1"/>
        </w:rPr>
      </w:pPr>
    </w:p>
    <w:p w14:paraId="4B61429A" w14:textId="77777777" w:rsidR="00C46587" w:rsidRPr="0058432E" w:rsidRDefault="00C46587" w:rsidP="00982118">
      <w:pPr>
        <w:rPr>
          <w:color w:val="000000" w:themeColor="text1"/>
        </w:rPr>
      </w:pPr>
      <w:r w:rsidRPr="0058432E">
        <w:rPr>
          <w:color w:val="000000" w:themeColor="text1"/>
        </w:rPr>
        <w:t xml:space="preserve">Si un retraitement par Amsparity est indiqué, les recommandations ci-dessus pour la posologie et la durée de traitement doivent être suivies. </w:t>
      </w:r>
    </w:p>
    <w:p w14:paraId="6D44E2D6" w14:textId="77777777" w:rsidR="00C46587" w:rsidRPr="0058432E" w:rsidRDefault="00C46587" w:rsidP="00982118">
      <w:pPr>
        <w:rPr>
          <w:color w:val="000000" w:themeColor="text1"/>
        </w:rPr>
      </w:pPr>
    </w:p>
    <w:p w14:paraId="06BF243B" w14:textId="77777777" w:rsidR="00C46587" w:rsidRPr="0058432E" w:rsidRDefault="00C46587" w:rsidP="00982118">
      <w:pPr>
        <w:rPr>
          <w:color w:val="000000" w:themeColor="text1"/>
        </w:rPr>
      </w:pPr>
      <w:r w:rsidRPr="0058432E">
        <w:rPr>
          <w:color w:val="000000" w:themeColor="text1"/>
        </w:rPr>
        <w:t xml:space="preserve">La </w:t>
      </w:r>
      <w:r w:rsidR="005E242B" w:rsidRPr="0058432E">
        <w:rPr>
          <w:color w:val="000000" w:themeColor="text1"/>
        </w:rPr>
        <w:t xml:space="preserve">tolérance </w:t>
      </w:r>
      <w:r w:rsidRPr="0058432E">
        <w:rPr>
          <w:color w:val="000000" w:themeColor="text1"/>
        </w:rPr>
        <w:t xml:space="preserve">de l’adalimumab chez l’enfant et l’adolescent présentant un psoriasis en plaques a été évaluée sur une durée moyenne de 13 mois. </w:t>
      </w:r>
    </w:p>
    <w:p w14:paraId="6DDDA1E7" w14:textId="77777777" w:rsidR="00C46587" w:rsidRPr="0058432E" w:rsidRDefault="00C46587" w:rsidP="00982118">
      <w:pPr>
        <w:rPr>
          <w:color w:val="000000" w:themeColor="text1"/>
        </w:rPr>
      </w:pPr>
    </w:p>
    <w:p w14:paraId="6A991D24"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enfants âgés de moins de 4 ans dans cette indication. </w:t>
      </w:r>
    </w:p>
    <w:p w14:paraId="0EFFE298" w14:textId="77777777" w:rsidR="00C46587" w:rsidRPr="0058432E" w:rsidRDefault="00C46587" w:rsidP="00982118">
      <w:pPr>
        <w:rPr>
          <w:color w:val="000000" w:themeColor="text1"/>
        </w:rPr>
      </w:pPr>
    </w:p>
    <w:p w14:paraId="09A4A602" w14:textId="77777777" w:rsidR="005E5466" w:rsidRPr="0058432E" w:rsidRDefault="006A1144" w:rsidP="00982118">
      <w:pPr>
        <w:autoSpaceDE w:val="0"/>
        <w:autoSpaceDN w:val="0"/>
        <w:adjustRightInd w:val="0"/>
        <w:rPr>
          <w:color w:val="000000" w:themeColor="text1"/>
        </w:rPr>
      </w:pPr>
      <w:r w:rsidRPr="0058432E">
        <w:rPr>
          <w:color w:val="000000" w:themeColor="text1"/>
        </w:rPr>
        <w:t>D’autres dosages et/ou présentations d’Amsparity peuvent être disponibles en fonction des besoins thérapeutiques de chaque patient.</w:t>
      </w:r>
    </w:p>
    <w:p w14:paraId="0C814477" w14:textId="77777777" w:rsidR="005E5466" w:rsidRPr="0058432E" w:rsidRDefault="005E5466" w:rsidP="00982118">
      <w:pPr>
        <w:rPr>
          <w:color w:val="000000" w:themeColor="text1"/>
        </w:rPr>
      </w:pPr>
    </w:p>
    <w:p w14:paraId="562C4360" w14:textId="77777777" w:rsidR="00C46587" w:rsidRPr="0058432E" w:rsidRDefault="00C46587" w:rsidP="00491257">
      <w:pPr>
        <w:keepNext/>
        <w:rPr>
          <w:i/>
          <w:color w:val="000000" w:themeColor="text1"/>
        </w:rPr>
      </w:pPr>
      <w:r w:rsidRPr="0058432E">
        <w:rPr>
          <w:i/>
          <w:color w:val="000000" w:themeColor="text1"/>
        </w:rPr>
        <w:t xml:space="preserve">Hidrosadénite suppurée de l’adolescent (à partir de 12 ans, pesant au moins 30 kg) </w:t>
      </w:r>
    </w:p>
    <w:p w14:paraId="7B2191EA" w14:textId="77777777" w:rsidR="00C46587" w:rsidRPr="0058432E" w:rsidRDefault="00C46587" w:rsidP="00491257">
      <w:pPr>
        <w:keepNext/>
        <w:rPr>
          <w:color w:val="000000" w:themeColor="text1"/>
        </w:rPr>
      </w:pPr>
    </w:p>
    <w:p w14:paraId="51E7A841" w14:textId="77777777" w:rsidR="00C46587" w:rsidRPr="0058432E" w:rsidRDefault="00C46587" w:rsidP="00982118">
      <w:pPr>
        <w:rPr>
          <w:color w:val="000000" w:themeColor="text1"/>
        </w:rPr>
      </w:pPr>
      <w:r w:rsidRPr="0058432E">
        <w:rPr>
          <w:color w:val="000000" w:themeColor="text1"/>
        </w:rPr>
        <w:t xml:space="preserve">Il n’existe pas d’essai clinique conduit avec l’adalimumab chez des adolescents atteints d’HS. La posologie de l’adalimumab chez ces patients a été déterminée à partir d’une modélisation pharmacocinétique et d’une simulation (voir rubrique 5.2). </w:t>
      </w:r>
    </w:p>
    <w:p w14:paraId="3F2EB555" w14:textId="77777777" w:rsidR="00C46587" w:rsidRPr="0058432E" w:rsidRDefault="00C46587" w:rsidP="00982118">
      <w:pPr>
        <w:rPr>
          <w:color w:val="000000" w:themeColor="text1"/>
        </w:rPr>
      </w:pPr>
    </w:p>
    <w:p w14:paraId="7DEF510C" w14:textId="77777777" w:rsidR="00C46587" w:rsidRPr="0058432E" w:rsidRDefault="00C46587" w:rsidP="00982118">
      <w:pPr>
        <w:rPr>
          <w:color w:val="000000" w:themeColor="text1"/>
        </w:rPr>
      </w:pPr>
      <w:r w:rsidRPr="0058432E">
        <w:rPr>
          <w:color w:val="000000" w:themeColor="text1"/>
        </w:rPr>
        <w:t xml:space="preserve">La posologie recommandée d’Amsparity est de 80 mg à la semaine 0 suivie de 40 mg toutes les deux semaines à partir de la semaine 1 en injection sous-cutanée. </w:t>
      </w:r>
    </w:p>
    <w:p w14:paraId="61052B06" w14:textId="77777777" w:rsidR="00C46587" w:rsidRPr="0058432E" w:rsidRDefault="00C46587" w:rsidP="00982118">
      <w:pPr>
        <w:rPr>
          <w:color w:val="000000" w:themeColor="text1"/>
        </w:rPr>
      </w:pPr>
    </w:p>
    <w:p w14:paraId="1E507427" w14:textId="77777777" w:rsidR="00C46587" w:rsidRPr="0058432E" w:rsidRDefault="00C46587" w:rsidP="00982118">
      <w:pPr>
        <w:rPr>
          <w:color w:val="000000" w:themeColor="text1"/>
        </w:rPr>
      </w:pPr>
      <w:r w:rsidRPr="0058432E">
        <w:rPr>
          <w:color w:val="000000" w:themeColor="text1"/>
        </w:rPr>
        <w:t xml:space="preserve">Chez les adolescents avec une réponse insuffisante à Amsparity 40 mg toutes les deux semaines, une augmentation de la posologie à 40 mg toutes les semaines ou 80 mg toutes les deux semaines peut être envisagée. </w:t>
      </w:r>
    </w:p>
    <w:p w14:paraId="0F84B006" w14:textId="77777777" w:rsidR="00C46587" w:rsidRPr="0058432E" w:rsidRDefault="00C46587" w:rsidP="00982118">
      <w:pPr>
        <w:rPr>
          <w:color w:val="000000" w:themeColor="text1"/>
        </w:rPr>
      </w:pPr>
    </w:p>
    <w:p w14:paraId="70617DF7" w14:textId="77777777" w:rsidR="00C46587" w:rsidRPr="0058432E" w:rsidRDefault="00C46587" w:rsidP="00982118">
      <w:pPr>
        <w:rPr>
          <w:color w:val="000000" w:themeColor="text1"/>
        </w:rPr>
      </w:pPr>
      <w:r w:rsidRPr="0058432E">
        <w:rPr>
          <w:color w:val="000000" w:themeColor="text1"/>
        </w:rPr>
        <w:t>Si nécessaire, les antibiotiques peuvent être poursuivis au cours du traitement par Amsparity. Au cours du traitement par Amsparity, il est recommandé au patient de nettoyer quotidiennement ses lésions</w:t>
      </w:r>
      <w:r w:rsidR="006E3E21" w:rsidRPr="0058432E">
        <w:rPr>
          <w:color w:val="000000" w:themeColor="text1"/>
        </w:rPr>
        <w:t xml:space="preserve"> d’HS</w:t>
      </w:r>
      <w:r w:rsidRPr="0058432E">
        <w:rPr>
          <w:color w:val="000000" w:themeColor="text1"/>
        </w:rPr>
        <w:t xml:space="preserve"> avec un antiseptique topique. </w:t>
      </w:r>
    </w:p>
    <w:p w14:paraId="672A57E0" w14:textId="77777777" w:rsidR="00C46587" w:rsidRPr="0058432E" w:rsidRDefault="00C46587" w:rsidP="00982118">
      <w:pPr>
        <w:rPr>
          <w:color w:val="000000" w:themeColor="text1"/>
        </w:rPr>
      </w:pPr>
    </w:p>
    <w:p w14:paraId="5E7A22FC" w14:textId="77777777" w:rsidR="00C46587" w:rsidRPr="0058432E" w:rsidRDefault="00C46587" w:rsidP="00982118">
      <w:pPr>
        <w:rPr>
          <w:color w:val="000000" w:themeColor="text1"/>
        </w:rPr>
      </w:pPr>
      <w:r w:rsidRPr="0058432E">
        <w:rPr>
          <w:color w:val="000000" w:themeColor="text1"/>
        </w:rPr>
        <w:t xml:space="preserve">La poursuite du traitement au-delà de 12 semaines doit être soigneusement reconsidérée chez les patients ne présentant pas d’amélioration pendant cette période. </w:t>
      </w:r>
    </w:p>
    <w:p w14:paraId="0E9D0BFF" w14:textId="77777777" w:rsidR="00C46587" w:rsidRPr="0058432E" w:rsidRDefault="00C46587" w:rsidP="00982118">
      <w:pPr>
        <w:rPr>
          <w:color w:val="000000" w:themeColor="text1"/>
        </w:rPr>
      </w:pPr>
    </w:p>
    <w:p w14:paraId="39E1DF13" w14:textId="77777777" w:rsidR="00C46587" w:rsidRPr="0058432E" w:rsidRDefault="00C46587" w:rsidP="00982118">
      <w:pPr>
        <w:rPr>
          <w:color w:val="000000" w:themeColor="text1"/>
        </w:rPr>
      </w:pPr>
      <w:r w:rsidRPr="0058432E">
        <w:rPr>
          <w:color w:val="000000" w:themeColor="text1"/>
        </w:rPr>
        <w:t xml:space="preserve">Si le traitement est interrompu, Amsparity pourrait être réintroduit si nécessaire. </w:t>
      </w:r>
    </w:p>
    <w:p w14:paraId="2937A08A" w14:textId="77777777" w:rsidR="00C46587" w:rsidRPr="0058432E" w:rsidRDefault="00C46587" w:rsidP="00982118">
      <w:pPr>
        <w:rPr>
          <w:color w:val="000000" w:themeColor="text1"/>
        </w:rPr>
      </w:pPr>
    </w:p>
    <w:p w14:paraId="5616904B" w14:textId="77777777" w:rsidR="00C46587" w:rsidRPr="0058432E" w:rsidRDefault="00C46587" w:rsidP="00982118">
      <w:pPr>
        <w:rPr>
          <w:color w:val="000000" w:themeColor="text1"/>
        </w:rPr>
      </w:pPr>
      <w:r w:rsidRPr="0058432E">
        <w:rPr>
          <w:color w:val="000000" w:themeColor="text1"/>
        </w:rPr>
        <w:t xml:space="preserve">Le bénéfice et le risque d’un traitement continu à long terme doivent faire l’objet d’une évaluation régulière (voir les données chez les adultes à la rubrique 5.1). </w:t>
      </w:r>
    </w:p>
    <w:p w14:paraId="3AAA75FF" w14:textId="77777777" w:rsidR="00C46587" w:rsidRPr="0058432E" w:rsidRDefault="00C46587" w:rsidP="00982118">
      <w:pPr>
        <w:rPr>
          <w:color w:val="000000" w:themeColor="text1"/>
        </w:rPr>
      </w:pPr>
    </w:p>
    <w:p w14:paraId="387D8EEE"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enfants âgés de moins de 12 ans dans cette indication. </w:t>
      </w:r>
    </w:p>
    <w:p w14:paraId="43E10B64" w14:textId="77777777" w:rsidR="00C46587" w:rsidRPr="0058432E" w:rsidRDefault="00C46587" w:rsidP="00982118">
      <w:pPr>
        <w:rPr>
          <w:color w:val="000000" w:themeColor="text1"/>
        </w:rPr>
      </w:pPr>
    </w:p>
    <w:p w14:paraId="2B7EC762" w14:textId="77777777" w:rsidR="00DF64F0"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39B3BC17" w14:textId="77777777" w:rsidR="00DF64F0" w:rsidRPr="0058432E" w:rsidRDefault="00DF64F0" w:rsidP="00982118">
      <w:pPr>
        <w:rPr>
          <w:color w:val="000000" w:themeColor="text1"/>
        </w:rPr>
      </w:pPr>
    </w:p>
    <w:p w14:paraId="3F438EC1" w14:textId="77777777" w:rsidR="00C46587" w:rsidRPr="0058432E" w:rsidRDefault="00C46587" w:rsidP="00DC3A99">
      <w:pPr>
        <w:keepNext/>
        <w:rPr>
          <w:i/>
          <w:color w:val="000000" w:themeColor="text1"/>
        </w:rPr>
      </w:pPr>
      <w:r w:rsidRPr="0058432E">
        <w:rPr>
          <w:i/>
          <w:color w:val="000000" w:themeColor="text1"/>
        </w:rPr>
        <w:lastRenderedPageBreak/>
        <w:t>Maladie de Crohn</w:t>
      </w:r>
      <w:r w:rsidR="00432F58" w:rsidRPr="0058432E">
        <w:rPr>
          <w:i/>
          <w:color w:val="000000" w:themeColor="text1"/>
        </w:rPr>
        <w:t xml:space="preserve"> </w:t>
      </w:r>
      <w:r w:rsidR="006E3E21" w:rsidRPr="0058432E">
        <w:rPr>
          <w:i/>
          <w:color w:val="000000" w:themeColor="text1"/>
        </w:rPr>
        <w:t>pédiatrique</w:t>
      </w:r>
    </w:p>
    <w:p w14:paraId="1DC85822" w14:textId="77777777" w:rsidR="00E4038A" w:rsidRPr="0058432E" w:rsidRDefault="00E4038A" w:rsidP="00DC3A99">
      <w:pPr>
        <w:keepNext/>
        <w:rPr>
          <w:i/>
          <w:color w:val="000000" w:themeColor="text1"/>
          <w:u w:val="single"/>
        </w:rPr>
      </w:pPr>
    </w:p>
    <w:p w14:paraId="29E9D7E9" w14:textId="77777777" w:rsidR="00E0473B" w:rsidRPr="0058432E" w:rsidRDefault="00C46587" w:rsidP="00982118">
      <w:pPr>
        <w:rPr>
          <w:color w:val="000000" w:themeColor="text1"/>
        </w:rPr>
      </w:pPr>
      <w:r w:rsidRPr="0058432E">
        <w:rPr>
          <w:color w:val="000000" w:themeColor="text1"/>
        </w:rPr>
        <w:t xml:space="preserve">La posologie recommandée d’Amsparity pour les patients atteints de la maladie de Crohn âgés de 6 à 17 ans dépend du poids corporel (tableau 4). Amsparity est administré en injection sous-cutanée. </w:t>
      </w:r>
    </w:p>
    <w:p w14:paraId="0B0CCB08" w14:textId="77777777" w:rsidR="00C57DA3" w:rsidRPr="0058432E" w:rsidRDefault="00C57DA3" w:rsidP="00982118">
      <w:pPr>
        <w:rPr>
          <w:color w:val="000000" w:themeColor="text1"/>
        </w:rPr>
      </w:pPr>
    </w:p>
    <w:p w14:paraId="04D5AD07" w14:textId="77777777" w:rsidR="00150D33" w:rsidRPr="0058432E" w:rsidRDefault="00C57DA3" w:rsidP="000D3575">
      <w:pPr>
        <w:keepNext/>
        <w:keepLines/>
        <w:rPr>
          <w:b/>
          <w:color w:val="000000" w:themeColor="text1"/>
        </w:rPr>
      </w:pPr>
      <w:r w:rsidRPr="0058432E">
        <w:rPr>
          <w:b/>
          <w:color w:val="000000" w:themeColor="text1"/>
        </w:rPr>
        <w:t>Tableau 4</w:t>
      </w:r>
      <w:r w:rsidR="00456A4F" w:rsidRPr="0058432E">
        <w:rPr>
          <w:b/>
          <w:color w:val="000000" w:themeColor="text1"/>
        </w:rPr>
        <w:t>.</w:t>
      </w:r>
      <w:r w:rsidRPr="0058432E">
        <w:rPr>
          <w:b/>
          <w:color w:val="000000" w:themeColor="text1"/>
        </w:rPr>
        <w:t xml:space="preserve"> </w:t>
      </w:r>
    </w:p>
    <w:p w14:paraId="145BA516" w14:textId="77777777" w:rsidR="00C57DA3" w:rsidRPr="0058432E" w:rsidRDefault="006A1144" w:rsidP="000D3575">
      <w:pPr>
        <w:keepNext/>
        <w:keepLines/>
        <w:rPr>
          <w:color w:val="000000" w:themeColor="text1"/>
        </w:rPr>
      </w:pPr>
      <w:r w:rsidRPr="0058432E">
        <w:rPr>
          <w:b/>
          <w:color w:val="000000" w:themeColor="text1"/>
        </w:rPr>
        <w:t>Posologie d’Amsparity chez les enfants et les adolescents atteints de la maladie de Crohn</w:t>
      </w:r>
    </w:p>
    <w:p w14:paraId="1AD8F1AB" w14:textId="77777777" w:rsidR="00C57DA3" w:rsidRPr="0058432E" w:rsidRDefault="00C57DA3" w:rsidP="000D3575">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5839"/>
        <w:gridCol w:w="1964"/>
      </w:tblGrid>
      <w:tr w:rsidR="00C57DA3" w:rsidRPr="0058432E" w14:paraId="493E5E92" w14:textId="77777777" w:rsidTr="00150D33">
        <w:trPr>
          <w:cantSplit/>
          <w:tblHeader/>
        </w:trPr>
        <w:tc>
          <w:tcPr>
            <w:tcW w:w="1278" w:type="dxa"/>
            <w:shd w:val="clear" w:color="auto" w:fill="auto"/>
          </w:tcPr>
          <w:p w14:paraId="0FBBFB33" w14:textId="77777777" w:rsidR="00C57DA3" w:rsidRPr="0058432E" w:rsidRDefault="00C57DA3" w:rsidP="000D3575">
            <w:pPr>
              <w:keepNext/>
              <w:keepLines/>
              <w:jc w:val="center"/>
              <w:rPr>
                <w:b/>
                <w:color w:val="000000" w:themeColor="text1"/>
              </w:rPr>
            </w:pPr>
            <w:r w:rsidRPr="0058432E">
              <w:rPr>
                <w:b/>
                <w:color w:val="000000" w:themeColor="text1"/>
              </w:rPr>
              <w:t>Poids du patient</w:t>
            </w:r>
          </w:p>
        </w:tc>
        <w:tc>
          <w:tcPr>
            <w:tcW w:w="6030" w:type="dxa"/>
            <w:shd w:val="clear" w:color="auto" w:fill="auto"/>
          </w:tcPr>
          <w:p w14:paraId="39A09158" w14:textId="77777777" w:rsidR="00C57DA3" w:rsidRPr="0058432E" w:rsidRDefault="00C57DA3" w:rsidP="000D3575">
            <w:pPr>
              <w:keepNext/>
              <w:keepLines/>
              <w:jc w:val="center"/>
              <w:rPr>
                <w:b/>
                <w:color w:val="000000" w:themeColor="text1"/>
              </w:rPr>
            </w:pPr>
            <w:r w:rsidRPr="0058432E">
              <w:rPr>
                <w:b/>
                <w:color w:val="000000" w:themeColor="text1"/>
              </w:rPr>
              <w:t>Dose d’induction</w:t>
            </w:r>
          </w:p>
        </w:tc>
        <w:tc>
          <w:tcPr>
            <w:tcW w:w="1995" w:type="dxa"/>
            <w:shd w:val="clear" w:color="auto" w:fill="auto"/>
          </w:tcPr>
          <w:p w14:paraId="5FF4B130" w14:textId="77777777" w:rsidR="00C57DA3" w:rsidRPr="0058432E" w:rsidRDefault="00C57DA3" w:rsidP="000D3575">
            <w:pPr>
              <w:keepNext/>
              <w:keepLines/>
              <w:jc w:val="center"/>
              <w:rPr>
                <w:b/>
                <w:color w:val="000000" w:themeColor="text1"/>
              </w:rPr>
            </w:pPr>
            <w:r w:rsidRPr="0058432E">
              <w:rPr>
                <w:b/>
                <w:color w:val="000000" w:themeColor="text1"/>
              </w:rPr>
              <w:t>Dose d’entretien à partir de la semaine 4</w:t>
            </w:r>
          </w:p>
        </w:tc>
      </w:tr>
      <w:tr w:rsidR="00C57DA3" w:rsidRPr="0058432E" w14:paraId="43910025" w14:textId="77777777" w:rsidTr="00150D33">
        <w:trPr>
          <w:cantSplit/>
        </w:trPr>
        <w:tc>
          <w:tcPr>
            <w:tcW w:w="1278" w:type="dxa"/>
            <w:shd w:val="clear" w:color="auto" w:fill="auto"/>
          </w:tcPr>
          <w:p w14:paraId="78BEE299" w14:textId="77777777" w:rsidR="00C57DA3" w:rsidRPr="0058432E" w:rsidRDefault="00C57DA3" w:rsidP="000D3575">
            <w:pPr>
              <w:keepNext/>
              <w:keepLines/>
              <w:jc w:val="center"/>
              <w:rPr>
                <w:color w:val="000000" w:themeColor="text1"/>
              </w:rPr>
            </w:pPr>
            <w:r w:rsidRPr="0058432E">
              <w:rPr>
                <w:color w:val="000000" w:themeColor="text1"/>
              </w:rPr>
              <w:t>&lt; 40 kg</w:t>
            </w:r>
          </w:p>
        </w:tc>
        <w:tc>
          <w:tcPr>
            <w:tcW w:w="6030" w:type="dxa"/>
            <w:shd w:val="clear" w:color="auto" w:fill="auto"/>
          </w:tcPr>
          <w:p w14:paraId="4E08066F" w14:textId="77777777" w:rsidR="00C57DA3" w:rsidRPr="0058432E" w:rsidRDefault="00922EFB" w:rsidP="000D3575">
            <w:pPr>
              <w:keepNext/>
              <w:keepLines/>
              <w:numPr>
                <w:ilvl w:val="0"/>
                <w:numId w:val="17"/>
              </w:numPr>
              <w:rPr>
                <w:color w:val="000000" w:themeColor="text1"/>
              </w:rPr>
            </w:pPr>
            <w:r w:rsidRPr="0058432E">
              <w:rPr>
                <w:color w:val="000000" w:themeColor="text1"/>
              </w:rPr>
              <w:t xml:space="preserve">40 mg </w:t>
            </w:r>
            <w:r w:rsidR="006E3E21" w:rsidRPr="0058432E">
              <w:rPr>
                <w:color w:val="000000" w:themeColor="text1"/>
              </w:rPr>
              <w:t xml:space="preserve">à la </w:t>
            </w:r>
            <w:r w:rsidRPr="0058432E">
              <w:rPr>
                <w:color w:val="000000" w:themeColor="text1"/>
              </w:rPr>
              <w:t xml:space="preserve">semaine 0 et 20 mg </w:t>
            </w:r>
            <w:r w:rsidR="006E3E21" w:rsidRPr="0058432E">
              <w:rPr>
                <w:color w:val="000000" w:themeColor="text1"/>
              </w:rPr>
              <w:t xml:space="preserve">à la </w:t>
            </w:r>
            <w:r w:rsidRPr="0058432E">
              <w:rPr>
                <w:color w:val="000000" w:themeColor="text1"/>
              </w:rPr>
              <w:t>semaine 2</w:t>
            </w:r>
          </w:p>
          <w:p w14:paraId="24EBBE19" w14:textId="77777777" w:rsidR="00C57DA3" w:rsidRPr="0058432E" w:rsidRDefault="00C57DA3" w:rsidP="000D3575">
            <w:pPr>
              <w:keepNext/>
              <w:keepLines/>
              <w:rPr>
                <w:color w:val="000000" w:themeColor="text1"/>
              </w:rPr>
            </w:pPr>
          </w:p>
          <w:p w14:paraId="02E87C88" w14:textId="77777777" w:rsidR="00C57DA3" w:rsidRPr="0058432E" w:rsidRDefault="006E3E21" w:rsidP="000D3575">
            <w:pPr>
              <w:keepNext/>
              <w:keepLines/>
              <w:rPr>
                <w:color w:val="000000" w:themeColor="text1"/>
              </w:rPr>
            </w:pPr>
            <w:r w:rsidRPr="0058432E">
              <w:rPr>
                <w:color w:val="000000" w:themeColor="text1"/>
              </w:rPr>
              <w:t xml:space="preserve">S’il est nécessaire d’obtenir </w:t>
            </w:r>
            <w:r w:rsidR="00C57DA3" w:rsidRPr="0058432E">
              <w:rPr>
                <w:color w:val="000000" w:themeColor="text1"/>
              </w:rPr>
              <w:t xml:space="preserve">une réponse </w:t>
            </w:r>
            <w:r w:rsidRPr="0058432E">
              <w:rPr>
                <w:color w:val="000000" w:themeColor="text1"/>
              </w:rPr>
              <w:t xml:space="preserve">plus rapide </w:t>
            </w:r>
            <w:r w:rsidR="00C57DA3" w:rsidRPr="0058432E">
              <w:rPr>
                <w:color w:val="000000" w:themeColor="text1"/>
              </w:rPr>
              <w:t xml:space="preserve">au traitement </w:t>
            </w:r>
            <w:r w:rsidRPr="0058432E">
              <w:rPr>
                <w:color w:val="000000" w:themeColor="text1"/>
              </w:rPr>
              <w:t>et sachant</w:t>
            </w:r>
            <w:r w:rsidR="00C57DA3" w:rsidRPr="0058432E">
              <w:rPr>
                <w:color w:val="000000" w:themeColor="text1"/>
              </w:rPr>
              <w:t xml:space="preserve"> que le risque d’événements indésirables </w:t>
            </w:r>
            <w:r w:rsidRPr="0058432E">
              <w:rPr>
                <w:color w:val="000000" w:themeColor="text1"/>
              </w:rPr>
              <w:t>peut être plus important avec</w:t>
            </w:r>
            <w:r w:rsidR="00C57DA3" w:rsidRPr="0058432E">
              <w:rPr>
                <w:color w:val="000000" w:themeColor="text1"/>
              </w:rPr>
              <w:t xml:space="preserve"> une dose d’induction élevée, la posologie suivante peut être utilisée : </w:t>
            </w:r>
          </w:p>
          <w:p w14:paraId="2BFE30C5" w14:textId="77777777" w:rsidR="00C57DA3" w:rsidRPr="0058432E" w:rsidRDefault="00922EFB" w:rsidP="000D3575">
            <w:pPr>
              <w:keepNext/>
              <w:keepLines/>
              <w:numPr>
                <w:ilvl w:val="0"/>
                <w:numId w:val="17"/>
              </w:numPr>
              <w:rPr>
                <w:color w:val="000000" w:themeColor="text1"/>
              </w:rPr>
            </w:pPr>
            <w:r w:rsidRPr="0058432E">
              <w:rPr>
                <w:color w:val="000000" w:themeColor="text1"/>
              </w:rPr>
              <w:t xml:space="preserve">80 mg </w:t>
            </w:r>
            <w:r w:rsidR="006E3E21" w:rsidRPr="0058432E">
              <w:rPr>
                <w:color w:val="000000" w:themeColor="text1"/>
              </w:rPr>
              <w:t xml:space="preserve">à la </w:t>
            </w:r>
            <w:r w:rsidRPr="0058432E">
              <w:rPr>
                <w:color w:val="000000" w:themeColor="text1"/>
              </w:rPr>
              <w:t xml:space="preserve">semaine 0 et 40 mg </w:t>
            </w:r>
            <w:r w:rsidR="006E3E21" w:rsidRPr="0058432E">
              <w:rPr>
                <w:color w:val="000000" w:themeColor="text1"/>
              </w:rPr>
              <w:t xml:space="preserve">à la </w:t>
            </w:r>
            <w:r w:rsidRPr="0058432E">
              <w:rPr>
                <w:color w:val="000000" w:themeColor="text1"/>
              </w:rPr>
              <w:t>semaine 2</w:t>
            </w:r>
          </w:p>
        </w:tc>
        <w:tc>
          <w:tcPr>
            <w:tcW w:w="1995" w:type="dxa"/>
            <w:shd w:val="clear" w:color="auto" w:fill="auto"/>
          </w:tcPr>
          <w:p w14:paraId="51A1B45C" w14:textId="77777777" w:rsidR="00C57DA3" w:rsidRPr="0058432E" w:rsidRDefault="00C57DA3" w:rsidP="000D3575">
            <w:pPr>
              <w:keepNext/>
              <w:keepLines/>
              <w:jc w:val="center"/>
              <w:rPr>
                <w:color w:val="000000" w:themeColor="text1"/>
              </w:rPr>
            </w:pPr>
            <w:r w:rsidRPr="0058432E">
              <w:rPr>
                <w:color w:val="000000" w:themeColor="text1"/>
              </w:rPr>
              <w:t>20 mg toutes les deux semaines</w:t>
            </w:r>
          </w:p>
        </w:tc>
      </w:tr>
      <w:tr w:rsidR="00C57DA3" w:rsidRPr="0058432E" w14:paraId="27C52715" w14:textId="77777777" w:rsidTr="00150D33">
        <w:trPr>
          <w:cantSplit/>
        </w:trPr>
        <w:tc>
          <w:tcPr>
            <w:tcW w:w="1278" w:type="dxa"/>
            <w:shd w:val="clear" w:color="auto" w:fill="auto"/>
          </w:tcPr>
          <w:p w14:paraId="2CBF534D" w14:textId="77777777" w:rsidR="00C57DA3" w:rsidRPr="0058432E" w:rsidRDefault="00C57DA3" w:rsidP="000D3575">
            <w:pPr>
              <w:keepNext/>
              <w:keepLines/>
              <w:jc w:val="center"/>
              <w:rPr>
                <w:color w:val="000000" w:themeColor="text1"/>
              </w:rPr>
            </w:pPr>
            <w:r w:rsidRPr="0058432E">
              <w:rPr>
                <w:color w:val="000000" w:themeColor="text1"/>
              </w:rPr>
              <w:t>≥ 40 kg</w:t>
            </w:r>
          </w:p>
        </w:tc>
        <w:tc>
          <w:tcPr>
            <w:tcW w:w="6030" w:type="dxa"/>
            <w:shd w:val="clear" w:color="auto" w:fill="auto"/>
          </w:tcPr>
          <w:p w14:paraId="42EB6BDE" w14:textId="77777777" w:rsidR="00C57DA3" w:rsidRPr="0058432E" w:rsidRDefault="00922EFB" w:rsidP="000D3575">
            <w:pPr>
              <w:keepNext/>
              <w:keepLines/>
              <w:numPr>
                <w:ilvl w:val="0"/>
                <w:numId w:val="17"/>
              </w:numPr>
              <w:rPr>
                <w:color w:val="000000" w:themeColor="text1"/>
              </w:rPr>
            </w:pPr>
            <w:r w:rsidRPr="0058432E">
              <w:rPr>
                <w:color w:val="000000" w:themeColor="text1"/>
              </w:rPr>
              <w:t xml:space="preserve">80 mg </w:t>
            </w:r>
            <w:r w:rsidR="006E3E21" w:rsidRPr="0058432E">
              <w:rPr>
                <w:color w:val="000000" w:themeColor="text1"/>
              </w:rPr>
              <w:t xml:space="preserve">à la </w:t>
            </w:r>
            <w:r w:rsidRPr="0058432E">
              <w:rPr>
                <w:color w:val="000000" w:themeColor="text1"/>
              </w:rPr>
              <w:t xml:space="preserve">semaine 0 et 40 mg </w:t>
            </w:r>
            <w:r w:rsidR="006E3E21" w:rsidRPr="0058432E">
              <w:rPr>
                <w:color w:val="000000" w:themeColor="text1"/>
              </w:rPr>
              <w:t xml:space="preserve">à la </w:t>
            </w:r>
            <w:r w:rsidRPr="0058432E">
              <w:rPr>
                <w:color w:val="000000" w:themeColor="text1"/>
              </w:rPr>
              <w:t>semaine 2</w:t>
            </w:r>
          </w:p>
          <w:p w14:paraId="5C95F4A5" w14:textId="77777777" w:rsidR="00C57DA3" w:rsidRPr="0058432E" w:rsidRDefault="00C57DA3" w:rsidP="000D3575">
            <w:pPr>
              <w:keepNext/>
              <w:keepLines/>
              <w:rPr>
                <w:color w:val="000000" w:themeColor="text1"/>
              </w:rPr>
            </w:pPr>
          </w:p>
          <w:p w14:paraId="7FD74557" w14:textId="77777777" w:rsidR="00C57DA3" w:rsidRPr="0058432E" w:rsidRDefault="006E3E21" w:rsidP="000D3575">
            <w:pPr>
              <w:keepNext/>
              <w:keepLines/>
              <w:rPr>
                <w:color w:val="000000" w:themeColor="text1"/>
              </w:rPr>
            </w:pPr>
            <w:r w:rsidRPr="0058432E">
              <w:rPr>
                <w:color w:val="000000" w:themeColor="text1"/>
              </w:rPr>
              <w:t>S’il est nécessaire d’obtenir une réponse plus rapide au traitement et sachant que le risque d’événements indésirables peut être plus important avec une dose d’induction élevée</w:t>
            </w:r>
            <w:r w:rsidR="00C57DA3" w:rsidRPr="0058432E">
              <w:rPr>
                <w:color w:val="000000" w:themeColor="text1"/>
              </w:rPr>
              <w:t xml:space="preserve">, la posologie suivante peut être utilisée : </w:t>
            </w:r>
          </w:p>
          <w:p w14:paraId="008C0DED" w14:textId="77777777" w:rsidR="00C57DA3" w:rsidRPr="0058432E" w:rsidRDefault="00922EFB" w:rsidP="000D3575">
            <w:pPr>
              <w:keepNext/>
              <w:keepLines/>
              <w:numPr>
                <w:ilvl w:val="0"/>
                <w:numId w:val="17"/>
              </w:numPr>
              <w:rPr>
                <w:color w:val="000000" w:themeColor="text1"/>
              </w:rPr>
            </w:pPr>
            <w:r w:rsidRPr="0058432E">
              <w:rPr>
                <w:color w:val="000000" w:themeColor="text1"/>
              </w:rPr>
              <w:t xml:space="preserve">160 mg </w:t>
            </w:r>
            <w:r w:rsidR="006E3E21" w:rsidRPr="0058432E">
              <w:rPr>
                <w:color w:val="000000" w:themeColor="text1"/>
              </w:rPr>
              <w:t xml:space="preserve">à la </w:t>
            </w:r>
            <w:r w:rsidRPr="0058432E">
              <w:rPr>
                <w:color w:val="000000" w:themeColor="text1"/>
              </w:rPr>
              <w:t xml:space="preserve">semaine 0 et 80 mg </w:t>
            </w:r>
            <w:r w:rsidR="006E3E21" w:rsidRPr="0058432E">
              <w:rPr>
                <w:color w:val="000000" w:themeColor="text1"/>
              </w:rPr>
              <w:t xml:space="preserve">à la </w:t>
            </w:r>
            <w:r w:rsidRPr="0058432E">
              <w:rPr>
                <w:color w:val="000000" w:themeColor="text1"/>
              </w:rPr>
              <w:t>semaine 2</w:t>
            </w:r>
          </w:p>
        </w:tc>
        <w:tc>
          <w:tcPr>
            <w:tcW w:w="1995" w:type="dxa"/>
            <w:shd w:val="clear" w:color="auto" w:fill="auto"/>
          </w:tcPr>
          <w:p w14:paraId="17FEDF31" w14:textId="77777777" w:rsidR="00C57DA3" w:rsidRPr="0058432E" w:rsidRDefault="00C57DA3" w:rsidP="000D3575">
            <w:pPr>
              <w:keepNext/>
              <w:keepLines/>
              <w:jc w:val="center"/>
              <w:rPr>
                <w:color w:val="000000" w:themeColor="text1"/>
              </w:rPr>
            </w:pPr>
            <w:r w:rsidRPr="0058432E">
              <w:rPr>
                <w:color w:val="000000" w:themeColor="text1"/>
              </w:rPr>
              <w:t>40 mg toutes les deux semaines</w:t>
            </w:r>
          </w:p>
        </w:tc>
      </w:tr>
    </w:tbl>
    <w:p w14:paraId="51790C29" w14:textId="77777777" w:rsidR="00E0473B" w:rsidRPr="0058432E" w:rsidRDefault="00E0473B" w:rsidP="00982118">
      <w:pPr>
        <w:rPr>
          <w:color w:val="000000" w:themeColor="text1"/>
        </w:rPr>
      </w:pPr>
    </w:p>
    <w:p w14:paraId="2BD45394" w14:textId="77777777" w:rsidR="00C57DA3" w:rsidRPr="0058432E" w:rsidRDefault="00C57DA3" w:rsidP="00982118">
      <w:pPr>
        <w:rPr>
          <w:color w:val="000000" w:themeColor="text1"/>
        </w:rPr>
      </w:pPr>
      <w:r w:rsidRPr="0058432E">
        <w:rPr>
          <w:color w:val="000000" w:themeColor="text1"/>
        </w:rPr>
        <w:t>Les patients chez qui une réponse insuffisante au traitement est observée peuvent bénéficier d’une augmentation de la posologie :</w:t>
      </w:r>
    </w:p>
    <w:p w14:paraId="0B972C49" w14:textId="77777777" w:rsidR="00C57DA3" w:rsidRPr="0058432E" w:rsidRDefault="00C57DA3" w:rsidP="00150D33">
      <w:pPr>
        <w:numPr>
          <w:ilvl w:val="0"/>
          <w:numId w:val="17"/>
        </w:numPr>
        <w:ind w:left="562" w:hanging="562"/>
        <w:rPr>
          <w:color w:val="000000" w:themeColor="text1"/>
        </w:rPr>
      </w:pPr>
      <w:r w:rsidRPr="0058432E">
        <w:rPr>
          <w:color w:val="000000" w:themeColor="text1"/>
        </w:rPr>
        <w:t>&lt; 40 kg : 20 mg toutes les semaines</w:t>
      </w:r>
    </w:p>
    <w:p w14:paraId="418AA5FD" w14:textId="77777777" w:rsidR="00C46587" w:rsidRPr="0058432E" w:rsidRDefault="00C57DA3" w:rsidP="00150D33">
      <w:pPr>
        <w:numPr>
          <w:ilvl w:val="0"/>
          <w:numId w:val="17"/>
        </w:numPr>
        <w:ind w:left="562" w:hanging="562"/>
        <w:rPr>
          <w:color w:val="000000" w:themeColor="text1"/>
        </w:rPr>
      </w:pPr>
      <w:r w:rsidRPr="0058432E">
        <w:rPr>
          <w:color w:val="000000" w:themeColor="text1"/>
        </w:rPr>
        <w:t>≥ 40 kg : 40 mg toutes les semaines ou 80 mg toutes les deux semaines</w:t>
      </w:r>
    </w:p>
    <w:p w14:paraId="7F0EC0F5" w14:textId="77777777" w:rsidR="00C57DA3" w:rsidRPr="0058432E" w:rsidRDefault="00C57DA3" w:rsidP="00982118">
      <w:pPr>
        <w:rPr>
          <w:color w:val="000000" w:themeColor="text1"/>
        </w:rPr>
      </w:pPr>
    </w:p>
    <w:p w14:paraId="740D8657" w14:textId="77777777" w:rsidR="00C46587" w:rsidRPr="0058432E" w:rsidRDefault="00C46587" w:rsidP="00982118">
      <w:pPr>
        <w:rPr>
          <w:color w:val="000000" w:themeColor="text1"/>
        </w:rPr>
      </w:pPr>
      <w:r w:rsidRPr="0058432E">
        <w:rPr>
          <w:color w:val="000000" w:themeColor="text1"/>
        </w:rPr>
        <w:t xml:space="preserve">La poursuite du traitement devra être soigneusement reconsidérée chez un patient n’ayant pas répondu à la semaine 12. </w:t>
      </w:r>
    </w:p>
    <w:p w14:paraId="45E7A3E0" w14:textId="77777777" w:rsidR="00C46587" w:rsidRPr="0058432E" w:rsidRDefault="00C46587" w:rsidP="00982118">
      <w:pPr>
        <w:rPr>
          <w:color w:val="000000" w:themeColor="text1"/>
        </w:rPr>
      </w:pPr>
    </w:p>
    <w:p w14:paraId="6286B458" w14:textId="77777777" w:rsidR="00C46587" w:rsidRPr="0058432E" w:rsidRDefault="00C46587" w:rsidP="00982118">
      <w:pPr>
        <w:rPr>
          <w:color w:val="000000" w:themeColor="text1"/>
        </w:rPr>
      </w:pPr>
      <w:r w:rsidRPr="0058432E">
        <w:rPr>
          <w:color w:val="000000" w:themeColor="text1"/>
        </w:rPr>
        <w:t xml:space="preserve">Il n’y a pas d’utilisation justifiée de l’adalimumab chez les enfants âgés de moins de 6 ans dans cette indication. </w:t>
      </w:r>
    </w:p>
    <w:p w14:paraId="64C18A5B" w14:textId="77777777" w:rsidR="00C46587" w:rsidRPr="0058432E" w:rsidRDefault="00C46587" w:rsidP="00982118">
      <w:pPr>
        <w:rPr>
          <w:color w:val="000000" w:themeColor="text1"/>
        </w:rPr>
      </w:pPr>
    </w:p>
    <w:p w14:paraId="6FE59E98" w14:textId="77777777" w:rsidR="00DF64F0"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57022FBE" w14:textId="77777777" w:rsidR="00DF64F0" w:rsidRPr="0058432E" w:rsidRDefault="00DF64F0" w:rsidP="00982118">
      <w:pPr>
        <w:rPr>
          <w:color w:val="000000" w:themeColor="text1"/>
        </w:rPr>
      </w:pPr>
    </w:p>
    <w:p w14:paraId="09EE760D" w14:textId="77777777" w:rsidR="00712496" w:rsidRPr="0058432E" w:rsidRDefault="00712496" w:rsidP="00712496">
      <w:pPr>
        <w:autoSpaceDE w:val="0"/>
        <w:autoSpaceDN w:val="0"/>
        <w:adjustRightInd w:val="0"/>
        <w:rPr>
          <w:i/>
          <w:iCs/>
          <w:color w:val="000000" w:themeColor="text1"/>
        </w:rPr>
      </w:pPr>
      <w:r w:rsidRPr="0058432E">
        <w:rPr>
          <w:i/>
          <w:iCs/>
          <w:color w:val="000000" w:themeColor="text1"/>
        </w:rPr>
        <w:t>Rectocolite hémorragique pédiatrique</w:t>
      </w:r>
    </w:p>
    <w:p w14:paraId="1C338506" w14:textId="77777777" w:rsidR="00712496" w:rsidRPr="0058432E" w:rsidRDefault="00712496" w:rsidP="00712496">
      <w:pPr>
        <w:autoSpaceDE w:val="0"/>
        <w:autoSpaceDN w:val="0"/>
        <w:adjustRightInd w:val="0"/>
        <w:rPr>
          <w:i/>
          <w:iCs/>
          <w:color w:val="000000" w:themeColor="text1"/>
        </w:rPr>
      </w:pPr>
    </w:p>
    <w:p w14:paraId="7F8308C6" w14:textId="77777777" w:rsidR="00712496" w:rsidRPr="0058432E" w:rsidRDefault="00712496" w:rsidP="00712496">
      <w:pPr>
        <w:autoSpaceDE w:val="0"/>
        <w:autoSpaceDN w:val="0"/>
        <w:adjustRightInd w:val="0"/>
        <w:rPr>
          <w:color w:val="000000" w:themeColor="text1"/>
        </w:rPr>
      </w:pPr>
      <w:r w:rsidRPr="0058432E">
        <w:rPr>
          <w:color w:val="000000" w:themeColor="text1"/>
        </w:rPr>
        <w:t>La posologie recommandée d’Amsparity pour les patients âgés de 6 à 17 ans et atteints de rectocolite hémorragique dépend du poids corporel (tableau 5). Amsparity est administré par injection sous-cutanée.</w:t>
      </w:r>
    </w:p>
    <w:p w14:paraId="60F48CB6" w14:textId="77777777" w:rsidR="00712496" w:rsidRPr="0058432E" w:rsidRDefault="00712496" w:rsidP="00712496">
      <w:pPr>
        <w:keepNext/>
        <w:rPr>
          <w:rFonts w:ascii="TimesNewRomanPSMT" w:hAnsi="TimesNewRomanPSMT" w:cs="TimesNewRomanPSMT"/>
          <w:color w:val="000000" w:themeColor="text1"/>
          <w:sz w:val="21"/>
          <w:szCs w:val="21"/>
        </w:rPr>
      </w:pPr>
    </w:p>
    <w:p w14:paraId="20C71AD4" w14:textId="77777777" w:rsidR="005921C9" w:rsidRPr="0058432E" w:rsidRDefault="00712496" w:rsidP="00712496">
      <w:pPr>
        <w:keepNext/>
        <w:rPr>
          <w:b/>
          <w:color w:val="000000" w:themeColor="text1"/>
        </w:rPr>
      </w:pPr>
      <w:r w:rsidRPr="0058432E">
        <w:rPr>
          <w:b/>
          <w:color w:val="000000" w:themeColor="text1"/>
        </w:rPr>
        <w:t>Tableau 5.</w:t>
      </w:r>
    </w:p>
    <w:p w14:paraId="115D0266" w14:textId="77777777" w:rsidR="00712496" w:rsidRPr="0058432E" w:rsidRDefault="00712496" w:rsidP="00712496">
      <w:pPr>
        <w:keepNext/>
        <w:rPr>
          <w:b/>
          <w:color w:val="000000" w:themeColor="text1"/>
        </w:rPr>
      </w:pPr>
      <w:r w:rsidRPr="0058432E">
        <w:rPr>
          <w:b/>
          <w:color w:val="000000" w:themeColor="text1"/>
        </w:rPr>
        <w:t>Posologie d’Amsparity chez les patients pédiatriques atteints de rectocolite hémorragique</w:t>
      </w:r>
    </w:p>
    <w:p w14:paraId="3831AC31" w14:textId="77777777" w:rsidR="00712496" w:rsidRPr="0058432E" w:rsidRDefault="00712496" w:rsidP="00712496">
      <w:pPr>
        <w:keepNext/>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4118"/>
        <w:gridCol w:w="2911"/>
      </w:tblGrid>
      <w:tr w:rsidR="00712496" w:rsidRPr="0058432E" w14:paraId="43A6F2CF" w14:textId="77777777" w:rsidTr="006D1A33">
        <w:trPr>
          <w:tblHeader/>
        </w:trPr>
        <w:tc>
          <w:tcPr>
            <w:tcW w:w="2088" w:type="dxa"/>
            <w:shd w:val="clear" w:color="auto" w:fill="auto"/>
          </w:tcPr>
          <w:p w14:paraId="64A7A2EC" w14:textId="77777777" w:rsidR="00712496" w:rsidRPr="0058432E" w:rsidRDefault="00712496" w:rsidP="004A24CF">
            <w:pPr>
              <w:keepNext/>
              <w:jc w:val="center"/>
              <w:rPr>
                <w:color w:val="000000" w:themeColor="text1"/>
              </w:rPr>
            </w:pPr>
            <w:r w:rsidRPr="0058432E">
              <w:rPr>
                <w:b/>
                <w:color w:val="000000" w:themeColor="text1"/>
              </w:rPr>
              <w:t>Poids du patient</w:t>
            </w:r>
          </w:p>
        </w:tc>
        <w:tc>
          <w:tcPr>
            <w:tcW w:w="4230" w:type="dxa"/>
            <w:shd w:val="clear" w:color="auto" w:fill="auto"/>
          </w:tcPr>
          <w:p w14:paraId="0E2230BF" w14:textId="77777777" w:rsidR="00712496" w:rsidRPr="0058432E" w:rsidRDefault="00712496" w:rsidP="004A24CF">
            <w:pPr>
              <w:keepNext/>
              <w:jc w:val="center"/>
              <w:rPr>
                <w:color w:val="000000" w:themeColor="text1"/>
              </w:rPr>
            </w:pPr>
            <w:r w:rsidRPr="0058432E">
              <w:rPr>
                <w:b/>
                <w:color w:val="000000" w:themeColor="text1"/>
              </w:rPr>
              <w:t>Dose d’induction</w:t>
            </w:r>
          </w:p>
        </w:tc>
        <w:tc>
          <w:tcPr>
            <w:tcW w:w="2985" w:type="dxa"/>
          </w:tcPr>
          <w:p w14:paraId="50B4D046" w14:textId="77777777" w:rsidR="00712496" w:rsidRPr="0058432E" w:rsidRDefault="00712496" w:rsidP="004A24CF">
            <w:pPr>
              <w:keepNext/>
              <w:jc w:val="center"/>
              <w:rPr>
                <w:b/>
                <w:color w:val="000000" w:themeColor="text1"/>
              </w:rPr>
            </w:pPr>
            <w:r w:rsidRPr="0058432E">
              <w:rPr>
                <w:b/>
                <w:color w:val="000000" w:themeColor="text1"/>
              </w:rPr>
              <w:t>Dose d’entretien à partir de la semaine</w:t>
            </w:r>
            <w:r w:rsidRPr="0058432E">
              <w:rPr>
                <w:color w:val="000000" w:themeColor="text1"/>
              </w:rPr>
              <w:t> </w:t>
            </w:r>
            <w:r w:rsidRPr="0058432E">
              <w:rPr>
                <w:b/>
                <w:color w:val="000000" w:themeColor="text1"/>
              </w:rPr>
              <w:t>4*</w:t>
            </w:r>
          </w:p>
        </w:tc>
      </w:tr>
      <w:tr w:rsidR="00712496" w:rsidRPr="0058432E" w14:paraId="4267655E" w14:textId="77777777" w:rsidTr="004A24CF">
        <w:tc>
          <w:tcPr>
            <w:tcW w:w="2088" w:type="dxa"/>
            <w:shd w:val="clear" w:color="auto" w:fill="auto"/>
          </w:tcPr>
          <w:p w14:paraId="76BDBFD2" w14:textId="77777777" w:rsidR="00712496" w:rsidRPr="0058432E" w:rsidRDefault="00712496" w:rsidP="004A24CF">
            <w:pPr>
              <w:jc w:val="center"/>
              <w:rPr>
                <w:color w:val="000000" w:themeColor="text1"/>
              </w:rPr>
            </w:pPr>
            <w:r w:rsidRPr="0058432E">
              <w:rPr>
                <w:color w:val="000000" w:themeColor="text1"/>
              </w:rPr>
              <w:t>&lt; 40 kg</w:t>
            </w:r>
          </w:p>
        </w:tc>
        <w:tc>
          <w:tcPr>
            <w:tcW w:w="4230" w:type="dxa"/>
            <w:shd w:val="clear" w:color="auto" w:fill="auto"/>
          </w:tcPr>
          <w:p w14:paraId="6874C636" w14:textId="77777777" w:rsidR="00712496" w:rsidRPr="0058432E" w:rsidRDefault="00712496" w:rsidP="004A24CF">
            <w:pPr>
              <w:numPr>
                <w:ilvl w:val="0"/>
                <w:numId w:val="64"/>
              </w:numPr>
              <w:autoSpaceDE w:val="0"/>
              <w:autoSpaceDN w:val="0"/>
              <w:adjustRightInd w:val="0"/>
              <w:ind w:left="360"/>
              <w:rPr>
                <w:color w:val="000000" w:themeColor="text1"/>
              </w:rPr>
            </w:pPr>
            <w:r w:rsidRPr="0058432E">
              <w:rPr>
                <w:color w:val="000000" w:themeColor="text1"/>
              </w:rPr>
              <w:t>80 mg à la semaine 0 (deux injections de 40 mg le jour de l’induction) et</w:t>
            </w:r>
          </w:p>
          <w:p w14:paraId="62E4E73F" w14:textId="77777777" w:rsidR="00712496" w:rsidRPr="0058432E" w:rsidRDefault="00712496" w:rsidP="004A24CF">
            <w:pPr>
              <w:numPr>
                <w:ilvl w:val="0"/>
                <w:numId w:val="64"/>
              </w:numPr>
              <w:autoSpaceDE w:val="0"/>
              <w:autoSpaceDN w:val="0"/>
              <w:adjustRightInd w:val="0"/>
              <w:ind w:left="360"/>
              <w:rPr>
                <w:color w:val="000000" w:themeColor="text1"/>
              </w:rPr>
            </w:pPr>
            <w:r w:rsidRPr="0058432E">
              <w:rPr>
                <w:color w:val="000000" w:themeColor="text1"/>
              </w:rPr>
              <w:t>40 mg à la semaine 2 (une seule injection de 40 mg)</w:t>
            </w:r>
          </w:p>
        </w:tc>
        <w:tc>
          <w:tcPr>
            <w:tcW w:w="2985" w:type="dxa"/>
          </w:tcPr>
          <w:p w14:paraId="02884FBB" w14:textId="77777777" w:rsidR="00712496" w:rsidRPr="0058432E" w:rsidRDefault="00712496" w:rsidP="004A24CF">
            <w:pPr>
              <w:jc w:val="center"/>
              <w:rPr>
                <w:color w:val="000000" w:themeColor="text1"/>
              </w:rPr>
            </w:pPr>
            <w:r w:rsidRPr="0058432E">
              <w:rPr>
                <w:color w:val="000000" w:themeColor="text1"/>
              </w:rPr>
              <w:t>40 mg toutes les deux semaines</w:t>
            </w:r>
          </w:p>
        </w:tc>
      </w:tr>
      <w:tr w:rsidR="00712496" w:rsidRPr="0058432E" w14:paraId="020E0B43" w14:textId="77777777" w:rsidTr="004A24CF">
        <w:tc>
          <w:tcPr>
            <w:tcW w:w="2088" w:type="dxa"/>
            <w:shd w:val="clear" w:color="auto" w:fill="auto"/>
          </w:tcPr>
          <w:p w14:paraId="13A895FA" w14:textId="77777777" w:rsidR="00712496" w:rsidRPr="0058432E" w:rsidRDefault="00712496" w:rsidP="004A24CF">
            <w:pPr>
              <w:jc w:val="center"/>
              <w:rPr>
                <w:color w:val="000000" w:themeColor="text1"/>
              </w:rPr>
            </w:pPr>
            <w:r w:rsidRPr="0058432E">
              <w:rPr>
                <w:color w:val="000000" w:themeColor="text1"/>
              </w:rPr>
              <w:lastRenderedPageBreak/>
              <w:t>≥ 40 kg</w:t>
            </w:r>
          </w:p>
        </w:tc>
        <w:tc>
          <w:tcPr>
            <w:tcW w:w="4230" w:type="dxa"/>
            <w:shd w:val="clear" w:color="auto" w:fill="auto"/>
          </w:tcPr>
          <w:p w14:paraId="458E6599" w14:textId="77777777" w:rsidR="00712496" w:rsidRPr="0058432E" w:rsidRDefault="00712496" w:rsidP="004A24CF">
            <w:pPr>
              <w:numPr>
                <w:ilvl w:val="0"/>
                <w:numId w:val="65"/>
              </w:numPr>
              <w:autoSpaceDE w:val="0"/>
              <w:autoSpaceDN w:val="0"/>
              <w:adjustRightInd w:val="0"/>
              <w:ind w:left="360"/>
              <w:rPr>
                <w:color w:val="000000" w:themeColor="text1"/>
              </w:rPr>
            </w:pPr>
            <w:r w:rsidRPr="0058432E">
              <w:rPr>
                <w:color w:val="000000" w:themeColor="text1"/>
              </w:rPr>
              <w:t>160 mg à la semaine 0 (quatre injections de 40 mg le jour de l’induction ou deux injections de 40 mg par jour pendant deux jours) et</w:t>
            </w:r>
          </w:p>
          <w:p w14:paraId="02DC66E4" w14:textId="77777777" w:rsidR="00712496" w:rsidRPr="0058432E" w:rsidRDefault="00712496" w:rsidP="004A24CF">
            <w:pPr>
              <w:numPr>
                <w:ilvl w:val="0"/>
                <w:numId w:val="66"/>
              </w:numPr>
              <w:autoSpaceDE w:val="0"/>
              <w:autoSpaceDN w:val="0"/>
              <w:adjustRightInd w:val="0"/>
              <w:ind w:left="360"/>
              <w:rPr>
                <w:color w:val="000000" w:themeColor="text1"/>
              </w:rPr>
            </w:pPr>
            <w:r w:rsidRPr="0058432E">
              <w:rPr>
                <w:color w:val="000000" w:themeColor="text1"/>
              </w:rPr>
              <w:t>80 mg à la semaine 2 (deux injections de 40 mg le jour de l’injection)</w:t>
            </w:r>
          </w:p>
        </w:tc>
        <w:tc>
          <w:tcPr>
            <w:tcW w:w="2985" w:type="dxa"/>
          </w:tcPr>
          <w:p w14:paraId="5C63F72B" w14:textId="77777777" w:rsidR="00712496" w:rsidRPr="0058432E" w:rsidRDefault="00712496" w:rsidP="004A24CF">
            <w:pPr>
              <w:jc w:val="center"/>
              <w:rPr>
                <w:color w:val="000000" w:themeColor="text1"/>
              </w:rPr>
            </w:pPr>
            <w:r w:rsidRPr="0058432E">
              <w:rPr>
                <w:color w:val="000000" w:themeColor="text1"/>
              </w:rPr>
              <w:t>80 mg toutes les deux semaines</w:t>
            </w:r>
          </w:p>
        </w:tc>
      </w:tr>
    </w:tbl>
    <w:p w14:paraId="6FD2BD43" w14:textId="77777777" w:rsidR="00712496" w:rsidRPr="0058432E" w:rsidRDefault="00712496" w:rsidP="00712496">
      <w:pPr>
        <w:autoSpaceDE w:val="0"/>
        <w:autoSpaceDN w:val="0"/>
        <w:adjustRightInd w:val="0"/>
        <w:ind w:left="270" w:hanging="270"/>
        <w:rPr>
          <w:color w:val="000000" w:themeColor="text1"/>
          <w:sz w:val="20"/>
          <w:szCs w:val="20"/>
        </w:rPr>
      </w:pPr>
      <w:r w:rsidRPr="0058432E">
        <w:rPr>
          <w:color w:val="000000" w:themeColor="text1"/>
          <w:sz w:val="20"/>
          <w:szCs w:val="20"/>
        </w:rPr>
        <w:t xml:space="preserve">* </w:t>
      </w:r>
      <w:r w:rsidRPr="0058432E">
        <w:rPr>
          <w:color w:val="000000" w:themeColor="text1"/>
          <w:sz w:val="20"/>
          <w:szCs w:val="20"/>
        </w:rPr>
        <w:tab/>
        <w:t>Pour les patients pédiatriques atteignant l’âge de 18 ans pendant le traitement par Amsparity, la dose d’entretien prescrite doit être maintenue.</w:t>
      </w:r>
    </w:p>
    <w:p w14:paraId="02B3AED4" w14:textId="77777777" w:rsidR="00712496" w:rsidRPr="0058432E" w:rsidRDefault="00712496" w:rsidP="00712496">
      <w:pPr>
        <w:rPr>
          <w:iCs/>
          <w:color w:val="000000" w:themeColor="text1"/>
        </w:rPr>
      </w:pPr>
    </w:p>
    <w:p w14:paraId="4246AC65" w14:textId="77777777" w:rsidR="00712496" w:rsidRPr="0058432E" w:rsidRDefault="00712496" w:rsidP="00712496">
      <w:pPr>
        <w:autoSpaceDE w:val="0"/>
        <w:autoSpaceDN w:val="0"/>
        <w:adjustRightInd w:val="0"/>
        <w:rPr>
          <w:color w:val="000000" w:themeColor="text1"/>
        </w:rPr>
      </w:pPr>
      <w:r w:rsidRPr="0058432E">
        <w:rPr>
          <w:color w:val="000000" w:themeColor="text1"/>
        </w:rPr>
        <w:t>La poursuite du traitement au-delà de 8 semaines doit être soigneusement reconsidérée chez les patients n’ayant pas répondu pendant cette période.</w:t>
      </w:r>
    </w:p>
    <w:p w14:paraId="2C506D12" w14:textId="77777777" w:rsidR="00712496" w:rsidRPr="0058432E" w:rsidRDefault="00712496" w:rsidP="00712496">
      <w:pPr>
        <w:autoSpaceDE w:val="0"/>
        <w:autoSpaceDN w:val="0"/>
        <w:adjustRightInd w:val="0"/>
        <w:rPr>
          <w:color w:val="000000" w:themeColor="text1"/>
        </w:rPr>
      </w:pPr>
    </w:p>
    <w:p w14:paraId="247515DF" w14:textId="77777777" w:rsidR="00712496" w:rsidRPr="0058432E" w:rsidRDefault="00712496" w:rsidP="00712496">
      <w:pPr>
        <w:autoSpaceDE w:val="0"/>
        <w:autoSpaceDN w:val="0"/>
        <w:adjustRightInd w:val="0"/>
        <w:rPr>
          <w:color w:val="000000" w:themeColor="text1"/>
        </w:rPr>
      </w:pPr>
      <w:r w:rsidRPr="0058432E">
        <w:rPr>
          <w:color w:val="000000" w:themeColor="text1"/>
        </w:rPr>
        <w:t>Il n’y a pas d’utilisation justifiée de l’adalimumab chez les enfants âgés de moins de 6 ans dans cette indication.</w:t>
      </w:r>
    </w:p>
    <w:p w14:paraId="3AD4C6AE" w14:textId="77777777" w:rsidR="00712496" w:rsidRPr="0058432E" w:rsidRDefault="00712496" w:rsidP="00712496">
      <w:pPr>
        <w:autoSpaceDE w:val="0"/>
        <w:autoSpaceDN w:val="0"/>
        <w:adjustRightInd w:val="0"/>
        <w:rPr>
          <w:color w:val="000000" w:themeColor="text1"/>
        </w:rPr>
      </w:pPr>
    </w:p>
    <w:p w14:paraId="0FD6E3AC" w14:textId="77777777" w:rsidR="00712496" w:rsidRPr="0058432E" w:rsidRDefault="00712496" w:rsidP="00712496">
      <w:pPr>
        <w:autoSpaceDE w:val="0"/>
        <w:autoSpaceDN w:val="0"/>
        <w:adjustRightInd w:val="0"/>
        <w:rPr>
          <w:color w:val="000000" w:themeColor="text1"/>
        </w:rPr>
      </w:pPr>
      <w:r w:rsidRPr="0058432E">
        <w:rPr>
          <w:color w:val="000000" w:themeColor="text1"/>
        </w:rPr>
        <w:t>Différents dosages et/ou présentations d’Amsparity peuvent être disponibles en fonction des besoins thérapeutiques de chaque patient.</w:t>
      </w:r>
    </w:p>
    <w:p w14:paraId="41E8E486" w14:textId="77777777" w:rsidR="00671B82" w:rsidRPr="0058432E" w:rsidRDefault="00671B82" w:rsidP="00982118">
      <w:pPr>
        <w:rPr>
          <w:color w:val="000000" w:themeColor="text1"/>
        </w:rPr>
      </w:pPr>
    </w:p>
    <w:p w14:paraId="1E93B482" w14:textId="77777777" w:rsidR="007D2614" w:rsidRPr="0058432E" w:rsidRDefault="007D2614" w:rsidP="00150D33">
      <w:pPr>
        <w:keepNext/>
        <w:rPr>
          <w:color w:val="000000" w:themeColor="text1"/>
        </w:rPr>
      </w:pPr>
      <w:r w:rsidRPr="0058432E">
        <w:rPr>
          <w:i/>
          <w:color w:val="000000" w:themeColor="text1"/>
        </w:rPr>
        <w:t xml:space="preserve">Uvéite </w:t>
      </w:r>
      <w:r w:rsidR="000C7E4B" w:rsidRPr="0058432E">
        <w:rPr>
          <w:i/>
          <w:color w:val="000000" w:themeColor="text1"/>
        </w:rPr>
        <w:t>pédiatrique</w:t>
      </w:r>
    </w:p>
    <w:p w14:paraId="2380B22D" w14:textId="77777777" w:rsidR="007D2614" w:rsidRPr="0058432E" w:rsidRDefault="007D2614" w:rsidP="00150D33">
      <w:pPr>
        <w:keepNext/>
        <w:rPr>
          <w:color w:val="000000" w:themeColor="text1"/>
        </w:rPr>
      </w:pPr>
    </w:p>
    <w:p w14:paraId="1B401EC0" w14:textId="77777777" w:rsidR="007D2614" w:rsidRPr="0058432E" w:rsidRDefault="007D2614" w:rsidP="00982118">
      <w:pPr>
        <w:rPr>
          <w:color w:val="000000" w:themeColor="text1"/>
        </w:rPr>
      </w:pPr>
      <w:r w:rsidRPr="0058432E">
        <w:rPr>
          <w:color w:val="000000" w:themeColor="text1"/>
        </w:rPr>
        <w:t>La posologie recommandée d’Amsparity pour les enfants et les adolescents atteints d’uvéite à partir de l’âge de 2 ans dépend du poids corporel (tableau </w:t>
      </w:r>
      <w:r w:rsidR="00671B82" w:rsidRPr="0058432E">
        <w:rPr>
          <w:color w:val="000000" w:themeColor="text1"/>
        </w:rPr>
        <w:t>6</w:t>
      </w:r>
      <w:r w:rsidRPr="0058432E">
        <w:rPr>
          <w:color w:val="000000" w:themeColor="text1"/>
        </w:rPr>
        <w:t xml:space="preserve">). Amsparity est administré en injection sous-cutanée. </w:t>
      </w:r>
    </w:p>
    <w:p w14:paraId="05E85A49" w14:textId="77777777" w:rsidR="007D2614" w:rsidRPr="0058432E" w:rsidRDefault="007D2614" w:rsidP="00982118">
      <w:pPr>
        <w:rPr>
          <w:color w:val="000000" w:themeColor="text1"/>
        </w:rPr>
      </w:pPr>
    </w:p>
    <w:p w14:paraId="3DDC4E47" w14:textId="77777777" w:rsidR="00C57DA3" w:rsidRPr="0058432E" w:rsidRDefault="00C57DA3" w:rsidP="00982118">
      <w:pPr>
        <w:rPr>
          <w:color w:val="000000" w:themeColor="text1"/>
        </w:rPr>
      </w:pPr>
      <w:r w:rsidRPr="0058432E">
        <w:rPr>
          <w:color w:val="000000" w:themeColor="text1"/>
        </w:rPr>
        <w:t xml:space="preserve">Dans l’uvéite </w:t>
      </w:r>
      <w:r w:rsidR="000C7E4B" w:rsidRPr="0058432E">
        <w:rPr>
          <w:color w:val="000000" w:themeColor="text1"/>
        </w:rPr>
        <w:t>pédiatrique</w:t>
      </w:r>
      <w:r w:rsidRPr="0058432E">
        <w:rPr>
          <w:color w:val="000000" w:themeColor="text1"/>
        </w:rPr>
        <w:t>, aucun essai clinique n’a été conduit avec l’adalimumab sans traitement concomitant par le méthotrexate.</w:t>
      </w:r>
    </w:p>
    <w:p w14:paraId="47B3D6A1" w14:textId="77777777" w:rsidR="00C57DA3" w:rsidRPr="0058432E" w:rsidRDefault="00C57DA3" w:rsidP="00982118">
      <w:pPr>
        <w:rPr>
          <w:color w:val="000000" w:themeColor="text1"/>
          <w:u w:val="single"/>
        </w:rPr>
      </w:pPr>
    </w:p>
    <w:p w14:paraId="593DBA59" w14:textId="77777777" w:rsidR="00150D33" w:rsidRPr="0058432E" w:rsidRDefault="00C57DA3" w:rsidP="00A53E17">
      <w:pPr>
        <w:rPr>
          <w:b/>
          <w:color w:val="000000" w:themeColor="text1"/>
        </w:rPr>
      </w:pPr>
      <w:r w:rsidRPr="0058432E">
        <w:rPr>
          <w:b/>
          <w:color w:val="000000" w:themeColor="text1"/>
        </w:rPr>
        <w:t>Tableau </w:t>
      </w:r>
      <w:r w:rsidR="00671B82" w:rsidRPr="0058432E">
        <w:rPr>
          <w:b/>
          <w:color w:val="000000" w:themeColor="text1"/>
        </w:rPr>
        <w:t>6</w:t>
      </w:r>
      <w:r w:rsidR="00BA0AD5" w:rsidRPr="0058432E">
        <w:rPr>
          <w:b/>
          <w:color w:val="000000" w:themeColor="text1"/>
        </w:rPr>
        <w:t>.</w:t>
      </w:r>
      <w:r w:rsidRPr="0058432E">
        <w:rPr>
          <w:b/>
          <w:color w:val="000000" w:themeColor="text1"/>
        </w:rPr>
        <w:t xml:space="preserve"> </w:t>
      </w:r>
    </w:p>
    <w:p w14:paraId="3022DCB2" w14:textId="77777777" w:rsidR="00C57DA3" w:rsidRPr="0058432E" w:rsidRDefault="006A1144" w:rsidP="00A53E17">
      <w:pPr>
        <w:rPr>
          <w:b/>
          <w:color w:val="000000" w:themeColor="text1"/>
        </w:rPr>
      </w:pPr>
      <w:r w:rsidRPr="0058432E">
        <w:rPr>
          <w:b/>
          <w:color w:val="000000" w:themeColor="text1"/>
        </w:rPr>
        <w:t>Posologie d’Amsparity chez les enfants et les adolescents atteints d’uvéite</w:t>
      </w:r>
    </w:p>
    <w:p w14:paraId="447975E0" w14:textId="77777777" w:rsidR="00C57DA3" w:rsidRPr="0058432E" w:rsidRDefault="00C57DA3" w:rsidP="00982118">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41"/>
      </w:tblGrid>
      <w:tr w:rsidR="00C57DA3" w:rsidRPr="0058432E" w14:paraId="0EBE5940" w14:textId="77777777" w:rsidTr="00A53E17">
        <w:tc>
          <w:tcPr>
            <w:tcW w:w="4651" w:type="dxa"/>
            <w:shd w:val="clear" w:color="auto" w:fill="auto"/>
          </w:tcPr>
          <w:p w14:paraId="02ABEAB8" w14:textId="77777777" w:rsidR="00C57DA3" w:rsidRPr="0058432E" w:rsidRDefault="00C57DA3" w:rsidP="00982118">
            <w:pPr>
              <w:jc w:val="center"/>
              <w:rPr>
                <w:color w:val="000000" w:themeColor="text1"/>
              </w:rPr>
            </w:pPr>
            <w:r w:rsidRPr="0058432E">
              <w:rPr>
                <w:b/>
                <w:color w:val="000000" w:themeColor="text1"/>
              </w:rPr>
              <w:t>Poids du patient</w:t>
            </w:r>
          </w:p>
        </w:tc>
        <w:tc>
          <w:tcPr>
            <w:tcW w:w="4652" w:type="dxa"/>
            <w:shd w:val="clear" w:color="auto" w:fill="auto"/>
          </w:tcPr>
          <w:p w14:paraId="18584E3E" w14:textId="77777777" w:rsidR="00C57DA3" w:rsidRPr="0058432E" w:rsidRDefault="00C57DA3" w:rsidP="00982118">
            <w:pPr>
              <w:jc w:val="center"/>
              <w:rPr>
                <w:color w:val="000000" w:themeColor="text1"/>
              </w:rPr>
            </w:pPr>
            <w:r w:rsidRPr="0058432E">
              <w:rPr>
                <w:b/>
                <w:color w:val="000000" w:themeColor="text1"/>
              </w:rPr>
              <w:t>Schéma posologique</w:t>
            </w:r>
          </w:p>
        </w:tc>
      </w:tr>
      <w:tr w:rsidR="00C57DA3" w:rsidRPr="0058432E" w14:paraId="32D3CA3A" w14:textId="77777777" w:rsidTr="00A53E17">
        <w:tc>
          <w:tcPr>
            <w:tcW w:w="4651" w:type="dxa"/>
            <w:shd w:val="clear" w:color="auto" w:fill="auto"/>
          </w:tcPr>
          <w:p w14:paraId="3772A39F" w14:textId="77777777" w:rsidR="00C57DA3" w:rsidRPr="0058432E" w:rsidRDefault="00C57DA3" w:rsidP="00982118">
            <w:pPr>
              <w:jc w:val="center"/>
              <w:rPr>
                <w:color w:val="000000" w:themeColor="text1"/>
              </w:rPr>
            </w:pPr>
            <w:r w:rsidRPr="0058432E">
              <w:rPr>
                <w:color w:val="000000" w:themeColor="text1"/>
              </w:rPr>
              <w:t>&lt; 30 kg</w:t>
            </w:r>
          </w:p>
        </w:tc>
        <w:tc>
          <w:tcPr>
            <w:tcW w:w="4652" w:type="dxa"/>
            <w:shd w:val="clear" w:color="auto" w:fill="auto"/>
          </w:tcPr>
          <w:p w14:paraId="43FBED84" w14:textId="77777777" w:rsidR="00C57DA3" w:rsidRPr="0058432E" w:rsidRDefault="00C57DA3" w:rsidP="00150D33">
            <w:pPr>
              <w:rPr>
                <w:color w:val="000000" w:themeColor="text1"/>
              </w:rPr>
            </w:pPr>
            <w:r w:rsidRPr="0058432E">
              <w:rPr>
                <w:color w:val="000000" w:themeColor="text1"/>
              </w:rPr>
              <w:t>20 mg toutes les deux semaines en association avec du méthotrexate</w:t>
            </w:r>
          </w:p>
        </w:tc>
      </w:tr>
      <w:tr w:rsidR="00C57DA3" w:rsidRPr="0058432E" w14:paraId="5EF80356" w14:textId="77777777" w:rsidTr="00A53E17">
        <w:tc>
          <w:tcPr>
            <w:tcW w:w="4651" w:type="dxa"/>
            <w:shd w:val="clear" w:color="auto" w:fill="auto"/>
          </w:tcPr>
          <w:p w14:paraId="0201F4C8" w14:textId="77777777" w:rsidR="00C57DA3" w:rsidRPr="0058432E" w:rsidRDefault="00C57DA3" w:rsidP="00982118">
            <w:pPr>
              <w:jc w:val="center"/>
              <w:rPr>
                <w:color w:val="000000" w:themeColor="text1"/>
              </w:rPr>
            </w:pPr>
            <w:r w:rsidRPr="0058432E">
              <w:rPr>
                <w:color w:val="000000" w:themeColor="text1"/>
              </w:rPr>
              <w:t>≥ 30 kg</w:t>
            </w:r>
          </w:p>
        </w:tc>
        <w:tc>
          <w:tcPr>
            <w:tcW w:w="4652" w:type="dxa"/>
            <w:shd w:val="clear" w:color="auto" w:fill="auto"/>
          </w:tcPr>
          <w:p w14:paraId="20184ABD" w14:textId="77777777" w:rsidR="00C57DA3" w:rsidRPr="0058432E" w:rsidRDefault="00C57DA3" w:rsidP="00150D33">
            <w:pPr>
              <w:rPr>
                <w:color w:val="000000" w:themeColor="text1"/>
              </w:rPr>
            </w:pPr>
            <w:r w:rsidRPr="0058432E">
              <w:rPr>
                <w:color w:val="000000" w:themeColor="text1"/>
              </w:rPr>
              <w:t>40 mg toutes les deux semaines en association avec du méthotrexate</w:t>
            </w:r>
          </w:p>
        </w:tc>
      </w:tr>
    </w:tbl>
    <w:p w14:paraId="6BA4E071" w14:textId="77777777" w:rsidR="00C57DA3" w:rsidRPr="0058432E" w:rsidRDefault="00C57DA3" w:rsidP="00982118">
      <w:pPr>
        <w:rPr>
          <w:color w:val="000000" w:themeColor="text1"/>
        </w:rPr>
      </w:pPr>
    </w:p>
    <w:p w14:paraId="2F4345F7" w14:textId="77777777" w:rsidR="007D2614" w:rsidRPr="0058432E" w:rsidRDefault="007D2614" w:rsidP="00982118">
      <w:pPr>
        <w:rPr>
          <w:color w:val="000000" w:themeColor="text1"/>
        </w:rPr>
      </w:pPr>
      <w:r w:rsidRPr="0058432E">
        <w:rPr>
          <w:color w:val="000000" w:themeColor="text1"/>
        </w:rPr>
        <w:t xml:space="preserve">Lors de l’instauration du traitement par Amsparity, une dose de charge de 40 mg pour les patients </w:t>
      </w:r>
      <w:r w:rsidR="004E573C" w:rsidRPr="0058432E">
        <w:rPr>
          <w:color w:val="000000" w:themeColor="text1"/>
        </w:rPr>
        <w:t xml:space="preserve">ayant un poids </w:t>
      </w:r>
      <w:r w:rsidRPr="0058432E">
        <w:rPr>
          <w:color w:val="000000" w:themeColor="text1"/>
        </w:rPr>
        <w:t xml:space="preserve">&lt; 30 kg ou de 80 mg pour </w:t>
      </w:r>
      <w:r w:rsidR="004E573C" w:rsidRPr="0058432E">
        <w:rPr>
          <w:color w:val="000000" w:themeColor="text1"/>
        </w:rPr>
        <w:t>ceux ayant un poids</w:t>
      </w:r>
      <w:r w:rsidRPr="0058432E">
        <w:rPr>
          <w:color w:val="000000" w:themeColor="text1"/>
        </w:rPr>
        <w:t xml:space="preserve"> ≥ 30 kg peut être administrée une semaine avant le début du traitement d’entretien. Aucune donnée clinique n’est disponible sur l’utilisation d’une dose de charge d’Amsparity chez les enfants âgés de moins de 6 ans (voir rubrique 5.2).</w:t>
      </w:r>
    </w:p>
    <w:p w14:paraId="42DFD266" w14:textId="77777777" w:rsidR="007D2614" w:rsidRPr="0058432E" w:rsidRDefault="007D2614" w:rsidP="00982118">
      <w:pPr>
        <w:rPr>
          <w:i/>
          <w:color w:val="000000" w:themeColor="text1"/>
          <w:u w:val="single"/>
        </w:rPr>
      </w:pPr>
    </w:p>
    <w:p w14:paraId="1F975957" w14:textId="77777777" w:rsidR="007D2614" w:rsidRPr="0058432E" w:rsidRDefault="007D2614" w:rsidP="00982118">
      <w:pPr>
        <w:rPr>
          <w:color w:val="000000" w:themeColor="text1"/>
        </w:rPr>
      </w:pPr>
      <w:r w:rsidRPr="0058432E">
        <w:rPr>
          <w:color w:val="000000" w:themeColor="text1"/>
        </w:rPr>
        <w:t>Il n’y a pas d’utilisation justifiée de l’adalimumab chez les enfants âgés de moins de 2 ans dans cette indication.</w:t>
      </w:r>
    </w:p>
    <w:p w14:paraId="0C4B209F" w14:textId="77777777" w:rsidR="007D2614" w:rsidRPr="0058432E" w:rsidRDefault="007D2614" w:rsidP="00982118">
      <w:pPr>
        <w:rPr>
          <w:color w:val="000000" w:themeColor="text1"/>
        </w:rPr>
      </w:pPr>
    </w:p>
    <w:p w14:paraId="392F2836" w14:textId="77777777" w:rsidR="007D2614" w:rsidRPr="0058432E" w:rsidRDefault="007D2614" w:rsidP="00982118">
      <w:pPr>
        <w:rPr>
          <w:color w:val="000000" w:themeColor="text1"/>
        </w:rPr>
      </w:pPr>
      <w:r w:rsidRPr="0058432E">
        <w:rPr>
          <w:color w:val="000000" w:themeColor="text1"/>
        </w:rPr>
        <w:t>Une réévaluation annuelle des bénéfices et des risques associés au traitement continu à long terme est recommandée (voir rubrique 5.1).</w:t>
      </w:r>
    </w:p>
    <w:p w14:paraId="61267F26" w14:textId="77777777" w:rsidR="00C46587" w:rsidRPr="0058432E" w:rsidRDefault="00C46587" w:rsidP="00982118">
      <w:pPr>
        <w:rPr>
          <w:color w:val="000000" w:themeColor="text1"/>
        </w:rPr>
      </w:pPr>
    </w:p>
    <w:p w14:paraId="1CE8C559" w14:textId="77777777" w:rsidR="00287241" w:rsidRPr="0058432E" w:rsidRDefault="006A1144" w:rsidP="00982118">
      <w:pPr>
        <w:rPr>
          <w:color w:val="000000" w:themeColor="text1"/>
        </w:rPr>
      </w:pPr>
      <w:r w:rsidRPr="0058432E">
        <w:rPr>
          <w:color w:val="000000" w:themeColor="text1"/>
        </w:rPr>
        <w:t>D’autres dosages et/ou présentations d’Amsparity peuvent être disponibles en fonction des besoins thérapeutiques de chaque patient.</w:t>
      </w:r>
    </w:p>
    <w:p w14:paraId="28E7BA6E" w14:textId="77777777" w:rsidR="00287241" w:rsidRPr="0058432E" w:rsidRDefault="00287241" w:rsidP="00982118">
      <w:pPr>
        <w:rPr>
          <w:color w:val="000000" w:themeColor="text1"/>
        </w:rPr>
      </w:pPr>
    </w:p>
    <w:p w14:paraId="5CE7D24B" w14:textId="77777777" w:rsidR="00C46587" w:rsidRPr="0058432E" w:rsidRDefault="00C46587" w:rsidP="00982118">
      <w:pPr>
        <w:keepNext/>
        <w:rPr>
          <w:color w:val="000000" w:themeColor="text1"/>
          <w:u w:val="single"/>
        </w:rPr>
      </w:pPr>
      <w:r w:rsidRPr="0058432E">
        <w:rPr>
          <w:color w:val="000000" w:themeColor="text1"/>
          <w:u w:val="single"/>
        </w:rPr>
        <w:t xml:space="preserve">Mode d’administration </w:t>
      </w:r>
    </w:p>
    <w:p w14:paraId="447B7A43" w14:textId="77777777" w:rsidR="00C46587" w:rsidRPr="0058432E" w:rsidRDefault="00C46587" w:rsidP="00982118">
      <w:pPr>
        <w:keepNext/>
        <w:rPr>
          <w:color w:val="000000" w:themeColor="text1"/>
        </w:rPr>
      </w:pPr>
    </w:p>
    <w:p w14:paraId="500E2F36" w14:textId="77777777" w:rsidR="00C46587" w:rsidRPr="0058432E" w:rsidRDefault="006A1144" w:rsidP="00982118">
      <w:pPr>
        <w:rPr>
          <w:color w:val="000000" w:themeColor="text1"/>
        </w:rPr>
      </w:pPr>
      <w:r w:rsidRPr="0058432E">
        <w:rPr>
          <w:color w:val="000000" w:themeColor="text1"/>
        </w:rPr>
        <w:t xml:space="preserve">Amsparity est administré en injection sous-cutanée. Les instructions complètes d’utilisation sont fournies dans la notice. </w:t>
      </w:r>
    </w:p>
    <w:p w14:paraId="4B360069" w14:textId="77777777" w:rsidR="00C46587" w:rsidRPr="0058432E" w:rsidRDefault="00C46587" w:rsidP="00982118">
      <w:pPr>
        <w:rPr>
          <w:color w:val="000000" w:themeColor="text1"/>
        </w:rPr>
      </w:pPr>
    </w:p>
    <w:p w14:paraId="71BA9528" w14:textId="77777777" w:rsidR="00C46587" w:rsidRPr="0058432E" w:rsidRDefault="006A1144" w:rsidP="00982118">
      <w:pPr>
        <w:rPr>
          <w:color w:val="000000" w:themeColor="text1"/>
        </w:rPr>
      </w:pPr>
      <w:r w:rsidRPr="0058432E">
        <w:rPr>
          <w:color w:val="000000" w:themeColor="text1"/>
        </w:rPr>
        <w:t>D’autres dosages et présentations d’Amsparity sont disponibles.</w:t>
      </w:r>
    </w:p>
    <w:p w14:paraId="1DF917A5" w14:textId="77777777" w:rsidR="00C57DA3" w:rsidRPr="0058432E" w:rsidRDefault="00C57DA3" w:rsidP="00982118">
      <w:pPr>
        <w:rPr>
          <w:color w:val="000000" w:themeColor="text1"/>
        </w:rPr>
      </w:pPr>
    </w:p>
    <w:p w14:paraId="780CCF02" w14:textId="77777777" w:rsidR="002327BB" w:rsidRPr="0058432E" w:rsidRDefault="002327BB" w:rsidP="00982118">
      <w:pPr>
        <w:rPr>
          <w:color w:val="000000" w:themeColor="text1"/>
        </w:rPr>
      </w:pPr>
    </w:p>
    <w:p w14:paraId="1E6E772A" w14:textId="77777777" w:rsidR="00C46587" w:rsidRPr="0058432E" w:rsidRDefault="00C46587" w:rsidP="00982118">
      <w:pPr>
        <w:keepNext/>
        <w:tabs>
          <w:tab w:val="left" w:pos="562"/>
        </w:tabs>
        <w:rPr>
          <w:b/>
          <w:color w:val="000000" w:themeColor="text1"/>
        </w:rPr>
      </w:pPr>
      <w:r w:rsidRPr="0058432E">
        <w:rPr>
          <w:b/>
          <w:color w:val="000000" w:themeColor="text1"/>
        </w:rPr>
        <w:t>4.3</w:t>
      </w:r>
      <w:r w:rsidRPr="0058432E">
        <w:rPr>
          <w:b/>
          <w:color w:val="000000" w:themeColor="text1"/>
        </w:rPr>
        <w:tab/>
        <w:t xml:space="preserve">Contre-indications </w:t>
      </w:r>
    </w:p>
    <w:p w14:paraId="0EDE4E6B" w14:textId="77777777" w:rsidR="00C46587" w:rsidRPr="0058432E" w:rsidRDefault="00C46587" w:rsidP="00982118">
      <w:pPr>
        <w:keepNext/>
        <w:rPr>
          <w:color w:val="000000" w:themeColor="text1"/>
        </w:rPr>
      </w:pPr>
    </w:p>
    <w:p w14:paraId="01730F47" w14:textId="77777777" w:rsidR="00C46587" w:rsidRPr="0058432E" w:rsidRDefault="00C46587" w:rsidP="00982118">
      <w:pPr>
        <w:rPr>
          <w:color w:val="000000" w:themeColor="text1"/>
        </w:rPr>
      </w:pPr>
      <w:r w:rsidRPr="0058432E">
        <w:rPr>
          <w:color w:val="000000" w:themeColor="text1"/>
        </w:rPr>
        <w:t xml:space="preserve">Hypersensibilité à la substance active ou à l’un des excipients mentionnés à la rubrique 6.1. </w:t>
      </w:r>
    </w:p>
    <w:p w14:paraId="361DD74F" w14:textId="77777777" w:rsidR="00C46587" w:rsidRPr="0058432E" w:rsidRDefault="00C46587" w:rsidP="00982118">
      <w:pPr>
        <w:rPr>
          <w:color w:val="000000" w:themeColor="text1"/>
        </w:rPr>
      </w:pPr>
    </w:p>
    <w:p w14:paraId="31D9B43D" w14:textId="77777777" w:rsidR="00C46587" w:rsidRPr="0058432E" w:rsidRDefault="00C46587" w:rsidP="00982118">
      <w:pPr>
        <w:rPr>
          <w:color w:val="000000" w:themeColor="text1"/>
        </w:rPr>
      </w:pPr>
      <w:r w:rsidRPr="0058432E">
        <w:rPr>
          <w:color w:val="000000" w:themeColor="text1"/>
        </w:rPr>
        <w:t xml:space="preserve">Tuberculose </w:t>
      </w:r>
      <w:r w:rsidR="006B6C54" w:rsidRPr="0058432E">
        <w:rPr>
          <w:color w:val="000000" w:themeColor="text1"/>
        </w:rPr>
        <w:t xml:space="preserve">active </w:t>
      </w:r>
      <w:r w:rsidRPr="0058432E">
        <w:rPr>
          <w:color w:val="000000" w:themeColor="text1"/>
        </w:rPr>
        <w:t xml:space="preserve">ou autres infections sévères telles que </w:t>
      </w:r>
      <w:r w:rsidR="00C564BD" w:rsidRPr="0058432E">
        <w:rPr>
          <w:color w:val="000000" w:themeColor="text1"/>
        </w:rPr>
        <w:t>septicémie</w:t>
      </w:r>
      <w:r w:rsidRPr="0058432E">
        <w:rPr>
          <w:color w:val="000000" w:themeColor="text1"/>
        </w:rPr>
        <w:t xml:space="preserve"> et infections opportunistes (voir rubrique 4.4). </w:t>
      </w:r>
    </w:p>
    <w:p w14:paraId="07E4527E" w14:textId="77777777" w:rsidR="00C46587" w:rsidRPr="0058432E" w:rsidRDefault="00C46587" w:rsidP="00982118">
      <w:pPr>
        <w:rPr>
          <w:color w:val="000000" w:themeColor="text1"/>
        </w:rPr>
      </w:pPr>
    </w:p>
    <w:p w14:paraId="5D3D6671" w14:textId="77777777" w:rsidR="00C46587" w:rsidRPr="0058432E" w:rsidRDefault="00C46587" w:rsidP="00982118">
      <w:pPr>
        <w:rPr>
          <w:color w:val="000000" w:themeColor="text1"/>
        </w:rPr>
      </w:pPr>
      <w:r w:rsidRPr="0058432E">
        <w:rPr>
          <w:color w:val="000000" w:themeColor="text1"/>
        </w:rPr>
        <w:t xml:space="preserve">Insuffisance cardiaque modérée à sévère (NYHA classes III/IV) (voir rubrique 4.4). </w:t>
      </w:r>
    </w:p>
    <w:p w14:paraId="178FDF82" w14:textId="77777777" w:rsidR="00C46587" w:rsidRPr="0058432E" w:rsidRDefault="00C46587" w:rsidP="00982118">
      <w:pPr>
        <w:rPr>
          <w:color w:val="000000" w:themeColor="text1"/>
        </w:rPr>
      </w:pPr>
    </w:p>
    <w:p w14:paraId="057E4BA2" w14:textId="77777777" w:rsidR="00C46587" w:rsidRPr="0058432E" w:rsidRDefault="00C46587" w:rsidP="00DC3A99">
      <w:pPr>
        <w:keepNext/>
        <w:tabs>
          <w:tab w:val="left" w:pos="562"/>
        </w:tabs>
        <w:rPr>
          <w:b/>
          <w:color w:val="000000" w:themeColor="text1"/>
        </w:rPr>
      </w:pPr>
      <w:r w:rsidRPr="0058432E">
        <w:rPr>
          <w:b/>
          <w:color w:val="000000" w:themeColor="text1"/>
        </w:rPr>
        <w:t>4.4</w:t>
      </w:r>
      <w:r w:rsidRPr="0058432E">
        <w:rPr>
          <w:b/>
          <w:color w:val="000000" w:themeColor="text1"/>
        </w:rPr>
        <w:tab/>
        <w:t xml:space="preserve">Mises en garde spéciales et précautions d’emploi </w:t>
      </w:r>
    </w:p>
    <w:p w14:paraId="59282B51" w14:textId="77777777" w:rsidR="00C46587" w:rsidRPr="0058432E" w:rsidRDefault="00C46587" w:rsidP="00DC3A99">
      <w:pPr>
        <w:keepNext/>
        <w:rPr>
          <w:color w:val="000000" w:themeColor="text1"/>
        </w:rPr>
      </w:pPr>
    </w:p>
    <w:p w14:paraId="7512955E" w14:textId="77777777" w:rsidR="00C57DA3" w:rsidRPr="0058432E" w:rsidRDefault="00C57DA3" w:rsidP="00DC3A99">
      <w:pPr>
        <w:keepNext/>
        <w:rPr>
          <w:color w:val="000000" w:themeColor="text1"/>
          <w:u w:val="single"/>
        </w:rPr>
      </w:pPr>
      <w:r w:rsidRPr="0058432E">
        <w:rPr>
          <w:color w:val="000000" w:themeColor="text1"/>
          <w:u w:val="single"/>
        </w:rPr>
        <w:t>Traçabilité</w:t>
      </w:r>
    </w:p>
    <w:p w14:paraId="64F93A45" w14:textId="77777777" w:rsidR="00C57DA3" w:rsidRPr="0058432E" w:rsidRDefault="00C57DA3" w:rsidP="00DC3A99">
      <w:pPr>
        <w:keepNext/>
        <w:rPr>
          <w:color w:val="000000" w:themeColor="text1"/>
        </w:rPr>
      </w:pPr>
    </w:p>
    <w:p w14:paraId="483D6479" w14:textId="77777777" w:rsidR="00C46587" w:rsidRPr="0058432E" w:rsidRDefault="00C46587" w:rsidP="00982118">
      <w:pPr>
        <w:rPr>
          <w:color w:val="000000" w:themeColor="text1"/>
        </w:rPr>
      </w:pPr>
      <w:r w:rsidRPr="0058432E">
        <w:rPr>
          <w:color w:val="000000" w:themeColor="text1"/>
        </w:rPr>
        <w:t xml:space="preserve">Afin d’améliorer la traçabilité des médicaments biologiques, </w:t>
      </w:r>
      <w:r w:rsidR="00432F58" w:rsidRPr="0058432E">
        <w:rPr>
          <w:color w:val="000000" w:themeColor="text1"/>
        </w:rPr>
        <w:t>la</w:t>
      </w:r>
      <w:r w:rsidR="00432F58" w:rsidRPr="0058432E">
        <w:rPr>
          <w:color w:val="000000" w:themeColor="text1"/>
          <w:spacing w:val="-2"/>
        </w:rPr>
        <w:t xml:space="preserve"> </w:t>
      </w:r>
      <w:r w:rsidR="00432F58" w:rsidRPr="0058432E">
        <w:rPr>
          <w:color w:val="000000" w:themeColor="text1"/>
          <w:spacing w:val="-1"/>
        </w:rPr>
        <w:t>dénomination</w:t>
      </w:r>
      <w:r w:rsidR="00432F58" w:rsidRPr="0058432E">
        <w:rPr>
          <w:color w:val="000000" w:themeColor="text1"/>
          <w:spacing w:val="-3"/>
        </w:rPr>
        <w:t xml:space="preserve"> </w:t>
      </w:r>
      <w:r w:rsidRPr="0058432E">
        <w:rPr>
          <w:color w:val="000000" w:themeColor="text1"/>
        </w:rPr>
        <w:t xml:space="preserve">et le numéro de lot du produit administré doivent être clairement enregistrés. </w:t>
      </w:r>
    </w:p>
    <w:p w14:paraId="76445603" w14:textId="77777777" w:rsidR="00C46587" w:rsidRPr="0058432E" w:rsidRDefault="00C46587" w:rsidP="00982118">
      <w:pPr>
        <w:rPr>
          <w:color w:val="000000" w:themeColor="text1"/>
        </w:rPr>
      </w:pPr>
    </w:p>
    <w:p w14:paraId="36A4AC0C" w14:textId="77777777" w:rsidR="00C46587" w:rsidRPr="0058432E" w:rsidRDefault="00C46587" w:rsidP="00DC3A99">
      <w:pPr>
        <w:keepNext/>
        <w:rPr>
          <w:color w:val="000000" w:themeColor="text1"/>
          <w:u w:val="single"/>
        </w:rPr>
      </w:pPr>
      <w:r w:rsidRPr="0058432E">
        <w:rPr>
          <w:color w:val="000000" w:themeColor="text1"/>
          <w:u w:val="single"/>
        </w:rPr>
        <w:t xml:space="preserve">Infections </w:t>
      </w:r>
    </w:p>
    <w:p w14:paraId="6669250B" w14:textId="77777777" w:rsidR="00C46587" w:rsidRPr="0058432E" w:rsidRDefault="00C46587" w:rsidP="00DC3A99">
      <w:pPr>
        <w:keepNext/>
        <w:rPr>
          <w:color w:val="000000" w:themeColor="text1"/>
        </w:rPr>
      </w:pPr>
    </w:p>
    <w:p w14:paraId="6ABF0B48" w14:textId="77777777" w:rsidR="00C46587" w:rsidRPr="0058432E" w:rsidRDefault="00C46587" w:rsidP="00982118">
      <w:pPr>
        <w:rPr>
          <w:color w:val="000000" w:themeColor="text1"/>
        </w:rPr>
      </w:pPr>
      <w:r w:rsidRPr="0058432E">
        <w:rPr>
          <w:color w:val="000000" w:themeColor="text1"/>
        </w:rPr>
        <w:t xml:space="preserve">Les patients recevant des antagonistes du TNF sont plus prédisposés aux infections graves. Une fonction pulmonaire altérée peut augmenter le risque de développer des infections. Les patients doivent donc être surveillés étroitement afin de dépister des infections (y compris la tuberculose) avant, pendant et après le traitement par Amsparity. La durée d’élimination de l’adalimumab pouvant aller jusqu’à quatre mois, la surveillance devra être poursuivie pendant toute cette période. </w:t>
      </w:r>
    </w:p>
    <w:p w14:paraId="3E20C5C3" w14:textId="77777777" w:rsidR="00C46587" w:rsidRPr="0058432E" w:rsidRDefault="00C46587" w:rsidP="00982118">
      <w:pPr>
        <w:rPr>
          <w:color w:val="000000" w:themeColor="text1"/>
        </w:rPr>
      </w:pPr>
    </w:p>
    <w:p w14:paraId="0A4FA64E" w14:textId="77777777" w:rsidR="00C46587" w:rsidRPr="0058432E" w:rsidRDefault="00C46587" w:rsidP="00982118">
      <w:pPr>
        <w:rPr>
          <w:color w:val="000000" w:themeColor="text1"/>
        </w:rPr>
      </w:pPr>
      <w:r w:rsidRPr="0058432E">
        <w:rPr>
          <w:color w:val="000000" w:themeColor="text1"/>
        </w:rPr>
        <w:t xml:space="preserve">Le traitement par Amsparity ne doit pas être instauré </w:t>
      </w:r>
      <w:r w:rsidR="00655160" w:rsidRPr="0058432E">
        <w:rPr>
          <w:color w:val="000000" w:themeColor="text1"/>
        </w:rPr>
        <w:t>chez les patients présen</w:t>
      </w:r>
      <w:r w:rsidRPr="0058432E">
        <w:rPr>
          <w:color w:val="000000" w:themeColor="text1"/>
        </w:rPr>
        <w:t xml:space="preserve">tant </w:t>
      </w:r>
      <w:r w:rsidR="00655160" w:rsidRPr="0058432E">
        <w:rPr>
          <w:color w:val="000000" w:themeColor="text1"/>
        </w:rPr>
        <w:t>d</w:t>
      </w:r>
      <w:r w:rsidRPr="0058432E">
        <w:rPr>
          <w:color w:val="000000" w:themeColor="text1"/>
        </w:rPr>
        <w:t xml:space="preserve">es infections </w:t>
      </w:r>
      <w:r w:rsidR="00655160" w:rsidRPr="0058432E">
        <w:rPr>
          <w:color w:val="000000" w:themeColor="text1"/>
        </w:rPr>
        <w:t>actives</w:t>
      </w:r>
      <w:r w:rsidRPr="0058432E">
        <w:rPr>
          <w:color w:val="000000" w:themeColor="text1"/>
        </w:rPr>
        <w:t xml:space="preserve">, y compris les infections chroniques ou localisées, </w:t>
      </w:r>
      <w:r w:rsidR="00655160" w:rsidRPr="0058432E">
        <w:rPr>
          <w:color w:val="000000" w:themeColor="text1"/>
        </w:rPr>
        <w:t xml:space="preserve">tant que les infections </w:t>
      </w:r>
      <w:r w:rsidRPr="0058432E">
        <w:rPr>
          <w:color w:val="000000" w:themeColor="text1"/>
        </w:rPr>
        <w:t xml:space="preserve">ne sont pas contrôlées. Chez les patients ayant été exposés à la tuberculose ou ayant voyagé dans des régions à haut risque de tuberculose ou de mycoses endémiques, </w:t>
      </w:r>
      <w:r w:rsidR="00655160" w:rsidRPr="0058432E">
        <w:rPr>
          <w:color w:val="000000" w:themeColor="text1"/>
        </w:rPr>
        <w:t xml:space="preserve">telles </w:t>
      </w:r>
      <w:proofErr w:type="gramStart"/>
      <w:r w:rsidR="00655160" w:rsidRPr="0058432E">
        <w:rPr>
          <w:color w:val="000000" w:themeColor="text1"/>
        </w:rPr>
        <w:t>que</w:t>
      </w:r>
      <w:r w:rsidRPr="0058432E">
        <w:rPr>
          <w:color w:val="000000" w:themeColor="text1"/>
        </w:rPr>
        <w:t xml:space="preserve"> histoplasmose</w:t>
      </w:r>
      <w:proofErr w:type="gramEnd"/>
      <w:r w:rsidRPr="0058432E">
        <w:rPr>
          <w:color w:val="000000" w:themeColor="text1"/>
        </w:rPr>
        <w:t xml:space="preserve">, coccidioïdomycose ou blastomycose, les risques et bénéfices du traitement par Amsparity doivent être pris en considération avant l’instauration du traitement (voir </w:t>
      </w:r>
      <w:r w:rsidRPr="0058432E">
        <w:rPr>
          <w:i/>
          <w:color w:val="000000" w:themeColor="text1"/>
        </w:rPr>
        <w:t>Autres infections opportunistes</w:t>
      </w:r>
      <w:r w:rsidRPr="0058432E">
        <w:rPr>
          <w:color w:val="000000" w:themeColor="text1"/>
        </w:rPr>
        <w:t xml:space="preserve">). </w:t>
      </w:r>
    </w:p>
    <w:p w14:paraId="2CABB75C" w14:textId="77777777" w:rsidR="00C46587" w:rsidRPr="0058432E" w:rsidRDefault="00C46587" w:rsidP="00982118">
      <w:pPr>
        <w:rPr>
          <w:color w:val="000000" w:themeColor="text1"/>
        </w:rPr>
      </w:pPr>
    </w:p>
    <w:p w14:paraId="52A600AA" w14:textId="77777777" w:rsidR="00C46587" w:rsidRPr="0058432E" w:rsidRDefault="00C46587" w:rsidP="00982118">
      <w:pPr>
        <w:rPr>
          <w:color w:val="000000" w:themeColor="text1"/>
        </w:rPr>
      </w:pPr>
      <w:r w:rsidRPr="0058432E">
        <w:rPr>
          <w:color w:val="000000" w:themeColor="text1"/>
        </w:rPr>
        <w:t xml:space="preserve">Les patients chez </w:t>
      </w:r>
      <w:r w:rsidR="00655160" w:rsidRPr="0058432E">
        <w:rPr>
          <w:color w:val="000000" w:themeColor="text1"/>
        </w:rPr>
        <w:t>développent</w:t>
      </w:r>
      <w:r w:rsidRPr="0058432E">
        <w:rPr>
          <w:color w:val="000000" w:themeColor="text1"/>
        </w:rPr>
        <w:t xml:space="preserve"> une nouvelle infection </w:t>
      </w:r>
      <w:r w:rsidR="00655160" w:rsidRPr="0058432E">
        <w:rPr>
          <w:color w:val="000000" w:themeColor="text1"/>
        </w:rPr>
        <w:t xml:space="preserve">au </w:t>
      </w:r>
      <w:r w:rsidRPr="0058432E">
        <w:rPr>
          <w:color w:val="000000" w:themeColor="text1"/>
        </w:rPr>
        <w:t>cours d</w:t>
      </w:r>
      <w:r w:rsidR="00655160" w:rsidRPr="0058432E">
        <w:rPr>
          <w:color w:val="000000" w:themeColor="text1"/>
        </w:rPr>
        <w:t>u</w:t>
      </w:r>
      <w:r w:rsidRPr="0058432E">
        <w:rPr>
          <w:color w:val="000000" w:themeColor="text1"/>
        </w:rPr>
        <w:t xml:space="preserve"> traitement par Amsparity doivent faire l’objet d’une surveillance soigneuse et un bilan diagnostique complet doit être pratiqué. </w:t>
      </w:r>
      <w:r w:rsidR="00655160" w:rsidRPr="0058432E">
        <w:rPr>
          <w:color w:val="000000" w:themeColor="text1"/>
        </w:rPr>
        <w:t xml:space="preserve">Lorsqu’un patient développe </w:t>
      </w:r>
      <w:r w:rsidRPr="0058432E">
        <w:rPr>
          <w:color w:val="000000" w:themeColor="text1"/>
        </w:rPr>
        <w:t xml:space="preserve">une nouvelle infection grave ou une septicémie, l’administration d’Amsparity doit être interrompue et un traitement antimicrobien ou antifongique approprié doit être instauré jusqu’à ce que l’infection soit contrôlée. Le médecin doit faire preuve de prudence avant d’utiliser Amsparity chez des patients ayant des antécédents d’infection récidivante ou des conditions sous-jacentes susceptibles de les prédisposer aux infections, y compris un traitement concomitant par des médicaments immunosuppresseurs. </w:t>
      </w:r>
    </w:p>
    <w:p w14:paraId="45745518" w14:textId="77777777" w:rsidR="00C46587" w:rsidRPr="0058432E" w:rsidRDefault="00C46587" w:rsidP="00982118">
      <w:pPr>
        <w:rPr>
          <w:color w:val="000000" w:themeColor="text1"/>
        </w:rPr>
      </w:pPr>
    </w:p>
    <w:p w14:paraId="1AF163AC" w14:textId="77777777" w:rsidR="00C46587" w:rsidRPr="0058432E" w:rsidRDefault="00C46587" w:rsidP="00DC3A99">
      <w:pPr>
        <w:keepNext/>
        <w:rPr>
          <w:i/>
          <w:color w:val="000000" w:themeColor="text1"/>
        </w:rPr>
      </w:pPr>
      <w:r w:rsidRPr="0058432E">
        <w:rPr>
          <w:i/>
          <w:color w:val="000000" w:themeColor="text1"/>
        </w:rPr>
        <w:t xml:space="preserve">Infections graves </w:t>
      </w:r>
    </w:p>
    <w:p w14:paraId="39896AD1" w14:textId="77777777" w:rsidR="00C46587" w:rsidRPr="0058432E" w:rsidRDefault="00C46587" w:rsidP="00DC3A99">
      <w:pPr>
        <w:keepNext/>
        <w:rPr>
          <w:color w:val="000000" w:themeColor="text1"/>
        </w:rPr>
      </w:pPr>
    </w:p>
    <w:p w14:paraId="67D3A9A4" w14:textId="77777777" w:rsidR="00C46587" w:rsidRPr="0058432E" w:rsidRDefault="00C46587" w:rsidP="00982118">
      <w:pPr>
        <w:rPr>
          <w:color w:val="000000" w:themeColor="text1"/>
        </w:rPr>
      </w:pPr>
      <w:r w:rsidRPr="0058432E">
        <w:rPr>
          <w:color w:val="000000" w:themeColor="text1"/>
        </w:rPr>
        <w:t xml:space="preserve">Des infections graves, incluant des septicémies dues à des infections bactériennes, mycobactériennes, fongiques invasives, parasitaires, virales ou à d’autres infections opportunistes, telles que listériose, légionellose et pneumocystose ont été rapportées chez des patients traités par adalimumab. </w:t>
      </w:r>
    </w:p>
    <w:p w14:paraId="3E1FF0FD" w14:textId="77777777" w:rsidR="00C46587" w:rsidRPr="0058432E" w:rsidRDefault="00C46587" w:rsidP="00982118">
      <w:pPr>
        <w:rPr>
          <w:color w:val="000000" w:themeColor="text1"/>
        </w:rPr>
      </w:pPr>
    </w:p>
    <w:p w14:paraId="6A6CEFC7" w14:textId="77777777" w:rsidR="00C46587" w:rsidRPr="0058432E" w:rsidRDefault="00C46587" w:rsidP="00982118">
      <w:pPr>
        <w:rPr>
          <w:color w:val="000000" w:themeColor="text1"/>
        </w:rPr>
      </w:pPr>
      <w:r w:rsidRPr="0058432E">
        <w:rPr>
          <w:color w:val="000000" w:themeColor="text1"/>
        </w:rPr>
        <w:t xml:space="preserve">Les autres infections graves observées dans les essais cliniques sont : pneumonie, pyélonéphrite, arthrite septique et septicémie. Des cas d’infections nécessitant une hospitalisation ou ayant une issue fatale ont été rapportés. </w:t>
      </w:r>
    </w:p>
    <w:p w14:paraId="70378546" w14:textId="77777777" w:rsidR="00C46587" w:rsidRPr="0058432E" w:rsidRDefault="00C46587" w:rsidP="00982118">
      <w:pPr>
        <w:rPr>
          <w:color w:val="000000" w:themeColor="text1"/>
        </w:rPr>
      </w:pPr>
    </w:p>
    <w:p w14:paraId="1D00C26C" w14:textId="77777777" w:rsidR="00C46587" w:rsidRPr="0058432E" w:rsidRDefault="00C46587" w:rsidP="00982118">
      <w:pPr>
        <w:keepNext/>
        <w:rPr>
          <w:i/>
          <w:color w:val="000000" w:themeColor="text1"/>
        </w:rPr>
      </w:pPr>
      <w:r w:rsidRPr="0058432E">
        <w:rPr>
          <w:i/>
          <w:color w:val="000000" w:themeColor="text1"/>
        </w:rPr>
        <w:lastRenderedPageBreak/>
        <w:t xml:space="preserve">Tuberculose </w:t>
      </w:r>
    </w:p>
    <w:p w14:paraId="412F639B" w14:textId="77777777" w:rsidR="00C46587" w:rsidRPr="0058432E" w:rsidRDefault="00C46587" w:rsidP="00982118">
      <w:pPr>
        <w:keepNext/>
        <w:rPr>
          <w:color w:val="000000" w:themeColor="text1"/>
        </w:rPr>
      </w:pPr>
    </w:p>
    <w:p w14:paraId="520CF7E4" w14:textId="77777777" w:rsidR="00C46587" w:rsidRPr="0058432E" w:rsidRDefault="00C46587" w:rsidP="00982118">
      <w:pPr>
        <w:rPr>
          <w:color w:val="000000" w:themeColor="text1"/>
        </w:rPr>
      </w:pPr>
      <w:r w:rsidRPr="0058432E">
        <w:rPr>
          <w:color w:val="000000" w:themeColor="text1"/>
        </w:rPr>
        <w:t xml:space="preserve">Des cas de tuberculose, incluant des cas de réactivation de la tuberculose et de primo-infection tuberculeuse, ont été rapportés pour des patients recevant l’adalimumab. Des cas de tuberculoses pulmonaire et extra-pulmonaire (c’est-à-dire disséminée) ont été rapportés. </w:t>
      </w:r>
    </w:p>
    <w:p w14:paraId="568EC3B6" w14:textId="77777777" w:rsidR="00C46587" w:rsidRPr="0058432E" w:rsidRDefault="00C46587" w:rsidP="00982118">
      <w:pPr>
        <w:rPr>
          <w:color w:val="000000" w:themeColor="text1"/>
        </w:rPr>
      </w:pPr>
    </w:p>
    <w:p w14:paraId="3DF70DCF" w14:textId="77777777" w:rsidR="00C46587" w:rsidRPr="0058432E" w:rsidRDefault="00C46587" w:rsidP="00982118">
      <w:pPr>
        <w:rPr>
          <w:color w:val="000000" w:themeColor="text1"/>
        </w:rPr>
      </w:pPr>
      <w:r w:rsidRPr="0058432E">
        <w:rPr>
          <w:color w:val="000000" w:themeColor="text1"/>
        </w:rPr>
        <w:t xml:space="preserve">Avant l’instauration du traitement par Amsparity, tous les patients doivent faire l’objet d’une recherche d’infection tuberculeuse active ou non (« latente »). Ce bilan doit comprendre une évaluation médicale détaillée chez les patients ayant des antécédents de tuberculose ou d’exposition antérieure possible à des patients atteints de tuberculose active et/ou d’un traitement immunosuppresseur actuel ou ancien. Des tests de dépistage appropriés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test dermique à la tuberculine et radiographie pulmonaire) doivent être effectués chez tous les patients (conformément aux recommandations locales). Il est conseillé de noter la réalisation et les résultats de ces tests dans la carte de </w:t>
      </w:r>
      <w:r w:rsidR="00655160" w:rsidRPr="0058432E">
        <w:rPr>
          <w:color w:val="000000" w:themeColor="text1"/>
        </w:rPr>
        <w:t>rappel</w:t>
      </w:r>
      <w:r w:rsidRPr="0058432E">
        <w:rPr>
          <w:color w:val="000000" w:themeColor="text1"/>
        </w:rPr>
        <w:t xml:space="preserve"> patient. Il est rappelé aux prescripteurs que le test dermique à la tuberculine peut donner des </w:t>
      </w:r>
      <w:r w:rsidR="00655160" w:rsidRPr="0058432E">
        <w:rPr>
          <w:color w:val="000000" w:themeColor="text1"/>
        </w:rPr>
        <w:t xml:space="preserve">résultats </w:t>
      </w:r>
      <w:r w:rsidRPr="0058432E">
        <w:rPr>
          <w:color w:val="000000" w:themeColor="text1"/>
        </w:rPr>
        <w:t>faux-négatifs notamment chez les patients gravement malades ou immuno</w:t>
      </w:r>
      <w:r w:rsidR="00432F58" w:rsidRPr="0058432E">
        <w:rPr>
          <w:color w:val="000000" w:themeColor="text1"/>
        </w:rPr>
        <w:t>-</w:t>
      </w:r>
      <w:r w:rsidRPr="0058432E">
        <w:rPr>
          <w:color w:val="000000" w:themeColor="text1"/>
        </w:rPr>
        <w:t xml:space="preserve">déprimés. </w:t>
      </w:r>
    </w:p>
    <w:p w14:paraId="49D99F3B" w14:textId="77777777" w:rsidR="00C46587" w:rsidRPr="0058432E" w:rsidRDefault="00C46587" w:rsidP="00982118">
      <w:pPr>
        <w:rPr>
          <w:color w:val="000000" w:themeColor="text1"/>
        </w:rPr>
      </w:pPr>
    </w:p>
    <w:p w14:paraId="3CBE7CE4" w14:textId="77777777" w:rsidR="00C46587" w:rsidRPr="0058432E" w:rsidRDefault="00C46587" w:rsidP="00982118">
      <w:pPr>
        <w:rPr>
          <w:color w:val="000000" w:themeColor="text1"/>
        </w:rPr>
      </w:pPr>
      <w:r w:rsidRPr="0058432E">
        <w:rPr>
          <w:color w:val="000000" w:themeColor="text1"/>
        </w:rPr>
        <w:t xml:space="preserve">En cas de diagnostic d’une tuberculose active, le traitement par Amsparity ne doit pas être instauré (voir rubrique 4.3). </w:t>
      </w:r>
    </w:p>
    <w:p w14:paraId="72CA043A" w14:textId="77777777" w:rsidR="00C46587" w:rsidRPr="0058432E" w:rsidRDefault="00C46587" w:rsidP="00982118">
      <w:pPr>
        <w:rPr>
          <w:color w:val="000000" w:themeColor="text1"/>
        </w:rPr>
      </w:pPr>
    </w:p>
    <w:p w14:paraId="4B111743" w14:textId="77777777" w:rsidR="00C46587" w:rsidRPr="0058432E" w:rsidRDefault="00C46587" w:rsidP="00982118">
      <w:pPr>
        <w:rPr>
          <w:color w:val="000000" w:themeColor="text1"/>
        </w:rPr>
      </w:pPr>
      <w:r w:rsidRPr="0058432E">
        <w:rPr>
          <w:color w:val="000000" w:themeColor="text1"/>
        </w:rPr>
        <w:t xml:space="preserve">Dans toutes les situations décrites ci-dessous, il convient d’évaluer très attentivement le rapport bénéfice/risque du traitement. </w:t>
      </w:r>
    </w:p>
    <w:p w14:paraId="69B63849" w14:textId="77777777" w:rsidR="00C46587" w:rsidRPr="0058432E" w:rsidRDefault="00C46587" w:rsidP="00982118">
      <w:pPr>
        <w:rPr>
          <w:color w:val="000000" w:themeColor="text1"/>
        </w:rPr>
      </w:pPr>
    </w:p>
    <w:p w14:paraId="0E9A2549" w14:textId="77777777" w:rsidR="00C46587" w:rsidRPr="0058432E" w:rsidRDefault="00C46587" w:rsidP="00982118">
      <w:pPr>
        <w:rPr>
          <w:color w:val="000000" w:themeColor="text1"/>
        </w:rPr>
      </w:pPr>
      <w:r w:rsidRPr="0058432E">
        <w:rPr>
          <w:color w:val="000000" w:themeColor="text1"/>
        </w:rPr>
        <w:t xml:space="preserve">En cas de suspicion d’une tuberculose latente, la consultation d’un médecin, qualifié dans le traitement de la tuberculose, doit être envisagée. </w:t>
      </w:r>
    </w:p>
    <w:p w14:paraId="4A95100D" w14:textId="77777777" w:rsidR="00C46587" w:rsidRPr="0058432E" w:rsidRDefault="00C46587" w:rsidP="00982118">
      <w:pPr>
        <w:rPr>
          <w:color w:val="000000" w:themeColor="text1"/>
        </w:rPr>
      </w:pPr>
    </w:p>
    <w:p w14:paraId="539594D8" w14:textId="77777777" w:rsidR="00C46587" w:rsidRPr="0058432E" w:rsidRDefault="00C46587" w:rsidP="00982118">
      <w:pPr>
        <w:rPr>
          <w:color w:val="000000" w:themeColor="text1"/>
        </w:rPr>
      </w:pPr>
      <w:r w:rsidRPr="0058432E">
        <w:rPr>
          <w:color w:val="000000" w:themeColor="text1"/>
        </w:rPr>
        <w:t xml:space="preserve">En cas de diagnostic d’une tuberculose latente, une prophylaxie antituberculeuse appropriée et conforme aux recommandations locales doit être mise en œuvre avant le début du traitement par Amsparity. </w:t>
      </w:r>
    </w:p>
    <w:p w14:paraId="2C7BFF4E" w14:textId="77777777" w:rsidR="00C46587" w:rsidRPr="0058432E" w:rsidRDefault="00C46587" w:rsidP="00982118">
      <w:pPr>
        <w:rPr>
          <w:color w:val="000000" w:themeColor="text1"/>
        </w:rPr>
      </w:pPr>
    </w:p>
    <w:p w14:paraId="2BFE2F33" w14:textId="77777777" w:rsidR="00C46587" w:rsidRPr="0058432E" w:rsidRDefault="00C46587" w:rsidP="00982118">
      <w:pPr>
        <w:rPr>
          <w:color w:val="000000" w:themeColor="text1"/>
        </w:rPr>
      </w:pPr>
      <w:r w:rsidRPr="0058432E">
        <w:rPr>
          <w:color w:val="000000" w:themeColor="text1"/>
        </w:rPr>
        <w:t>Une prophylaxie antituberculeuse doit également être envisagée avant l’instauration d’Amsparity chez les patients ayant des facteurs de risque multiples ou significatifs de tuberculose malgré un test de dépistage de la tuberculose négatif et chez les patients ayant des antécédents de tuberculose latente ou active, chez qui l’administration d’un traitement anti</w:t>
      </w:r>
      <w:r w:rsidR="00432F58" w:rsidRPr="0058432E">
        <w:rPr>
          <w:color w:val="000000" w:themeColor="text1"/>
        </w:rPr>
        <w:t>-</w:t>
      </w:r>
      <w:r w:rsidRPr="0058432E">
        <w:rPr>
          <w:color w:val="000000" w:themeColor="text1"/>
        </w:rPr>
        <w:t xml:space="preserve">tuberculeux approprié ne peut être confirmée. </w:t>
      </w:r>
    </w:p>
    <w:p w14:paraId="51658587" w14:textId="77777777" w:rsidR="00C46587" w:rsidRPr="0058432E" w:rsidRDefault="00C46587" w:rsidP="00982118">
      <w:pPr>
        <w:rPr>
          <w:color w:val="000000" w:themeColor="text1"/>
        </w:rPr>
      </w:pPr>
    </w:p>
    <w:p w14:paraId="3EC06941" w14:textId="77777777" w:rsidR="00C46587" w:rsidRPr="0058432E" w:rsidRDefault="00C46587" w:rsidP="00982118">
      <w:pPr>
        <w:rPr>
          <w:color w:val="000000" w:themeColor="text1"/>
        </w:rPr>
      </w:pPr>
      <w:r w:rsidRPr="0058432E">
        <w:rPr>
          <w:color w:val="000000" w:themeColor="text1"/>
        </w:rPr>
        <w:t xml:space="preserve">Des cas de réactivation d’une tuberculose malgré un traitement prophylactique sont survenus chez des patients traités par adalimumab. Certains patients qui avaient été traités avec succès pour une tuberculose active ont développé à nouveau la maladie pendant le traitement par adalimumab. </w:t>
      </w:r>
    </w:p>
    <w:p w14:paraId="7692BAF3" w14:textId="77777777" w:rsidR="00C46587" w:rsidRPr="0058432E" w:rsidRDefault="00C46587" w:rsidP="00982118">
      <w:pPr>
        <w:rPr>
          <w:color w:val="000000" w:themeColor="text1"/>
        </w:rPr>
      </w:pPr>
    </w:p>
    <w:p w14:paraId="761B0265" w14:textId="77777777" w:rsidR="00C46587" w:rsidRPr="0058432E" w:rsidRDefault="00C46587" w:rsidP="00982118">
      <w:pPr>
        <w:rPr>
          <w:color w:val="000000" w:themeColor="text1"/>
        </w:rPr>
      </w:pPr>
      <w:r w:rsidRPr="0058432E">
        <w:rPr>
          <w:color w:val="000000" w:themeColor="text1"/>
        </w:rPr>
        <w:t xml:space="preserve">Les patients devront être informés qu’il leur faudra consulter leur médecin en cas de survenue de signes ou symptômes évocateurs d’une infection tuberculeuse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toux persistante, amaigrissement/perte de poids, fébricule, apathie), pendant ou après le traitement par Amsparity. </w:t>
      </w:r>
    </w:p>
    <w:p w14:paraId="0537E24B" w14:textId="77777777" w:rsidR="00C46587" w:rsidRPr="0058432E" w:rsidRDefault="00C46587" w:rsidP="00982118">
      <w:pPr>
        <w:rPr>
          <w:color w:val="000000" w:themeColor="text1"/>
        </w:rPr>
      </w:pPr>
    </w:p>
    <w:p w14:paraId="4BF105A0" w14:textId="77777777" w:rsidR="00C46587" w:rsidRPr="0058432E" w:rsidRDefault="00C46587" w:rsidP="00DC3A99">
      <w:pPr>
        <w:keepNext/>
        <w:rPr>
          <w:i/>
          <w:color w:val="000000" w:themeColor="text1"/>
        </w:rPr>
      </w:pPr>
      <w:r w:rsidRPr="0058432E">
        <w:rPr>
          <w:i/>
          <w:color w:val="000000" w:themeColor="text1"/>
        </w:rPr>
        <w:t xml:space="preserve">Autres infections opportunistes </w:t>
      </w:r>
    </w:p>
    <w:p w14:paraId="7871B5AB" w14:textId="77777777" w:rsidR="00C46587" w:rsidRPr="0058432E" w:rsidRDefault="00C46587" w:rsidP="00DC3A99">
      <w:pPr>
        <w:keepNext/>
        <w:rPr>
          <w:color w:val="000000" w:themeColor="text1"/>
        </w:rPr>
      </w:pPr>
    </w:p>
    <w:p w14:paraId="3D536C90" w14:textId="77777777" w:rsidR="00C46587" w:rsidRPr="0058432E" w:rsidRDefault="00C46587" w:rsidP="00982118">
      <w:pPr>
        <w:rPr>
          <w:color w:val="000000" w:themeColor="text1"/>
        </w:rPr>
      </w:pPr>
      <w:r w:rsidRPr="0058432E">
        <w:rPr>
          <w:color w:val="000000" w:themeColor="text1"/>
        </w:rPr>
        <w:t xml:space="preserve">Des infections opportunistes, incluant des infections fongiques invasives, ont été observées chez des patients traités par adalimumab. Ces infections n’ont pas toujours été détectées chez les patients recevant des antagonistes du TNF, ce qui a retardé l’instauration d’un traitement approprié, avec parfois une issue fatale. </w:t>
      </w:r>
    </w:p>
    <w:p w14:paraId="4478AB80" w14:textId="77777777" w:rsidR="00C46587" w:rsidRPr="0058432E" w:rsidRDefault="00C46587" w:rsidP="00982118">
      <w:pPr>
        <w:rPr>
          <w:color w:val="000000" w:themeColor="text1"/>
        </w:rPr>
      </w:pPr>
    </w:p>
    <w:p w14:paraId="64582983" w14:textId="77777777" w:rsidR="00C46587" w:rsidRPr="0058432E" w:rsidRDefault="00C46587" w:rsidP="00982118">
      <w:pPr>
        <w:rPr>
          <w:color w:val="000000" w:themeColor="text1"/>
        </w:rPr>
      </w:pPr>
      <w:r w:rsidRPr="0058432E">
        <w:rPr>
          <w:color w:val="000000" w:themeColor="text1"/>
        </w:rPr>
        <w:t xml:space="preserve">Chez les patients qui présentent des signes et symptômes tels que fièvre, malaise, perte de poids, sueurs, toux, dyspnée et/ou infiltrats pulmonaires ou une autre maladie systémique grave avec ou sans choc concomitant, une infection fongique invasive doit être suspectée ; dans ce cas, il convient d’arrêter immédiatement l’administration d’Amsparity. Le diagnostic et la mise en place d’un traitement antifongique empirique chez ces patients doivent être effectués en accord avec un médecin ayant l’expérience de la prise en charge des patients ayant des infections fongiques invasives. </w:t>
      </w:r>
    </w:p>
    <w:p w14:paraId="253D6287" w14:textId="77777777" w:rsidR="00C46587" w:rsidRPr="0058432E" w:rsidRDefault="00C46587" w:rsidP="00982118">
      <w:pPr>
        <w:rPr>
          <w:color w:val="000000" w:themeColor="text1"/>
        </w:rPr>
      </w:pPr>
    </w:p>
    <w:p w14:paraId="3EF9AA03" w14:textId="77777777" w:rsidR="00C46587" w:rsidRPr="0058432E" w:rsidRDefault="00C46587" w:rsidP="00982118">
      <w:pPr>
        <w:keepNext/>
        <w:rPr>
          <w:color w:val="000000" w:themeColor="text1"/>
          <w:u w:val="single"/>
        </w:rPr>
      </w:pPr>
      <w:r w:rsidRPr="0058432E">
        <w:rPr>
          <w:color w:val="000000" w:themeColor="text1"/>
          <w:u w:val="single"/>
        </w:rPr>
        <w:lastRenderedPageBreak/>
        <w:t xml:space="preserve">Réactivation d’hépatite B </w:t>
      </w:r>
    </w:p>
    <w:p w14:paraId="0AFC0E2F" w14:textId="77777777" w:rsidR="00C46587" w:rsidRPr="0058432E" w:rsidRDefault="00C46587" w:rsidP="00982118">
      <w:pPr>
        <w:keepNext/>
        <w:rPr>
          <w:color w:val="000000" w:themeColor="text1"/>
        </w:rPr>
      </w:pPr>
    </w:p>
    <w:p w14:paraId="02B8D36E" w14:textId="77777777" w:rsidR="00C46587" w:rsidRPr="0058432E" w:rsidRDefault="00C46587" w:rsidP="00982118">
      <w:pPr>
        <w:rPr>
          <w:color w:val="000000" w:themeColor="text1"/>
        </w:rPr>
      </w:pPr>
      <w:r w:rsidRPr="0058432E">
        <w:rPr>
          <w:color w:val="000000" w:themeColor="text1"/>
        </w:rPr>
        <w:t xml:space="preserve">Une réactivation d’hépatite B s’est produite chez des patients qui ont reçu un </w:t>
      </w:r>
      <w:r w:rsidR="00432F58" w:rsidRPr="0058432E">
        <w:rPr>
          <w:color w:val="000000" w:themeColor="text1"/>
        </w:rPr>
        <w:t xml:space="preserve">antagoniste du </w:t>
      </w:r>
      <w:r w:rsidRPr="0058432E">
        <w:rPr>
          <w:color w:val="000000" w:themeColor="text1"/>
        </w:rPr>
        <w:t xml:space="preserve">TNF y compris l’adalimumab et qui étaient porteurs chroniques de ce virus (c’est-à-dire antigène de surface positif). Certains cas ont eu une issue fatale. Les patients doivent faire l’objet d’un dépistage d’infection à VHB avant l’initiation d’un traitement par Amsparity. Pour les patients pour lesquels le test de dépistage de l’hépatite B est positif, il est recommandé de consulter un médecin spécialisé dans le traitement de l’hépatite B. </w:t>
      </w:r>
    </w:p>
    <w:p w14:paraId="0793D8D7" w14:textId="77777777" w:rsidR="00C46587" w:rsidRPr="0058432E" w:rsidRDefault="00C46587" w:rsidP="00982118">
      <w:pPr>
        <w:rPr>
          <w:color w:val="000000" w:themeColor="text1"/>
        </w:rPr>
      </w:pPr>
    </w:p>
    <w:p w14:paraId="4DF25439" w14:textId="77777777" w:rsidR="00C46587" w:rsidRPr="0058432E" w:rsidRDefault="00C46587" w:rsidP="00982118">
      <w:pPr>
        <w:rPr>
          <w:color w:val="000000" w:themeColor="text1"/>
        </w:rPr>
      </w:pPr>
      <w:r w:rsidRPr="0058432E">
        <w:rPr>
          <w:color w:val="000000" w:themeColor="text1"/>
        </w:rPr>
        <w:t xml:space="preserve">Chez les porteurs du VHB qui nécessitent un traitement par Amsparity, il faut surveiller attentivement les signes et les symptômes d’infection active par le VHB tout au long du traitement et pendant plusieurs mois après son arrêt. Il n’y a pas de données disponibles suffisantes concernant le traitement de patients porteurs du VHB traités par antiviral </w:t>
      </w:r>
      <w:r w:rsidR="00655160" w:rsidRPr="0058432E">
        <w:rPr>
          <w:color w:val="000000" w:themeColor="text1"/>
        </w:rPr>
        <w:t xml:space="preserve">associé à </w:t>
      </w:r>
      <w:r w:rsidR="003F7E8F" w:rsidRPr="0058432E">
        <w:rPr>
          <w:color w:val="000000" w:themeColor="text1"/>
        </w:rPr>
        <w:t xml:space="preserve">antagoniste du TNF </w:t>
      </w:r>
      <w:r w:rsidRPr="0058432E">
        <w:rPr>
          <w:color w:val="000000" w:themeColor="text1"/>
        </w:rPr>
        <w:t xml:space="preserve">pour prévenir une réactivation du VHB. Chez les patients qui développent une réactivation du VHB, Amsparity doit être arrêté et un traitement antiviral efficace ainsi qu’un traitement </w:t>
      </w:r>
      <w:r w:rsidR="003F7E8F" w:rsidRPr="0058432E">
        <w:rPr>
          <w:color w:val="000000" w:themeColor="text1"/>
        </w:rPr>
        <w:t>de support approprié</w:t>
      </w:r>
      <w:r w:rsidRPr="0058432E">
        <w:rPr>
          <w:color w:val="000000" w:themeColor="text1"/>
        </w:rPr>
        <w:t xml:space="preserve"> doi</w:t>
      </w:r>
      <w:r w:rsidR="00396513" w:rsidRPr="0058432E">
        <w:rPr>
          <w:color w:val="000000" w:themeColor="text1"/>
        </w:rPr>
        <w:t>ven</w:t>
      </w:r>
      <w:r w:rsidRPr="0058432E">
        <w:rPr>
          <w:color w:val="000000" w:themeColor="text1"/>
        </w:rPr>
        <w:t>t être initié</w:t>
      </w:r>
      <w:r w:rsidR="00396513" w:rsidRPr="0058432E">
        <w:rPr>
          <w:color w:val="000000" w:themeColor="text1"/>
        </w:rPr>
        <w:t>s</w:t>
      </w:r>
      <w:r w:rsidRPr="0058432E">
        <w:rPr>
          <w:color w:val="000000" w:themeColor="text1"/>
        </w:rPr>
        <w:t xml:space="preserve">. </w:t>
      </w:r>
    </w:p>
    <w:p w14:paraId="6495EE4E" w14:textId="77777777" w:rsidR="00C46587" w:rsidRPr="0058432E" w:rsidRDefault="00C46587" w:rsidP="00982118">
      <w:pPr>
        <w:rPr>
          <w:color w:val="000000" w:themeColor="text1"/>
        </w:rPr>
      </w:pPr>
    </w:p>
    <w:p w14:paraId="66E40E8F" w14:textId="77777777" w:rsidR="00C46587" w:rsidRPr="0058432E" w:rsidRDefault="00C46587" w:rsidP="00982118">
      <w:pPr>
        <w:keepNext/>
        <w:rPr>
          <w:color w:val="000000" w:themeColor="text1"/>
          <w:u w:val="single"/>
        </w:rPr>
      </w:pPr>
      <w:r w:rsidRPr="0058432E">
        <w:rPr>
          <w:color w:val="000000" w:themeColor="text1"/>
          <w:u w:val="single"/>
        </w:rPr>
        <w:t xml:space="preserve">Événements neurologiques </w:t>
      </w:r>
    </w:p>
    <w:p w14:paraId="560F7730" w14:textId="77777777" w:rsidR="00C46587" w:rsidRPr="0058432E" w:rsidRDefault="00C46587" w:rsidP="00982118">
      <w:pPr>
        <w:keepNext/>
        <w:rPr>
          <w:color w:val="000000" w:themeColor="text1"/>
        </w:rPr>
      </w:pPr>
    </w:p>
    <w:p w14:paraId="2A5C5437" w14:textId="77777777" w:rsidR="00C46587" w:rsidRPr="0058432E" w:rsidRDefault="00C46587" w:rsidP="00982118">
      <w:pPr>
        <w:rPr>
          <w:color w:val="000000" w:themeColor="text1"/>
        </w:rPr>
      </w:pPr>
      <w:r w:rsidRPr="0058432E">
        <w:rPr>
          <w:color w:val="000000" w:themeColor="text1"/>
        </w:rPr>
        <w:t>Les antagonistes du TNF, dont l’adalimumab, ont été associés dans de rares circonstances à l’apparition ou à l’exacerbation des symptômes cliniques et/ou des signes radio</w:t>
      </w:r>
      <w:r w:rsidR="008D4DE8" w:rsidRPr="0058432E">
        <w:rPr>
          <w:color w:val="000000" w:themeColor="text1"/>
        </w:rPr>
        <w:t>graphi</w:t>
      </w:r>
      <w:r w:rsidRPr="0058432E">
        <w:rPr>
          <w:color w:val="000000" w:themeColor="text1"/>
        </w:rPr>
        <w:t>ques de maladie démyélinisante du système nerveux central y compris de sclérose en plaques, de névrite optique et de maladie démyélinisante périphérique, y compris syndrome de Guillain-Barré. La prudence est recommandée aux prescripteurs avant de traiter avec Amsparity les patients atteints d'une maladie démyélinisante du système nerveux central ou périphérique, préexistante ou de survenue récente</w:t>
      </w:r>
      <w:r w:rsidR="008903D9" w:rsidRPr="0058432E">
        <w:rPr>
          <w:color w:val="000000" w:themeColor="text1"/>
        </w:rPr>
        <w:t> </w:t>
      </w:r>
      <w:r w:rsidRPr="0058432E">
        <w:rPr>
          <w:color w:val="000000" w:themeColor="text1"/>
        </w:rPr>
        <w:t xml:space="preserve">; l’arrêt du traitement </w:t>
      </w:r>
      <w:r w:rsidR="008D4DE8" w:rsidRPr="0058432E">
        <w:rPr>
          <w:color w:val="000000" w:themeColor="text1"/>
        </w:rPr>
        <w:t xml:space="preserve">par Amsparity </w:t>
      </w:r>
      <w:r w:rsidRPr="0058432E">
        <w:rPr>
          <w:color w:val="000000" w:themeColor="text1"/>
        </w:rPr>
        <w:t xml:space="preserve">doit être envisagé en cas d’apparition de l’un de ces </w:t>
      </w:r>
      <w:r w:rsidR="008D4DE8" w:rsidRPr="0058432E">
        <w:rPr>
          <w:color w:val="000000" w:themeColor="text1"/>
        </w:rPr>
        <w:t>affections</w:t>
      </w:r>
      <w:r w:rsidRPr="0058432E">
        <w:rPr>
          <w:color w:val="000000" w:themeColor="text1"/>
        </w:rPr>
        <w:t xml:space="preserve">. L’association entre l’uvéite intermédiaire et les maladies démyélinisantes du système nerveux central est connue. Une évaluation neurologique doit être réalisée chez les patients présentant une uvéite intermédiaire non infectieuse avant l’instauration du traitement par Amsparity, et répétée régulièrement au cours du traitement afin de rechercher toute maladie démyélinisante du système nerveux central préexistante ou évolutive. </w:t>
      </w:r>
    </w:p>
    <w:p w14:paraId="33178B69" w14:textId="77777777" w:rsidR="00C46587" w:rsidRPr="0058432E" w:rsidRDefault="00C46587" w:rsidP="00982118">
      <w:pPr>
        <w:rPr>
          <w:color w:val="000000" w:themeColor="text1"/>
        </w:rPr>
      </w:pPr>
    </w:p>
    <w:p w14:paraId="294C1549" w14:textId="77777777" w:rsidR="00C46587" w:rsidRPr="0058432E" w:rsidRDefault="00C46587" w:rsidP="00DC3A99">
      <w:pPr>
        <w:keepNext/>
        <w:rPr>
          <w:color w:val="000000" w:themeColor="text1"/>
          <w:u w:val="single"/>
        </w:rPr>
      </w:pPr>
      <w:r w:rsidRPr="0058432E">
        <w:rPr>
          <w:color w:val="000000" w:themeColor="text1"/>
          <w:u w:val="single"/>
        </w:rPr>
        <w:t xml:space="preserve">Réactions allergiques </w:t>
      </w:r>
    </w:p>
    <w:p w14:paraId="66D958B3" w14:textId="77777777" w:rsidR="00C46587" w:rsidRPr="0058432E" w:rsidRDefault="00C46587" w:rsidP="00DC3A99">
      <w:pPr>
        <w:keepNext/>
        <w:rPr>
          <w:color w:val="000000" w:themeColor="text1"/>
        </w:rPr>
      </w:pPr>
    </w:p>
    <w:p w14:paraId="3B2CBA4C" w14:textId="77777777" w:rsidR="00C46587" w:rsidRPr="0058432E" w:rsidRDefault="00C46587" w:rsidP="00982118">
      <w:pPr>
        <w:rPr>
          <w:color w:val="000000" w:themeColor="text1"/>
        </w:rPr>
      </w:pPr>
      <w:r w:rsidRPr="0058432E">
        <w:rPr>
          <w:color w:val="000000" w:themeColor="text1"/>
        </w:rPr>
        <w:t xml:space="preserve">Au cours des essais cliniques, des réactions allergiques graves associées à l’adalimumab ont rarement été rapportées et des réactions allergiques non graves </w:t>
      </w:r>
      <w:r w:rsidR="008D4DE8" w:rsidRPr="0058432E">
        <w:rPr>
          <w:color w:val="000000" w:themeColor="text1"/>
        </w:rPr>
        <w:t xml:space="preserve">associées </w:t>
      </w:r>
      <w:r w:rsidRPr="0058432E">
        <w:rPr>
          <w:color w:val="000000" w:themeColor="text1"/>
        </w:rPr>
        <w:t xml:space="preserve">à l’adalimumab ont été peu fréquentes. Des cas de réactions allergiques graves, incluant de </w:t>
      </w:r>
      <w:r w:rsidR="008D4DE8" w:rsidRPr="0058432E">
        <w:rPr>
          <w:color w:val="000000" w:themeColor="text1"/>
        </w:rPr>
        <w:t>l’</w:t>
      </w:r>
      <w:r w:rsidRPr="0058432E">
        <w:rPr>
          <w:color w:val="000000" w:themeColor="text1"/>
        </w:rPr>
        <w:t>anaphyla</w:t>
      </w:r>
      <w:r w:rsidR="008D4DE8" w:rsidRPr="0058432E">
        <w:rPr>
          <w:color w:val="000000" w:themeColor="text1"/>
        </w:rPr>
        <w:t>xie</w:t>
      </w:r>
      <w:r w:rsidRPr="0058432E">
        <w:rPr>
          <w:color w:val="000000" w:themeColor="text1"/>
        </w:rPr>
        <w:t xml:space="preserve"> ont été rapportés, après administration de l’adalimumab. En cas de survenue d’une réaction anaphylactique ou d’une autre réaction allergique grave, l’administration d’Amsparity doit être immédiatement interrompue et un traitement approprié mis en œuvre. </w:t>
      </w:r>
    </w:p>
    <w:p w14:paraId="3DF3C555" w14:textId="77777777" w:rsidR="00C46587" w:rsidRPr="0058432E" w:rsidRDefault="00C46587" w:rsidP="00982118">
      <w:pPr>
        <w:rPr>
          <w:color w:val="000000" w:themeColor="text1"/>
        </w:rPr>
      </w:pPr>
    </w:p>
    <w:p w14:paraId="4BE631E8" w14:textId="77777777" w:rsidR="00C46587" w:rsidRPr="0058432E" w:rsidRDefault="00C46587" w:rsidP="00982118">
      <w:pPr>
        <w:keepNext/>
        <w:rPr>
          <w:color w:val="000000" w:themeColor="text1"/>
          <w:u w:val="single"/>
        </w:rPr>
      </w:pPr>
      <w:r w:rsidRPr="0058432E">
        <w:rPr>
          <w:color w:val="000000" w:themeColor="text1"/>
          <w:u w:val="single"/>
        </w:rPr>
        <w:t xml:space="preserve">Immunosuppression </w:t>
      </w:r>
    </w:p>
    <w:p w14:paraId="59157DED" w14:textId="77777777" w:rsidR="00C46587" w:rsidRPr="0058432E" w:rsidRDefault="00C46587" w:rsidP="00982118">
      <w:pPr>
        <w:keepNext/>
        <w:rPr>
          <w:color w:val="000000" w:themeColor="text1"/>
        </w:rPr>
      </w:pPr>
    </w:p>
    <w:p w14:paraId="288CD579" w14:textId="77777777" w:rsidR="00C46587" w:rsidRPr="0058432E" w:rsidRDefault="00C46587" w:rsidP="00982118">
      <w:pPr>
        <w:rPr>
          <w:color w:val="000000" w:themeColor="text1"/>
        </w:rPr>
      </w:pPr>
      <w:r w:rsidRPr="0058432E">
        <w:rPr>
          <w:color w:val="000000" w:themeColor="text1"/>
        </w:rPr>
        <w:t>Au cours d’une étude portant sur 64 patients atteints de polyarthrite rhumatoïde et traités par adalimumab, on n’a enregistré aucun élément évocateur d’une dépression de l’hypersensibilité de type retardé, d’une diminution des taux d’immunoglobulines ou d’une modification de la numération des lymphocytes effecteurs T</w:t>
      </w:r>
      <w:r w:rsidR="008D4DE8" w:rsidRPr="0058432E">
        <w:rPr>
          <w:color w:val="000000" w:themeColor="text1"/>
        </w:rPr>
        <w:t>,</w:t>
      </w:r>
      <w:r w:rsidRPr="0058432E">
        <w:rPr>
          <w:color w:val="000000" w:themeColor="text1"/>
        </w:rPr>
        <w:t xml:space="preserve"> B</w:t>
      </w:r>
      <w:r w:rsidR="008D4DE8" w:rsidRPr="0058432E">
        <w:rPr>
          <w:color w:val="000000" w:themeColor="text1"/>
        </w:rPr>
        <w:t xml:space="preserve"> et</w:t>
      </w:r>
      <w:r w:rsidRPr="0058432E">
        <w:rPr>
          <w:color w:val="000000" w:themeColor="text1"/>
        </w:rPr>
        <w:t xml:space="preserve"> NK, des monocytes/macrophages et des granulocytes neutrophiles. </w:t>
      </w:r>
    </w:p>
    <w:p w14:paraId="3DE65DC5" w14:textId="77777777" w:rsidR="00C46587" w:rsidRPr="0058432E" w:rsidRDefault="00C46587" w:rsidP="00982118">
      <w:pPr>
        <w:rPr>
          <w:color w:val="000000" w:themeColor="text1"/>
        </w:rPr>
      </w:pPr>
    </w:p>
    <w:p w14:paraId="49A82E1A" w14:textId="77777777" w:rsidR="00C46587" w:rsidRPr="0058432E" w:rsidRDefault="00C46587" w:rsidP="00DC3A99">
      <w:pPr>
        <w:keepNext/>
        <w:rPr>
          <w:color w:val="000000" w:themeColor="text1"/>
          <w:u w:val="single"/>
        </w:rPr>
      </w:pPr>
      <w:r w:rsidRPr="0058432E">
        <w:rPr>
          <w:color w:val="000000" w:themeColor="text1"/>
          <w:u w:val="single"/>
        </w:rPr>
        <w:t xml:space="preserve">Tumeurs malignes et troubles lymphoprolifératifs </w:t>
      </w:r>
    </w:p>
    <w:p w14:paraId="53FD65A0" w14:textId="77777777" w:rsidR="00C46587" w:rsidRPr="0058432E" w:rsidRDefault="00C46587" w:rsidP="00DC3A99">
      <w:pPr>
        <w:keepNext/>
        <w:rPr>
          <w:color w:val="000000" w:themeColor="text1"/>
        </w:rPr>
      </w:pPr>
    </w:p>
    <w:p w14:paraId="3B307E39" w14:textId="77777777" w:rsidR="00C46587" w:rsidRPr="0058432E" w:rsidRDefault="00C46587" w:rsidP="00982118">
      <w:pPr>
        <w:rPr>
          <w:color w:val="000000" w:themeColor="text1"/>
        </w:rPr>
      </w:pPr>
      <w:r w:rsidRPr="0058432E">
        <w:rPr>
          <w:color w:val="000000" w:themeColor="text1"/>
        </w:rPr>
        <w:t xml:space="preserve">Dans la partie contrôlée des essais cliniques avec des </w:t>
      </w:r>
      <w:r w:rsidR="008D4DE8" w:rsidRPr="0058432E">
        <w:rPr>
          <w:color w:val="000000" w:themeColor="text1"/>
        </w:rPr>
        <w:t xml:space="preserve">antagoniste du </w:t>
      </w:r>
      <w:r w:rsidRPr="0058432E">
        <w:rPr>
          <w:color w:val="000000" w:themeColor="text1"/>
        </w:rPr>
        <w:t xml:space="preserve">TNF, il a été observé plus de cas de </w:t>
      </w:r>
      <w:r w:rsidR="008D4DE8" w:rsidRPr="0058432E">
        <w:rPr>
          <w:color w:val="000000" w:themeColor="text1"/>
        </w:rPr>
        <w:t xml:space="preserve">tumeurs malignes, </w:t>
      </w:r>
      <w:r w:rsidRPr="0058432E">
        <w:rPr>
          <w:color w:val="000000" w:themeColor="text1"/>
        </w:rPr>
        <w:t>y compris des lymphomes</w:t>
      </w:r>
      <w:r w:rsidR="008D4DE8" w:rsidRPr="0058432E">
        <w:rPr>
          <w:color w:val="000000" w:themeColor="text1"/>
        </w:rPr>
        <w:t>,</w:t>
      </w:r>
      <w:r w:rsidRPr="0058432E">
        <w:rPr>
          <w:color w:val="000000" w:themeColor="text1"/>
        </w:rPr>
        <w:t xml:space="preserve"> chez les patients traités par un </w:t>
      </w:r>
      <w:r w:rsidR="00533435" w:rsidRPr="0058432E">
        <w:rPr>
          <w:color w:val="000000" w:themeColor="text1"/>
        </w:rPr>
        <w:t>antagoniste du TNF</w:t>
      </w:r>
      <w:r w:rsidR="008D4DE8" w:rsidRPr="0058432E">
        <w:rPr>
          <w:color w:val="000000" w:themeColor="text1"/>
        </w:rPr>
        <w:t xml:space="preserve"> </w:t>
      </w:r>
      <w:r w:rsidRPr="0058432E">
        <w:rPr>
          <w:color w:val="000000" w:themeColor="text1"/>
        </w:rPr>
        <w:t xml:space="preserve">que chez les patients du groupe contrôle. Cependant, l’incidence a été rare. Au cours de la surveillance post-marketing, des cas de leucémie ont été rapportés chez des patients traités par </w:t>
      </w:r>
      <w:r w:rsidR="008D4DE8" w:rsidRPr="0058432E">
        <w:rPr>
          <w:color w:val="000000" w:themeColor="text1"/>
        </w:rPr>
        <w:t xml:space="preserve">antagoniste du </w:t>
      </w:r>
      <w:r w:rsidRPr="0058432E">
        <w:rPr>
          <w:color w:val="000000" w:themeColor="text1"/>
        </w:rPr>
        <w:t xml:space="preserve">TNF. De plus, il existe un contexte de risque accru de lymphome et de leucémie chez les patients atteints d’une polyarthrite rhumatoïde ancienne, </w:t>
      </w:r>
      <w:r w:rsidR="007E1954" w:rsidRPr="0058432E">
        <w:rPr>
          <w:color w:val="000000" w:themeColor="text1"/>
        </w:rPr>
        <w:t>et avec une activité inflammatoire importante</w:t>
      </w:r>
      <w:r w:rsidRPr="0058432E">
        <w:rPr>
          <w:color w:val="000000" w:themeColor="text1"/>
        </w:rPr>
        <w:t xml:space="preserve">, ce qui complique l’estimation du risque. Dans l’état actuel des connaissances, la possibilité d’un risque de </w:t>
      </w:r>
      <w:r w:rsidRPr="0058432E">
        <w:rPr>
          <w:color w:val="000000" w:themeColor="text1"/>
        </w:rPr>
        <w:lastRenderedPageBreak/>
        <w:t xml:space="preserve">développer des lymphomes, des leucémies ou d’autres </w:t>
      </w:r>
      <w:r w:rsidR="008D4DE8" w:rsidRPr="0058432E">
        <w:rPr>
          <w:color w:val="000000" w:themeColor="text1"/>
        </w:rPr>
        <w:t xml:space="preserve">tumeurs </w:t>
      </w:r>
      <w:r w:rsidRPr="0058432E">
        <w:rPr>
          <w:color w:val="000000" w:themeColor="text1"/>
        </w:rPr>
        <w:t xml:space="preserve">malignes chez les patients traités par </w:t>
      </w:r>
      <w:r w:rsidR="00533435" w:rsidRPr="0058432E">
        <w:rPr>
          <w:color w:val="000000" w:themeColor="text1"/>
        </w:rPr>
        <w:t>antagoniste du TNF</w:t>
      </w:r>
      <w:r w:rsidR="008D4DE8" w:rsidRPr="0058432E">
        <w:rPr>
          <w:color w:val="000000" w:themeColor="text1"/>
        </w:rPr>
        <w:t xml:space="preserve"> </w:t>
      </w:r>
      <w:r w:rsidRPr="0058432E">
        <w:rPr>
          <w:color w:val="000000" w:themeColor="text1"/>
        </w:rPr>
        <w:t xml:space="preserve">ne peut être exclue. </w:t>
      </w:r>
    </w:p>
    <w:p w14:paraId="4E67150B" w14:textId="77777777" w:rsidR="00C46587" w:rsidRPr="0058432E" w:rsidRDefault="00C46587" w:rsidP="00982118">
      <w:pPr>
        <w:rPr>
          <w:color w:val="000000" w:themeColor="text1"/>
        </w:rPr>
      </w:pPr>
    </w:p>
    <w:p w14:paraId="639F13A5" w14:textId="77777777" w:rsidR="00C46587" w:rsidRPr="0058432E" w:rsidRDefault="00C46587" w:rsidP="00982118">
      <w:pPr>
        <w:rPr>
          <w:color w:val="000000" w:themeColor="text1"/>
        </w:rPr>
      </w:pPr>
      <w:r w:rsidRPr="0058432E">
        <w:rPr>
          <w:color w:val="000000" w:themeColor="text1"/>
        </w:rPr>
        <w:t xml:space="preserve">Des tumeurs malignes, dont certaines d’issue fatale, ont été rapportées après la commercialisation chez des enfants, des adolescents et des adultes jeunes (jusqu’à l’âge de 22 ans) traités par des </w:t>
      </w:r>
      <w:r w:rsidR="00533435" w:rsidRPr="0058432E">
        <w:rPr>
          <w:color w:val="000000" w:themeColor="text1"/>
        </w:rPr>
        <w:t>antagoniste</w:t>
      </w:r>
      <w:r w:rsidR="008D4DE8" w:rsidRPr="0058432E">
        <w:rPr>
          <w:color w:val="000000" w:themeColor="text1"/>
        </w:rPr>
        <w:t>s</w:t>
      </w:r>
      <w:r w:rsidR="00533435" w:rsidRPr="0058432E">
        <w:rPr>
          <w:color w:val="000000" w:themeColor="text1"/>
        </w:rPr>
        <w:t xml:space="preserve"> du TNF</w:t>
      </w:r>
      <w:r w:rsidR="008D4DE8" w:rsidRPr="0058432E">
        <w:rPr>
          <w:color w:val="000000" w:themeColor="text1"/>
        </w:rPr>
        <w:t xml:space="preserve"> </w:t>
      </w:r>
      <w:r w:rsidRPr="0058432E">
        <w:rPr>
          <w:color w:val="000000" w:themeColor="text1"/>
        </w:rPr>
        <w:t xml:space="preserve">(initiation du traitement </w:t>
      </w:r>
      <w:r w:rsidR="008D4DE8" w:rsidRPr="0058432E">
        <w:rPr>
          <w:color w:val="000000" w:themeColor="text1"/>
        </w:rPr>
        <w:t xml:space="preserve">à ou </w:t>
      </w:r>
      <w:r w:rsidRPr="0058432E">
        <w:rPr>
          <w:color w:val="000000" w:themeColor="text1"/>
        </w:rPr>
        <w:t xml:space="preserve">avant l’âge de 18 ans), y compris l’adalimumab. La moitié de ces cas environ étaient des lymphomes. Les autres cas correspondaient à d’autres types de tumeurs malignes parmi lesquels des </w:t>
      </w:r>
      <w:r w:rsidR="008D4DE8" w:rsidRPr="0058432E">
        <w:rPr>
          <w:color w:val="000000" w:themeColor="text1"/>
        </w:rPr>
        <w:t xml:space="preserve">tumeurs malignes </w:t>
      </w:r>
      <w:r w:rsidRPr="0058432E">
        <w:rPr>
          <w:color w:val="000000" w:themeColor="text1"/>
        </w:rPr>
        <w:t>rares généralement associés à un</w:t>
      </w:r>
      <w:r w:rsidR="008D4DE8" w:rsidRPr="0058432E">
        <w:rPr>
          <w:color w:val="000000" w:themeColor="text1"/>
        </w:rPr>
        <w:t>e</w:t>
      </w:r>
      <w:r w:rsidRPr="0058432E">
        <w:rPr>
          <w:color w:val="000000" w:themeColor="text1"/>
        </w:rPr>
        <w:t xml:space="preserve"> immunosuppression. Le risque de développer des tumeurs malignes ne peut être exclu chez l’enfant et l’adolescent traités par </w:t>
      </w:r>
      <w:r w:rsidR="008D4DE8" w:rsidRPr="0058432E">
        <w:rPr>
          <w:color w:val="000000" w:themeColor="text1"/>
        </w:rPr>
        <w:t>des antagoniste</w:t>
      </w:r>
      <w:r w:rsidR="000663D0" w:rsidRPr="0058432E">
        <w:rPr>
          <w:color w:val="000000" w:themeColor="text1"/>
        </w:rPr>
        <w:t>s</w:t>
      </w:r>
      <w:r w:rsidR="008D4DE8" w:rsidRPr="0058432E">
        <w:rPr>
          <w:color w:val="000000" w:themeColor="text1"/>
        </w:rPr>
        <w:t xml:space="preserve"> du </w:t>
      </w:r>
      <w:r w:rsidRPr="0058432E">
        <w:rPr>
          <w:color w:val="000000" w:themeColor="text1"/>
        </w:rPr>
        <w:t xml:space="preserve">TNF. </w:t>
      </w:r>
    </w:p>
    <w:p w14:paraId="68C19A2C" w14:textId="77777777" w:rsidR="00C46587" w:rsidRPr="0058432E" w:rsidRDefault="00C46587" w:rsidP="00982118">
      <w:pPr>
        <w:rPr>
          <w:color w:val="000000" w:themeColor="text1"/>
        </w:rPr>
      </w:pPr>
    </w:p>
    <w:p w14:paraId="66448623" w14:textId="77777777" w:rsidR="00C46587" w:rsidRPr="0058432E" w:rsidRDefault="00C46587" w:rsidP="00982118">
      <w:pPr>
        <w:rPr>
          <w:color w:val="000000" w:themeColor="text1"/>
        </w:rPr>
      </w:pPr>
      <w:r w:rsidRPr="0058432E">
        <w:rPr>
          <w:color w:val="000000" w:themeColor="text1"/>
        </w:rPr>
        <w:t xml:space="preserve">Au cours de la surveillance post-marketing, de rares cas de lymphomes hépatospléniques à lymphocytes T ont été identifiés chez des patients traités </w:t>
      </w:r>
      <w:r w:rsidR="008E7545" w:rsidRPr="0058432E">
        <w:rPr>
          <w:color w:val="000000" w:themeColor="text1"/>
        </w:rPr>
        <w:t>par adalimumab</w:t>
      </w:r>
      <w:r w:rsidRPr="0058432E">
        <w:rPr>
          <w:color w:val="000000" w:themeColor="text1"/>
        </w:rPr>
        <w:t xml:space="preserve">. Cette forme rare de lymphome à lymphocytes T a une évolution </w:t>
      </w:r>
      <w:r w:rsidR="008D4DE8" w:rsidRPr="0058432E">
        <w:rPr>
          <w:color w:val="000000" w:themeColor="text1"/>
        </w:rPr>
        <w:t xml:space="preserve">pathologique </w:t>
      </w:r>
      <w:r w:rsidRPr="0058432E">
        <w:rPr>
          <w:color w:val="000000" w:themeColor="text1"/>
        </w:rPr>
        <w:t>très agressive et est souvent fatale. Certains de ces lymphomes hépatospléniques à lymphocytes T observés avec l’adalimumab sont survenus chez des adultes jeunes ayant un traitement concomitant par azathioprine ou par 6</w:t>
      </w:r>
      <w:r w:rsidRPr="0058432E">
        <w:rPr>
          <w:color w:val="000000" w:themeColor="text1"/>
        </w:rPr>
        <w:noBreakHyphen/>
      </w:r>
      <w:proofErr w:type="gramStart"/>
      <w:r w:rsidRPr="0058432E">
        <w:rPr>
          <w:color w:val="000000" w:themeColor="text1"/>
        </w:rPr>
        <w:t>mercaptopurine utilisé</w:t>
      </w:r>
      <w:proofErr w:type="gramEnd"/>
      <w:r w:rsidRPr="0058432E">
        <w:rPr>
          <w:color w:val="000000" w:themeColor="text1"/>
        </w:rPr>
        <w:t xml:space="preserve"> dans les maladies inflammatoires de l’intestin. Le </w:t>
      </w:r>
      <w:proofErr w:type="gramStart"/>
      <w:r w:rsidRPr="0058432E">
        <w:rPr>
          <w:color w:val="000000" w:themeColor="text1"/>
        </w:rPr>
        <w:t>risque potentiel</w:t>
      </w:r>
      <w:proofErr w:type="gramEnd"/>
      <w:r w:rsidRPr="0058432E">
        <w:rPr>
          <w:color w:val="000000" w:themeColor="text1"/>
        </w:rPr>
        <w:t xml:space="preserve"> de l’association de l’azathioprine ou de la 6</w:t>
      </w:r>
      <w:r w:rsidRPr="0058432E">
        <w:rPr>
          <w:color w:val="000000" w:themeColor="text1"/>
        </w:rPr>
        <w:noBreakHyphen/>
        <w:t xml:space="preserve">mercaptopurine avec l’adalimumab doit être soigneusement pris en considération. Un risque de développement de lymphome hépatosplénique à lymphocytes T chez des patients traités par Amsparity ne peut pas être exclu (voir rubrique 4.8). </w:t>
      </w:r>
    </w:p>
    <w:p w14:paraId="6DDAEC17" w14:textId="77777777" w:rsidR="00C46587" w:rsidRPr="0058432E" w:rsidRDefault="00C46587" w:rsidP="00982118">
      <w:pPr>
        <w:rPr>
          <w:color w:val="000000" w:themeColor="text1"/>
        </w:rPr>
      </w:pPr>
    </w:p>
    <w:p w14:paraId="02A02678" w14:textId="77777777" w:rsidR="00C46587" w:rsidRPr="0058432E" w:rsidRDefault="00C46587" w:rsidP="00982118">
      <w:pPr>
        <w:rPr>
          <w:color w:val="000000" w:themeColor="text1"/>
        </w:rPr>
      </w:pPr>
      <w:r w:rsidRPr="0058432E">
        <w:rPr>
          <w:color w:val="000000" w:themeColor="text1"/>
        </w:rPr>
        <w:t>Il n’existe pas d’études chez des patients avec antécédents de tumeurs malignes ou chez lesquels le traitement par adalimumab est poursuivi après le développement d’un</w:t>
      </w:r>
      <w:r w:rsidR="008D4DE8" w:rsidRPr="0058432E">
        <w:rPr>
          <w:color w:val="000000" w:themeColor="text1"/>
        </w:rPr>
        <w:t>e</w:t>
      </w:r>
      <w:r w:rsidRPr="0058432E">
        <w:rPr>
          <w:color w:val="000000" w:themeColor="text1"/>
        </w:rPr>
        <w:t xml:space="preserve"> </w:t>
      </w:r>
      <w:r w:rsidR="008D4DE8" w:rsidRPr="0058432E">
        <w:rPr>
          <w:color w:val="000000" w:themeColor="text1"/>
        </w:rPr>
        <w:t>tumeur maligne</w:t>
      </w:r>
      <w:r w:rsidRPr="0058432E">
        <w:rPr>
          <w:color w:val="000000" w:themeColor="text1"/>
        </w:rPr>
        <w:t xml:space="preserve">. En conséquence, une prudence accrue devra être observée lorsqu’on envisage un traitement de ces patients par adalimumab (voir rubrique 4.8). </w:t>
      </w:r>
    </w:p>
    <w:p w14:paraId="54F083AA" w14:textId="77777777" w:rsidR="00C46587" w:rsidRPr="0058432E" w:rsidRDefault="00C46587" w:rsidP="00982118">
      <w:pPr>
        <w:rPr>
          <w:color w:val="000000" w:themeColor="text1"/>
        </w:rPr>
      </w:pPr>
    </w:p>
    <w:p w14:paraId="29F7E1D6" w14:textId="77777777" w:rsidR="00C46587" w:rsidRPr="0058432E" w:rsidRDefault="00C46587" w:rsidP="00982118">
      <w:pPr>
        <w:rPr>
          <w:color w:val="000000" w:themeColor="text1"/>
        </w:rPr>
      </w:pPr>
      <w:r w:rsidRPr="0058432E">
        <w:rPr>
          <w:color w:val="000000" w:themeColor="text1"/>
        </w:rPr>
        <w:t xml:space="preserve">Tous les patients, notamment ceux ayant des antécédents de traitement immunosuppresseur intense ou atteints de psoriasis et ayant des antécédents de puvathérapie, devront être examinés à la recherche d’un cancer cutané autre que mélanome avant et pendant le traitement par Amsparity. Des cas de mélanome et de carcinome à cellules de Merkel ont été également rapportés chez les patients traités par </w:t>
      </w:r>
      <w:r w:rsidR="00533435" w:rsidRPr="0058432E">
        <w:rPr>
          <w:color w:val="000000" w:themeColor="text1"/>
        </w:rPr>
        <w:t>antagoniste</w:t>
      </w:r>
      <w:r w:rsidR="008D4DE8" w:rsidRPr="0058432E">
        <w:rPr>
          <w:color w:val="000000" w:themeColor="text1"/>
        </w:rPr>
        <w:t>s</w:t>
      </w:r>
      <w:r w:rsidR="00533435" w:rsidRPr="0058432E">
        <w:rPr>
          <w:color w:val="000000" w:themeColor="text1"/>
        </w:rPr>
        <w:t xml:space="preserve"> du TNF</w:t>
      </w:r>
      <w:r w:rsidR="008D4DE8" w:rsidRPr="0058432E">
        <w:rPr>
          <w:color w:val="000000" w:themeColor="text1"/>
        </w:rPr>
        <w:t xml:space="preserve">, </w:t>
      </w:r>
      <w:r w:rsidRPr="0058432E">
        <w:rPr>
          <w:color w:val="000000" w:themeColor="text1"/>
        </w:rPr>
        <w:t xml:space="preserve">y compris l’adalimumab (voir rubrique 4.8). </w:t>
      </w:r>
    </w:p>
    <w:p w14:paraId="259F8764" w14:textId="77777777" w:rsidR="00C46587" w:rsidRPr="0058432E" w:rsidRDefault="00C46587" w:rsidP="00982118">
      <w:pPr>
        <w:rPr>
          <w:color w:val="000000" w:themeColor="text1"/>
        </w:rPr>
      </w:pPr>
    </w:p>
    <w:p w14:paraId="7419C717" w14:textId="77777777" w:rsidR="00C46587" w:rsidRPr="0058432E" w:rsidRDefault="00C46587" w:rsidP="00982118">
      <w:pPr>
        <w:rPr>
          <w:color w:val="000000" w:themeColor="text1"/>
        </w:rPr>
      </w:pPr>
      <w:r w:rsidRPr="0058432E">
        <w:rPr>
          <w:color w:val="000000" w:themeColor="text1"/>
        </w:rPr>
        <w:t xml:space="preserve">Dans une étude clinique prospective évaluant l’emploi d’un autre </w:t>
      </w:r>
      <w:r w:rsidR="001166F5" w:rsidRPr="0058432E">
        <w:rPr>
          <w:color w:val="000000" w:themeColor="text1"/>
        </w:rPr>
        <w:t xml:space="preserve">antagoniste du </w:t>
      </w:r>
      <w:r w:rsidRPr="0058432E">
        <w:rPr>
          <w:color w:val="000000" w:themeColor="text1"/>
        </w:rPr>
        <w:t xml:space="preserve">TNF, l’infliximab, chez des patients </w:t>
      </w:r>
      <w:r w:rsidR="00D546C9" w:rsidRPr="0058432E">
        <w:rPr>
          <w:color w:val="000000" w:themeColor="text1"/>
        </w:rPr>
        <w:t>atteints</w:t>
      </w:r>
      <w:r w:rsidRPr="0058432E">
        <w:rPr>
          <w:color w:val="000000" w:themeColor="text1"/>
        </w:rPr>
        <w:t xml:space="preserve"> de broncho-pneumopathie chronique obstructive (BPCO), modérée à sévère, on rapporte plus de cancers, surtout du poumon, de la tête et du cou, parmi les patients traités par infliximab comparativement aux patients du groupe contrôle. Tous les patients avaient des antécédents de tabagisme important. Pour cette raison, des précautions doivent être prises dans l’emploi d’un </w:t>
      </w:r>
      <w:r w:rsidR="00533435" w:rsidRPr="0058432E">
        <w:rPr>
          <w:color w:val="000000" w:themeColor="text1"/>
        </w:rPr>
        <w:t>antagoniste du TNF</w:t>
      </w:r>
      <w:r w:rsidR="001166F5" w:rsidRPr="0058432E">
        <w:rPr>
          <w:color w:val="000000" w:themeColor="text1"/>
        </w:rPr>
        <w:t xml:space="preserve"> </w:t>
      </w:r>
      <w:r w:rsidRPr="0058432E">
        <w:rPr>
          <w:color w:val="000000" w:themeColor="text1"/>
        </w:rPr>
        <w:t xml:space="preserve">chez des patients </w:t>
      </w:r>
      <w:r w:rsidR="00D546C9" w:rsidRPr="0058432E">
        <w:rPr>
          <w:color w:val="000000" w:themeColor="text1"/>
        </w:rPr>
        <w:t>atteints</w:t>
      </w:r>
      <w:r w:rsidRPr="0058432E">
        <w:rPr>
          <w:color w:val="000000" w:themeColor="text1"/>
        </w:rPr>
        <w:t xml:space="preserve"> de BPCO, et aussi chez des patients à risque de cancer à cause d’un tabagisme important. </w:t>
      </w:r>
    </w:p>
    <w:p w14:paraId="1BF7AD4D" w14:textId="77777777" w:rsidR="00C46587" w:rsidRPr="0058432E" w:rsidRDefault="00C46587" w:rsidP="00982118">
      <w:pPr>
        <w:rPr>
          <w:color w:val="000000" w:themeColor="text1"/>
        </w:rPr>
      </w:pPr>
    </w:p>
    <w:p w14:paraId="07C024D7" w14:textId="77777777" w:rsidR="00C46587" w:rsidRPr="0058432E" w:rsidRDefault="00C46587" w:rsidP="00982118">
      <w:pPr>
        <w:rPr>
          <w:color w:val="000000" w:themeColor="text1"/>
        </w:rPr>
      </w:pPr>
      <w:r w:rsidRPr="0058432E">
        <w:rPr>
          <w:color w:val="000000" w:themeColor="text1"/>
        </w:rPr>
        <w:t xml:space="preserve">Sur la base des données actuelles, on ne sait pas si le traitement </w:t>
      </w:r>
      <w:r w:rsidR="008E7545" w:rsidRPr="0058432E">
        <w:rPr>
          <w:color w:val="000000" w:themeColor="text1"/>
        </w:rPr>
        <w:t>par adalimumab</w:t>
      </w:r>
      <w:r w:rsidRPr="0058432E">
        <w:rPr>
          <w:color w:val="000000" w:themeColor="text1"/>
        </w:rPr>
        <w:t xml:space="preserve"> influence le risque de développer une dysplasie ou un cancer du côlon. Tous les patients atteints de rectocolite hémorragique qui présentent un risque élevé de dysplasie ou de cancer du côlon (par </w:t>
      </w:r>
      <w:r w:rsidR="001946D2" w:rsidRPr="0058432E">
        <w:rPr>
          <w:color w:val="000000" w:themeColor="text1"/>
        </w:rPr>
        <w:t>ex</w:t>
      </w:r>
      <w:r w:rsidR="000663D0" w:rsidRPr="0058432E">
        <w:rPr>
          <w:color w:val="000000" w:themeColor="text1"/>
        </w:rPr>
        <w:t>emple</w:t>
      </w:r>
      <w:r w:rsidRPr="0058432E">
        <w:rPr>
          <w:color w:val="000000" w:themeColor="text1"/>
        </w:rPr>
        <w:t xml:space="preserve">, les patients atteints de rectocolite hémorragique ancienne ou de cholangite sclérosante primitive) ou qui ont un antécédent de dysplasie ou de cancer du côlon doivent faire l’objet d’un dépistage régulier à la recherche d’une dysplasie avant le traitement et pendant toute l’évolution de leur maladie. Cette évaluation doit inclure une coloscopie et des biopsies conformément aux recommandations locales. </w:t>
      </w:r>
    </w:p>
    <w:p w14:paraId="7151F29E" w14:textId="77777777" w:rsidR="00C46587" w:rsidRPr="0058432E" w:rsidRDefault="00C46587" w:rsidP="00982118">
      <w:pPr>
        <w:rPr>
          <w:color w:val="000000" w:themeColor="text1"/>
        </w:rPr>
      </w:pPr>
    </w:p>
    <w:p w14:paraId="6FD57F2C" w14:textId="77777777" w:rsidR="00C46587" w:rsidRPr="0058432E" w:rsidRDefault="00150D33" w:rsidP="00982118">
      <w:pPr>
        <w:keepNext/>
        <w:rPr>
          <w:color w:val="000000" w:themeColor="text1"/>
          <w:u w:val="single"/>
        </w:rPr>
      </w:pPr>
      <w:r w:rsidRPr="0058432E">
        <w:rPr>
          <w:color w:val="000000" w:themeColor="text1"/>
          <w:u w:val="single"/>
        </w:rPr>
        <w:t>Réactions hématologiques</w:t>
      </w:r>
    </w:p>
    <w:p w14:paraId="6C7CAADA" w14:textId="77777777" w:rsidR="00C46587" w:rsidRPr="0058432E" w:rsidRDefault="00C46587" w:rsidP="00982118">
      <w:pPr>
        <w:keepNext/>
        <w:rPr>
          <w:color w:val="000000" w:themeColor="text1"/>
        </w:rPr>
      </w:pPr>
    </w:p>
    <w:p w14:paraId="05B34E62" w14:textId="77777777" w:rsidR="00C46587" w:rsidRPr="0058432E" w:rsidRDefault="00C46587" w:rsidP="00982118">
      <w:pPr>
        <w:rPr>
          <w:color w:val="000000" w:themeColor="text1"/>
        </w:rPr>
      </w:pPr>
      <w:r w:rsidRPr="0058432E">
        <w:rPr>
          <w:color w:val="000000" w:themeColor="text1"/>
        </w:rPr>
        <w:t xml:space="preserve">De rares cas de pancytopénie, y compris d’anémie aplasique, ont été rapportés avec les </w:t>
      </w:r>
      <w:r w:rsidR="004D3743" w:rsidRPr="0058432E">
        <w:rPr>
          <w:color w:val="000000" w:themeColor="text1"/>
        </w:rPr>
        <w:t xml:space="preserve">antagonistes du </w:t>
      </w:r>
      <w:r w:rsidRPr="0058432E">
        <w:rPr>
          <w:color w:val="000000" w:themeColor="text1"/>
        </w:rPr>
        <w:t xml:space="preserve">TNF. Des </w:t>
      </w:r>
      <w:r w:rsidR="004D3743" w:rsidRPr="0058432E">
        <w:rPr>
          <w:color w:val="000000" w:themeColor="text1"/>
        </w:rPr>
        <w:t xml:space="preserve">événements </w:t>
      </w:r>
      <w:r w:rsidRPr="0058432E">
        <w:rPr>
          <w:color w:val="000000" w:themeColor="text1"/>
        </w:rPr>
        <w:t xml:space="preserve">indésirables du système </w:t>
      </w:r>
      <w:r w:rsidR="004D3743" w:rsidRPr="0058432E">
        <w:rPr>
          <w:color w:val="000000" w:themeColor="text1"/>
        </w:rPr>
        <w:t xml:space="preserve">hématologique </w:t>
      </w:r>
      <w:r w:rsidRPr="0058432E">
        <w:rPr>
          <w:color w:val="000000" w:themeColor="text1"/>
        </w:rPr>
        <w:t>comprenant des cytopénies médicalement significatives (par ex</w:t>
      </w:r>
      <w:r w:rsidR="00A67736" w:rsidRPr="0058432E">
        <w:rPr>
          <w:color w:val="000000" w:themeColor="text1"/>
        </w:rPr>
        <w:t>emple,</w:t>
      </w:r>
      <w:r w:rsidRPr="0058432E">
        <w:rPr>
          <w:color w:val="000000" w:themeColor="text1"/>
        </w:rPr>
        <w:t xml:space="preserve"> thrombocytopénie, leucopénie) ont été observés avec l’adalimumab. Il doit être conseillé à tous les patients de demander immédiatement un avis médical s’ils </w:t>
      </w:r>
      <w:r w:rsidR="004D3743" w:rsidRPr="0058432E">
        <w:rPr>
          <w:color w:val="000000" w:themeColor="text1"/>
        </w:rPr>
        <w:t xml:space="preserve">développent </w:t>
      </w:r>
      <w:r w:rsidRPr="0058432E">
        <w:rPr>
          <w:color w:val="000000" w:themeColor="text1"/>
        </w:rPr>
        <w:t xml:space="preserve">des signes ou des symptômes suggérant des </w:t>
      </w:r>
      <w:r w:rsidR="004D3743" w:rsidRPr="0058432E">
        <w:rPr>
          <w:color w:val="000000" w:themeColor="text1"/>
        </w:rPr>
        <w:t xml:space="preserve">dyscrasies </w:t>
      </w:r>
      <w:r w:rsidRPr="0058432E">
        <w:rPr>
          <w:color w:val="000000" w:themeColor="text1"/>
        </w:rPr>
        <w:t>sanguin</w:t>
      </w:r>
      <w:r w:rsidR="004D3743" w:rsidRPr="0058432E">
        <w:rPr>
          <w:color w:val="000000" w:themeColor="text1"/>
        </w:rPr>
        <w:t>e</w:t>
      </w:r>
      <w:r w:rsidRPr="0058432E">
        <w:rPr>
          <w:color w:val="000000" w:themeColor="text1"/>
        </w:rPr>
        <w:t>s (par ex</w:t>
      </w:r>
      <w:r w:rsidR="00A67736" w:rsidRPr="0058432E">
        <w:rPr>
          <w:color w:val="000000" w:themeColor="text1"/>
        </w:rPr>
        <w:t>emple,</w:t>
      </w:r>
      <w:r w:rsidRPr="0058432E">
        <w:rPr>
          <w:color w:val="000000" w:themeColor="text1"/>
        </w:rPr>
        <w:t xml:space="preserve"> fièvre persistante, ecchymoses, saignements, pâleur) sous Amsparity. L’arrêt du traitement par </w:t>
      </w:r>
      <w:r w:rsidRPr="0058432E">
        <w:rPr>
          <w:color w:val="000000" w:themeColor="text1"/>
        </w:rPr>
        <w:lastRenderedPageBreak/>
        <w:t xml:space="preserve">Amsparity devra être envisagé </w:t>
      </w:r>
      <w:r w:rsidR="004D3743" w:rsidRPr="0058432E">
        <w:rPr>
          <w:color w:val="000000" w:themeColor="text1"/>
        </w:rPr>
        <w:t xml:space="preserve">chez </w:t>
      </w:r>
      <w:r w:rsidRPr="0058432E">
        <w:rPr>
          <w:color w:val="000000" w:themeColor="text1"/>
        </w:rPr>
        <w:t xml:space="preserve">les patients </w:t>
      </w:r>
      <w:r w:rsidR="004D3743" w:rsidRPr="0058432E">
        <w:rPr>
          <w:color w:val="000000" w:themeColor="text1"/>
        </w:rPr>
        <w:t>ayant</w:t>
      </w:r>
      <w:r w:rsidRPr="0058432E">
        <w:rPr>
          <w:color w:val="000000" w:themeColor="text1"/>
        </w:rPr>
        <w:t xml:space="preserve"> des anomalies </w:t>
      </w:r>
      <w:r w:rsidR="004B147A" w:rsidRPr="0058432E">
        <w:rPr>
          <w:color w:val="000000" w:themeColor="text1"/>
        </w:rPr>
        <w:t xml:space="preserve">hématologiques </w:t>
      </w:r>
      <w:r w:rsidRPr="0058432E">
        <w:rPr>
          <w:color w:val="000000" w:themeColor="text1"/>
        </w:rPr>
        <w:t xml:space="preserve">significatives seront confirmées. </w:t>
      </w:r>
    </w:p>
    <w:p w14:paraId="4AD2A958" w14:textId="77777777" w:rsidR="00C46587" w:rsidRPr="0058432E" w:rsidRDefault="00C46587" w:rsidP="00982118">
      <w:pPr>
        <w:rPr>
          <w:color w:val="000000" w:themeColor="text1"/>
        </w:rPr>
      </w:pPr>
    </w:p>
    <w:p w14:paraId="0EB76119" w14:textId="77777777" w:rsidR="00C46587" w:rsidRPr="0058432E" w:rsidRDefault="00150D33" w:rsidP="00982118">
      <w:pPr>
        <w:keepNext/>
        <w:rPr>
          <w:color w:val="000000" w:themeColor="text1"/>
          <w:u w:val="single"/>
        </w:rPr>
      </w:pPr>
      <w:r w:rsidRPr="0058432E">
        <w:rPr>
          <w:color w:val="000000" w:themeColor="text1"/>
          <w:u w:val="single"/>
        </w:rPr>
        <w:t>Vaccinations</w:t>
      </w:r>
    </w:p>
    <w:p w14:paraId="2C14C48A" w14:textId="77777777" w:rsidR="00C46587" w:rsidRPr="0058432E" w:rsidRDefault="00C46587" w:rsidP="00DC3A99">
      <w:pPr>
        <w:keepNext/>
        <w:rPr>
          <w:color w:val="000000" w:themeColor="text1"/>
        </w:rPr>
      </w:pPr>
    </w:p>
    <w:p w14:paraId="33C4AE69" w14:textId="77777777" w:rsidR="00C46587" w:rsidRPr="0058432E" w:rsidRDefault="00C46587" w:rsidP="00982118">
      <w:pPr>
        <w:rPr>
          <w:color w:val="000000" w:themeColor="text1"/>
        </w:rPr>
      </w:pPr>
      <w:r w:rsidRPr="0058432E">
        <w:rPr>
          <w:color w:val="000000" w:themeColor="text1"/>
        </w:rPr>
        <w:t xml:space="preserve">Des réponses anticorps similaires au vaccin pneumococcique </w:t>
      </w:r>
      <w:r w:rsidR="00965D9F" w:rsidRPr="0058432E">
        <w:rPr>
          <w:color w:val="000000" w:themeColor="text1"/>
        </w:rPr>
        <w:t>23-</w:t>
      </w:r>
      <w:r w:rsidRPr="0058432E">
        <w:rPr>
          <w:color w:val="000000" w:themeColor="text1"/>
        </w:rPr>
        <w:t>valen</w:t>
      </w:r>
      <w:r w:rsidR="00965D9F" w:rsidRPr="0058432E">
        <w:rPr>
          <w:color w:val="000000" w:themeColor="text1"/>
        </w:rPr>
        <w:t>t</w:t>
      </w:r>
      <w:r w:rsidRPr="0058432E">
        <w:rPr>
          <w:color w:val="000000" w:themeColor="text1"/>
        </w:rPr>
        <w:t xml:space="preserve"> standard et à la vaccination contre le virus trivalent de la grippe ont été observées dans une étude chez 226 adultes </w:t>
      </w:r>
      <w:r w:rsidR="00D546C9" w:rsidRPr="0058432E">
        <w:rPr>
          <w:color w:val="000000" w:themeColor="text1"/>
        </w:rPr>
        <w:t>atteints</w:t>
      </w:r>
      <w:r w:rsidRPr="0058432E">
        <w:rPr>
          <w:color w:val="000000" w:themeColor="text1"/>
        </w:rPr>
        <w:t xml:space="preserve"> de polyarthrite rhumatoïde traités </w:t>
      </w:r>
      <w:r w:rsidR="008E7545" w:rsidRPr="0058432E">
        <w:rPr>
          <w:color w:val="000000" w:themeColor="text1"/>
        </w:rPr>
        <w:t>par adalimumab</w:t>
      </w:r>
      <w:r w:rsidRPr="0058432E">
        <w:rPr>
          <w:color w:val="000000" w:themeColor="text1"/>
        </w:rPr>
        <w:t xml:space="preserve"> ou placebo. Il n’y a pas de données disponibles sur la transmission secondaire d’infection par des vaccins vivants chez les patients recevant l’adalimumab. </w:t>
      </w:r>
    </w:p>
    <w:p w14:paraId="1B63C88A" w14:textId="77777777" w:rsidR="00C46587" w:rsidRPr="0058432E" w:rsidRDefault="00C46587" w:rsidP="00982118">
      <w:pPr>
        <w:rPr>
          <w:color w:val="000000" w:themeColor="text1"/>
        </w:rPr>
      </w:pPr>
    </w:p>
    <w:p w14:paraId="5E111A2B" w14:textId="77777777" w:rsidR="00C46587" w:rsidRPr="0058432E" w:rsidRDefault="00C46587" w:rsidP="00982118">
      <w:pPr>
        <w:rPr>
          <w:color w:val="000000" w:themeColor="text1"/>
        </w:rPr>
      </w:pPr>
      <w:r w:rsidRPr="0058432E">
        <w:rPr>
          <w:color w:val="000000" w:themeColor="text1"/>
        </w:rPr>
        <w:t xml:space="preserve">Chez les enfants et les adolescents, il est recommandé, si possible, que toutes les vaccinations soient à jour conformément aux recommandations vaccinales en vigueur avant l’instauration du traitement par adalimumab. </w:t>
      </w:r>
    </w:p>
    <w:p w14:paraId="5125BAC3" w14:textId="77777777" w:rsidR="00C46587" w:rsidRPr="0058432E" w:rsidRDefault="00C46587" w:rsidP="00982118">
      <w:pPr>
        <w:rPr>
          <w:color w:val="000000" w:themeColor="text1"/>
        </w:rPr>
      </w:pPr>
    </w:p>
    <w:p w14:paraId="2F7AAE32" w14:textId="77777777" w:rsidR="00C46587" w:rsidRPr="0058432E" w:rsidRDefault="00C46587" w:rsidP="00982118">
      <w:pPr>
        <w:rPr>
          <w:color w:val="000000" w:themeColor="text1"/>
        </w:rPr>
      </w:pPr>
      <w:r w:rsidRPr="0058432E">
        <w:rPr>
          <w:color w:val="000000" w:themeColor="text1"/>
        </w:rPr>
        <w:t xml:space="preserve">Les patients sous adalimumab peuvent recevoir </w:t>
      </w:r>
      <w:r w:rsidR="004D3743" w:rsidRPr="0058432E">
        <w:rPr>
          <w:color w:val="000000" w:themeColor="text1"/>
        </w:rPr>
        <w:t xml:space="preserve">simultanément des </w:t>
      </w:r>
      <w:r w:rsidRPr="0058432E">
        <w:rPr>
          <w:color w:val="000000" w:themeColor="text1"/>
        </w:rPr>
        <w:t xml:space="preserve">vaccins, </w:t>
      </w:r>
      <w:r w:rsidR="004D3743" w:rsidRPr="0058432E">
        <w:rPr>
          <w:color w:val="000000" w:themeColor="text1"/>
        </w:rPr>
        <w:t>à l’</w:t>
      </w:r>
      <w:r w:rsidRPr="0058432E">
        <w:rPr>
          <w:color w:val="000000" w:themeColor="text1"/>
        </w:rPr>
        <w:t>except</w:t>
      </w:r>
      <w:r w:rsidR="004D3743" w:rsidRPr="0058432E">
        <w:rPr>
          <w:color w:val="000000" w:themeColor="text1"/>
        </w:rPr>
        <w:t>ion</w:t>
      </w:r>
      <w:r w:rsidRPr="0058432E">
        <w:rPr>
          <w:color w:val="000000" w:themeColor="text1"/>
        </w:rPr>
        <w:t xml:space="preserve"> des vaccins vivants. L’administration de vaccins vivants (par </w:t>
      </w:r>
      <w:r w:rsidR="001946D2" w:rsidRPr="0058432E">
        <w:rPr>
          <w:color w:val="000000" w:themeColor="text1"/>
        </w:rPr>
        <w:t>ex</w:t>
      </w:r>
      <w:r w:rsidR="000663D0" w:rsidRPr="0058432E">
        <w:rPr>
          <w:color w:val="000000" w:themeColor="text1"/>
        </w:rPr>
        <w:t>emple</w:t>
      </w:r>
      <w:r w:rsidRPr="0058432E">
        <w:rPr>
          <w:color w:val="000000" w:themeColor="text1"/>
        </w:rPr>
        <w:t xml:space="preserve">, vaccin BCG) à des </w:t>
      </w:r>
      <w:r w:rsidR="00766CE5" w:rsidRPr="0058432E">
        <w:rPr>
          <w:color w:val="000000" w:themeColor="text1"/>
        </w:rPr>
        <w:t>nourrissons</w:t>
      </w:r>
      <w:r w:rsidRPr="0058432E">
        <w:rPr>
          <w:color w:val="000000" w:themeColor="text1"/>
        </w:rPr>
        <w:t xml:space="preserve"> 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 </w:t>
      </w:r>
      <w:r w:rsidR="00432F58" w:rsidRPr="0058432E">
        <w:rPr>
          <w:color w:val="000000" w:themeColor="text1"/>
          <w:spacing w:val="-1"/>
        </w:rPr>
        <w:t>d’adalimumab</w:t>
      </w:r>
      <w:r w:rsidR="00432F58" w:rsidRPr="0058432E">
        <w:rPr>
          <w:color w:val="000000" w:themeColor="text1"/>
        </w:rPr>
        <w:t xml:space="preserve"> chez</w:t>
      </w:r>
      <w:r w:rsidRPr="0058432E">
        <w:rPr>
          <w:color w:val="000000" w:themeColor="text1"/>
        </w:rPr>
        <w:t xml:space="preserve"> la mère </w:t>
      </w:r>
      <w:r w:rsidR="00432F58" w:rsidRPr="0058432E">
        <w:rPr>
          <w:color w:val="000000" w:themeColor="text1"/>
        </w:rPr>
        <w:t>pendant</w:t>
      </w:r>
      <w:r w:rsidRPr="0058432E">
        <w:rPr>
          <w:color w:val="000000" w:themeColor="text1"/>
        </w:rPr>
        <w:t xml:space="preserve"> la grossesse. </w:t>
      </w:r>
    </w:p>
    <w:p w14:paraId="10798876" w14:textId="77777777" w:rsidR="00C46587" w:rsidRPr="0058432E" w:rsidRDefault="00C46587" w:rsidP="00982118">
      <w:pPr>
        <w:rPr>
          <w:color w:val="000000" w:themeColor="text1"/>
        </w:rPr>
      </w:pPr>
    </w:p>
    <w:p w14:paraId="2174D79C" w14:textId="77777777" w:rsidR="00C46587" w:rsidRPr="0058432E" w:rsidRDefault="00150D33" w:rsidP="00DC3A99">
      <w:pPr>
        <w:keepNext/>
        <w:rPr>
          <w:color w:val="000000" w:themeColor="text1"/>
          <w:u w:val="single"/>
        </w:rPr>
      </w:pPr>
      <w:r w:rsidRPr="0058432E">
        <w:rPr>
          <w:color w:val="000000" w:themeColor="text1"/>
          <w:u w:val="single"/>
        </w:rPr>
        <w:t>Insuffisance cardiaque congestive</w:t>
      </w:r>
    </w:p>
    <w:p w14:paraId="1A802CC1" w14:textId="77777777" w:rsidR="00C46587" w:rsidRPr="0058432E" w:rsidRDefault="00C46587" w:rsidP="00DC3A99">
      <w:pPr>
        <w:keepNext/>
        <w:rPr>
          <w:color w:val="000000" w:themeColor="text1"/>
        </w:rPr>
      </w:pPr>
    </w:p>
    <w:p w14:paraId="42419A9D" w14:textId="77777777" w:rsidR="00C46587" w:rsidRPr="0058432E" w:rsidRDefault="00C46587" w:rsidP="00982118">
      <w:pPr>
        <w:rPr>
          <w:color w:val="000000" w:themeColor="text1"/>
        </w:rPr>
      </w:pPr>
      <w:r w:rsidRPr="0058432E">
        <w:rPr>
          <w:color w:val="000000" w:themeColor="text1"/>
        </w:rPr>
        <w:t>Dans un essai clinique mené avec un autre ant</w:t>
      </w:r>
      <w:r w:rsidR="00432F58" w:rsidRPr="0058432E">
        <w:rPr>
          <w:color w:val="000000" w:themeColor="text1"/>
        </w:rPr>
        <w:t>agoniste du</w:t>
      </w:r>
      <w:r w:rsidRPr="0058432E">
        <w:rPr>
          <w:color w:val="000000" w:themeColor="text1"/>
        </w:rPr>
        <w:t>TNF, on a observé une aggravation de l’insuffisance cardiaque congestive et une augmentation de la mortalité par insuffisance cardiaque congestive. Des cas d’aggravation d’insuffisance cardiaque congestive ont aussi été rapportés chez des patients sous adalimumab. Amsparity doit être utilisé avec prudence chez les patients atteints d’insuffisance cardiaque légère (NYHA classes</w:t>
      </w:r>
      <w:r w:rsidR="006D68D8" w:rsidRPr="0058432E">
        <w:rPr>
          <w:color w:val="000000" w:themeColor="text1"/>
        </w:rPr>
        <w:t> </w:t>
      </w:r>
      <w:r w:rsidRPr="0058432E">
        <w:rPr>
          <w:color w:val="000000" w:themeColor="text1"/>
        </w:rPr>
        <w:t xml:space="preserve">I/II). Amsparity est contre-indiqué dans l’insuffisance cardiaque modérée à sévère (voir rubrique 4.3). Le traitement par Amsparity doit être arrêté chez les patients présentant de nouveaux symptômes ou une aggravation de leurs symptômes d’insuffisance cardiaque congestive. </w:t>
      </w:r>
    </w:p>
    <w:p w14:paraId="69D56335" w14:textId="77777777" w:rsidR="00C46587" w:rsidRPr="0058432E" w:rsidRDefault="00C46587" w:rsidP="00982118">
      <w:pPr>
        <w:rPr>
          <w:color w:val="000000" w:themeColor="text1"/>
        </w:rPr>
      </w:pPr>
    </w:p>
    <w:p w14:paraId="3A4BD0DB" w14:textId="77777777" w:rsidR="00C46587" w:rsidRPr="0058432E" w:rsidRDefault="00C46587" w:rsidP="00982118">
      <w:pPr>
        <w:keepNext/>
        <w:rPr>
          <w:color w:val="000000" w:themeColor="text1"/>
          <w:u w:val="single"/>
        </w:rPr>
      </w:pPr>
      <w:r w:rsidRPr="0058432E">
        <w:rPr>
          <w:color w:val="000000" w:themeColor="text1"/>
          <w:u w:val="single"/>
        </w:rPr>
        <w:t xml:space="preserve">Processus auto-immuns </w:t>
      </w:r>
    </w:p>
    <w:p w14:paraId="09982AEB" w14:textId="77777777" w:rsidR="00C46587" w:rsidRPr="0058432E" w:rsidRDefault="00C46587" w:rsidP="00982118">
      <w:pPr>
        <w:keepNext/>
        <w:rPr>
          <w:color w:val="000000" w:themeColor="text1"/>
        </w:rPr>
      </w:pPr>
    </w:p>
    <w:p w14:paraId="2DB3262E" w14:textId="77777777" w:rsidR="00C46587" w:rsidRPr="0058432E" w:rsidRDefault="00C46587" w:rsidP="00982118">
      <w:pPr>
        <w:rPr>
          <w:color w:val="000000" w:themeColor="text1"/>
        </w:rPr>
      </w:pPr>
      <w:r w:rsidRPr="0058432E">
        <w:rPr>
          <w:color w:val="000000" w:themeColor="text1"/>
        </w:rPr>
        <w:t xml:space="preserve">Le traitement par Amsparity peut entraîner la formation d’anticorps auto-immuns. L’impact d’un traitement à long terme par adalimumab sur le développement de maladies auto-immunes est inconnu. Si un patient développe des symptômes </w:t>
      </w:r>
      <w:r w:rsidR="004D3743" w:rsidRPr="0058432E">
        <w:rPr>
          <w:color w:val="000000" w:themeColor="text1"/>
        </w:rPr>
        <w:t xml:space="preserve">suggérant </w:t>
      </w:r>
      <w:r w:rsidRPr="0058432E">
        <w:rPr>
          <w:color w:val="000000" w:themeColor="text1"/>
        </w:rPr>
        <w:t xml:space="preserve">un syndrome de type lupus à la suite d’un traitement par Amsparity et présente une réaction positive </w:t>
      </w:r>
      <w:r w:rsidR="004D3743" w:rsidRPr="0058432E">
        <w:rPr>
          <w:color w:val="000000" w:themeColor="text1"/>
        </w:rPr>
        <w:t xml:space="preserve">aux anticorps </w:t>
      </w:r>
      <w:r w:rsidRPr="0058432E">
        <w:rPr>
          <w:color w:val="000000" w:themeColor="text1"/>
        </w:rPr>
        <w:t>anti</w:t>
      </w:r>
      <w:r w:rsidRPr="0058432E">
        <w:rPr>
          <w:color w:val="000000" w:themeColor="text1"/>
        </w:rPr>
        <w:noBreakHyphen/>
        <w:t xml:space="preserve">ADN double brin, le traitement par Amsparity ne devra pas être poursuivi (voir rubrique 4.8). </w:t>
      </w:r>
    </w:p>
    <w:p w14:paraId="4CCC7E03" w14:textId="77777777" w:rsidR="00C46587" w:rsidRPr="0058432E" w:rsidRDefault="00C46587" w:rsidP="00982118">
      <w:pPr>
        <w:rPr>
          <w:color w:val="000000" w:themeColor="text1"/>
        </w:rPr>
      </w:pPr>
    </w:p>
    <w:p w14:paraId="5C0B27FB" w14:textId="77777777" w:rsidR="00C46587" w:rsidRPr="0058432E" w:rsidRDefault="00C46587" w:rsidP="00DC3A99">
      <w:pPr>
        <w:keepNext/>
        <w:rPr>
          <w:color w:val="000000" w:themeColor="text1"/>
          <w:u w:val="single"/>
        </w:rPr>
      </w:pPr>
      <w:r w:rsidRPr="0058432E">
        <w:rPr>
          <w:color w:val="000000" w:themeColor="text1"/>
          <w:u w:val="single"/>
        </w:rPr>
        <w:t>Administration simultanée de traitements de fond (DMARD</w:t>
      </w:r>
      <w:r w:rsidR="00FE50EF" w:rsidRPr="0058432E">
        <w:rPr>
          <w:color w:val="000000" w:themeColor="text1"/>
          <w:u w:val="single"/>
        </w:rPr>
        <w:t>s</w:t>
      </w:r>
      <w:r w:rsidRPr="0058432E">
        <w:rPr>
          <w:color w:val="000000" w:themeColor="text1"/>
          <w:u w:val="single"/>
        </w:rPr>
        <w:t xml:space="preserve">) biologiques ou </w:t>
      </w:r>
      <w:r w:rsidR="004D3743" w:rsidRPr="0058432E">
        <w:rPr>
          <w:color w:val="000000" w:themeColor="text1"/>
          <w:u w:val="single"/>
        </w:rPr>
        <w:t xml:space="preserve">antagonistes du </w:t>
      </w:r>
      <w:r w:rsidRPr="0058432E">
        <w:rPr>
          <w:color w:val="000000" w:themeColor="text1"/>
          <w:u w:val="single"/>
        </w:rPr>
        <w:t>TNF</w:t>
      </w:r>
    </w:p>
    <w:p w14:paraId="3309C1CB" w14:textId="77777777" w:rsidR="00C46587" w:rsidRPr="0058432E" w:rsidRDefault="00C46587" w:rsidP="00DC3A99">
      <w:pPr>
        <w:keepNext/>
        <w:rPr>
          <w:color w:val="000000" w:themeColor="text1"/>
        </w:rPr>
      </w:pPr>
    </w:p>
    <w:p w14:paraId="185C5B05" w14:textId="77777777" w:rsidR="00C46587" w:rsidRPr="0058432E" w:rsidRDefault="00C46587" w:rsidP="00982118">
      <w:pPr>
        <w:rPr>
          <w:color w:val="000000" w:themeColor="text1"/>
        </w:rPr>
      </w:pPr>
      <w:r w:rsidRPr="0058432E">
        <w:rPr>
          <w:color w:val="000000" w:themeColor="text1"/>
        </w:rPr>
        <w:t xml:space="preserve">Des infections graves ont été observées dans des études cliniques lors de l’administration simultanée d’anakinra et d’un autre </w:t>
      </w:r>
      <w:r w:rsidR="004D3743" w:rsidRPr="0058432E">
        <w:rPr>
          <w:color w:val="000000" w:themeColor="text1"/>
        </w:rPr>
        <w:t xml:space="preserve">antagoniste du </w:t>
      </w:r>
      <w:r w:rsidRPr="0058432E">
        <w:rPr>
          <w:color w:val="000000" w:themeColor="text1"/>
        </w:rPr>
        <w:t xml:space="preserve">TNF, l’étanercept, sans bénéfice clinique supplémentaire comparé à l’étanercept seul. En raison de la nature des </w:t>
      </w:r>
      <w:r w:rsidR="004D3743" w:rsidRPr="0058432E">
        <w:rPr>
          <w:color w:val="000000" w:themeColor="text1"/>
        </w:rPr>
        <w:t xml:space="preserve">événements </w:t>
      </w:r>
      <w:r w:rsidRPr="0058432E">
        <w:rPr>
          <w:color w:val="000000" w:themeColor="text1"/>
        </w:rPr>
        <w:t xml:space="preserve">indésirables observés avec le traitement par l’association étanercept et anakinra, des effets néfastes similaires peuvent aussi résulter de l’association d’anakinra et d’autres </w:t>
      </w:r>
      <w:r w:rsidR="004D3743" w:rsidRPr="0058432E">
        <w:rPr>
          <w:color w:val="000000" w:themeColor="text1"/>
        </w:rPr>
        <w:t xml:space="preserve">antagonistes du </w:t>
      </w:r>
      <w:r w:rsidRPr="0058432E">
        <w:rPr>
          <w:color w:val="000000" w:themeColor="text1"/>
        </w:rPr>
        <w:t xml:space="preserve">TNF. Par conséquent, l’association d’adalimumab et d’anakinra n’est pas recommandée (voir rubrique 4.5). </w:t>
      </w:r>
    </w:p>
    <w:p w14:paraId="2A1C933A" w14:textId="77777777" w:rsidR="00C46587" w:rsidRPr="0058432E" w:rsidRDefault="00C46587" w:rsidP="00982118">
      <w:pPr>
        <w:rPr>
          <w:color w:val="000000" w:themeColor="text1"/>
        </w:rPr>
      </w:pPr>
    </w:p>
    <w:p w14:paraId="2548EBB1" w14:textId="77777777" w:rsidR="00C46587" w:rsidRPr="0058432E" w:rsidRDefault="00C46587" w:rsidP="00982118">
      <w:pPr>
        <w:rPr>
          <w:color w:val="000000" w:themeColor="text1"/>
        </w:rPr>
      </w:pPr>
      <w:r w:rsidRPr="0058432E">
        <w:rPr>
          <w:color w:val="000000" w:themeColor="text1"/>
        </w:rPr>
        <w:t xml:space="preserve">L’administration concomitante d’adalimumab avec d’autres </w:t>
      </w:r>
      <w:r w:rsidR="003D045A" w:rsidRPr="0058432E">
        <w:rPr>
          <w:color w:val="000000" w:themeColor="text1"/>
        </w:rPr>
        <w:t>DMARDs</w:t>
      </w:r>
      <w:r w:rsidRPr="0058432E">
        <w:rPr>
          <w:color w:val="000000" w:themeColor="text1"/>
        </w:rPr>
        <w:t xml:space="preserve"> (par </w:t>
      </w:r>
      <w:r w:rsidR="001946D2" w:rsidRPr="0058432E">
        <w:rPr>
          <w:color w:val="000000" w:themeColor="text1"/>
        </w:rPr>
        <w:t>ex</w:t>
      </w:r>
      <w:r w:rsidR="000663D0" w:rsidRPr="0058432E">
        <w:rPr>
          <w:color w:val="000000" w:themeColor="text1"/>
        </w:rPr>
        <w:t>emple,</w:t>
      </w:r>
      <w:r w:rsidRPr="0058432E">
        <w:rPr>
          <w:color w:val="000000" w:themeColor="text1"/>
        </w:rPr>
        <w:t xml:space="preserve"> anakinra et abatacept) ou avec d’autres </w:t>
      </w:r>
      <w:r w:rsidR="00533435" w:rsidRPr="0058432E">
        <w:rPr>
          <w:color w:val="000000" w:themeColor="text1"/>
        </w:rPr>
        <w:t>antagoniste</w:t>
      </w:r>
      <w:r w:rsidR="004D3743" w:rsidRPr="0058432E">
        <w:rPr>
          <w:color w:val="000000" w:themeColor="text1"/>
        </w:rPr>
        <w:t>s</w:t>
      </w:r>
      <w:r w:rsidR="00533435" w:rsidRPr="0058432E">
        <w:rPr>
          <w:color w:val="000000" w:themeColor="text1"/>
        </w:rPr>
        <w:t xml:space="preserve"> du TNF</w:t>
      </w:r>
      <w:r w:rsidR="004D3743" w:rsidRPr="0058432E">
        <w:rPr>
          <w:color w:val="000000" w:themeColor="text1"/>
        </w:rPr>
        <w:t xml:space="preserve"> </w:t>
      </w:r>
      <w:r w:rsidRPr="0058432E">
        <w:rPr>
          <w:color w:val="000000" w:themeColor="text1"/>
        </w:rPr>
        <w:t xml:space="preserve">n’est pas recommandée en raison de l’augmentation possible du risque d’infections, y compris d’infections graves, et d’autres interactions pharmacologiques potentielles (voir rubrique 4.5). </w:t>
      </w:r>
    </w:p>
    <w:p w14:paraId="7986B40C" w14:textId="77777777" w:rsidR="00C46587" w:rsidRPr="0058432E" w:rsidRDefault="00C46587" w:rsidP="00982118">
      <w:pPr>
        <w:rPr>
          <w:color w:val="000000" w:themeColor="text1"/>
        </w:rPr>
      </w:pPr>
    </w:p>
    <w:p w14:paraId="3FB62CE4" w14:textId="77777777" w:rsidR="00C46587" w:rsidRPr="0058432E" w:rsidRDefault="00C46587" w:rsidP="00DC3A99">
      <w:pPr>
        <w:keepNext/>
        <w:rPr>
          <w:color w:val="000000" w:themeColor="text1"/>
          <w:u w:val="single"/>
        </w:rPr>
      </w:pPr>
      <w:r w:rsidRPr="0058432E">
        <w:rPr>
          <w:color w:val="000000" w:themeColor="text1"/>
          <w:u w:val="single"/>
        </w:rPr>
        <w:t>Chirurgie</w:t>
      </w:r>
    </w:p>
    <w:p w14:paraId="4AE4FC79" w14:textId="77777777" w:rsidR="00C46587" w:rsidRPr="0058432E" w:rsidRDefault="00C46587" w:rsidP="00DC3A99">
      <w:pPr>
        <w:keepNext/>
        <w:rPr>
          <w:color w:val="000000" w:themeColor="text1"/>
        </w:rPr>
      </w:pPr>
    </w:p>
    <w:p w14:paraId="4DB67909" w14:textId="77777777" w:rsidR="00C46587" w:rsidRPr="0058432E" w:rsidRDefault="00C46587" w:rsidP="00982118">
      <w:pPr>
        <w:rPr>
          <w:color w:val="000000" w:themeColor="text1"/>
        </w:rPr>
      </w:pPr>
      <w:r w:rsidRPr="0058432E">
        <w:rPr>
          <w:color w:val="000000" w:themeColor="text1"/>
        </w:rPr>
        <w:t>L’expérience concernant la tolérance au cours d’interventions chirurgicales chez les patients traités par adalimumab est limitée. La longue demi</w:t>
      </w:r>
      <w:r w:rsidRPr="0058432E">
        <w:rPr>
          <w:color w:val="000000" w:themeColor="text1"/>
        </w:rPr>
        <w:noBreakHyphen/>
        <w:t xml:space="preserve">vie de l’adalimumab doit être prise en compte si une intervention chirurgicale est prévue. Un patient traité par Amsparity nécessitant une intervention </w:t>
      </w:r>
      <w:r w:rsidRPr="0058432E">
        <w:rPr>
          <w:color w:val="000000" w:themeColor="text1"/>
        </w:rPr>
        <w:lastRenderedPageBreak/>
        <w:t xml:space="preserve">chirurgicale doit être attentivement surveillé afin de dépister des infections et des actions appropriées doivent être entreprises. L’expérience concernant la tolérance de l’adalimumab chez les patients opérés pour arthroplastie est limitée. </w:t>
      </w:r>
    </w:p>
    <w:p w14:paraId="6C4E2842" w14:textId="77777777" w:rsidR="00C46587" w:rsidRPr="0058432E" w:rsidRDefault="00C46587" w:rsidP="00982118">
      <w:pPr>
        <w:rPr>
          <w:color w:val="000000" w:themeColor="text1"/>
        </w:rPr>
      </w:pPr>
    </w:p>
    <w:p w14:paraId="0D6B4B97" w14:textId="77777777" w:rsidR="00C46587" w:rsidRPr="0058432E" w:rsidRDefault="00150D33" w:rsidP="00982118">
      <w:pPr>
        <w:keepNext/>
        <w:rPr>
          <w:color w:val="000000" w:themeColor="text1"/>
          <w:u w:val="single"/>
        </w:rPr>
      </w:pPr>
      <w:r w:rsidRPr="0058432E">
        <w:rPr>
          <w:color w:val="000000" w:themeColor="text1"/>
          <w:u w:val="single"/>
        </w:rPr>
        <w:t xml:space="preserve">Occlusion </w:t>
      </w:r>
      <w:proofErr w:type="gramStart"/>
      <w:r w:rsidRPr="0058432E">
        <w:rPr>
          <w:color w:val="000000" w:themeColor="text1"/>
          <w:u w:val="single"/>
        </w:rPr>
        <w:t>du grêle</w:t>
      </w:r>
      <w:proofErr w:type="gramEnd"/>
    </w:p>
    <w:p w14:paraId="683F8AA3" w14:textId="77777777" w:rsidR="00C46587" w:rsidRPr="0058432E" w:rsidRDefault="00C46587" w:rsidP="00982118">
      <w:pPr>
        <w:keepNext/>
        <w:rPr>
          <w:color w:val="000000" w:themeColor="text1"/>
        </w:rPr>
      </w:pPr>
    </w:p>
    <w:p w14:paraId="68B6848D" w14:textId="77777777" w:rsidR="00C46587" w:rsidRPr="0058432E" w:rsidRDefault="00C46587" w:rsidP="00982118">
      <w:pPr>
        <w:rPr>
          <w:color w:val="000000" w:themeColor="text1"/>
        </w:rPr>
      </w:pPr>
      <w:r w:rsidRPr="0058432E">
        <w:rPr>
          <w:color w:val="000000" w:themeColor="text1"/>
        </w:rPr>
        <w:t xml:space="preserve">Dans la maladie de Crohn, l’échec au traitement peut indiquer la présence de sténoses fibreuses fixes pouvant nécessiter un traitement chirurgical. Les données disponibles suggèrent que l’adalimumab n’aggrave pas ou ne provoque pas de sténoses. </w:t>
      </w:r>
    </w:p>
    <w:p w14:paraId="3D08004C" w14:textId="77777777" w:rsidR="00C46587" w:rsidRPr="0058432E" w:rsidRDefault="00C46587" w:rsidP="00982118">
      <w:pPr>
        <w:rPr>
          <w:color w:val="000000" w:themeColor="text1"/>
        </w:rPr>
      </w:pPr>
    </w:p>
    <w:p w14:paraId="77002CBD" w14:textId="77777777" w:rsidR="00C46587" w:rsidRPr="0058432E" w:rsidRDefault="00150D33" w:rsidP="00982118">
      <w:pPr>
        <w:keepNext/>
        <w:rPr>
          <w:color w:val="000000" w:themeColor="text1"/>
          <w:u w:val="single"/>
        </w:rPr>
      </w:pPr>
      <w:r w:rsidRPr="0058432E">
        <w:rPr>
          <w:color w:val="000000" w:themeColor="text1"/>
          <w:u w:val="single"/>
        </w:rPr>
        <w:t>Sujets âgés</w:t>
      </w:r>
    </w:p>
    <w:p w14:paraId="5CC1334A" w14:textId="77777777" w:rsidR="00C46587" w:rsidRPr="0058432E" w:rsidRDefault="00C46587" w:rsidP="00DC3A99">
      <w:pPr>
        <w:keepNext/>
        <w:rPr>
          <w:color w:val="000000" w:themeColor="text1"/>
        </w:rPr>
      </w:pPr>
    </w:p>
    <w:p w14:paraId="7AD9759F" w14:textId="77777777" w:rsidR="00C46587" w:rsidRPr="0058432E" w:rsidRDefault="00C46587" w:rsidP="00982118">
      <w:pPr>
        <w:rPr>
          <w:color w:val="000000" w:themeColor="text1"/>
        </w:rPr>
      </w:pPr>
      <w:r w:rsidRPr="0058432E">
        <w:rPr>
          <w:color w:val="000000" w:themeColor="text1"/>
        </w:rPr>
        <w:t xml:space="preserve">La fréquence des infections graves chez les sujets traités par adalimumab âgés de plus de 65 ans (3,7 %) est plus élevée que chez les patients de moins de 65 ans (1,5 %). Certains cas ont eu une issue fatale. Une attention particulière concernant le risque d’infection doit être apportée lors du traitement des sujets âgés. </w:t>
      </w:r>
    </w:p>
    <w:p w14:paraId="03824981" w14:textId="77777777" w:rsidR="00C46587" w:rsidRPr="0058432E" w:rsidRDefault="00C46587" w:rsidP="00982118">
      <w:pPr>
        <w:rPr>
          <w:color w:val="000000" w:themeColor="text1"/>
        </w:rPr>
      </w:pPr>
    </w:p>
    <w:p w14:paraId="384A8D57" w14:textId="77777777" w:rsidR="00C46587" w:rsidRPr="0058432E" w:rsidRDefault="00C46587" w:rsidP="00982118">
      <w:pPr>
        <w:keepNext/>
        <w:rPr>
          <w:color w:val="000000" w:themeColor="text1"/>
          <w:u w:val="single"/>
        </w:rPr>
      </w:pPr>
      <w:r w:rsidRPr="0058432E">
        <w:rPr>
          <w:color w:val="000000" w:themeColor="text1"/>
          <w:u w:val="single"/>
        </w:rPr>
        <w:t>Population pédiatrique</w:t>
      </w:r>
    </w:p>
    <w:p w14:paraId="1F1D1448" w14:textId="77777777" w:rsidR="00C46587" w:rsidRPr="0058432E" w:rsidRDefault="00C46587" w:rsidP="00982118">
      <w:pPr>
        <w:keepNext/>
        <w:rPr>
          <w:color w:val="000000" w:themeColor="text1"/>
        </w:rPr>
      </w:pPr>
    </w:p>
    <w:p w14:paraId="399FC12F" w14:textId="77777777" w:rsidR="00C46587" w:rsidRPr="0058432E" w:rsidRDefault="00C46587" w:rsidP="00982118">
      <w:pPr>
        <w:rPr>
          <w:color w:val="000000" w:themeColor="text1"/>
        </w:rPr>
      </w:pPr>
      <w:r w:rsidRPr="0058432E">
        <w:rPr>
          <w:color w:val="000000" w:themeColor="text1"/>
        </w:rPr>
        <w:t xml:space="preserve">Voir </w:t>
      </w:r>
      <w:r w:rsidR="00574E4B" w:rsidRPr="0058432E">
        <w:rPr>
          <w:color w:val="000000" w:themeColor="text1"/>
        </w:rPr>
        <w:t>v</w:t>
      </w:r>
      <w:r w:rsidRPr="0058432E">
        <w:rPr>
          <w:color w:val="000000" w:themeColor="text1"/>
        </w:rPr>
        <w:t xml:space="preserve">accinations ci-dessus. </w:t>
      </w:r>
    </w:p>
    <w:p w14:paraId="40C2F64D" w14:textId="77777777" w:rsidR="00CA2D0E" w:rsidRPr="0058432E" w:rsidRDefault="00CA2D0E" w:rsidP="00982118">
      <w:pPr>
        <w:rPr>
          <w:color w:val="000000" w:themeColor="text1"/>
          <w:u w:val="single"/>
        </w:rPr>
      </w:pPr>
    </w:p>
    <w:p w14:paraId="126FB3BA" w14:textId="77056C73" w:rsidR="00CA2D0E" w:rsidRPr="0058432E" w:rsidRDefault="00CA2D0E" w:rsidP="00DC3A99">
      <w:pPr>
        <w:keepNext/>
        <w:rPr>
          <w:color w:val="000000" w:themeColor="text1"/>
          <w:u w:val="single"/>
        </w:rPr>
      </w:pPr>
      <w:r w:rsidRPr="0058432E">
        <w:rPr>
          <w:color w:val="000000" w:themeColor="text1"/>
          <w:u w:val="single"/>
        </w:rPr>
        <w:t>Excipient</w:t>
      </w:r>
      <w:r w:rsidR="00C50EAF" w:rsidRPr="0058432E">
        <w:rPr>
          <w:color w:val="000000" w:themeColor="text1"/>
          <w:u w:val="single"/>
        </w:rPr>
        <w:t>s</w:t>
      </w:r>
      <w:r w:rsidR="00ED0152">
        <w:rPr>
          <w:color w:val="000000" w:themeColor="text1"/>
          <w:u w:val="single"/>
        </w:rPr>
        <w:t xml:space="preserve"> à effet notoire</w:t>
      </w:r>
    </w:p>
    <w:p w14:paraId="624EB28C" w14:textId="77777777" w:rsidR="00CA2D0E" w:rsidRPr="0058432E" w:rsidRDefault="00CA2D0E" w:rsidP="00DC3A99">
      <w:pPr>
        <w:keepNext/>
        <w:rPr>
          <w:color w:val="000000" w:themeColor="text1"/>
        </w:rPr>
      </w:pPr>
    </w:p>
    <w:p w14:paraId="36E2BE69" w14:textId="77777777" w:rsidR="00C50EAF" w:rsidRPr="0058432E" w:rsidRDefault="00C50EAF" w:rsidP="00C50EAF">
      <w:pPr>
        <w:rPr>
          <w:i/>
          <w:iCs/>
          <w:color w:val="000000" w:themeColor="text1"/>
        </w:rPr>
      </w:pPr>
      <w:r w:rsidRPr="0058432E">
        <w:rPr>
          <w:i/>
          <w:iCs/>
          <w:color w:val="000000" w:themeColor="text1"/>
        </w:rPr>
        <w:t>Polysorbate</w:t>
      </w:r>
    </w:p>
    <w:p w14:paraId="33AF8E7F" w14:textId="77777777" w:rsidR="00C50EAF" w:rsidRPr="0058432E" w:rsidRDefault="00C50EAF" w:rsidP="00C50EAF">
      <w:pPr>
        <w:rPr>
          <w:color w:val="000000" w:themeColor="text1"/>
        </w:rPr>
      </w:pPr>
    </w:p>
    <w:p w14:paraId="70FA7B7F" w14:textId="383664C7" w:rsidR="00C50EAF" w:rsidRPr="0058432E" w:rsidRDefault="00C50EAF" w:rsidP="00C50EAF">
      <w:pPr>
        <w:rPr>
          <w:color w:val="000000" w:themeColor="text1"/>
        </w:rPr>
      </w:pPr>
      <w:r w:rsidRPr="0058432E">
        <w:rPr>
          <w:color w:val="000000" w:themeColor="text1"/>
        </w:rPr>
        <w:t xml:space="preserve">Ce médicament contient du </w:t>
      </w:r>
      <w:proofErr w:type="spellStart"/>
      <w:r w:rsidRPr="0058432E">
        <w:rPr>
          <w:color w:val="000000" w:themeColor="text1"/>
        </w:rPr>
        <w:t>polysorbate</w:t>
      </w:r>
      <w:proofErr w:type="spellEnd"/>
      <w:r w:rsidRPr="0058432E">
        <w:rPr>
          <w:color w:val="000000" w:themeColor="text1"/>
        </w:rPr>
        <w:t> 80.</w:t>
      </w:r>
      <w:r w:rsidR="00DF5369">
        <w:rPr>
          <w:color w:val="000000" w:themeColor="text1"/>
        </w:rPr>
        <w:t xml:space="preserve"> </w:t>
      </w:r>
      <w:proofErr w:type="spellStart"/>
      <w:r w:rsidR="00DF5369" w:rsidRPr="0058432E">
        <w:rPr>
          <w:color w:val="000000" w:themeColor="text1"/>
        </w:rPr>
        <w:t>Amsparity</w:t>
      </w:r>
      <w:proofErr w:type="spellEnd"/>
      <w:r w:rsidR="00DF5369" w:rsidRPr="0058432E">
        <w:rPr>
          <w:color w:val="000000" w:themeColor="text1"/>
        </w:rPr>
        <w:t xml:space="preserve"> 40 mg, solution injectable contient 0,16 mg de </w:t>
      </w:r>
      <w:proofErr w:type="spellStart"/>
      <w:r w:rsidR="00DF5369" w:rsidRPr="0058432E">
        <w:rPr>
          <w:color w:val="000000" w:themeColor="text1"/>
        </w:rPr>
        <w:t>polysorbate</w:t>
      </w:r>
      <w:proofErr w:type="spellEnd"/>
      <w:r w:rsidR="00DF5369" w:rsidRPr="0058432E">
        <w:rPr>
          <w:color w:val="000000" w:themeColor="text1"/>
        </w:rPr>
        <w:t xml:space="preserve"> 80 par seringue préremplie unidose et par stylo prérempli unidose de 0,8 ml, équivalant à 0,2 mg/ml de </w:t>
      </w:r>
      <w:proofErr w:type="spellStart"/>
      <w:r w:rsidR="00DF5369" w:rsidRPr="0058432E">
        <w:rPr>
          <w:color w:val="000000" w:themeColor="text1"/>
        </w:rPr>
        <w:t>polysorbate</w:t>
      </w:r>
      <w:proofErr w:type="spellEnd"/>
      <w:r w:rsidR="00DF5369" w:rsidRPr="0058432E">
        <w:rPr>
          <w:color w:val="000000" w:themeColor="text1"/>
        </w:rPr>
        <w:t> 80.</w:t>
      </w:r>
      <w:r w:rsidRPr="0058432E">
        <w:rPr>
          <w:color w:val="000000" w:themeColor="text1"/>
        </w:rPr>
        <w:t xml:space="preserve"> Le polysorbate 80 peut provoquer des réactions </w:t>
      </w:r>
      <w:r w:rsidR="00321A0B" w:rsidRPr="0058432E">
        <w:rPr>
          <w:color w:val="000000" w:themeColor="text1"/>
        </w:rPr>
        <w:t>d’hypersensibilité</w:t>
      </w:r>
      <w:r w:rsidRPr="0058432E">
        <w:rPr>
          <w:color w:val="000000" w:themeColor="text1"/>
        </w:rPr>
        <w:t>.</w:t>
      </w:r>
    </w:p>
    <w:p w14:paraId="54609D6A" w14:textId="77777777" w:rsidR="00C50EAF" w:rsidRPr="0058432E" w:rsidRDefault="00C50EAF" w:rsidP="00C50EAF">
      <w:pPr>
        <w:rPr>
          <w:color w:val="000000" w:themeColor="text1"/>
        </w:rPr>
      </w:pPr>
    </w:p>
    <w:p w14:paraId="1983C31A" w14:textId="77777777" w:rsidR="00C50EAF" w:rsidRPr="0058432E" w:rsidRDefault="00C50EAF" w:rsidP="00C50EAF">
      <w:pPr>
        <w:rPr>
          <w:i/>
          <w:iCs/>
          <w:color w:val="000000" w:themeColor="text1"/>
        </w:rPr>
      </w:pPr>
      <w:r w:rsidRPr="0058432E">
        <w:rPr>
          <w:i/>
          <w:iCs/>
          <w:color w:val="000000" w:themeColor="text1"/>
        </w:rPr>
        <w:t>Sodium</w:t>
      </w:r>
    </w:p>
    <w:p w14:paraId="24377CD9" w14:textId="77777777" w:rsidR="00C50EAF" w:rsidRPr="0058432E" w:rsidRDefault="00C50EAF" w:rsidP="00982118">
      <w:pPr>
        <w:rPr>
          <w:color w:val="000000" w:themeColor="text1"/>
        </w:rPr>
      </w:pPr>
    </w:p>
    <w:p w14:paraId="002485BF" w14:textId="7C92BBB1" w:rsidR="00C46587" w:rsidRPr="0058432E" w:rsidRDefault="00CA2D0E" w:rsidP="00982118">
      <w:pPr>
        <w:rPr>
          <w:color w:val="000000" w:themeColor="text1"/>
        </w:rPr>
      </w:pPr>
      <w:r w:rsidRPr="0058432E">
        <w:rPr>
          <w:color w:val="000000" w:themeColor="text1"/>
        </w:rPr>
        <w:t>Ce médicament contient moins de 1 mmol (23 mg) de sodium par dose de 0,8 ml, c.-à-d. qu’il est essentiellement « sans sodium ».</w:t>
      </w:r>
    </w:p>
    <w:p w14:paraId="142B9E8C" w14:textId="77777777" w:rsidR="00CA2D0E" w:rsidRPr="0058432E" w:rsidRDefault="00CA2D0E" w:rsidP="00982118">
      <w:pPr>
        <w:rPr>
          <w:color w:val="000000" w:themeColor="text1"/>
        </w:rPr>
      </w:pPr>
    </w:p>
    <w:p w14:paraId="686E1023" w14:textId="77777777" w:rsidR="00C46587" w:rsidRPr="0058432E" w:rsidRDefault="00C46587" w:rsidP="00DC3A99">
      <w:pPr>
        <w:keepNext/>
        <w:tabs>
          <w:tab w:val="left" w:pos="562"/>
        </w:tabs>
        <w:rPr>
          <w:b/>
          <w:color w:val="000000" w:themeColor="text1"/>
        </w:rPr>
      </w:pPr>
      <w:r w:rsidRPr="0058432E">
        <w:rPr>
          <w:b/>
          <w:color w:val="000000" w:themeColor="text1"/>
        </w:rPr>
        <w:t>4.5</w:t>
      </w:r>
      <w:r w:rsidRPr="0058432E">
        <w:rPr>
          <w:b/>
          <w:color w:val="000000" w:themeColor="text1"/>
        </w:rPr>
        <w:tab/>
        <w:t xml:space="preserve">Interactions avec d’autres médicaments et autres formes d’interactions </w:t>
      </w:r>
    </w:p>
    <w:p w14:paraId="616E0E86" w14:textId="77777777" w:rsidR="00C46587" w:rsidRPr="0058432E" w:rsidRDefault="00C46587" w:rsidP="00DC3A99">
      <w:pPr>
        <w:keepNext/>
        <w:rPr>
          <w:color w:val="000000" w:themeColor="text1"/>
        </w:rPr>
      </w:pPr>
    </w:p>
    <w:p w14:paraId="563007BD" w14:textId="77777777" w:rsidR="00C46587" w:rsidRPr="0058432E" w:rsidRDefault="005A4709" w:rsidP="00982118">
      <w:pPr>
        <w:rPr>
          <w:color w:val="000000" w:themeColor="text1"/>
        </w:rPr>
      </w:pPr>
      <w:r w:rsidRPr="0058432E">
        <w:rPr>
          <w:color w:val="000000" w:themeColor="text1"/>
        </w:rPr>
        <w:t xml:space="preserve">L’adalimumab a été étudié chez des patients atteints de polyarthrite rhumatoïde, d’arthrite juvénile idiopathique polyarticulaire et de rhumatisme psoriasique prenant l’adalimumab en monothérapie et chez ceux prenant simultanément du méthotrexate. La formation d’anticorps était plus faible lorsque l’adalimumab était administré en même temps que du méthotrexate par comparaison avec son utilisation en monothérapie. L’administration d’adalimumab sans méthotrexate a entraîné une augmentation de la formation d’anticorps, une augmentation de la clairance et une réduction de l’efficacité de l’adalimumab (voir rubrique 5.1). </w:t>
      </w:r>
    </w:p>
    <w:p w14:paraId="0BA5CE6E" w14:textId="77777777" w:rsidR="00C46587" w:rsidRPr="0058432E" w:rsidRDefault="00C46587" w:rsidP="00982118">
      <w:pPr>
        <w:rPr>
          <w:color w:val="000000" w:themeColor="text1"/>
        </w:rPr>
      </w:pPr>
    </w:p>
    <w:p w14:paraId="72ED1398" w14:textId="77777777" w:rsidR="00C46587" w:rsidRPr="0058432E" w:rsidRDefault="00C46587" w:rsidP="00982118">
      <w:pPr>
        <w:rPr>
          <w:color w:val="000000" w:themeColor="text1"/>
        </w:rPr>
      </w:pPr>
      <w:r w:rsidRPr="0058432E">
        <w:rPr>
          <w:color w:val="000000" w:themeColor="text1"/>
        </w:rPr>
        <w:t>L’association d’Amsparity et d’anakinra n’est pas recommandée (voir rubrique 4.4 « Administration simultanée de traitements de fond (DMARD</w:t>
      </w:r>
      <w:r w:rsidR="00FE50EF" w:rsidRPr="0058432E">
        <w:rPr>
          <w:color w:val="000000" w:themeColor="text1"/>
        </w:rPr>
        <w:t>s</w:t>
      </w:r>
      <w:r w:rsidRPr="0058432E">
        <w:rPr>
          <w:color w:val="000000" w:themeColor="text1"/>
        </w:rPr>
        <w:t xml:space="preserve">) biologiques </w:t>
      </w:r>
      <w:r w:rsidR="00FE50EF" w:rsidRPr="0058432E">
        <w:rPr>
          <w:color w:val="000000" w:themeColor="text1"/>
        </w:rPr>
        <w:t xml:space="preserve">ou antagonistes du </w:t>
      </w:r>
      <w:r w:rsidRPr="0058432E">
        <w:rPr>
          <w:color w:val="000000" w:themeColor="text1"/>
        </w:rPr>
        <w:t xml:space="preserve">TNF »). </w:t>
      </w:r>
    </w:p>
    <w:p w14:paraId="0C15B2EC" w14:textId="77777777" w:rsidR="00C46587" w:rsidRPr="0058432E" w:rsidRDefault="00C46587" w:rsidP="00982118">
      <w:pPr>
        <w:rPr>
          <w:color w:val="000000" w:themeColor="text1"/>
        </w:rPr>
      </w:pPr>
    </w:p>
    <w:p w14:paraId="377DAF39" w14:textId="77777777" w:rsidR="00C46587" w:rsidRPr="0058432E" w:rsidRDefault="00C46587" w:rsidP="00982118">
      <w:pPr>
        <w:rPr>
          <w:color w:val="000000" w:themeColor="text1"/>
        </w:rPr>
      </w:pPr>
      <w:r w:rsidRPr="0058432E">
        <w:rPr>
          <w:color w:val="000000" w:themeColor="text1"/>
        </w:rPr>
        <w:t>L’association d’Amsparity et d’abatacept n’est pas recommandée (voir rubrique 4.4 « Administration simultanée de traitements de fond (DMARD</w:t>
      </w:r>
      <w:r w:rsidR="00FE50EF" w:rsidRPr="0058432E">
        <w:rPr>
          <w:color w:val="000000" w:themeColor="text1"/>
        </w:rPr>
        <w:t>s</w:t>
      </w:r>
      <w:r w:rsidRPr="0058432E">
        <w:rPr>
          <w:color w:val="000000" w:themeColor="text1"/>
        </w:rPr>
        <w:t xml:space="preserve">) biologiques </w:t>
      </w:r>
      <w:r w:rsidR="00FE50EF" w:rsidRPr="0058432E">
        <w:rPr>
          <w:color w:val="000000" w:themeColor="text1"/>
        </w:rPr>
        <w:t xml:space="preserve">ou antagonistes du </w:t>
      </w:r>
      <w:r w:rsidRPr="0058432E">
        <w:rPr>
          <w:color w:val="000000" w:themeColor="text1"/>
        </w:rPr>
        <w:t xml:space="preserve">TNF »). </w:t>
      </w:r>
    </w:p>
    <w:p w14:paraId="6BB7ECFB" w14:textId="77777777" w:rsidR="00C46587" w:rsidRPr="0058432E" w:rsidRDefault="00C46587" w:rsidP="00982118">
      <w:pPr>
        <w:rPr>
          <w:color w:val="000000" w:themeColor="text1"/>
        </w:rPr>
      </w:pPr>
    </w:p>
    <w:p w14:paraId="0A0B39C5" w14:textId="77777777" w:rsidR="00C46587" w:rsidRPr="0058432E" w:rsidRDefault="00C46587" w:rsidP="00DC3A99">
      <w:pPr>
        <w:keepNext/>
        <w:tabs>
          <w:tab w:val="left" w:pos="562"/>
        </w:tabs>
        <w:rPr>
          <w:b/>
          <w:color w:val="000000" w:themeColor="text1"/>
        </w:rPr>
      </w:pPr>
      <w:r w:rsidRPr="0058432E">
        <w:rPr>
          <w:b/>
          <w:color w:val="000000" w:themeColor="text1"/>
        </w:rPr>
        <w:t>4.6</w:t>
      </w:r>
      <w:r w:rsidRPr="0058432E">
        <w:rPr>
          <w:b/>
          <w:color w:val="000000" w:themeColor="text1"/>
        </w:rPr>
        <w:tab/>
        <w:t xml:space="preserve">Fertilité, grossesse et allaitement </w:t>
      </w:r>
    </w:p>
    <w:p w14:paraId="6BB3F349" w14:textId="77777777" w:rsidR="00C46587" w:rsidRPr="0058432E" w:rsidRDefault="00C46587" w:rsidP="00DC3A99">
      <w:pPr>
        <w:keepNext/>
        <w:rPr>
          <w:color w:val="000000" w:themeColor="text1"/>
        </w:rPr>
      </w:pPr>
    </w:p>
    <w:p w14:paraId="7189249D" w14:textId="77777777" w:rsidR="00065271" w:rsidRPr="0058432E" w:rsidRDefault="00065271" w:rsidP="00DC3A99">
      <w:pPr>
        <w:keepNext/>
        <w:rPr>
          <w:color w:val="000000" w:themeColor="text1"/>
          <w:u w:val="single"/>
        </w:rPr>
      </w:pPr>
      <w:r w:rsidRPr="0058432E">
        <w:rPr>
          <w:color w:val="000000" w:themeColor="text1"/>
          <w:u w:val="single"/>
        </w:rPr>
        <w:t>Femmes en âge de procréer</w:t>
      </w:r>
    </w:p>
    <w:p w14:paraId="354E86DC" w14:textId="77777777" w:rsidR="00065271" w:rsidRPr="0058432E" w:rsidRDefault="00065271" w:rsidP="00DC3A99">
      <w:pPr>
        <w:keepNext/>
        <w:rPr>
          <w:color w:val="000000" w:themeColor="text1"/>
        </w:rPr>
      </w:pPr>
    </w:p>
    <w:p w14:paraId="20986816" w14:textId="77777777" w:rsidR="00065271" w:rsidRPr="0058432E" w:rsidRDefault="00065271" w:rsidP="00982118">
      <w:pPr>
        <w:autoSpaceDE w:val="0"/>
        <w:autoSpaceDN w:val="0"/>
        <w:adjustRightInd w:val="0"/>
        <w:rPr>
          <w:color w:val="000000" w:themeColor="text1"/>
        </w:rPr>
      </w:pPr>
      <w:r w:rsidRPr="0058432E">
        <w:rPr>
          <w:color w:val="000000" w:themeColor="text1"/>
        </w:rPr>
        <w:t>Les femmes en âge de procréer doivent envisager l’utilisation d’une contraception efficace pendant le traitement par Amsparity et la poursuivre pendant cinq mois au moins après la dernière administration d’Amsparity.</w:t>
      </w:r>
    </w:p>
    <w:p w14:paraId="11DDD662" w14:textId="77777777" w:rsidR="00065271" w:rsidRPr="0058432E" w:rsidRDefault="00065271" w:rsidP="00982118">
      <w:pPr>
        <w:rPr>
          <w:color w:val="000000" w:themeColor="text1"/>
        </w:rPr>
      </w:pPr>
    </w:p>
    <w:p w14:paraId="06761E89" w14:textId="77777777" w:rsidR="00065271" w:rsidRPr="0058432E" w:rsidRDefault="00065271" w:rsidP="00DC3A99">
      <w:pPr>
        <w:keepNext/>
        <w:rPr>
          <w:color w:val="000000" w:themeColor="text1"/>
          <w:u w:val="single"/>
        </w:rPr>
      </w:pPr>
      <w:r w:rsidRPr="0058432E">
        <w:rPr>
          <w:color w:val="000000" w:themeColor="text1"/>
          <w:u w:val="single"/>
        </w:rPr>
        <w:t>Grossesse</w:t>
      </w:r>
    </w:p>
    <w:p w14:paraId="7C7E1255" w14:textId="77777777" w:rsidR="00065271" w:rsidRPr="0058432E" w:rsidRDefault="00065271" w:rsidP="00DC3A99">
      <w:pPr>
        <w:keepNext/>
        <w:rPr>
          <w:color w:val="000000" w:themeColor="text1"/>
        </w:rPr>
      </w:pPr>
    </w:p>
    <w:p w14:paraId="0B92394C" w14:textId="77777777" w:rsidR="00065271" w:rsidRPr="0058432E" w:rsidRDefault="00065271" w:rsidP="00982118">
      <w:pPr>
        <w:autoSpaceDE w:val="0"/>
        <w:autoSpaceDN w:val="0"/>
        <w:adjustRightInd w:val="0"/>
        <w:rPr>
          <w:color w:val="000000" w:themeColor="text1"/>
        </w:rPr>
      </w:pPr>
      <w:r w:rsidRPr="0058432E">
        <w:rPr>
          <w:color w:val="000000" w:themeColor="text1"/>
        </w:rPr>
        <w:t>Un grand nombre (environ 2 100) de grossesses exposées à l’adalimumab dont les données ont été recueillies prospectivement, aboutissant à une naissance vivante avec une évolution à terme connue, avec notamment plus de 1 500 grossesses exposées à l’adalimumab au cours du premier trimestre, ne révèle aucune augmentation du taux de malformations chez le nouveau-né.</w:t>
      </w:r>
    </w:p>
    <w:p w14:paraId="03ACDA2D" w14:textId="77777777" w:rsidR="00065271" w:rsidRPr="0058432E" w:rsidRDefault="00065271" w:rsidP="00982118">
      <w:pPr>
        <w:autoSpaceDE w:val="0"/>
        <w:autoSpaceDN w:val="0"/>
        <w:adjustRightInd w:val="0"/>
        <w:rPr>
          <w:color w:val="000000" w:themeColor="text1"/>
        </w:rPr>
      </w:pPr>
    </w:p>
    <w:p w14:paraId="193AA15A" w14:textId="77777777" w:rsidR="00065271" w:rsidRPr="0058432E" w:rsidRDefault="00065271" w:rsidP="00982118">
      <w:pPr>
        <w:autoSpaceDE w:val="0"/>
        <w:autoSpaceDN w:val="0"/>
        <w:adjustRightInd w:val="0"/>
        <w:rPr>
          <w:color w:val="000000" w:themeColor="text1"/>
        </w:rPr>
      </w:pPr>
      <w:r w:rsidRPr="0058432E">
        <w:rPr>
          <w:color w:val="000000" w:themeColor="text1"/>
        </w:rPr>
        <w:t xml:space="preserve">Au cours d’une étude de cohorte prospective, 257 femmes présentant une polyarthrite rhumatoïde (PR) ou une maladie de Crohn (MC) et traitées </w:t>
      </w:r>
      <w:r w:rsidR="008E7545" w:rsidRPr="0058432E">
        <w:rPr>
          <w:color w:val="000000" w:themeColor="text1"/>
        </w:rPr>
        <w:t>par adalimumab</w:t>
      </w:r>
      <w:r w:rsidRPr="0058432E">
        <w:rPr>
          <w:color w:val="000000" w:themeColor="text1"/>
        </w:rPr>
        <w:t xml:space="preserve"> au moins pendant le premier trimestre et 120 femmes présentant une PR ou une MC non traitées </w:t>
      </w:r>
      <w:r w:rsidR="008E7545" w:rsidRPr="0058432E">
        <w:rPr>
          <w:color w:val="000000" w:themeColor="text1"/>
        </w:rPr>
        <w:t>par adalimumab</w:t>
      </w:r>
      <w:r w:rsidRPr="0058432E">
        <w:rPr>
          <w:color w:val="000000" w:themeColor="text1"/>
        </w:rPr>
        <w:t xml:space="preserve"> ont été incluses. La prévalence à la naissance des anomalies congénitales majeures constituait le critère d’évaluation principal. Le taux de grossesses aboutissant à au moins un nouveau-né en vie présentant une anomalie congénitale majeure était de 6/69 (8,7 %) chez les femmes traitées </w:t>
      </w:r>
      <w:r w:rsidR="008E7545" w:rsidRPr="0058432E">
        <w:rPr>
          <w:color w:val="000000" w:themeColor="text1"/>
        </w:rPr>
        <w:t>par adalimumab</w:t>
      </w:r>
      <w:r w:rsidRPr="0058432E">
        <w:rPr>
          <w:color w:val="000000" w:themeColor="text1"/>
        </w:rPr>
        <w:t xml:space="preserve"> présentant une PR et de 5/74 (6,8 %) chez les femmes non traitées présentant une PR (OR non ajusté 1,31, IC à 95 % 0,38</w:t>
      </w:r>
      <w:r w:rsidR="002A7B44" w:rsidRPr="0058432E">
        <w:rPr>
          <w:color w:val="000000" w:themeColor="text1"/>
        </w:rPr>
        <w:t> – </w:t>
      </w:r>
      <w:r w:rsidRPr="0058432E">
        <w:rPr>
          <w:color w:val="000000" w:themeColor="text1"/>
        </w:rPr>
        <w:t xml:space="preserve">4,52), et de 16/152 (10,5 %) chez les femmes traitées </w:t>
      </w:r>
      <w:r w:rsidR="008E7545" w:rsidRPr="0058432E">
        <w:rPr>
          <w:color w:val="000000" w:themeColor="text1"/>
        </w:rPr>
        <w:t>par adalimumab</w:t>
      </w:r>
      <w:r w:rsidRPr="0058432E">
        <w:rPr>
          <w:color w:val="000000" w:themeColor="text1"/>
        </w:rPr>
        <w:t xml:space="preserve"> présentant une MC et de 3/32 (9,4 %) chez les femmes non traitées présentant une MC (OR non ajusté 1,14, IC à 95 % 0,31</w:t>
      </w:r>
      <w:r w:rsidR="002A7B44" w:rsidRPr="0058432E">
        <w:rPr>
          <w:color w:val="000000" w:themeColor="text1"/>
        </w:rPr>
        <w:t> – </w:t>
      </w:r>
      <w:r w:rsidRPr="0058432E">
        <w:rPr>
          <w:color w:val="000000" w:themeColor="text1"/>
        </w:rPr>
        <w:t>4,16). L’OR ajusté (compte tenu des différences initiales) était de 1,10 (IC à 95 % 0,45</w:t>
      </w:r>
      <w:r w:rsidR="002A7B44" w:rsidRPr="0058432E">
        <w:rPr>
          <w:color w:val="000000" w:themeColor="text1"/>
        </w:rPr>
        <w:t> – </w:t>
      </w:r>
      <w:r w:rsidRPr="0058432E">
        <w:rPr>
          <w:color w:val="000000" w:themeColor="text1"/>
        </w:rPr>
        <w:t xml:space="preserve">2,73) pour les PR et MC combinées. Aucune différence </w:t>
      </w:r>
      <w:r w:rsidR="00E1462A" w:rsidRPr="0058432E">
        <w:rPr>
          <w:color w:val="000000" w:themeColor="text1"/>
        </w:rPr>
        <w:t xml:space="preserve">notable </w:t>
      </w:r>
      <w:r w:rsidRPr="0058432E">
        <w:rPr>
          <w:color w:val="000000" w:themeColor="text1"/>
        </w:rPr>
        <w:t xml:space="preserve">n’a été rapportée entre les femmes traitées </w:t>
      </w:r>
      <w:r w:rsidR="008E7545" w:rsidRPr="0058432E">
        <w:rPr>
          <w:color w:val="000000" w:themeColor="text1"/>
        </w:rPr>
        <w:t>par adalimumab</w:t>
      </w:r>
      <w:r w:rsidRPr="0058432E">
        <w:rPr>
          <w:color w:val="000000" w:themeColor="text1"/>
        </w:rPr>
        <w:t xml:space="preserve"> et les femmes non traitées pour les critères d’évaluation secondaires d’avortements spontanés, d’anomalies congénitales mineures, d’accouchement prématuré, de taille à la naissance et d’infections graves ou opportunistes</w:t>
      </w:r>
      <w:r w:rsidR="00E31D60" w:rsidRPr="0058432E">
        <w:rPr>
          <w:color w:val="000000" w:themeColor="text1"/>
        </w:rPr>
        <w:t>, et a</w:t>
      </w:r>
      <w:r w:rsidR="00FA433F" w:rsidRPr="0058432E">
        <w:rPr>
          <w:color w:val="000000" w:themeColor="text1"/>
        </w:rPr>
        <w:t>ucune</w:t>
      </w:r>
      <w:r w:rsidRPr="0058432E">
        <w:rPr>
          <w:color w:val="000000" w:themeColor="text1"/>
        </w:rPr>
        <w:t xml:space="preserve"> mortinatalité ou </w:t>
      </w:r>
      <w:r w:rsidR="00FA433F" w:rsidRPr="0058432E">
        <w:rPr>
          <w:color w:val="000000" w:themeColor="text1"/>
        </w:rPr>
        <w:t xml:space="preserve">tumeur </w:t>
      </w:r>
      <w:r w:rsidRPr="0058432E">
        <w:rPr>
          <w:color w:val="000000" w:themeColor="text1"/>
        </w:rPr>
        <w:t>malig</w:t>
      </w:r>
      <w:r w:rsidR="000A042E" w:rsidRPr="0058432E">
        <w:rPr>
          <w:color w:val="000000" w:themeColor="text1"/>
        </w:rPr>
        <w:t>n</w:t>
      </w:r>
      <w:r w:rsidR="00FA433F" w:rsidRPr="0058432E">
        <w:rPr>
          <w:color w:val="000000" w:themeColor="text1"/>
        </w:rPr>
        <w:t>e n’a été rapportée</w:t>
      </w:r>
      <w:r w:rsidRPr="0058432E">
        <w:rPr>
          <w:color w:val="000000" w:themeColor="text1"/>
        </w:rPr>
        <w:t>. L’interprétation des données peut être affectée en raison des limites méthodologiques de l’étude, notamment la petite taille d’échantillon et le plan d’étude non randomisé.</w:t>
      </w:r>
    </w:p>
    <w:p w14:paraId="794CCB97" w14:textId="77777777" w:rsidR="00065271" w:rsidRPr="0058432E" w:rsidRDefault="00065271" w:rsidP="00982118">
      <w:pPr>
        <w:autoSpaceDE w:val="0"/>
        <w:autoSpaceDN w:val="0"/>
        <w:adjustRightInd w:val="0"/>
        <w:rPr>
          <w:color w:val="000000" w:themeColor="text1"/>
        </w:rPr>
      </w:pPr>
    </w:p>
    <w:p w14:paraId="122B4E27" w14:textId="77777777" w:rsidR="00065271" w:rsidRPr="0058432E" w:rsidRDefault="00065271" w:rsidP="00982118">
      <w:pPr>
        <w:autoSpaceDE w:val="0"/>
        <w:autoSpaceDN w:val="0"/>
        <w:adjustRightInd w:val="0"/>
        <w:rPr>
          <w:color w:val="000000" w:themeColor="text1"/>
        </w:rPr>
      </w:pPr>
      <w:r w:rsidRPr="0058432E">
        <w:rPr>
          <w:color w:val="000000" w:themeColor="text1"/>
        </w:rPr>
        <w:t>Dans une étude de toxicité sur le développement réalisée chez des singes, il n’y a eu aucun signe évocateur d’une éventuelle toxicité maternelle, d’</w:t>
      </w:r>
      <w:r w:rsidR="00FA433F" w:rsidRPr="0058432E">
        <w:rPr>
          <w:color w:val="000000" w:themeColor="text1"/>
        </w:rPr>
        <w:t xml:space="preserve">une </w:t>
      </w:r>
      <w:r w:rsidRPr="0058432E">
        <w:rPr>
          <w:color w:val="000000" w:themeColor="text1"/>
        </w:rPr>
        <w:t>embryo-toxicité ou de potentiel tératogène. On ne dispose pas de données précliniques sur la toxicité post-natale de l’adalimumab (voir rubrique 5.3).</w:t>
      </w:r>
    </w:p>
    <w:p w14:paraId="2261F008" w14:textId="77777777" w:rsidR="00065271" w:rsidRPr="0058432E" w:rsidRDefault="00065271" w:rsidP="00982118">
      <w:pPr>
        <w:rPr>
          <w:color w:val="000000" w:themeColor="text1"/>
        </w:rPr>
      </w:pPr>
    </w:p>
    <w:p w14:paraId="22422FC9" w14:textId="77777777" w:rsidR="00065271" w:rsidRPr="0058432E" w:rsidRDefault="00065271" w:rsidP="00982118">
      <w:pPr>
        <w:autoSpaceDE w:val="0"/>
        <w:autoSpaceDN w:val="0"/>
        <w:adjustRightInd w:val="0"/>
        <w:rPr>
          <w:color w:val="000000" w:themeColor="text1"/>
        </w:rPr>
      </w:pPr>
      <w:r w:rsidRPr="0058432E">
        <w:rPr>
          <w:color w:val="000000" w:themeColor="text1"/>
        </w:rPr>
        <w:t>En raison de son effet inhibiteur sur le TNFα, l’adalimumab administré pendant la grossesse pourrait affecter les réponses immunitaires normales du nouveau-né. L’adalimumab doit être utilisé pendant la grossesse seulement si nécessaire.</w:t>
      </w:r>
    </w:p>
    <w:p w14:paraId="602FF36E" w14:textId="77777777" w:rsidR="00065271" w:rsidRPr="0058432E" w:rsidRDefault="00065271" w:rsidP="00982118">
      <w:pPr>
        <w:autoSpaceDE w:val="0"/>
        <w:autoSpaceDN w:val="0"/>
        <w:adjustRightInd w:val="0"/>
        <w:rPr>
          <w:color w:val="000000" w:themeColor="text1"/>
        </w:rPr>
      </w:pPr>
    </w:p>
    <w:p w14:paraId="2A9AB2C1" w14:textId="77777777" w:rsidR="00065271" w:rsidRPr="0058432E" w:rsidRDefault="00065271" w:rsidP="00982118">
      <w:pPr>
        <w:autoSpaceDE w:val="0"/>
        <w:autoSpaceDN w:val="0"/>
        <w:adjustRightInd w:val="0"/>
        <w:rPr>
          <w:color w:val="000000" w:themeColor="text1"/>
        </w:rPr>
      </w:pPr>
      <w:r w:rsidRPr="0058432E">
        <w:rPr>
          <w:color w:val="000000" w:themeColor="text1"/>
        </w:rPr>
        <w:t xml:space="preserve">Chez les femmes traitées par adalimumab durant leur grossesse, l’adalimumab peut traverser le placenta et passer dans le sang de leur enfant. En conséquence, ces enfants peuvent avoir un risque accru d’infections. L’administration de vaccins vivants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vaccin BCG) à des </w:t>
      </w:r>
      <w:r w:rsidR="00432F58" w:rsidRPr="0058432E">
        <w:rPr>
          <w:color w:val="000000" w:themeColor="text1"/>
        </w:rPr>
        <w:t>enfants</w:t>
      </w:r>
      <w:r w:rsidR="008F50C9" w:rsidRPr="0058432E">
        <w:rPr>
          <w:color w:val="000000" w:themeColor="text1"/>
        </w:rPr>
        <w:t xml:space="preserve"> </w:t>
      </w:r>
      <w:r w:rsidRPr="0058432E">
        <w:rPr>
          <w:color w:val="000000" w:themeColor="text1"/>
        </w:rPr>
        <w:t xml:space="preserve">qui ont été exposés à l’adalimumab </w:t>
      </w:r>
      <w:r w:rsidRPr="0058432E">
        <w:rPr>
          <w:i/>
          <w:iCs/>
          <w:color w:val="000000" w:themeColor="text1"/>
        </w:rPr>
        <w:t>in utero</w:t>
      </w:r>
      <w:r w:rsidRPr="0058432E">
        <w:rPr>
          <w:color w:val="000000" w:themeColor="text1"/>
        </w:rPr>
        <w:t xml:space="preserve"> n’est pas recommandée pendant les 5 mois suivant la dernière injection </w:t>
      </w:r>
      <w:r w:rsidR="00FA433F" w:rsidRPr="0058432E">
        <w:rPr>
          <w:color w:val="000000" w:themeColor="text1"/>
        </w:rPr>
        <w:t xml:space="preserve">d’adalimumab chez </w:t>
      </w:r>
      <w:r w:rsidRPr="0058432E">
        <w:rPr>
          <w:color w:val="000000" w:themeColor="text1"/>
        </w:rPr>
        <w:t xml:space="preserve">la mère </w:t>
      </w:r>
      <w:r w:rsidR="00FA433F" w:rsidRPr="0058432E">
        <w:rPr>
          <w:color w:val="000000" w:themeColor="text1"/>
        </w:rPr>
        <w:t xml:space="preserve">pendant </w:t>
      </w:r>
      <w:r w:rsidRPr="0058432E">
        <w:rPr>
          <w:color w:val="000000" w:themeColor="text1"/>
        </w:rPr>
        <w:t>la grossesse.</w:t>
      </w:r>
    </w:p>
    <w:p w14:paraId="0BC87041" w14:textId="77777777" w:rsidR="00065271" w:rsidRPr="0058432E" w:rsidRDefault="00065271" w:rsidP="00982118">
      <w:pPr>
        <w:autoSpaceDE w:val="0"/>
        <w:autoSpaceDN w:val="0"/>
        <w:adjustRightInd w:val="0"/>
        <w:rPr>
          <w:color w:val="000000" w:themeColor="text1"/>
        </w:rPr>
      </w:pPr>
    </w:p>
    <w:p w14:paraId="238734CC" w14:textId="77777777" w:rsidR="00065271" w:rsidRPr="0058432E" w:rsidRDefault="00065271" w:rsidP="00DC3A99">
      <w:pPr>
        <w:keepNext/>
        <w:rPr>
          <w:color w:val="000000" w:themeColor="text1"/>
          <w:u w:val="single"/>
        </w:rPr>
      </w:pPr>
      <w:r w:rsidRPr="0058432E">
        <w:rPr>
          <w:color w:val="000000" w:themeColor="text1"/>
          <w:u w:val="single"/>
        </w:rPr>
        <w:t>Allaitement</w:t>
      </w:r>
    </w:p>
    <w:p w14:paraId="15013F04" w14:textId="77777777" w:rsidR="00065271" w:rsidRPr="0058432E" w:rsidRDefault="00065271" w:rsidP="00DC3A99">
      <w:pPr>
        <w:keepNext/>
        <w:rPr>
          <w:color w:val="000000" w:themeColor="text1"/>
        </w:rPr>
      </w:pPr>
    </w:p>
    <w:p w14:paraId="6BDB4C2D" w14:textId="77777777" w:rsidR="00065271" w:rsidRPr="0058432E" w:rsidRDefault="00065271" w:rsidP="00982118">
      <w:pPr>
        <w:autoSpaceDE w:val="0"/>
        <w:autoSpaceDN w:val="0"/>
        <w:adjustRightInd w:val="0"/>
        <w:rPr>
          <w:color w:val="000000" w:themeColor="text1"/>
        </w:rPr>
      </w:pPr>
      <w:r w:rsidRPr="0058432E">
        <w:rPr>
          <w:color w:val="000000" w:themeColor="text1"/>
        </w:rPr>
        <w:t>Des données limitées issues de la littérature publiée indiquent que l’adalimumab est excrété dans le lait maternel à de très faibles concentrations, l’adalimumab étant présent dans le lait maternel à des concentrations équivalant à 0,1 %</w:t>
      </w:r>
      <w:r w:rsidR="00B80057" w:rsidRPr="0058432E">
        <w:rPr>
          <w:color w:val="000000" w:themeColor="text1"/>
        </w:rPr>
        <w:t> </w:t>
      </w:r>
      <w:r w:rsidRPr="0058432E">
        <w:rPr>
          <w:color w:val="000000" w:themeColor="text1"/>
        </w:rPr>
        <w:t>–</w:t>
      </w:r>
      <w:r w:rsidR="00B80057" w:rsidRPr="0058432E">
        <w:rPr>
          <w:color w:val="000000" w:themeColor="text1"/>
        </w:rPr>
        <w:t> </w:t>
      </w:r>
      <w:r w:rsidRPr="0058432E">
        <w:rPr>
          <w:color w:val="000000" w:themeColor="text1"/>
        </w:rPr>
        <w:t xml:space="preserve">1 % des taux sériques maternels. Administrées par voie orale, les protéines immunoglobulines G subissent une protéolyse intestinale et présentent une faible biodisponibilité. Aucun effet sur les nouveau-nés/nourrissons allaités n’est </w:t>
      </w:r>
      <w:r w:rsidR="00432F58" w:rsidRPr="0058432E">
        <w:rPr>
          <w:color w:val="000000" w:themeColor="text1"/>
        </w:rPr>
        <w:t>attendu</w:t>
      </w:r>
      <w:r w:rsidRPr="0058432E">
        <w:rPr>
          <w:color w:val="000000" w:themeColor="text1"/>
        </w:rPr>
        <w:t>. Par conséquent, Amsparity peut être utilisé pendant l’allaitement.</w:t>
      </w:r>
    </w:p>
    <w:p w14:paraId="57063E60" w14:textId="77777777" w:rsidR="00065271" w:rsidRPr="0058432E" w:rsidRDefault="00065271" w:rsidP="00982118">
      <w:pPr>
        <w:autoSpaceDE w:val="0"/>
        <w:autoSpaceDN w:val="0"/>
        <w:adjustRightInd w:val="0"/>
        <w:rPr>
          <w:color w:val="000000" w:themeColor="text1"/>
        </w:rPr>
      </w:pPr>
    </w:p>
    <w:p w14:paraId="2593D599" w14:textId="77777777" w:rsidR="00065271" w:rsidRPr="0058432E" w:rsidRDefault="00065271" w:rsidP="00DC3A99">
      <w:pPr>
        <w:keepNext/>
        <w:rPr>
          <w:color w:val="000000" w:themeColor="text1"/>
          <w:u w:val="single"/>
        </w:rPr>
      </w:pPr>
      <w:r w:rsidRPr="0058432E">
        <w:rPr>
          <w:color w:val="000000" w:themeColor="text1"/>
          <w:u w:val="single"/>
        </w:rPr>
        <w:t>Fertilité</w:t>
      </w:r>
    </w:p>
    <w:p w14:paraId="33761790" w14:textId="77777777" w:rsidR="00065271" w:rsidRPr="0058432E" w:rsidRDefault="00065271" w:rsidP="00DC3A99">
      <w:pPr>
        <w:keepNext/>
        <w:rPr>
          <w:color w:val="000000" w:themeColor="text1"/>
        </w:rPr>
      </w:pPr>
    </w:p>
    <w:p w14:paraId="5472C601" w14:textId="77777777" w:rsidR="00065271" w:rsidRPr="0058432E" w:rsidRDefault="00065271" w:rsidP="00982118">
      <w:pPr>
        <w:rPr>
          <w:color w:val="000000" w:themeColor="text1"/>
        </w:rPr>
      </w:pPr>
      <w:r w:rsidRPr="0058432E">
        <w:rPr>
          <w:color w:val="000000" w:themeColor="text1"/>
        </w:rPr>
        <w:t>On ne dispose pas de données précliniques sur les effets de l’adalimumab sur la fertilité.</w:t>
      </w:r>
    </w:p>
    <w:p w14:paraId="5222F445" w14:textId="77777777" w:rsidR="00065271" w:rsidRPr="0058432E" w:rsidRDefault="00065271" w:rsidP="00982118">
      <w:pPr>
        <w:rPr>
          <w:color w:val="000000" w:themeColor="text1"/>
        </w:rPr>
      </w:pPr>
    </w:p>
    <w:p w14:paraId="2201E817" w14:textId="77777777" w:rsidR="00C46587" w:rsidRPr="0058432E" w:rsidRDefault="00C46587" w:rsidP="00150D33">
      <w:pPr>
        <w:keepNext/>
        <w:tabs>
          <w:tab w:val="left" w:pos="562"/>
        </w:tabs>
        <w:rPr>
          <w:b/>
          <w:color w:val="000000" w:themeColor="text1"/>
        </w:rPr>
      </w:pPr>
      <w:r w:rsidRPr="0058432E">
        <w:rPr>
          <w:b/>
          <w:color w:val="000000" w:themeColor="text1"/>
        </w:rPr>
        <w:t>4.7</w:t>
      </w:r>
      <w:r w:rsidRPr="0058432E">
        <w:rPr>
          <w:b/>
          <w:color w:val="000000" w:themeColor="text1"/>
        </w:rPr>
        <w:tab/>
        <w:t xml:space="preserve">Effets sur l’aptitude à conduire des véhicules et à utiliser des machines </w:t>
      </w:r>
    </w:p>
    <w:p w14:paraId="3E3178D9" w14:textId="77777777" w:rsidR="00C46587" w:rsidRPr="0058432E" w:rsidRDefault="00C46587" w:rsidP="00150D33">
      <w:pPr>
        <w:keepNext/>
        <w:rPr>
          <w:color w:val="000000" w:themeColor="text1"/>
        </w:rPr>
      </w:pPr>
    </w:p>
    <w:p w14:paraId="0AF5E30B" w14:textId="77777777" w:rsidR="00C46587" w:rsidRPr="0058432E" w:rsidRDefault="005A4709" w:rsidP="00982118">
      <w:pPr>
        <w:rPr>
          <w:color w:val="000000" w:themeColor="text1"/>
        </w:rPr>
      </w:pPr>
      <w:r w:rsidRPr="0058432E">
        <w:rPr>
          <w:color w:val="000000" w:themeColor="text1"/>
        </w:rPr>
        <w:t xml:space="preserve">L’adalimumab peut </w:t>
      </w:r>
      <w:proofErr w:type="gramStart"/>
      <w:r w:rsidRPr="0058432E">
        <w:rPr>
          <w:color w:val="000000" w:themeColor="text1"/>
        </w:rPr>
        <w:t>avoir</w:t>
      </w:r>
      <w:proofErr w:type="gramEnd"/>
      <w:r w:rsidRPr="0058432E">
        <w:rPr>
          <w:color w:val="000000" w:themeColor="text1"/>
        </w:rPr>
        <w:t xml:space="preserve"> une influence mineure sur l’aptitude à conduire des véhicules et à utiliser des machines. Des vertiges et des troubles visuels peuvent survenir après l’administration d’Amsparity (voir rubrique 4.8). </w:t>
      </w:r>
    </w:p>
    <w:p w14:paraId="1613D80B" w14:textId="77777777" w:rsidR="00C46587" w:rsidRPr="0058432E" w:rsidRDefault="00C46587" w:rsidP="00982118">
      <w:pPr>
        <w:rPr>
          <w:color w:val="000000" w:themeColor="text1"/>
        </w:rPr>
      </w:pPr>
    </w:p>
    <w:p w14:paraId="1253D692" w14:textId="77777777" w:rsidR="00C46587" w:rsidRPr="0058432E" w:rsidRDefault="00C46587" w:rsidP="00DC3A99">
      <w:pPr>
        <w:keepNext/>
        <w:tabs>
          <w:tab w:val="left" w:pos="562"/>
        </w:tabs>
        <w:rPr>
          <w:b/>
          <w:color w:val="000000" w:themeColor="text1"/>
        </w:rPr>
      </w:pPr>
      <w:r w:rsidRPr="0058432E">
        <w:rPr>
          <w:b/>
          <w:color w:val="000000" w:themeColor="text1"/>
        </w:rPr>
        <w:t>4.8</w:t>
      </w:r>
      <w:r w:rsidRPr="0058432E">
        <w:rPr>
          <w:b/>
          <w:color w:val="000000" w:themeColor="text1"/>
        </w:rPr>
        <w:tab/>
        <w:t xml:space="preserve">Effets indésirables </w:t>
      </w:r>
    </w:p>
    <w:p w14:paraId="355B57D6" w14:textId="77777777" w:rsidR="00C46587" w:rsidRPr="0058432E" w:rsidRDefault="00C46587" w:rsidP="00DC3A99">
      <w:pPr>
        <w:keepNext/>
        <w:rPr>
          <w:color w:val="000000" w:themeColor="text1"/>
        </w:rPr>
      </w:pPr>
    </w:p>
    <w:p w14:paraId="0C457A72" w14:textId="77777777" w:rsidR="00C46587" w:rsidRPr="0058432E" w:rsidRDefault="00C46587" w:rsidP="00DC3A99">
      <w:pPr>
        <w:keepNext/>
        <w:rPr>
          <w:color w:val="000000" w:themeColor="text1"/>
          <w:u w:val="single"/>
        </w:rPr>
      </w:pPr>
      <w:r w:rsidRPr="0058432E">
        <w:rPr>
          <w:color w:val="000000" w:themeColor="text1"/>
          <w:u w:val="single"/>
        </w:rPr>
        <w:t xml:space="preserve">Résumé du profil de </w:t>
      </w:r>
      <w:r w:rsidR="00432F58" w:rsidRPr="0058432E">
        <w:rPr>
          <w:color w:val="000000" w:themeColor="text1"/>
          <w:u w:val="single"/>
        </w:rPr>
        <w:t>tolérance</w:t>
      </w:r>
      <w:r w:rsidR="00C53EAD" w:rsidRPr="0058432E">
        <w:rPr>
          <w:color w:val="000000" w:themeColor="text1"/>
          <w:u w:val="single"/>
        </w:rPr>
        <w:t xml:space="preserve"> </w:t>
      </w:r>
    </w:p>
    <w:p w14:paraId="607728C0" w14:textId="77777777" w:rsidR="00C46587" w:rsidRPr="0058432E" w:rsidRDefault="00C46587" w:rsidP="00DC3A99">
      <w:pPr>
        <w:keepNext/>
        <w:rPr>
          <w:color w:val="000000" w:themeColor="text1"/>
        </w:rPr>
      </w:pPr>
    </w:p>
    <w:p w14:paraId="56633693" w14:textId="77777777" w:rsidR="00C46587" w:rsidRPr="0058432E" w:rsidRDefault="005A4709" w:rsidP="00982118">
      <w:pPr>
        <w:rPr>
          <w:color w:val="000000" w:themeColor="text1"/>
        </w:rPr>
      </w:pPr>
      <w:r w:rsidRPr="0058432E">
        <w:rPr>
          <w:color w:val="000000" w:themeColor="text1"/>
        </w:rPr>
        <w:t xml:space="preserve">L’adalimumab a été étudié chez 9 506 patients dans des essais pivots contrôlés et en ouvert d’une durée de 60 mois et plus. Ces essais ont inclus des patients atteints de polyarthrite rhumatoïde récente ou ancienne, d’arthrite juvénile idiopathique (arthrite juvénile idiopathique polyarticulaire et arthrite liée à l’enthésite) </w:t>
      </w:r>
      <w:r w:rsidR="00FA433F" w:rsidRPr="0058432E">
        <w:rPr>
          <w:color w:val="000000" w:themeColor="text1"/>
        </w:rPr>
        <w:t xml:space="preserve">et </w:t>
      </w:r>
      <w:r w:rsidRPr="0058432E">
        <w:rPr>
          <w:color w:val="000000" w:themeColor="text1"/>
        </w:rPr>
        <w:t xml:space="preserve">des patients </w:t>
      </w:r>
      <w:r w:rsidR="00D546C9" w:rsidRPr="0058432E">
        <w:rPr>
          <w:color w:val="000000" w:themeColor="text1"/>
        </w:rPr>
        <w:t>atteints</w:t>
      </w:r>
      <w:r w:rsidRPr="0058432E">
        <w:rPr>
          <w:color w:val="000000" w:themeColor="text1"/>
        </w:rPr>
        <w:t xml:space="preserve"> de spondyl</w:t>
      </w:r>
      <w:r w:rsidR="00B412CF" w:rsidRPr="0058432E">
        <w:rPr>
          <w:color w:val="000000" w:themeColor="text1"/>
        </w:rPr>
        <w:t>o</w:t>
      </w:r>
      <w:r w:rsidRPr="0058432E">
        <w:rPr>
          <w:color w:val="000000" w:themeColor="text1"/>
        </w:rPr>
        <w:t>arthrite axiale (spondylarthrite ankylosante et spondyl</w:t>
      </w:r>
      <w:r w:rsidR="00B412CF" w:rsidRPr="0058432E">
        <w:rPr>
          <w:color w:val="000000" w:themeColor="text1"/>
        </w:rPr>
        <w:t>o</w:t>
      </w:r>
      <w:r w:rsidRPr="0058432E">
        <w:rPr>
          <w:color w:val="000000" w:themeColor="text1"/>
        </w:rPr>
        <w:t xml:space="preserve">arthrite axiale sans signes radiographiques de SA), de rhumatisme psoriasique, de la maladie de Crohn, de rectocolite hémorragique, de psoriasis, d’hidrosadénite suppurée et d’uvéite. Les études </w:t>
      </w:r>
      <w:r w:rsidR="00FA433F" w:rsidRPr="0058432E">
        <w:rPr>
          <w:color w:val="000000" w:themeColor="text1"/>
        </w:rPr>
        <w:t xml:space="preserve">pivots </w:t>
      </w:r>
      <w:r w:rsidRPr="0058432E">
        <w:rPr>
          <w:color w:val="000000" w:themeColor="text1"/>
        </w:rPr>
        <w:t xml:space="preserve">contrôlées portaient sur 6 089 patients ayant reçu l’adalimumab et 3 801 patients ayant reçu un placebo ou un comparateur actif pendant la phase contrôlée. </w:t>
      </w:r>
    </w:p>
    <w:p w14:paraId="373183AA" w14:textId="77777777" w:rsidR="00C46587" w:rsidRPr="0058432E" w:rsidRDefault="00C46587" w:rsidP="00982118">
      <w:pPr>
        <w:rPr>
          <w:color w:val="000000" w:themeColor="text1"/>
        </w:rPr>
      </w:pPr>
    </w:p>
    <w:p w14:paraId="0194D792" w14:textId="77777777" w:rsidR="00C46587" w:rsidRPr="0058432E" w:rsidRDefault="00C46587" w:rsidP="00982118">
      <w:pPr>
        <w:rPr>
          <w:color w:val="000000" w:themeColor="text1"/>
        </w:rPr>
      </w:pPr>
      <w:r w:rsidRPr="0058432E">
        <w:rPr>
          <w:color w:val="000000" w:themeColor="text1"/>
        </w:rPr>
        <w:t xml:space="preserve">Le pourcentage de patients ayant interrompu le traitement en raison </w:t>
      </w:r>
      <w:r w:rsidR="00FA433F" w:rsidRPr="0058432E">
        <w:rPr>
          <w:color w:val="000000" w:themeColor="text1"/>
        </w:rPr>
        <w:t xml:space="preserve">d’événements </w:t>
      </w:r>
      <w:r w:rsidRPr="0058432E">
        <w:rPr>
          <w:color w:val="000000" w:themeColor="text1"/>
        </w:rPr>
        <w:t xml:space="preserve">indésirables pendant la phase en double aveugle, contrôlée, des études pivots a été de 5,9 % chez les patients traités par adalimumab et de 5,4 % chez les patients du groupe contrôle. </w:t>
      </w:r>
    </w:p>
    <w:p w14:paraId="461EA21A" w14:textId="77777777" w:rsidR="00C46587" w:rsidRPr="0058432E" w:rsidRDefault="00C46587" w:rsidP="00982118">
      <w:pPr>
        <w:rPr>
          <w:color w:val="000000" w:themeColor="text1"/>
        </w:rPr>
      </w:pPr>
    </w:p>
    <w:p w14:paraId="203DA3C7" w14:textId="77777777" w:rsidR="00C46587" w:rsidRPr="0058432E" w:rsidRDefault="00C46587" w:rsidP="00982118">
      <w:pPr>
        <w:rPr>
          <w:color w:val="000000" w:themeColor="text1"/>
        </w:rPr>
      </w:pPr>
      <w:r w:rsidRPr="0058432E">
        <w:rPr>
          <w:color w:val="000000" w:themeColor="text1"/>
        </w:rPr>
        <w:t xml:space="preserve">Les effets indésirables les plus fréquemment rapportés sont les infections (telles que les rhinopharyngites, les infections des voies respiratoires hautes et les sinusites), les réactions au site d’injection (érythème, démangeaisons, hémorragie, douleur ou gonflement), les céphalées et les douleurs musculo-squelettiques. </w:t>
      </w:r>
    </w:p>
    <w:p w14:paraId="77C0D08C" w14:textId="77777777" w:rsidR="00C46587" w:rsidRPr="0058432E" w:rsidRDefault="00C46587" w:rsidP="00982118">
      <w:pPr>
        <w:rPr>
          <w:color w:val="000000" w:themeColor="text1"/>
        </w:rPr>
      </w:pPr>
    </w:p>
    <w:p w14:paraId="3B0D8119" w14:textId="77777777" w:rsidR="00CA2D0E" w:rsidRPr="0058432E" w:rsidRDefault="00C46587" w:rsidP="00982118">
      <w:pPr>
        <w:rPr>
          <w:color w:val="000000" w:themeColor="text1"/>
        </w:rPr>
      </w:pPr>
      <w:r w:rsidRPr="0058432E">
        <w:rPr>
          <w:color w:val="000000" w:themeColor="text1"/>
        </w:rPr>
        <w:t xml:space="preserve">Des effets indésirables graves ont été rapportés avec l’adalimumab. Les antagonistes du TNF, tels que l’adalimumab affectent le système immunitaire et leur utilisation peut </w:t>
      </w:r>
      <w:proofErr w:type="gramStart"/>
      <w:r w:rsidRPr="0058432E">
        <w:rPr>
          <w:color w:val="000000" w:themeColor="text1"/>
        </w:rPr>
        <w:t>avoir</w:t>
      </w:r>
      <w:proofErr w:type="gramEnd"/>
      <w:r w:rsidRPr="0058432E">
        <w:rPr>
          <w:color w:val="000000" w:themeColor="text1"/>
        </w:rPr>
        <w:t xml:space="preserve"> des répercussions sur les défenses du corps contre les infections et le cancer. </w:t>
      </w:r>
    </w:p>
    <w:p w14:paraId="101E67D6" w14:textId="77777777" w:rsidR="00CA2D0E" w:rsidRPr="0058432E" w:rsidRDefault="00CA2D0E" w:rsidP="00982118">
      <w:pPr>
        <w:rPr>
          <w:color w:val="000000" w:themeColor="text1"/>
        </w:rPr>
      </w:pPr>
    </w:p>
    <w:p w14:paraId="798248B7" w14:textId="77777777" w:rsidR="00C46587" w:rsidRPr="0058432E" w:rsidRDefault="00C46587" w:rsidP="00982118">
      <w:pPr>
        <w:rPr>
          <w:color w:val="000000" w:themeColor="text1"/>
        </w:rPr>
      </w:pPr>
      <w:r w:rsidRPr="0058432E">
        <w:rPr>
          <w:color w:val="000000" w:themeColor="text1"/>
        </w:rPr>
        <w:t xml:space="preserve">Des infections menaçant le pronostic vital et d’issue fatale (comprenant </w:t>
      </w:r>
      <w:r w:rsidR="00C564BD" w:rsidRPr="0058432E">
        <w:rPr>
          <w:color w:val="000000" w:themeColor="text1"/>
        </w:rPr>
        <w:t>septicémie</w:t>
      </w:r>
      <w:r w:rsidRPr="0058432E">
        <w:rPr>
          <w:color w:val="000000" w:themeColor="text1"/>
        </w:rPr>
        <w:t xml:space="preserve">, infections opportunistes et tuberculose), des réactivations </w:t>
      </w:r>
      <w:r w:rsidR="00B11789" w:rsidRPr="0058432E">
        <w:rPr>
          <w:color w:val="000000" w:themeColor="text1"/>
        </w:rPr>
        <w:t>du VHB</w:t>
      </w:r>
      <w:r w:rsidRPr="0058432E">
        <w:rPr>
          <w:color w:val="000000" w:themeColor="text1"/>
        </w:rPr>
        <w:t xml:space="preserve"> et différents cancers (y compris leucémie, lymphome et lymphome hépatosplénique à lymphocytes T) ont également été rapportés avec l’utilisation de l’adalimumab. </w:t>
      </w:r>
    </w:p>
    <w:p w14:paraId="162C9BBB" w14:textId="77777777" w:rsidR="00C46587" w:rsidRPr="0058432E" w:rsidRDefault="00C46587" w:rsidP="00982118">
      <w:pPr>
        <w:rPr>
          <w:color w:val="000000" w:themeColor="text1"/>
        </w:rPr>
      </w:pPr>
    </w:p>
    <w:p w14:paraId="485F032A" w14:textId="77777777" w:rsidR="00C46587" w:rsidRPr="0058432E" w:rsidRDefault="00C46587" w:rsidP="00982118">
      <w:pPr>
        <w:rPr>
          <w:color w:val="000000" w:themeColor="text1"/>
        </w:rPr>
      </w:pPr>
      <w:r w:rsidRPr="0058432E">
        <w:rPr>
          <w:color w:val="000000" w:themeColor="text1"/>
        </w:rPr>
        <w:t xml:space="preserve">Des </w:t>
      </w:r>
      <w:r w:rsidR="00B11789" w:rsidRPr="0058432E">
        <w:rPr>
          <w:color w:val="000000" w:themeColor="text1"/>
        </w:rPr>
        <w:t xml:space="preserve">réactions </w:t>
      </w:r>
      <w:r w:rsidRPr="0058432E">
        <w:rPr>
          <w:color w:val="000000" w:themeColor="text1"/>
        </w:rPr>
        <w:t>hématologiques, neurologiques et auto</w:t>
      </w:r>
      <w:r w:rsidR="001C2C29" w:rsidRPr="0058432E">
        <w:rPr>
          <w:color w:val="000000" w:themeColor="text1"/>
        </w:rPr>
        <w:t>-</w:t>
      </w:r>
      <w:r w:rsidRPr="0058432E">
        <w:rPr>
          <w:color w:val="000000" w:themeColor="text1"/>
        </w:rPr>
        <w:t xml:space="preserve">immuns </w:t>
      </w:r>
      <w:r w:rsidR="00432F58" w:rsidRPr="0058432E">
        <w:rPr>
          <w:color w:val="000000" w:themeColor="text1"/>
        </w:rPr>
        <w:t>sévères</w:t>
      </w:r>
      <w:r w:rsidR="001C2C29" w:rsidRPr="0058432E">
        <w:rPr>
          <w:color w:val="000000" w:themeColor="text1"/>
        </w:rPr>
        <w:t xml:space="preserve"> </w:t>
      </w:r>
      <w:r w:rsidRPr="0058432E">
        <w:rPr>
          <w:color w:val="000000" w:themeColor="text1"/>
        </w:rPr>
        <w:t xml:space="preserve">ont également été rapportés. Ceci comprend de rares cas de pancytopénie, d’anémie médullaire, des </w:t>
      </w:r>
      <w:r w:rsidR="00B11789" w:rsidRPr="0058432E">
        <w:rPr>
          <w:color w:val="000000" w:themeColor="text1"/>
        </w:rPr>
        <w:t xml:space="preserve">événements </w:t>
      </w:r>
      <w:r w:rsidRPr="0058432E">
        <w:rPr>
          <w:color w:val="000000" w:themeColor="text1"/>
        </w:rPr>
        <w:t xml:space="preserve">de démyélinisation centrale et périphérique et des cas de lupus, </w:t>
      </w:r>
      <w:r w:rsidR="00B11789" w:rsidRPr="0058432E">
        <w:rPr>
          <w:color w:val="000000" w:themeColor="text1"/>
        </w:rPr>
        <w:t xml:space="preserve">d’affections </w:t>
      </w:r>
      <w:r w:rsidRPr="0058432E">
        <w:rPr>
          <w:color w:val="000000" w:themeColor="text1"/>
        </w:rPr>
        <w:t>lié</w:t>
      </w:r>
      <w:r w:rsidR="00B11789" w:rsidRPr="0058432E">
        <w:rPr>
          <w:color w:val="000000" w:themeColor="text1"/>
        </w:rPr>
        <w:t>e</w:t>
      </w:r>
      <w:r w:rsidRPr="0058432E">
        <w:rPr>
          <w:color w:val="000000" w:themeColor="text1"/>
        </w:rPr>
        <w:t>s au lupus et de syndrome de Stevens</w:t>
      </w:r>
      <w:r w:rsidRPr="0058432E">
        <w:rPr>
          <w:color w:val="000000" w:themeColor="text1"/>
        </w:rPr>
        <w:noBreakHyphen/>
        <w:t xml:space="preserve">Johnson. </w:t>
      </w:r>
    </w:p>
    <w:p w14:paraId="00093EE0" w14:textId="77777777" w:rsidR="00C46587" w:rsidRPr="0058432E" w:rsidRDefault="00C46587" w:rsidP="00982118">
      <w:pPr>
        <w:rPr>
          <w:color w:val="000000" w:themeColor="text1"/>
        </w:rPr>
      </w:pPr>
    </w:p>
    <w:p w14:paraId="7DBDB7F7" w14:textId="77777777" w:rsidR="00C46587" w:rsidRPr="0058432E" w:rsidRDefault="00C46587" w:rsidP="00982118">
      <w:pPr>
        <w:keepNext/>
        <w:rPr>
          <w:color w:val="000000" w:themeColor="text1"/>
          <w:u w:val="single"/>
        </w:rPr>
      </w:pPr>
      <w:r w:rsidRPr="0058432E">
        <w:rPr>
          <w:color w:val="000000" w:themeColor="text1"/>
          <w:u w:val="single"/>
        </w:rPr>
        <w:t xml:space="preserve">Population pédiatrique </w:t>
      </w:r>
    </w:p>
    <w:p w14:paraId="72477F75" w14:textId="77777777" w:rsidR="00C46587" w:rsidRPr="0058432E" w:rsidRDefault="00C46587" w:rsidP="00DC3A99">
      <w:pPr>
        <w:keepNext/>
        <w:rPr>
          <w:color w:val="000000" w:themeColor="text1"/>
        </w:rPr>
      </w:pPr>
    </w:p>
    <w:p w14:paraId="3BF19561" w14:textId="77777777" w:rsidR="00C46587" w:rsidRPr="0058432E" w:rsidRDefault="00C46587" w:rsidP="00982118">
      <w:pPr>
        <w:rPr>
          <w:color w:val="000000" w:themeColor="text1"/>
        </w:rPr>
      </w:pPr>
      <w:r w:rsidRPr="0058432E">
        <w:rPr>
          <w:color w:val="000000" w:themeColor="text1"/>
        </w:rPr>
        <w:t xml:space="preserve">En général, la fréquence et le type des événements indésirables observés chez l’enfant et l’adolescent ont été comparables à ceux observés chez les patients adultes. </w:t>
      </w:r>
    </w:p>
    <w:p w14:paraId="3DFC770A" w14:textId="77777777" w:rsidR="00C46587" w:rsidRPr="0058432E" w:rsidRDefault="00C46587" w:rsidP="00982118">
      <w:pPr>
        <w:rPr>
          <w:color w:val="000000" w:themeColor="text1"/>
        </w:rPr>
      </w:pPr>
    </w:p>
    <w:p w14:paraId="196F9B71" w14:textId="77777777" w:rsidR="00C46587" w:rsidRPr="0058432E" w:rsidRDefault="00C46587" w:rsidP="00982118">
      <w:pPr>
        <w:keepNext/>
        <w:rPr>
          <w:color w:val="000000" w:themeColor="text1"/>
          <w:u w:val="single"/>
        </w:rPr>
      </w:pPr>
      <w:r w:rsidRPr="0058432E">
        <w:rPr>
          <w:color w:val="000000" w:themeColor="text1"/>
          <w:u w:val="single"/>
        </w:rPr>
        <w:t xml:space="preserve">Liste </w:t>
      </w:r>
      <w:r w:rsidR="00B11789" w:rsidRPr="0058432E">
        <w:rPr>
          <w:color w:val="000000" w:themeColor="text1"/>
          <w:u w:val="single"/>
        </w:rPr>
        <w:t xml:space="preserve">tabulée </w:t>
      </w:r>
      <w:r w:rsidRPr="0058432E">
        <w:rPr>
          <w:color w:val="000000" w:themeColor="text1"/>
          <w:u w:val="single"/>
        </w:rPr>
        <w:t xml:space="preserve">des effets indésirables </w:t>
      </w:r>
    </w:p>
    <w:p w14:paraId="69AB0B99" w14:textId="77777777" w:rsidR="00C46587" w:rsidRPr="0058432E" w:rsidRDefault="00C46587" w:rsidP="00DC3A99">
      <w:pPr>
        <w:keepNext/>
        <w:rPr>
          <w:color w:val="000000" w:themeColor="text1"/>
        </w:rPr>
      </w:pPr>
    </w:p>
    <w:p w14:paraId="61E8ECB5" w14:textId="77777777" w:rsidR="00C46587" w:rsidRPr="0058432E" w:rsidRDefault="00C46587" w:rsidP="00982118">
      <w:pPr>
        <w:rPr>
          <w:color w:val="000000" w:themeColor="text1"/>
        </w:rPr>
      </w:pPr>
      <w:r w:rsidRPr="0058432E">
        <w:rPr>
          <w:color w:val="000000" w:themeColor="text1"/>
        </w:rPr>
        <w:t xml:space="preserve">La liste </w:t>
      </w:r>
      <w:r w:rsidR="00B11789" w:rsidRPr="0058432E">
        <w:rPr>
          <w:color w:val="000000" w:themeColor="text1"/>
        </w:rPr>
        <w:t xml:space="preserve">suivante </w:t>
      </w:r>
      <w:r w:rsidRPr="0058432E">
        <w:rPr>
          <w:color w:val="000000" w:themeColor="text1"/>
        </w:rPr>
        <w:t>des effets indésirables est basée sur les études cliniques et sur l’expérience après commercialisation et est présentée par classe de systèmes d’organes et par fréquence dans le tableau </w:t>
      </w:r>
      <w:r w:rsidR="00671B82" w:rsidRPr="0058432E">
        <w:rPr>
          <w:color w:val="000000" w:themeColor="text1"/>
        </w:rPr>
        <w:t>7</w:t>
      </w:r>
      <w:r w:rsidRPr="0058432E">
        <w:rPr>
          <w:color w:val="000000" w:themeColor="text1"/>
        </w:rPr>
        <w:t xml:space="preserve"> ci-dessous : très fréquent (≥ 1/10) ; fréquent (≥ 1/100, &lt; 1/10) ; peu fréquent (≥ 1/1 000, &lt; 1/100) ; rare (≥ 1/10 000, &lt; 1/1 000) et fréquence indéterminée (ne peut être estimée sur la base des données disponibles). Au sein de chaque groupe de fréquence, les effets indésirables sont présentés par ordre décroissant de gravité. La fréquence la plus élevée observée dans les diverses indications a été incluse. La présence d’un astérisque (*) dans la colonne « Classe de systèmes d’organes » indique que de plus amples informations sont disponibles aux rubriques 4.3, 4.4 et 4.8. </w:t>
      </w:r>
    </w:p>
    <w:p w14:paraId="3FCDCCD2" w14:textId="77777777" w:rsidR="00CA2D0E" w:rsidRPr="0058432E" w:rsidRDefault="00CA2D0E" w:rsidP="00982118">
      <w:pPr>
        <w:rPr>
          <w:color w:val="000000" w:themeColor="text1"/>
        </w:rPr>
      </w:pPr>
    </w:p>
    <w:p w14:paraId="553771CC" w14:textId="77777777" w:rsidR="00C46587" w:rsidRPr="0058432E" w:rsidRDefault="00C46587" w:rsidP="00A53E17">
      <w:pPr>
        <w:keepNext/>
        <w:rPr>
          <w:b/>
          <w:color w:val="000000" w:themeColor="text1"/>
        </w:rPr>
      </w:pPr>
      <w:r w:rsidRPr="0058432E">
        <w:rPr>
          <w:b/>
          <w:color w:val="000000" w:themeColor="text1"/>
        </w:rPr>
        <w:lastRenderedPageBreak/>
        <w:t>Tableau </w:t>
      </w:r>
      <w:r w:rsidR="00671B82" w:rsidRPr="0058432E">
        <w:rPr>
          <w:b/>
          <w:color w:val="000000" w:themeColor="text1"/>
        </w:rPr>
        <w:t>7</w:t>
      </w:r>
      <w:r w:rsidR="00BA0AD5" w:rsidRPr="0058432E">
        <w:rPr>
          <w:b/>
          <w:color w:val="000000" w:themeColor="text1"/>
        </w:rPr>
        <w:t>.</w:t>
      </w:r>
      <w:r w:rsidRPr="0058432E">
        <w:rPr>
          <w:b/>
          <w:color w:val="000000" w:themeColor="text1"/>
        </w:rPr>
        <w:t> Effets indésirables</w:t>
      </w:r>
    </w:p>
    <w:p w14:paraId="4B159353" w14:textId="77777777" w:rsidR="00C46587" w:rsidRPr="0058432E" w:rsidRDefault="00C46587" w:rsidP="00800BA5">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695"/>
        <w:gridCol w:w="4742"/>
      </w:tblGrid>
      <w:tr w:rsidR="00CA2D0E" w:rsidRPr="0058432E" w14:paraId="0D8DF3F9" w14:textId="77777777" w:rsidTr="00776D2E">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15C1A66E" w14:textId="77777777" w:rsidR="00CA2D0E" w:rsidRPr="0058432E" w:rsidRDefault="00CA2D0E" w:rsidP="00800BA5">
            <w:pPr>
              <w:keepNext/>
              <w:jc w:val="center"/>
              <w:rPr>
                <w:b/>
                <w:color w:val="000000" w:themeColor="text1"/>
              </w:rPr>
            </w:pPr>
            <w:r w:rsidRPr="0058432E">
              <w:rPr>
                <w:b/>
                <w:color w:val="000000" w:themeColor="text1"/>
              </w:rPr>
              <w:t>Classe de systèmes d’organes</w:t>
            </w:r>
          </w:p>
        </w:tc>
        <w:tc>
          <w:tcPr>
            <w:tcW w:w="1695" w:type="dxa"/>
            <w:tcBorders>
              <w:top w:val="single" w:sz="4" w:space="0" w:color="auto"/>
              <w:left w:val="single" w:sz="4" w:space="0" w:color="auto"/>
              <w:bottom w:val="single" w:sz="4" w:space="0" w:color="auto"/>
              <w:right w:val="single" w:sz="4" w:space="0" w:color="auto"/>
            </w:tcBorders>
            <w:hideMark/>
          </w:tcPr>
          <w:p w14:paraId="411A842E" w14:textId="77777777" w:rsidR="00CA2D0E" w:rsidRPr="0058432E" w:rsidRDefault="00CA2D0E" w:rsidP="00800BA5">
            <w:pPr>
              <w:keepNext/>
              <w:jc w:val="center"/>
              <w:rPr>
                <w:b/>
                <w:color w:val="000000" w:themeColor="text1"/>
              </w:rPr>
            </w:pPr>
            <w:r w:rsidRPr="0058432E">
              <w:rPr>
                <w:b/>
                <w:color w:val="000000" w:themeColor="text1"/>
              </w:rPr>
              <w:t>Fréquence</w:t>
            </w:r>
          </w:p>
        </w:tc>
        <w:tc>
          <w:tcPr>
            <w:tcW w:w="0" w:type="auto"/>
            <w:tcBorders>
              <w:top w:val="single" w:sz="4" w:space="0" w:color="auto"/>
              <w:left w:val="single" w:sz="4" w:space="0" w:color="auto"/>
              <w:bottom w:val="single" w:sz="4" w:space="0" w:color="auto"/>
              <w:right w:val="single" w:sz="4" w:space="0" w:color="auto"/>
            </w:tcBorders>
            <w:hideMark/>
          </w:tcPr>
          <w:p w14:paraId="314DB7B9" w14:textId="77777777" w:rsidR="00CA2D0E" w:rsidRPr="0058432E" w:rsidRDefault="00CA2D0E" w:rsidP="00800BA5">
            <w:pPr>
              <w:keepNext/>
              <w:jc w:val="center"/>
              <w:rPr>
                <w:b/>
                <w:color w:val="000000" w:themeColor="text1"/>
              </w:rPr>
            </w:pPr>
            <w:r w:rsidRPr="0058432E">
              <w:rPr>
                <w:b/>
                <w:color w:val="000000" w:themeColor="text1"/>
              </w:rPr>
              <w:t>Effet indésirable</w:t>
            </w:r>
          </w:p>
        </w:tc>
      </w:tr>
      <w:tr w:rsidR="00CA2D0E" w:rsidRPr="0058432E" w14:paraId="6954D2AC"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19D5610A" w14:textId="77777777" w:rsidR="00CA2D0E" w:rsidRPr="0058432E" w:rsidRDefault="00CA2D0E" w:rsidP="00800BA5">
            <w:pPr>
              <w:keepNext/>
              <w:rPr>
                <w:color w:val="000000" w:themeColor="text1"/>
              </w:rPr>
            </w:pPr>
            <w:r w:rsidRPr="0058432E">
              <w:rPr>
                <w:color w:val="000000" w:themeColor="text1"/>
              </w:rPr>
              <w:t>Infections et infestations*</w:t>
            </w:r>
          </w:p>
        </w:tc>
        <w:tc>
          <w:tcPr>
            <w:tcW w:w="1695" w:type="dxa"/>
            <w:tcBorders>
              <w:top w:val="single" w:sz="4" w:space="0" w:color="auto"/>
              <w:left w:val="single" w:sz="4" w:space="0" w:color="auto"/>
              <w:right w:val="single" w:sz="4" w:space="0" w:color="auto"/>
            </w:tcBorders>
          </w:tcPr>
          <w:p w14:paraId="29F87E59" w14:textId="77777777" w:rsidR="00CA2D0E" w:rsidRPr="0058432E" w:rsidRDefault="00CA2D0E" w:rsidP="00800BA5">
            <w:pPr>
              <w:keepNext/>
              <w:rPr>
                <w:color w:val="000000" w:themeColor="text1"/>
              </w:rPr>
            </w:pPr>
            <w:r w:rsidRPr="0058432E">
              <w:rPr>
                <w:color w:val="000000" w:themeColor="text1"/>
              </w:rPr>
              <w:t>Très fréquent</w:t>
            </w:r>
          </w:p>
          <w:p w14:paraId="3D13DB46" w14:textId="77777777" w:rsidR="00CA2D0E" w:rsidRPr="0058432E" w:rsidRDefault="00CA2D0E" w:rsidP="00800BA5">
            <w:pPr>
              <w:keepNext/>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3DCFD616" w14:textId="77777777" w:rsidR="00CA2D0E" w:rsidRPr="0058432E" w:rsidRDefault="00CA2D0E" w:rsidP="000D3575">
            <w:pPr>
              <w:keepNext/>
              <w:rPr>
                <w:color w:val="000000" w:themeColor="text1"/>
              </w:rPr>
            </w:pPr>
            <w:r w:rsidRPr="0058432E">
              <w:rPr>
                <w:color w:val="000000" w:themeColor="text1"/>
              </w:rPr>
              <w:t>Infections des voies respiratoires (y compris infection des voies respiratoires basses et infection des voies respiratoires hautes, pneumonie, sinusite, pharyngite, rhino-pharyngite et pneumonie herpétique</w:t>
            </w:r>
            <w:r w:rsidR="00B11789" w:rsidRPr="0058432E">
              <w:rPr>
                <w:color w:val="000000" w:themeColor="text1"/>
              </w:rPr>
              <w:t xml:space="preserve"> virale</w:t>
            </w:r>
            <w:r w:rsidRPr="0058432E">
              <w:rPr>
                <w:color w:val="000000" w:themeColor="text1"/>
              </w:rPr>
              <w:t>)</w:t>
            </w:r>
          </w:p>
        </w:tc>
      </w:tr>
      <w:tr w:rsidR="00CA2D0E" w:rsidRPr="0058432E" w14:paraId="5172B232" w14:textId="77777777" w:rsidTr="00776D2E">
        <w:trPr>
          <w:cantSplit/>
        </w:trPr>
        <w:tc>
          <w:tcPr>
            <w:tcW w:w="2628" w:type="dxa"/>
            <w:vMerge/>
            <w:tcBorders>
              <w:left w:val="single" w:sz="4" w:space="0" w:color="auto"/>
              <w:right w:val="single" w:sz="4" w:space="0" w:color="auto"/>
            </w:tcBorders>
          </w:tcPr>
          <w:p w14:paraId="7622F1AA" w14:textId="77777777" w:rsidR="00CA2D0E" w:rsidRPr="0058432E" w:rsidRDefault="00CA2D0E" w:rsidP="00982118">
            <w:pPr>
              <w:rPr>
                <w:color w:val="000000" w:themeColor="text1"/>
              </w:rPr>
            </w:pPr>
          </w:p>
        </w:tc>
        <w:tc>
          <w:tcPr>
            <w:tcW w:w="1695" w:type="dxa"/>
            <w:tcBorders>
              <w:left w:val="single" w:sz="4" w:space="0" w:color="auto"/>
              <w:right w:val="single" w:sz="4" w:space="0" w:color="auto"/>
            </w:tcBorders>
          </w:tcPr>
          <w:p w14:paraId="359DF727" w14:textId="77777777" w:rsidR="00CA2D0E" w:rsidRPr="0058432E" w:rsidRDefault="00CA2D0E" w:rsidP="00982118">
            <w:pPr>
              <w:rPr>
                <w:color w:val="000000" w:themeColor="text1"/>
              </w:rPr>
            </w:pPr>
            <w:r w:rsidRPr="0058432E">
              <w:rPr>
                <w:color w:val="000000" w:themeColor="text1"/>
              </w:rPr>
              <w:t>Fréquent</w:t>
            </w:r>
          </w:p>
          <w:p w14:paraId="081F5855" w14:textId="77777777" w:rsidR="00CA2D0E" w:rsidRPr="0058432E" w:rsidRDefault="00CA2D0E"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358C5B18" w14:textId="77777777" w:rsidR="00CA2D0E" w:rsidRPr="0058432E" w:rsidRDefault="00CA2D0E" w:rsidP="00982118">
            <w:pPr>
              <w:rPr>
                <w:color w:val="000000" w:themeColor="text1"/>
              </w:rPr>
            </w:pPr>
            <w:r w:rsidRPr="0058432E">
              <w:rPr>
                <w:color w:val="000000" w:themeColor="text1"/>
              </w:rPr>
              <w:t xml:space="preserve">Infections systémiques (y compris </w:t>
            </w:r>
            <w:r w:rsidR="00C564BD" w:rsidRPr="0058432E">
              <w:rPr>
                <w:color w:val="000000" w:themeColor="text1"/>
              </w:rPr>
              <w:t>septicémie</w:t>
            </w:r>
            <w:r w:rsidRPr="0058432E">
              <w:rPr>
                <w:color w:val="000000" w:themeColor="text1"/>
              </w:rPr>
              <w:t xml:space="preserve">, candidose et grippe), </w:t>
            </w:r>
          </w:p>
          <w:p w14:paraId="648F739F"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virale), </w:t>
            </w:r>
          </w:p>
          <w:p w14:paraId="6E5374AC"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cutanées et des tissus mous (y compris panaris superficiel périunguéal, cellulite, impétigo, fasciite nécrosante et zona), </w:t>
            </w:r>
          </w:p>
          <w:p w14:paraId="12AFE97E"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 l’oreille, </w:t>
            </w:r>
          </w:p>
          <w:p w14:paraId="019D35C2"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herpès</w:t>
            </w:r>
            <w:r w:rsidR="00FD2ADC" w:rsidRPr="0058432E">
              <w:rPr>
                <w:color w:val="000000" w:themeColor="text1"/>
              </w:rPr>
              <w:t xml:space="preserve"> </w:t>
            </w:r>
            <w:r w:rsidR="00B11789" w:rsidRPr="0058432E">
              <w:rPr>
                <w:color w:val="000000" w:themeColor="text1"/>
              </w:rPr>
              <w:t>simplex</w:t>
            </w:r>
            <w:r w:rsidRPr="0058432E">
              <w:rPr>
                <w:color w:val="000000" w:themeColor="text1"/>
              </w:rPr>
              <w:t xml:space="preserve">, herpès buccal et infections dentaires), </w:t>
            </w:r>
          </w:p>
          <w:p w14:paraId="072402AF"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(y compris mycose vulvo-vaginale), </w:t>
            </w:r>
          </w:p>
          <w:p w14:paraId="0B87B7B0"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des voies urinaires (y compris pyélonéphrite), </w:t>
            </w:r>
          </w:p>
          <w:p w14:paraId="709E9E2F" w14:textId="77777777" w:rsidR="00CA2D0E" w:rsidRPr="0058432E" w:rsidRDefault="00CA2D0E" w:rsidP="00982118">
            <w:pPr>
              <w:rPr>
                <w:color w:val="000000" w:themeColor="text1"/>
              </w:rPr>
            </w:pPr>
            <w:proofErr w:type="gramStart"/>
            <w:r w:rsidRPr="0058432E">
              <w:rPr>
                <w:color w:val="000000" w:themeColor="text1"/>
              </w:rPr>
              <w:t>infections</w:t>
            </w:r>
            <w:proofErr w:type="gramEnd"/>
            <w:r w:rsidRPr="0058432E">
              <w:rPr>
                <w:color w:val="000000" w:themeColor="text1"/>
              </w:rPr>
              <w:t xml:space="preserve"> fongiques, </w:t>
            </w:r>
          </w:p>
          <w:p w14:paraId="10275EF6" w14:textId="77777777" w:rsidR="00CA2D0E" w:rsidRPr="0058432E" w:rsidDel="00955F88" w:rsidRDefault="00CA2D0E" w:rsidP="000D3575">
            <w:pPr>
              <w:rPr>
                <w:color w:val="000000" w:themeColor="text1"/>
              </w:rPr>
            </w:pPr>
            <w:proofErr w:type="gramStart"/>
            <w:r w:rsidRPr="0058432E">
              <w:rPr>
                <w:color w:val="000000" w:themeColor="text1"/>
              </w:rPr>
              <w:t>infections</w:t>
            </w:r>
            <w:proofErr w:type="gramEnd"/>
            <w:r w:rsidRPr="0058432E">
              <w:rPr>
                <w:color w:val="000000" w:themeColor="text1"/>
              </w:rPr>
              <w:t xml:space="preserve"> articulaires</w:t>
            </w:r>
          </w:p>
        </w:tc>
      </w:tr>
      <w:tr w:rsidR="00CA2D0E" w:rsidRPr="0058432E" w14:paraId="440E5ACE" w14:textId="77777777" w:rsidTr="00776D2E">
        <w:trPr>
          <w:cantSplit/>
        </w:trPr>
        <w:tc>
          <w:tcPr>
            <w:tcW w:w="2628" w:type="dxa"/>
            <w:vMerge/>
            <w:tcBorders>
              <w:left w:val="single" w:sz="4" w:space="0" w:color="auto"/>
              <w:bottom w:val="single" w:sz="4" w:space="0" w:color="auto"/>
              <w:right w:val="single" w:sz="4" w:space="0" w:color="auto"/>
            </w:tcBorders>
          </w:tcPr>
          <w:p w14:paraId="382B1629" w14:textId="77777777" w:rsidR="00CA2D0E" w:rsidRPr="0058432E" w:rsidRDefault="00CA2D0E" w:rsidP="00982118">
            <w:pPr>
              <w:rPr>
                <w:color w:val="000000" w:themeColor="text1"/>
              </w:rPr>
            </w:pPr>
          </w:p>
        </w:tc>
        <w:tc>
          <w:tcPr>
            <w:tcW w:w="1695" w:type="dxa"/>
            <w:tcBorders>
              <w:left w:val="single" w:sz="4" w:space="0" w:color="auto"/>
              <w:bottom w:val="single" w:sz="4" w:space="0" w:color="auto"/>
              <w:right w:val="single" w:sz="4" w:space="0" w:color="auto"/>
            </w:tcBorders>
          </w:tcPr>
          <w:p w14:paraId="67FDEF3F" w14:textId="77777777" w:rsidR="00CA2D0E" w:rsidRPr="0058432E" w:rsidRDefault="00CA2D0E"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13D02140" w14:textId="77777777" w:rsidR="00CA2D0E" w:rsidRPr="0058432E" w:rsidRDefault="00CA2D0E" w:rsidP="00982118">
            <w:pPr>
              <w:keepNext/>
              <w:autoSpaceDE w:val="0"/>
              <w:autoSpaceDN w:val="0"/>
              <w:adjustRightInd w:val="0"/>
              <w:rPr>
                <w:color w:val="000000" w:themeColor="text1"/>
              </w:rPr>
            </w:pPr>
            <w:r w:rsidRPr="0058432E">
              <w:rPr>
                <w:color w:val="000000" w:themeColor="text1"/>
              </w:rPr>
              <w:t>Infections neurologiques (y compris méningite virale),</w:t>
            </w:r>
          </w:p>
          <w:p w14:paraId="3298542A"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et tuberculose (y compris coccidioïdomycose, histoplasmose et infections à </w:t>
            </w:r>
            <w:r w:rsidRPr="0058432E">
              <w:rPr>
                <w:i/>
                <w:iCs/>
                <w:color w:val="000000" w:themeColor="text1"/>
              </w:rPr>
              <w:t>Mycobacterium avium complex</w:t>
            </w:r>
            <w:r w:rsidRPr="0058432E">
              <w:rPr>
                <w:color w:val="000000" w:themeColor="text1"/>
              </w:rPr>
              <w:t>),</w:t>
            </w:r>
          </w:p>
          <w:p w14:paraId="18E1A6C7"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w:t>
            </w:r>
          </w:p>
          <w:p w14:paraId="23C7D9C4"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infections</w:t>
            </w:r>
            <w:proofErr w:type="gramEnd"/>
            <w:r w:rsidRPr="0058432E">
              <w:rPr>
                <w:color w:val="000000" w:themeColor="text1"/>
              </w:rPr>
              <w:t xml:space="preserve"> oculaires,</w:t>
            </w:r>
          </w:p>
          <w:p w14:paraId="44F9F3E4" w14:textId="77777777" w:rsidR="00CA2D0E" w:rsidRPr="0058432E" w:rsidDel="00955F88" w:rsidRDefault="00CA2D0E" w:rsidP="000D3575">
            <w:pPr>
              <w:rPr>
                <w:color w:val="000000" w:themeColor="text1"/>
              </w:rPr>
            </w:pPr>
            <w:proofErr w:type="gramStart"/>
            <w:r w:rsidRPr="0058432E">
              <w:rPr>
                <w:color w:val="000000" w:themeColor="text1"/>
              </w:rPr>
              <w:t>diverticulite</w:t>
            </w:r>
            <w:proofErr w:type="gramEnd"/>
            <w:r w:rsidRPr="0058432E">
              <w:rPr>
                <w:color w:val="000000" w:themeColor="text1"/>
                <w:vertAlign w:val="superscript"/>
              </w:rPr>
              <w:t>1</w:t>
            </w:r>
          </w:p>
        </w:tc>
      </w:tr>
      <w:tr w:rsidR="00CA2D0E" w:rsidRPr="0058432E" w14:paraId="24364B6D"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75BE56AB" w14:textId="77777777" w:rsidR="00CA2D0E" w:rsidRPr="0058432E" w:rsidRDefault="00CA2D0E" w:rsidP="000D3575">
            <w:pPr>
              <w:keepNext/>
              <w:keepLines/>
              <w:rPr>
                <w:color w:val="000000" w:themeColor="text1"/>
              </w:rPr>
            </w:pPr>
            <w:r w:rsidRPr="0058432E">
              <w:rPr>
                <w:color w:val="000000" w:themeColor="text1"/>
              </w:rPr>
              <w:t>Tumeurs bénignes, malignes et non précisées (</w:t>
            </w:r>
            <w:r w:rsidR="00B10867" w:rsidRPr="0058432E">
              <w:rPr>
                <w:color w:val="000000" w:themeColor="text1"/>
              </w:rPr>
              <w:t>incl</w:t>
            </w:r>
            <w:r w:rsidRPr="0058432E">
              <w:rPr>
                <w:color w:val="000000" w:themeColor="text1"/>
              </w:rPr>
              <w:t xml:space="preserve"> kystes et </w:t>
            </w:r>
            <w:proofErr w:type="gramStart"/>
            <w:r w:rsidRPr="0058432E">
              <w:rPr>
                <w:color w:val="000000" w:themeColor="text1"/>
              </w:rPr>
              <w:t>polypes)*</w:t>
            </w:r>
            <w:proofErr w:type="gramEnd"/>
          </w:p>
        </w:tc>
        <w:tc>
          <w:tcPr>
            <w:tcW w:w="1695" w:type="dxa"/>
            <w:tcBorders>
              <w:top w:val="single" w:sz="4" w:space="0" w:color="auto"/>
              <w:left w:val="single" w:sz="4" w:space="0" w:color="auto"/>
              <w:bottom w:val="single" w:sz="4" w:space="0" w:color="auto"/>
              <w:right w:val="single" w:sz="4" w:space="0" w:color="auto"/>
            </w:tcBorders>
          </w:tcPr>
          <w:p w14:paraId="220FC30D" w14:textId="77777777" w:rsidR="00CA2D0E" w:rsidRPr="0058432E" w:rsidRDefault="00CA2D0E" w:rsidP="000D3575">
            <w:pPr>
              <w:keepNext/>
              <w:keepLines/>
              <w:rPr>
                <w:color w:val="000000" w:themeColor="text1"/>
              </w:rPr>
            </w:pPr>
            <w:r w:rsidRPr="0058432E">
              <w:rPr>
                <w:color w:val="000000" w:themeColor="text1"/>
              </w:rPr>
              <w:t>Fréquent</w:t>
            </w:r>
          </w:p>
          <w:p w14:paraId="51BA96F9" w14:textId="77777777" w:rsidR="00CA2D0E" w:rsidRPr="0058432E" w:rsidRDefault="00CA2D0E" w:rsidP="000D3575">
            <w:pPr>
              <w:keepNext/>
              <w:keepLines/>
              <w:rPr>
                <w:color w:val="000000" w:themeColor="text1"/>
              </w:rPr>
            </w:pPr>
          </w:p>
        </w:tc>
        <w:tc>
          <w:tcPr>
            <w:tcW w:w="0" w:type="auto"/>
            <w:tcBorders>
              <w:top w:val="single" w:sz="4" w:space="0" w:color="auto"/>
              <w:left w:val="single" w:sz="4" w:space="0" w:color="auto"/>
              <w:right w:val="single" w:sz="4" w:space="0" w:color="auto"/>
            </w:tcBorders>
          </w:tcPr>
          <w:p w14:paraId="7E3EB2B5" w14:textId="77777777" w:rsidR="00CA2D0E" w:rsidRPr="0058432E" w:rsidRDefault="00CA2D0E" w:rsidP="000D3575">
            <w:pPr>
              <w:keepNext/>
              <w:keepLines/>
              <w:rPr>
                <w:color w:val="000000" w:themeColor="text1"/>
              </w:rPr>
            </w:pPr>
            <w:r w:rsidRPr="0058432E">
              <w:rPr>
                <w:color w:val="000000" w:themeColor="text1"/>
              </w:rPr>
              <w:t>Cancer de la peau à l’exclusion du mélanome (y compris carcinome basocellulaire et carcinome malpighien spino-cellulaire),</w:t>
            </w:r>
          </w:p>
          <w:p w14:paraId="465ACB4E" w14:textId="77777777" w:rsidR="00CA2D0E" w:rsidRPr="0058432E" w:rsidRDefault="00CA2D0E" w:rsidP="000D3575">
            <w:pPr>
              <w:keepNext/>
              <w:keepLines/>
              <w:rPr>
                <w:color w:val="000000" w:themeColor="text1"/>
              </w:rPr>
            </w:pPr>
            <w:proofErr w:type="gramStart"/>
            <w:r w:rsidRPr="0058432E">
              <w:rPr>
                <w:color w:val="000000" w:themeColor="text1"/>
              </w:rPr>
              <w:t>tumeur</w:t>
            </w:r>
            <w:proofErr w:type="gramEnd"/>
            <w:r w:rsidRPr="0058432E">
              <w:rPr>
                <w:color w:val="000000" w:themeColor="text1"/>
              </w:rPr>
              <w:t xml:space="preserve"> bénigne</w:t>
            </w:r>
          </w:p>
        </w:tc>
      </w:tr>
      <w:tr w:rsidR="00CA2D0E" w:rsidRPr="0058432E" w14:paraId="1D644247" w14:textId="77777777" w:rsidTr="00776D2E">
        <w:trPr>
          <w:cantSplit/>
        </w:trPr>
        <w:tc>
          <w:tcPr>
            <w:tcW w:w="2628" w:type="dxa"/>
            <w:vMerge/>
            <w:tcBorders>
              <w:left w:val="single" w:sz="4" w:space="0" w:color="auto"/>
              <w:right w:val="single" w:sz="4" w:space="0" w:color="auto"/>
            </w:tcBorders>
          </w:tcPr>
          <w:p w14:paraId="51F85124" w14:textId="77777777" w:rsidR="00CA2D0E" w:rsidRPr="0058432E" w:rsidRDefault="00CA2D0E" w:rsidP="000D3575">
            <w:pPr>
              <w:keepNext/>
              <w:keepLines/>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3E4DA2ED" w14:textId="77777777" w:rsidR="00CA2D0E" w:rsidRPr="0058432E" w:rsidRDefault="00CA2D0E" w:rsidP="000D3575">
            <w:pPr>
              <w:keepNext/>
              <w:keepLines/>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43703790" w14:textId="77777777" w:rsidR="00CA2D0E" w:rsidRPr="0058432E" w:rsidRDefault="00CA2D0E" w:rsidP="000D3575">
            <w:pPr>
              <w:keepNext/>
              <w:keepLines/>
              <w:rPr>
                <w:color w:val="000000" w:themeColor="text1"/>
              </w:rPr>
            </w:pPr>
            <w:r w:rsidRPr="0058432E">
              <w:rPr>
                <w:color w:val="000000" w:themeColor="text1"/>
              </w:rPr>
              <w:t>Lymphome**,</w:t>
            </w:r>
          </w:p>
          <w:p w14:paraId="43106482" w14:textId="77777777" w:rsidR="00CA2D0E" w:rsidRPr="0058432E" w:rsidRDefault="00CA2D0E" w:rsidP="000D3575">
            <w:pPr>
              <w:keepNext/>
              <w:keepLines/>
              <w:rPr>
                <w:color w:val="000000" w:themeColor="text1"/>
              </w:rPr>
            </w:pPr>
            <w:proofErr w:type="gramStart"/>
            <w:r w:rsidRPr="0058432E">
              <w:rPr>
                <w:color w:val="000000" w:themeColor="text1"/>
              </w:rPr>
              <w:t>tumeurs</w:t>
            </w:r>
            <w:proofErr w:type="gramEnd"/>
            <w:r w:rsidRPr="0058432E">
              <w:rPr>
                <w:color w:val="000000" w:themeColor="text1"/>
              </w:rPr>
              <w:t xml:space="preserve"> des organes solides (y compris cancer du sein, du poumon et de la thyroïde),</w:t>
            </w:r>
          </w:p>
          <w:p w14:paraId="66EC96DB" w14:textId="77777777" w:rsidR="00CA2D0E" w:rsidRPr="0058432E" w:rsidRDefault="00CA2D0E" w:rsidP="000D3575">
            <w:pPr>
              <w:keepNext/>
              <w:keepLines/>
              <w:rPr>
                <w:color w:val="000000" w:themeColor="text1"/>
              </w:rPr>
            </w:pPr>
            <w:proofErr w:type="gramStart"/>
            <w:r w:rsidRPr="0058432E">
              <w:rPr>
                <w:color w:val="000000" w:themeColor="text1"/>
              </w:rPr>
              <w:t>mélanome</w:t>
            </w:r>
            <w:proofErr w:type="gramEnd"/>
            <w:r w:rsidRPr="0058432E">
              <w:rPr>
                <w:color w:val="000000" w:themeColor="text1"/>
              </w:rPr>
              <w:t>**</w:t>
            </w:r>
          </w:p>
        </w:tc>
      </w:tr>
      <w:tr w:rsidR="00CA2D0E" w:rsidRPr="0058432E" w14:paraId="7419737A" w14:textId="77777777" w:rsidTr="00776D2E">
        <w:trPr>
          <w:cantSplit/>
        </w:trPr>
        <w:tc>
          <w:tcPr>
            <w:tcW w:w="2628" w:type="dxa"/>
            <w:vMerge/>
            <w:tcBorders>
              <w:left w:val="single" w:sz="4" w:space="0" w:color="auto"/>
              <w:right w:val="single" w:sz="4" w:space="0" w:color="auto"/>
            </w:tcBorders>
          </w:tcPr>
          <w:p w14:paraId="2A4F54CB" w14:textId="77777777" w:rsidR="00CA2D0E" w:rsidRPr="0058432E" w:rsidRDefault="00CA2D0E" w:rsidP="000D3575">
            <w:pPr>
              <w:keepNext/>
              <w:keepLines/>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074AFA9" w14:textId="77777777" w:rsidR="00CA2D0E" w:rsidRPr="0058432E" w:rsidRDefault="00CA2D0E" w:rsidP="000D3575">
            <w:pPr>
              <w:keepNext/>
              <w:keepLines/>
              <w:rPr>
                <w:color w:val="000000" w:themeColor="text1"/>
              </w:rPr>
            </w:pPr>
            <w:r w:rsidRPr="0058432E">
              <w:rPr>
                <w:color w:val="000000" w:themeColor="text1"/>
              </w:rPr>
              <w:t>Rare</w:t>
            </w:r>
          </w:p>
        </w:tc>
        <w:tc>
          <w:tcPr>
            <w:tcW w:w="0" w:type="auto"/>
            <w:tcBorders>
              <w:left w:val="single" w:sz="4" w:space="0" w:color="auto"/>
              <w:right w:val="single" w:sz="4" w:space="0" w:color="auto"/>
            </w:tcBorders>
          </w:tcPr>
          <w:p w14:paraId="5783BDE9" w14:textId="77777777" w:rsidR="00CA2D0E" w:rsidRPr="0058432E" w:rsidRDefault="00CA2D0E" w:rsidP="000D3575">
            <w:pPr>
              <w:keepNext/>
              <w:keepLines/>
              <w:rPr>
                <w:color w:val="000000" w:themeColor="text1"/>
              </w:rPr>
            </w:pPr>
            <w:r w:rsidRPr="0058432E">
              <w:rPr>
                <w:color w:val="000000" w:themeColor="text1"/>
              </w:rPr>
              <w:t>Leucémie</w:t>
            </w:r>
            <w:r w:rsidRPr="0058432E">
              <w:rPr>
                <w:color w:val="000000" w:themeColor="text1"/>
                <w:vertAlign w:val="superscript"/>
              </w:rPr>
              <w:t>1</w:t>
            </w:r>
          </w:p>
        </w:tc>
      </w:tr>
      <w:tr w:rsidR="00CA2D0E" w:rsidRPr="0058432E" w14:paraId="606D3473" w14:textId="77777777" w:rsidTr="00776D2E">
        <w:trPr>
          <w:cantSplit/>
        </w:trPr>
        <w:tc>
          <w:tcPr>
            <w:tcW w:w="2628" w:type="dxa"/>
            <w:vMerge/>
            <w:tcBorders>
              <w:left w:val="single" w:sz="4" w:space="0" w:color="auto"/>
              <w:bottom w:val="single" w:sz="4" w:space="0" w:color="auto"/>
              <w:right w:val="single" w:sz="4" w:space="0" w:color="auto"/>
            </w:tcBorders>
          </w:tcPr>
          <w:p w14:paraId="0F6FF560" w14:textId="77777777" w:rsidR="00CA2D0E" w:rsidRPr="0058432E" w:rsidRDefault="00CA2D0E" w:rsidP="000D3575">
            <w:pPr>
              <w:keepNext/>
              <w:keepLines/>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552526A3" w14:textId="77777777" w:rsidR="00CA2D0E" w:rsidRPr="0058432E" w:rsidRDefault="00CA2D0E" w:rsidP="000D3575">
            <w:pPr>
              <w:keepNext/>
              <w:keepLines/>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0D480EFD" w14:textId="77777777" w:rsidR="00CA2D0E" w:rsidRPr="0058432E" w:rsidRDefault="00CA2D0E" w:rsidP="000D3575">
            <w:pPr>
              <w:keepNext/>
              <w:keepLines/>
              <w:rPr>
                <w:color w:val="000000" w:themeColor="text1"/>
              </w:rPr>
            </w:pPr>
            <w:r w:rsidRPr="0058432E">
              <w:rPr>
                <w:color w:val="000000" w:themeColor="text1"/>
              </w:rPr>
              <w:t>Lymphome hépatosplénique à lymphocytes T</w:t>
            </w:r>
            <w:r w:rsidRPr="0058432E">
              <w:rPr>
                <w:color w:val="000000" w:themeColor="text1"/>
                <w:vertAlign w:val="superscript"/>
              </w:rPr>
              <w:t>1</w:t>
            </w:r>
            <w:r w:rsidRPr="0058432E">
              <w:rPr>
                <w:color w:val="000000" w:themeColor="text1"/>
              </w:rPr>
              <w:t>,</w:t>
            </w:r>
          </w:p>
          <w:p w14:paraId="2073B63C" w14:textId="77777777" w:rsidR="00CA2D0E" w:rsidRPr="0058432E" w:rsidRDefault="00CA2D0E" w:rsidP="000D3575">
            <w:pPr>
              <w:keepNext/>
              <w:keepLines/>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(carcinome neuroendocrine cutané)</w:t>
            </w:r>
            <w:r w:rsidRPr="0058432E">
              <w:rPr>
                <w:color w:val="000000" w:themeColor="text1"/>
                <w:vertAlign w:val="superscript"/>
              </w:rPr>
              <w:t>1</w:t>
            </w:r>
            <w:r w:rsidR="007B2F70" w:rsidRPr="0058432E">
              <w:rPr>
                <w:color w:val="000000" w:themeColor="text1"/>
              </w:rPr>
              <w:t>,</w:t>
            </w:r>
          </w:p>
          <w:p w14:paraId="1222E9BA" w14:textId="77777777" w:rsidR="007B2F70" w:rsidRPr="0058432E" w:rsidRDefault="007B2F70" w:rsidP="000D3575">
            <w:pPr>
              <w:keepNext/>
              <w:keepLines/>
              <w:rPr>
                <w:color w:val="000000" w:themeColor="text1"/>
              </w:rPr>
            </w:pPr>
            <w:proofErr w:type="gramStart"/>
            <w:r w:rsidRPr="0058432E">
              <w:rPr>
                <w:color w:val="000000" w:themeColor="text1"/>
              </w:rPr>
              <w:t>sarcome</w:t>
            </w:r>
            <w:proofErr w:type="gramEnd"/>
            <w:r w:rsidRPr="0058432E">
              <w:rPr>
                <w:color w:val="000000" w:themeColor="text1"/>
              </w:rPr>
              <w:t xml:space="preserve"> de Kaposi</w:t>
            </w:r>
          </w:p>
        </w:tc>
      </w:tr>
      <w:tr w:rsidR="00CA2D0E" w:rsidRPr="0058432E" w14:paraId="6E5F3A00"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5881FC3D" w14:textId="77777777" w:rsidR="00CA2D0E" w:rsidRPr="0058432E" w:rsidRDefault="00CA2D0E" w:rsidP="00982118">
            <w:pPr>
              <w:rPr>
                <w:color w:val="000000" w:themeColor="text1"/>
              </w:rPr>
            </w:pPr>
            <w:r w:rsidRPr="0058432E">
              <w:rPr>
                <w:color w:val="000000" w:themeColor="text1"/>
              </w:rPr>
              <w:t>Affections hématologiques et du système lymphatique*</w:t>
            </w:r>
          </w:p>
        </w:tc>
        <w:tc>
          <w:tcPr>
            <w:tcW w:w="1695" w:type="dxa"/>
            <w:tcBorders>
              <w:top w:val="single" w:sz="4" w:space="0" w:color="auto"/>
              <w:left w:val="single" w:sz="4" w:space="0" w:color="auto"/>
              <w:bottom w:val="single" w:sz="4" w:space="0" w:color="auto"/>
              <w:right w:val="single" w:sz="4" w:space="0" w:color="auto"/>
            </w:tcBorders>
          </w:tcPr>
          <w:p w14:paraId="0DB68F8C" w14:textId="77777777" w:rsidR="00CA2D0E" w:rsidRPr="0058432E" w:rsidRDefault="00CA2D0E" w:rsidP="00982118">
            <w:pPr>
              <w:rPr>
                <w:color w:val="000000" w:themeColor="text1"/>
              </w:rPr>
            </w:pPr>
            <w:r w:rsidRPr="0058432E">
              <w:rPr>
                <w:color w:val="000000" w:themeColor="text1"/>
              </w:rPr>
              <w:t>Très fréquent</w:t>
            </w:r>
          </w:p>
          <w:p w14:paraId="2FADAA1A" w14:textId="77777777" w:rsidR="00CA2D0E" w:rsidRPr="0058432E" w:rsidRDefault="00CA2D0E" w:rsidP="00982118">
            <w:pPr>
              <w:rPr>
                <w:color w:val="000000" w:themeColor="text1"/>
              </w:rPr>
            </w:pPr>
          </w:p>
        </w:tc>
        <w:tc>
          <w:tcPr>
            <w:tcW w:w="0" w:type="auto"/>
            <w:tcBorders>
              <w:top w:val="single" w:sz="4" w:space="0" w:color="auto"/>
              <w:left w:val="single" w:sz="4" w:space="0" w:color="auto"/>
              <w:right w:val="single" w:sz="4" w:space="0" w:color="auto"/>
            </w:tcBorders>
          </w:tcPr>
          <w:p w14:paraId="346382C9" w14:textId="77777777" w:rsidR="00CA2D0E" w:rsidRPr="0058432E" w:rsidRDefault="00CA2D0E" w:rsidP="00982118">
            <w:pPr>
              <w:autoSpaceDE w:val="0"/>
              <w:autoSpaceDN w:val="0"/>
              <w:adjustRightInd w:val="0"/>
              <w:rPr>
                <w:color w:val="000000" w:themeColor="text1"/>
              </w:rPr>
            </w:pPr>
            <w:r w:rsidRPr="0058432E">
              <w:rPr>
                <w:color w:val="000000" w:themeColor="text1"/>
              </w:rPr>
              <w:t>Leucopénie (y compris neutropénie et agranulocytose),</w:t>
            </w:r>
          </w:p>
          <w:p w14:paraId="689D1C9A" w14:textId="77777777" w:rsidR="00CA2D0E" w:rsidRPr="0058432E" w:rsidRDefault="00CA2D0E" w:rsidP="000D3575">
            <w:pPr>
              <w:rPr>
                <w:color w:val="000000" w:themeColor="text1"/>
              </w:rPr>
            </w:pPr>
            <w:proofErr w:type="gramStart"/>
            <w:r w:rsidRPr="0058432E">
              <w:rPr>
                <w:color w:val="000000" w:themeColor="text1"/>
              </w:rPr>
              <w:t>anémie</w:t>
            </w:r>
            <w:proofErr w:type="gramEnd"/>
          </w:p>
        </w:tc>
      </w:tr>
      <w:tr w:rsidR="00CA2D0E" w:rsidRPr="0058432E" w14:paraId="0657AACC" w14:textId="77777777" w:rsidTr="00776D2E">
        <w:trPr>
          <w:cantSplit/>
        </w:trPr>
        <w:tc>
          <w:tcPr>
            <w:tcW w:w="2628" w:type="dxa"/>
            <w:vMerge/>
            <w:tcBorders>
              <w:left w:val="single" w:sz="4" w:space="0" w:color="auto"/>
              <w:right w:val="single" w:sz="4" w:space="0" w:color="auto"/>
            </w:tcBorders>
          </w:tcPr>
          <w:p w14:paraId="56410E15"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8C60DAE" w14:textId="77777777" w:rsidR="00CA2D0E" w:rsidRPr="0058432E" w:rsidRDefault="00CA2D0E" w:rsidP="00982118">
            <w:pPr>
              <w:rPr>
                <w:color w:val="000000" w:themeColor="text1"/>
              </w:rPr>
            </w:pPr>
            <w:r w:rsidRPr="0058432E">
              <w:rPr>
                <w:color w:val="000000" w:themeColor="text1"/>
              </w:rPr>
              <w:t>Fréquent</w:t>
            </w:r>
          </w:p>
          <w:p w14:paraId="01077BB8"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1721FB77" w14:textId="77777777" w:rsidR="00CA2D0E" w:rsidRPr="0058432E" w:rsidRDefault="00CA2D0E" w:rsidP="00982118">
            <w:pPr>
              <w:autoSpaceDE w:val="0"/>
              <w:autoSpaceDN w:val="0"/>
              <w:adjustRightInd w:val="0"/>
              <w:rPr>
                <w:color w:val="000000" w:themeColor="text1"/>
              </w:rPr>
            </w:pPr>
            <w:r w:rsidRPr="0058432E">
              <w:rPr>
                <w:color w:val="000000" w:themeColor="text1"/>
              </w:rPr>
              <w:t>Leucocytose,</w:t>
            </w:r>
          </w:p>
          <w:p w14:paraId="0DB8D1DC" w14:textId="77777777" w:rsidR="00CA2D0E" w:rsidRPr="0058432E" w:rsidDel="00437FA1" w:rsidRDefault="00CA2D0E" w:rsidP="000D3575">
            <w:pPr>
              <w:rPr>
                <w:color w:val="000000" w:themeColor="text1"/>
              </w:rPr>
            </w:pPr>
            <w:proofErr w:type="gramStart"/>
            <w:r w:rsidRPr="0058432E">
              <w:rPr>
                <w:color w:val="000000" w:themeColor="text1"/>
              </w:rPr>
              <w:t>thrombocytopénie</w:t>
            </w:r>
            <w:proofErr w:type="gramEnd"/>
          </w:p>
        </w:tc>
      </w:tr>
      <w:tr w:rsidR="00CA2D0E" w:rsidRPr="0058432E" w14:paraId="372B9CF1" w14:textId="77777777" w:rsidTr="00776D2E">
        <w:trPr>
          <w:cantSplit/>
        </w:trPr>
        <w:tc>
          <w:tcPr>
            <w:tcW w:w="2628" w:type="dxa"/>
            <w:vMerge/>
            <w:tcBorders>
              <w:left w:val="single" w:sz="4" w:space="0" w:color="auto"/>
              <w:right w:val="single" w:sz="4" w:space="0" w:color="auto"/>
            </w:tcBorders>
          </w:tcPr>
          <w:p w14:paraId="6C4002FA"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6EBF0F1D" w14:textId="77777777" w:rsidR="00CA2D0E" w:rsidRPr="0058432E" w:rsidRDefault="00CA2D0E" w:rsidP="000D3575">
            <w:pPr>
              <w:rPr>
                <w:color w:val="000000" w:themeColor="text1"/>
              </w:rPr>
            </w:pPr>
            <w:r w:rsidRPr="0058432E">
              <w:rPr>
                <w:color w:val="000000" w:themeColor="text1"/>
              </w:rPr>
              <w:t>Peu fréquent</w:t>
            </w:r>
          </w:p>
        </w:tc>
        <w:tc>
          <w:tcPr>
            <w:tcW w:w="0" w:type="auto"/>
            <w:tcBorders>
              <w:left w:val="single" w:sz="4" w:space="0" w:color="auto"/>
              <w:right w:val="single" w:sz="4" w:space="0" w:color="auto"/>
            </w:tcBorders>
          </w:tcPr>
          <w:p w14:paraId="32B3CF7C" w14:textId="77777777" w:rsidR="00CA2D0E" w:rsidRPr="0058432E" w:rsidDel="00437FA1" w:rsidRDefault="00CA2D0E" w:rsidP="000D3575">
            <w:pPr>
              <w:rPr>
                <w:color w:val="000000" w:themeColor="text1"/>
              </w:rPr>
            </w:pPr>
            <w:r w:rsidRPr="0058432E">
              <w:rPr>
                <w:color w:val="000000" w:themeColor="text1"/>
              </w:rPr>
              <w:t>Purpura thrombopénique idiopathique</w:t>
            </w:r>
          </w:p>
        </w:tc>
      </w:tr>
      <w:tr w:rsidR="00CA2D0E" w:rsidRPr="0058432E" w14:paraId="797E47AA" w14:textId="77777777" w:rsidTr="00776D2E">
        <w:trPr>
          <w:cantSplit/>
        </w:trPr>
        <w:tc>
          <w:tcPr>
            <w:tcW w:w="2628" w:type="dxa"/>
            <w:vMerge/>
            <w:tcBorders>
              <w:left w:val="single" w:sz="4" w:space="0" w:color="auto"/>
              <w:bottom w:val="single" w:sz="4" w:space="0" w:color="auto"/>
              <w:right w:val="single" w:sz="4" w:space="0" w:color="auto"/>
            </w:tcBorders>
          </w:tcPr>
          <w:p w14:paraId="1F309BAD"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26D0F253" w14:textId="77777777" w:rsidR="00CA2D0E" w:rsidRPr="0058432E" w:rsidRDefault="00CA2D0E"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38ED0FA7" w14:textId="77777777" w:rsidR="00CA2D0E" w:rsidRPr="0058432E" w:rsidDel="00437FA1" w:rsidRDefault="00CA2D0E" w:rsidP="00982118">
            <w:pPr>
              <w:autoSpaceDE w:val="0"/>
              <w:autoSpaceDN w:val="0"/>
              <w:adjustRightInd w:val="0"/>
              <w:rPr>
                <w:color w:val="000000" w:themeColor="text1"/>
              </w:rPr>
            </w:pPr>
            <w:r w:rsidRPr="0058432E">
              <w:rPr>
                <w:color w:val="000000" w:themeColor="text1"/>
              </w:rPr>
              <w:t>Pancytopénie</w:t>
            </w:r>
          </w:p>
        </w:tc>
      </w:tr>
      <w:tr w:rsidR="00CA2D0E" w:rsidRPr="0058432E" w14:paraId="340A87D1"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7C904854" w14:textId="77777777" w:rsidR="00CA2D0E" w:rsidRPr="0058432E" w:rsidRDefault="00CA2D0E" w:rsidP="00982118">
            <w:pPr>
              <w:rPr>
                <w:color w:val="000000" w:themeColor="text1"/>
              </w:rPr>
            </w:pPr>
            <w:r w:rsidRPr="0058432E">
              <w:rPr>
                <w:color w:val="000000" w:themeColor="text1"/>
              </w:rPr>
              <w:t>Affections du système immunitaire*</w:t>
            </w:r>
          </w:p>
        </w:tc>
        <w:tc>
          <w:tcPr>
            <w:tcW w:w="1695" w:type="dxa"/>
            <w:tcBorders>
              <w:top w:val="single" w:sz="4" w:space="0" w:color="auto"/>
              <w:left w:val="single" w:sz="4" w:space="0" w:color="auto"/>
              <w:bottom w:val="single" w:sz="4" w:space="0" w:color="auto"/>
              <w:right w:val="single" w:sz="4" w:space="0" w:color="auto"/>
            </w:tcBorders>
          </w:tcPr>
          <w:p w14:paraId="4633BD38" w14:textId="77777777" w:rsidR="00CA2D0E" w:rsidRPr="0058432E" w:rsidRDefault="00CA2D0E" w:rsidP="00982118">
            <w:pPr>
              <w:rPr>
                <w:color w:val="000000" w:themeColor="text1"/>
              </w:rPr>
            </w:pPr>
            <w:r w:rsidRPr="0058432E">
              <w:rPr>
                <w:color w:val="000000" w:themeColor="text1"/>
              </w:rPr>
              <w:t>Fréquent</w:t>
            </w:r>
          </w:p>
          <w:p w14:paraId="49EEED2D" w14:textId="77777777" w:rsidR="00CA2D0E" w:rsidRPr="0058432E" w:rsidRDefault="00CA2D0E" w:rsidP="00982118">
            <w:pPr>
              <w:rPr>
                <w:color w:val="000000" w:themeColor="text1"/>
              </w:rPr>
            </w:pPr>
          </w:p>
        </w:tc>
        <w:tc>
          <w:tcPr>
            <w:tcW w:w="0" w:type="auto"/>
            <w:tcBorders>
              <w:top w:val="single" w:sz="4" w:space="0" w:color="auto"/>
              <w:left w:val="single" w:sz="4" w:space="0" w:color="auto"/>
              <w:right w:val="single" w:sz="4" w:space="0" w:color="auto"/>
            </w:tcBorders>
          </w:tcPr>
          <w:p w14:paraId="6E0DBD66" w14:textId="77777777" w:rsidR="00CA2D0E" w:rsidRPr="0058432E" w:rsidRDefault="00CA2D0E" w:rsidP="00982118">
            <w:pPr>
              <w:rPr>
                <w:color w:val="000000" w:themeColor="text1"/>
              </w:rPr>
            </w:pPr>
            <w:r w:rsidRPr="0058432E">
              <w:rPr>
                <w:color w:val="000000" w:themeColor="text1"/>
              </w:rPr>
              <w:t>Hypersensibilité,</w:t>
            </w:r>
          </w:p>
          <w:p w14:paraId="2027DB08" w14:textId="77777777" w:rsidR="00CA2D0E" w:rsidRPr="0058432E" w:rsidRDefault="00CA2D0E" w:rsidP="000D3575">
            <w:pPr>
              <w:rPr>
                <w:color w:val="000000" w:themeColor="text1"/>
              </w:rPr>
            </w:pPr>
            <w:proofErr w:type="gramStart"/>
            <w:r w:rsidRPr="0058432E">
              <w:rPr>
                <w:color w:val="000000" w:themeColor="text1"/>
              </w:rPr>
              <w:t>allergies</w:t>
            </w:r>
            <w:proofErr w:type="gramEnd"/>
            <w:r w:rsidRPr="0058432E">
              <w:rPr>
                <w:color w:val="000000" w:themeColor="text1"/>
              </w:rPr>
              <w:t xml:space="preserve"> (y compris allergie saisonnière)</w:t>
            </w:r>
          </w:p>
        </w:tc>
      </w:tr>
      <w:tr w:rsidR="00CA2D0E" w:rsidRPr="0058432E" w14:paraId="1A12C4D1" w14:textId="77777777" w:rsidTr="00776D2E">
        <w:trPr>
          <w:cantSplit/>
        </w:trPr>
        <w:tc>
          <w:tcPr>
            <w:tcW w:w="2628" w:type="dxa"/>
            <w:vMerge/>
            <w:tcBorders>
              <w:left w:val="single" w:sz="4" w:space="0" w:color="auto"/>
              <w:right w:val="single" w:sz="4" w:space="0" w:color="auto"/>
            </w:tcBorders>
          </w:tcPr>
          <w:p w14:paraId="13092276"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607BD1EC" w14:textId="77777777" w:rsidR="00CA2D0E" w:rsidRPr="0058432E" w:rsidRDefault="00CA2D0E" w:rsidP="00982118">
            <w:pPr>
              <w:rPr>
                <w:color w:val="000000" w:themeColor="text1"/>
              </w:rPr>
            </w:pPr>
            <w:r w:rsidRPr="0058432E">
              <w:rPr>
                <w:color w:val="000000" w:themeColor="text1"/>
              </w:rPr>
              <w:t>Peu fréquent</w:t>
            </w:r>
          </w:p>
          <w:p w14:paraId="09312866"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3DE7867B" w14:textId="77777777" w:rsidR="00CA2D0E" w:rsidRPr="0058432E" w:rsidRDefault="00CA2D0E" w:rsidP="00982118">
            <w:pPr>
              <w:rPr>
                <w:color w:val="000000" w:themeColor="text1"/>
              </w:rPr>
            </w:pPr>
            <w:r w:rsidRPr="0058432E">
              <w:rPr>
                <w:color w:val="000000" w:themeColor="text1"/>
              </w:rPr>
              <w:t>Sarcoïdose</w:t>
            </w:r>
            <w:r w:rsidRPr="0058432E">
              <w:rPr>
                <w:color w:val="000000" w:themeColor="text1"/>
                <w:vertAlign w:val="superscript"/>
              </w:rPr>
              <w:t>1</w:t>
            </w:r>
            <w:r w:rsidRPr="0058432E">
              <w:rPr>
                <w:color w:val="000000" w:themeColor="text1"/>
              </w:rPr>
              <w:t>,</w:t>
            </w:r>
          </w:p>
          <w:p w14:paraId="761EE3B6" w14:textId="77777777" w:rsidR="00CA2D0E" w:rsidRPr="0058432E" w:rsidRDefault="00CA2D0E" w:rsidP="000D3575">
            <w:pPr>
              <w:rPr>
                <w:color w:val="000000" w:themeColor="text1"/>
              </w:rPr>
            </w:pPr>
            <w:proofErr w:type="gramStart"/>
            <w:r w:rsidRPr="0058432E">
              <w:rPr>
                <w:color w:val="000000" w:themeColor="text1"/>
              </w:rPr>
              <w:t>vascularite</w:t>
            </w:r>
            <w:proofErr w:type="gramEnd"/>
          </w:p>
        </w:tc>
      </w:tr>
      <w:tr w:rsidR="00CA2D0E" w:rsidRPr="0058432E" w14:paraId="112D4DC0" w14:textId="77777777" w:rsidTr="00776D2E">
        <w:trPr>
          <w:cantSplit/>
        </w:trPr>
        <w:tc>
          <w:tcPr>
            <w:tcW w:w="2628" w:type="dxa"/>
            <w:vMerge/>
            <w:tcBorders>
              <w:left w:val="single" w:sz="4" w:space="0" w:color="auto"/>
              <w:bottom w:val="single" w:sz="4" w:space="0" w:color="auto"/>
              <w:right w:val="single" w:sz="4" w:space="0" w:color="auto"/>
            </w:tcBorders>
          </w:tcPr>
          <w:p w14:paraId="5D15379A"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202F932" w14:textId="77777777" w:rsidR="00CA2D0E" w:rsidRPr="0058432E" w:rsidRDefault="00CA2D0E"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171EBC5F" w14:textId="77777777" w:rsidR="00CA2D0E" w:rsidRPr="0058432E" w:rsidRDefault="00CA2D0E" w:rsidP="000D3575">
            <w:pPr>
              <w:rPr>
                <w:color w:val="000000" w:themeColor="text1"/>
              </w:rPr>
            </w:pPr>
            <w:r w:rsidRPr="0058432E">
              <w:rPr>
                <w:color w:val="000000" w:themeColor="text1"/>
              </w:rPr>
              <w:t>Anaphylaxie</w:t>
            </w:r>
            <w:r w:rsidRPr="0058432E">
              <w:rPr>
                <w:color w:val="000000" w:themeColor="text1"/>
                <w:vertAlign w:val="superscript"/>
              </w:rPr>
              <w:t>1</w:t>
            </w:r>
          </w:p>
        </w:tc>
      </w:tr>
      <w:tr w:rsidR="00CA2D0E" w:rsidRPr="0058432E" w14:paraId="326C75B4"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120C6BEF" w14:textId="77777777" w:rsidR="00CA2D0E" w:rsidRPr="0058432E" w:rsidRDefault="00CA2D0E" w:rsidP="00982118">
            <w:pPr>
              <w:rPr>
                <w:color w:val="000000" w:themeColor="text1"/>
              </w:rPr>
            </w:pPr>
            <w:r w:rsidRPr="0058432E">
              <w:rPr>
                <w:color w:val="000000" w:themeColor="text1"/>
              </w:rPr>
              <w:t>Troubles du métabolisme et de la nutrition</w:t>
            </w:r>
          </w:p>
        </w:tc>
        <w:tc>
          <w:tcPr>
            <w:tcW w:w="1695" w:type="dxa"/>
            <w:tcBorders>
              <w:top w:val="single" w:sz="4" w:space="0" w:color="auto"/>
              <w:left w:val="single" w:sz="4" w:space="0" w:color="auto"/>
              <w:bottom w:val="single" w:sz="4" w:space="0" w:color="auto"/>
              <w:right w:val="single" w:sz="4" w:space="0" w:color="auto"/>
            </w:tcBorders>
          </w:tcPr>
          <w:p w14:paraId="0195779C" w14:textId="77777777" w:rsidR="00CA2D0E" w:rsidRPr="0058432E" w:rsidRDefault="00CA2D0E"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5E1A4F98" w14:textId="77777777" w:rsidR="00CA2D0E" w:rsidRPr="0058432E" w:rsidRDefault="00D27632" w:rsidP="000D3575">
            <w:pPr>
              <w:rPr>
                <w:color w:val="000000" w:themeColor="text1"/>
              </w:rPr>
            </w:pPr>
            <w:r w:rsidRPr="0058432E">
              <w:rPr>
                <w:color w:val="000000" w:themeColor="text1"/>
              </w:rPr>
              <w:t>L</w:t>
            </w:r>
            <w:r w:rsidR="00CA2D0E" w:rsidRPr="0058432E">
              <w:rPr>
                <w:color w:val="000000" w:themeColor="text1"/>
              </w:rPr>
              <w:t>ipides</w:t>
            </w:r>
            <w:r w:rsidRPr="0058432E">
              <w:rPr>
                <w:color w:val="000000" w:themeColor="text1"/>
              </w:rPr>
              <w:t xml:space="preserve"> augmentés</w:t>
            </w:r>
          </w:p>
        </w:tc>
      </w:tr>
      <w:tr w:rsidR="00CA2D0E" w:rsidRPr="0058432E" w14:paraId="337CA2B0" w14:textId="77777777" w:rsidTr="00776D2E">
        <w:trPr>
          <w:cantSplit/>
        </w:trPr>
        <w:tc>
          <w:tcPr>
            <w:tcW w:w="2628" w:type="dxa"/>
            <w:vMerge/>
            <w:tcBorders>
              <w:left w:val="single" w:sz="4" w:space="0" w:color="auto"/>
              <w:bottom w:val="single" w:sz="4" w:space="0" w:color="auto"/>
              <w:right w:val="single" w:sz="4" w:space="0" w:color="auto"/>
            </w:tcBorders>
          </w:tcPr>
          <w:p w14:paraId="05EC4686"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545A24C5" w14:textId="77777777" w:rsidR="00CA2D0E" w:rsidRPr="0058432E" w:rsidRDefault="00CA2D0E" w:rsidP="00982118">
            <w:pPr>
              <w:rPr>
                <w:color w:val="000000" w:themeColor="text1"/>
              </w:rPr>
            </w:pPr>
            <w:r w:rsidRPr="0058432E">
              <w:rPr>
                <w:color w:val="000000" w:themeColor="text1"/>
              </w:rPr>
              <w:t>Fréquent</w:t>
            </w:r>
          </w:p>
        </w:tc>
        <w:tc>
          <w:tcPr>
            <w:tcW w:w="0" w:type="auto"/>
            <w:tcBorders>
              <w:left w:val="single" w:sz="4" w:space="0" w:color="auto"/>
              <w:bottom w:val="single" w:sz="4" w:space="0" w:color="auto"/>
              <w:right w:val="single" w:sz="4" w:space="0" w:color="auto"/>
            </w:tcBorders>
          </w:tcPr>
          <w:p w14:paraId="21418C35" w14:textId="77777777" w:rsidR="00CA2D0E" w:rsidRPr="0058432E" w:rsidRDefault="00CA2D0E" w:rsidP="00982118">
            <w:pPr>
              <w:rPr>
                <w:color w:val="000000" w:themeColor="text1"/>
              </w:rPr>
            </w:pPr>
            <w:r w:rsidRPr="0058432E">
              <w:rPr>
                <w:color w:val="000000" w:themeColor="text1"/>
              </w:rPr>
              <w:t>Hypokaliémie,</w:t>
            </w:r>
          </w:p>
          <w:p w14:paraId="6AACA3A5" w14:textId="77777777" w:rsidR="00CA2D0E" w:rsidRPr="0058432E" w:rsidRDefault="00CA2D0E" w:rsidP="00982118">
            <w:pPr>
              <w:rPr>
                <w:color w:val="000000" w:themeColor="text1"/>
              </w:rPr>
            </w:pPr>
            <w:proofErr w:type="gramStart"/>
            <w:r w:rsidRPr="0058432E">
              <w:rPr>
                <w:color w:val="000000" w:themeColor="text1"/>
              </w:rPr>
              <w:t>acide</w:t>
            </w:r>
            <w:proofErr w:type="gramEnd"/>
            <w:r w:rsidRPr="0058432E">
              <w:rPr>
                <w:color w:val="000000" w:themeColor="text1"/>
              </w:rPr>
              <w:t xml:space="preserve"> urique</w:t>
            </w:r>
            <w:r w:rsidR="00F83260" w:rsidRPr="0058432E">
              <w:rPr>
                <w:color w:val="000000" w:themeColor="text1"/>
              </w:rPr>
              <w:t xml:space="preserve"> augmenté</w:t>
            </w:r>
            <w:r w:rsidRPr="0058432E">
              <w:rPr>
                <w:color w:val="000000" w:themeColor="text1"/>
              </w:rPr>
              <w:t>,</w:t>
            </w:r>
          </w:p>
          <w:p w14:paraId="7C0EDB56" w14:textId="77777777" w:rsidR="00CA2D0E" w:rsidRPr="0058432E" w:rsidRDefault="00F83260" w:rsidP="00982118">
            <w:pPr>
              <w:autoSpaceDE w:val="0"/>
              <w:autoSpaceDN w:val="0"/>
              <w:adjustRightInd w:val="0"/>
              <w:rPr>
                <w:color w:val="000000" w:themeColor="text1"/>
              </w:rPr>
            </w:pPr>
            <w:proofErr w:type="gramStart"/>
            <w:r w:rsidRPr="0058432E">
              <w:rPr>
                <w:color w:val="000000" w:themeColor="text1"/>
              </w:rPr>
              <w:t>sodium</w:t>
            </w:r>
            <w:proofErr w:type="gramEnd"/>
            <w:r w:rsidRPr="0058432E">
              <w:rPr>
                <w:color w:val="000000" w:themeColor="text1"/>
              </w:rPr>
              <w:t xml:space="preserve"> sanguin anormal</w:t>
            </w:r>
            <w:r w:rsidR="00CA2D0E" w:rsidRPr="0058432E">
              <w:rPr>
                <w:color w:val="000000" w:themeColor="text1"/>
              </w:rPr>
              <w:t>,</w:t>
            </w:r>
          </w:p>
          <w:p w14:paraId="61016FBF"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hypocalcémie</w:t>
            </w:r>
            <w:proofErr w:type="gramEnd"/>
            <w:r w:rsidRPr="0058432E">
              <w:rPr>
                <w:color w:val="000000" w:themeColor="text1"/>
              </w:rPr>
              <w:t>,</w:t>
            </w:r>
          </w:p>
          <w:p w14:paraId="0F28D5D2"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hyperglycémie</w:t>
            </w:r>
            <w:proofErr w:type="gramEnd"/>
            <w:r w:rsidRPr="0058432E">
              <w:rPr>
                <w:color w:val="000000" w:themeColor="text1"/>
              </w:rPr>
              <w:t>,</w:t>
            </w:r>
          </w:p>
          <w:p w14:paraId="2C9F8E31"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hypophosphatémie</w:t>
            </w:r>
            <w:proofErr w:type="gramEnd"/>
            <w:r w:rsidRPr="0058432E">
              <w:rPr>
                <w:color w:val="000000" w:themeColor="text1"/>
              </w:rPr>
              <w:t>,</w:t>
            </w:r>
          </w:p>
          <w:p w14:paraId="001EAA6C" w14:textId="77777777" w:rsidR="00CA2D0E" w:rsidRPr="0058432E" w:rsidDel="00437FA1" w:rsidRDefault="00CA2D0E" w:rsidP="000D3575">
            <w:pPr>
              <w:rPr>
                <w:color w:val="000000" w:themeColor="text1"/>
              </w:rPr>
            </w:pPr>
            <w:proofErr w:type="gramStart"/>
            <w:r w:rsidRPr="0058432E">
              <w:rPr>
                <w:color w:val="000000" w:themeColor="text1"/>
              </w:rPr>
              <w:t>déshydratation</w:t>
            </w:r>
            <w:proofErr w:type="gramEnd"/>
          </w:p>
        </w:tc>
      </w:tr>
      <w:tr w:rsidR="00CA2D0E" w:rsidRPr="0058432E" w14:paraId="10D240B3" w14:textId="77777777" w:rsidTr="00776D2E">
        <w:trPr>
          <w:cantSplit/>
        </w:trPr>
        <w:tc>
          <w:tcPr>
            <w:tcW w:w="2628" w:type="dxa"/>
            <w:tcBorders>
              <w:top w:val="single" w:sz="4" w:space="0" w:color="auto"/>
              <w:left w:val="single" w:sz="4" w:space="0" w:color="auto"/>
              <w:bottom w:val="single" w:sz="4" w:space="0" w:color="auto"/>
              <w:right w:val="single" w:sz="4" w:space="0" w:color="auto"/>
            </w:tcBorders>
            <w:hideMark/>
          </w:tcPr>
          <w:p w14:paraId="4F7A0F48" w14:textId="77777777" w:rsidR="00CA2D0E" w:rsidRPr="0058432E" w:rsidRDefault="00CA2D0E" w:rsidP="00982118">
            <w:pPr>
              <w:rPr>
                <w:color w:val="000000" w:themeColor="text1"/>
              </w:rPr>
            </w:pPr>
            <w:r w:rsidRPr="0058432E">
              <w:rPr>
                <w:color w:val="000000" w:themeColor="text1"/>
              </w:rPr>
              <w:t>Affections psychiatriques</w:t>
            </w:r>
          </w:p>
        </w:tc>
        <w:tc>
          <w:tcPr>
            <w:tcW w:w="1695" w:type="dxa"/>
            <w:tcBorders>
              <w:top w:val="single" w:sz="4" w:space="0" w:color="auto"/>
              <w:left w:val="single" w:sz="4" w:space="0" w:color="auto"/>
              <w:bottom w:val="single" w:sz="4" w:space="0" w:color="auto"/>
              <w:right w:val="single" w:sz="4" w:space="0" w:color="auto"/>
            </w:tcBorders>
            <w:hideMark/>
          </w:tcPr>
          <w:p w14:paraId="18A9211D" w14:textId="77777777" w:rsidR="00CA2D0E" w:rsidRPr="0058432E" w:rsidRDefault="00CA2D0E"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2B6814DA" w14:textId="77777777" w:rsidR="00CA2D0E" w:rsidRPr="0058432E" w:rsidRDefault="00CA2D0E" w:rsidP="00982118">
            <w:pPr>
              <w:autoSpaceDE w:val="0"/>
              <w:autoSpaceDN w:val="0"/>
              <w:adjustRightInd w:val="0"/>
              <w:rPr>
                <w:color w:val="000000" w:themeColor="text1"/>
              </w:rPr>
            </w:pPr>
            <w:r w:rsidRPr="0058432E">
              <w:rPr>
                <w:color w:val="000000" w:themeColor="text1"/>
              </w:rPr>
              <w:t>Troubles de l’humeur (y compris dépression),</w:t>
            </w:r>
          </w:p>
          <w:p w14:paraId="52F4B554"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anxiété</w:t>
            </w:r>
            <w:proofErr w:type="gramEnd"/>
            <w:r w:rsidRPr="0058432E">
              <w:rPr>
                <w:color w:val="000000" w:themeColor="text1"/>
              </w:rPr>
              <w:t>,</w:t>
            </w:r>
          </w:p>
          <w:p w14:paraId="10DD31F5" w14:textId="77777777" w:rsidR="00CA2D0E" w:rsidRPr="0058432E" w:rsidRDefault="00CA2D0E" w:rsidP="000D3575">
            <w:pPr>
              <w:rPr>
                <w:color w:val="000000" w:themeColor="text1"/>
              </w:rPr>
            </w:pPr>
            <w:proofErr w:type="gramStart"/>
            <w:r w:rsidRPr="0058432E">
              <w:rPr>
                <w:color w:val="000000" w:themeColor="text1"/>
              </w:rPr>
              <w:t>insomnie</w:t>
            </w:r>
            <w:proofErr w:type="gramEnd"/>
          </w:p>
        </w:tc>
      </w:tr>
      <w:tr w:rsidR="00CA2D0E" w:rsidRPr="0058432E" w14:paraId="546D9180"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6D08CB72" w14:textId="77777777" w:rsidR="00CA2D0E" w:rsidRPr="0058432E" w:rsidRDefault="00CA2D0E" w:rsidP="00982118">
            <w:pPr>
              <w:keepNext/>
              <w:rPr>
                <w:color w:val="000000" w:themeColor="text1"/>
              </w:rPr>
            </w:pPr>
            <w:r w:rsidRPr="0058432E">
              <w:rPr>
                <w:color w:val="000000" w:themeColor="text1"/>
              </w:rPr>
              <w:t>Affections du système nerveux*</w:t>
            </w:r>
          </w:p>
        </w:tc>
        <w:tc>
          <w:tcPr>
            <w:tcW w:w="1695" w:type="dxa"/>
            <w:tcBorders>
              <w:top w:val="single" w:sz="4" w:space="0" w:color="auto"/>
              <w:left w:val="single" w:sz="4" w:space="0" w:color="auto"/>
              <w:bottom w:val="single" w:sz="4" w:space="0" w:color="auto"/>
              <w:right w:val="single" w:sz="4" w:space="0" w:color="auto"/>
            </w:tcBorders>
          </w:tcPr>
          <w:p w14:paraId="0571CC01" w14:textId="77777777" w:rsidR="00CA2D0E" w:rsidRPr="0058432E" w:rsidRDefault="00CA2D0E" w:rsidP="000D3575">
            <w:pPr>
              <w:keepNext/>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79ABF1F1" w14:textId="77777777" w:rsidR="00CA2D0E" w:rsidRPr="0058432E" w:rsidRDefault="00CA2D0E" w:rsidP="000D3575">
            <w:pPr>
              <w:keepNext/>
              <w:rPr>
                <w:color w:val="000000" w:themeColor="text1"/>
              </w:rPr>
            </w:pPr>
            <w:r w:rsidRPr="0058432E">
              <w:rPr>
                <w:color w:val="000000" w:themeColor="text1"/>
              </w:rPr>
              <w:t>Céphalées</w:t>
            </w:r>
          </w:p>
        </w:tc>
      </w:tr>
      <w:tr w:rsidR="00CA2D0E" w:rsidRPr="0058432E" w14:paraId="0EA79B77" w14:textId="77777777" w:rsidTr="00776D2E">
        <w:trPr>
          <w:cantSplit/>
        </w:trPr>
        <w:tc>
          <w:tcPr>
            <w:tcW w:w="2628" w:type="dxa"/>
            <w:vMerge/>
            <w:tcBorders>
              <w:left w:val="single" w:sz="4" w:space="0" w:color="auto"/>
              <w:right w:val="single" w:sz="4" w:space="0" w:color="auto"/>
            </w:tcBorders>
          </w:tcPr>
          <w:p w14:paraId="0A73CB85"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7537600" w14:textId="77777777" w:rsidR="00CA2D0E" w:rsidRPr="0058432E" w:rsidRDefault="00CA2D0E" w:rsidP="00982118">
            <w:pPr>
              <w:keepNext/>
              <w:rPr>
                <w:color w:val="000000" w:themeColor="text1"/>
              </w:rPr>
            </w:pPr>
            <w:r w:rsidRPr="0058432E">
              <w:rPr>
                <w:color w:val="000000" w:themeColor="text1"/>
              </w:rPr>
              <w:t>Fréquent</w:t>
            </w:r>
          </w:p>
          <w:p w14:paraId="77E298D1"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4B0D7A51" w14:textId="77777777" w:rsidR="00CA2D0E" w:rsidRPr="0058432E" w:rsidRDefault="00CA2D0E" w:rsidP="00982118">
            <w:pPr>
              <w:keepNext/>
              <w:autoSpaceDE w:val="0"/>
              <w:autoSpaceDN w:val="0"/>
              <w:adjustRightInd w:val="0"/>
              <w:rPr>
                <w:color w:val="000000" w:themeColor="text1"/>
              </w:rPr>
            </w:pPr>
            <w:r w:rsidRPr="0058432E">
              <w:rPr>
                <w:color w:val="000000" w:themeColor="text1"/>
              </w:rPr>
              <w:t>Paresthésies (y compris hypoesthésie),</w:t>
            </w:r>
          </w:p>
          <w:p w14:paraId="5F1A60F2"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migraine</w:t>
            </w:r>
            <w:proofErr w:type="gramEnd"/>
            <w:r w:rsidRPr="0058432E">
              <w:rPr>
                <w:color w:val="000000" w:themeColor="text1"/>
              </w:rPr>
              <w:t>,</w:t>
            </w:r>
          </w:p>
          <w:p w14:paraId="120616DB" w14:textId="77777777" w:rsidR="00DF2B57" w:rsidRPr="0058432E" w:rsidRDefault="00CA2D0E" w:rsidP="000D3575">
            <w:pPr>
              <w:keepNext/>
              <w:rPr>
                <w:color w:val="000000" w:themeColor="text1"/>
              </w:rPr>
            </w:pPr>
            <w:proofErr w:type="gramStart"/>
            <w:r w:rsidRPr="0058432E">
              <w:rPr>
                <w:color w:val="000000" w:themeColor="text1"/>
              </w:rPr>
              <w:t>compression</w:t>
            </w:r>
            <w:proofErr w:type="gramEnd"/>
            <w:r w:rsidRPr="0058432E">
              <w:rPr>
                <w:color w:val="000000" w:themeColor="text1"/>
              </w:rPr>
              <w:t xml:space="preserve"> des racines nerveuses</w:t>
            </w:r>
          </w:p>
        </w:tc>
      </w:tr>
      <w:tr w:rsidR="00CA2D0E" w:rsidRPr="0058432E" w14:paraId="4A93E927" w14:textId="77777777" w:rsidTr="00776D2E">
        <w:trPr>
          <w:cantSplit/>
        </w:trPr>
        <w:tc>
          <w:tcPr>
            <w:tcW w:w="2628" w:type="dxa"/>
            <w:vMerge/>
            <w:tcBorders>
              <w:left w:val="single" w:sz="4" w:space="0" w:color="auto"/>
              <w:right w:val="single" w:sz="4" w:space="0" w:color="auto"/>
            </w:tcBorders>
          </w:tcPr>
          <w:p w14:paraId="4F03D7C8"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6179EC4B" w14:textId="77777777" w:rsidR="00CA2D0E" w:rsidRPr="0058432E" w:rsidRDefault="00CA2D0E" w:rsidP="00982118">
            <w:pPr>
              <w:keepNext/>
              <w:rPr>
                <w:color w:val="000000" w:themeColor="text1"/>
              </w:rPr>
            </w:pPr>
            <w:r w:rsidRPr="0058432E">
              <w:rPr>
                <w:color w:val="000000" w:themeColor="text1"/>
              </w:rPr>
              <w:t>Peu fréquent</w:t>
            </w:r>
          </w:p>
          <w:p w14:paraId="1D6AF4E1"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2B412A57" w14:textId="77777777" w:rsidR="00CA2D0E" w:rsidRPr="0058432E" w:rsidRDefault="00CA2D0E" w:rsidP="00982118">
            <w:pPr>
              <w:keepNext/>
              <w:rPr>
                <w:color w:val="000000" w:themeColor="text1"/>
              </w:rPr>
            </w:pPr>
            <w:r w:rsidRPr="0058432E">
              <w:rPr>
                <w:color w:val="000000" w:themeColor="text1"/>
              </w:rPr>
              <w:t>Accident cérébrovasculaire</w:t>
            </w:r>
            <w:r w:rsidRPr="0058432E">
              <w:rPr>
                <w:color w:val="000000" w:themeColor="text1"/>
                <w:vertAlign w:val="superscript"/>
              </w:rPr>
              <w:t>1</w:t>
            </w:r>
            <w:r w:rsidRPr="0058432E">
              <w:rPr>
                <w:color w:val="000000" w:themeColor="text1"/>
              </w:rPr>
              <w:t>,</w:t>
            </w:r>
          </w:p>
          <w:p w14:paraId="7E0213D5" w14:textId="77777777" w:rsidR="00CA2D0E" w:rsidRPr="0058432E" w:rsidRDefault="00CA2D0E" w:rsidP="00982118">
            <w:pPr>
              <w:keepNext/>
              <w:rPr>
                <w:color w:val="000000" w:themeColor="text1"/>
              </w:rPr>
            </w:pPr>
            <w:proofErr w:type="gramStart"/>
            <w:r w:rsidRPr="0058432E">
              <w:rPr>
                <w:color w:val="000000" w:themeColor="text1"/>
              </w:rPr>
              <w:t>tremblements</w:t>
            </w:r>
            <w:proofErr w:type="gramEnd"/>
            <w:r w:rsidRPr="0058432E">
              <w:rPr>
                <w:color w:val="000000" w:themeColor="text1"/>
              </w:rPr>
              <w:t>,</w:t>
            </w:r>
          </w:p>
          <w:p w14:paraId="30BFD67B" w14:textId="77777777" w:rsidR="00CA2D0E" w:rsidRPr="0058432E" w:rsidRDefault="00CA2D0E" w:rsidP="000D3575">
            <w:pPr>
              <w:keepNext/>
              <w:rPr>
                <w:color w:val="000000" w:themeColor="text1"/>
              </w:rPr>
            </w:pPr>
            <w:proofErr w:type="gramStart"/>
            <w:r w:rsidRPr="0058432E">
              <w:rPr>
                <w:color w:val="000000" w:themeColor="text1"/>
              </w:rPr>
              <w:t>neuropathie</w:t>
            </w:r>
            <w:proofErr w:type="gramEnd"/>
          </w:p>
        </w:tc>
      </w:tr>
      <w:tr w:rsidR="00CA2D0E" w:rsidRPr="0058432E" w14:paraId="6D6C4EC8" w14:textId="77777777" w:rsidTr="00776D2E">
        <w:trPr>
          <w:cantSplit/>
        </w:trPr>
        <w:tc>
          <w:tcPr>
            <w:tcW w:w="2628" w:type="dxa"/>
            <w:vMerge/>
            <w:tcBorders>
              <w:left w:val="single" w:sz="4" w:space="0" w:color="auto"/>
              <w:bottom w:val="single" w:sz="4" w:space="0" w:color="auto"/>
              <w:right w:val="single" w:sz="4" w:space="0" w:color="auto"/>
            </w:tcBorders>
          </w:tcPr>
          <w:p w14:paraId="2764470D"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D0674F2" w14:textId="77777777" w:rsidR="00CA2D0E" w:rsidRPr="0058432E" w:rsidRDefault="00CA2D0E" w:rsidP="00982118">
            <w:pPr>
              <w:keepNext/>
              <w:rPr>
                <w:color w:val="000000" w:themeColor="text1"/>
              </w:rPr>
            </w:pPr>
            <w:r w:rsidRPr="0058432E">
              <w:rPr>
                <w:color w:val="000000" w:themeColor="text1"/>
              </w:rPr>
              <w:t>Rare</w:t>
            </w:r>
          </w:p>
          <w:p w14:paraId="0BC13CBD" w14:textId="77777777" w:rsidR="00CA2D0E" w:rsidRPr="0058432E" w:rsidRDefault="00CA2D0E" w:rsidP="00982118">
            <w:pPr>
              <w:keepNext/>
              <w:rPr>
                <w:color w:val="000000" w:themeColor="text1"/>
              </w:rPr>
            </w:pPr>
          </w:p>
        </w:tc>
        <w:tc>
          <w:tcPr>
            <w:tcW w:w="0" w:type="auto"/>
            <w:tcBorders>
              <w:left w:val="single" w:sz="4" w:space="0" w:color="auto"/>
              <w:bottom w:val="single" w:sz="4" w:space="0" w:color="auto"/>
              <w:right w:val="single" w:sz="4" w:space="0" w:color="auto"/>
            </w:tcBorders>
          </w:tcPr>
          <w:p w14:paraId="0F43C374" w14:textId="77777777" w:rsidR="00CA2D0E" w:rsidRPr="0058432E" w:rsidRDefault="00CA2D0E" w:rsidP="00982118">
            <w:pPr>
              <w:keepNext/>
              <w:rPr>
                <w:color w:val="000000" w:themeColor="text1"/>
              </w:rPr>
            </w:pPr>
            <w:r w:rsidRPr="0058432E">
              <w:rPr>
                <w:color w:val="000000" w:themeColor="text1"/>
              </w:rPr>
              <w:t>Sclérose en plaques,</w:t>
            </w:r>
          </w:p>
          <w:p w14:paraId="35ADF3BC" w14:textId="77777777" w:rsidR="00CA2D0E" w:rsidRPr="0058432E" w:rsidRDefault="00CA2D0E" w:rsidP="000D3575">
            <w:pPr>
              <w:keepNext/>
              <w:rPr>
                <w:color w:val="000000" w:themeColor="text1"/>
              </w:rPr>
            </w:pPr>
            <w:proofErr w:type="gramStart"/>
            <w:r w:rsidRPr="0058432E">
              <w:rPr>
                <w:color w:val="000000" w:themeColor="text1"/>
              </w:rPr>
              <w:t>affections</w:t>
            </w:r>
            <w:proofErr w:type="gramEnd"/>
            <w:r w:rsidRPr="0058432E">
              <w:rPr>
                <w:color w:val="000000" w:themeColor="text1"/>
              </w:rPr>
              <w:t xml:space="preserve"> démyélinisantes (par ex. névrite optique, syndrome de Guillain-Barré)</w:t>
            </w:r>
            <w:r w:rsidRPr="0058432E">
              <w:rPr>
                <w:color w:val="000000" w:themeColor="text1"/>
                <w:vertAlign w:val="superscript"/>
              </w:rPr>
              <w:t>1</w:t>
            </w:r>
          </w:p>
        </w:tc>
      </w:tr>
      <w:tr w:rsidR="00CA2D0E" w:rsidRPr="0058432E" w14:paraId="156AA944"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6F17468A" w14:textId="77777777" w:rsidR="00CA2D0E" w:rsidRPr="0058432E" w:rsidRDefault="00CA2D0E" w:rsidP="00982118">
            <w:pPr>
              <w:rPr>
                <w:color w:val="000000" w:themeColor="text1"/>
              </w:rPr>
            </w:pPr>
            <w:r w:rsidRPr="0058432E">
              <w:rPr>
                <w:color w:val="000000" w:themeColor="text1"/>
              </w:rPr>
              <w:t>Affections oculaires</w:t>
            </w:r>
          </w:p>
        </w:tc>
        <w:tc>
          <w:tcPr>
            <w:tcW w:w="1695" w:type="dxa"/>
            <w:tcBorders>
              <w:top w:val="single" w:sz="4" w:space="0" w:color="auto"/>
              <w:left w:val="single" w:sz="4" w:space="0" w:color="auto"/>
              <w:right w:val="single" w:sz="4" w:space="0" w:color="auto"/>
            </w:tcBorders>
          </w:tcPr>
          <w:p w14:paraId="6AFA0DF2" w14:textId="77777777" w:rsidR="00CA2D0E" w:rsidRPr="0058432E" w:rsidRDefault="00CA2D0E" w:rsidP="00982118">
            <w:pPr>
              <w:rPr>
                <w:color w:val="000000" w:themeColor="text1"/>
              </w:rPr>
            </w:pPr>
            <w:r w:rsidRPr="0058432E">
              <w:rPr>
                <w:color w:val="000000" w:themeColor="text1"/>
              </w:rPr>
              <w:t>Fréquent</w:t>
            </w:r>
          </w:p>
          <w:p w14:paraId="15F5F9D3" w14:textId="77777777" w:rsidR="00CA2D0E" w:rsidRPr="0058432E" w:rsidRDefault="00CA2D0E"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187DBF57" w14:textId="77777777" w:rsidR="00CA2D0E" w:rsidRPr="0058432E" w:rsidRDefault="00CA2D0E" w:rsidP="00982118">
            <w:pPr>
              <w:autoSpaceDE w:val="0"/>
              <w:autoSpaceDN w:val="0"/>
              <w:adjustRightInd w:val="0"/>
              <w:rPr>
                <w:color w:val="000000" w:themeColor="text1"/>
              </w:rPr>
            </w:pPr>
            <w:r w:rsidRPr="0058432E">
              <w:rPr>
                <w:color w:val="000000" w:themeColor="text1"/>
              </w:rPr>
              <w:t>Troubles visuels,</w:t>
            </w:r>
          </w:p>
          <w:p w14:paraId="2B221C1D"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conjonctivite</w:t>
            </w:r>
            <w:proofErr w:type="gramEnd"/>
            <w:r w:rsidRPr="0058432E">
              <w:rPr>
                <w:color w:val="000000" w:themeColor="text1"/>
              </w:rPr>
              <w:t>,</w:t>
            </w:r>
          </w:p>
          <w:p w14:paraId="569D3E27"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blépharite</w:t>
            </w:r>
            <w:proofErr w:type="gramEnd"/>
            <w:r w:rsidRPr="0058432E">
              <w:rPr>
                <w:color w:val="000000" w:themeColor="text1"/>
              </w:rPr>
              <w:t>,</w:t>
            </w:r>
          </w:p>
          <w:p w14:paraId="69665228" w14:textId="77777777" w:rsidR="00CA2D0E" w:rsidRPr="0058432E" w:rsidRDefault="00CA2D0E" w:rsidP="000D3575">
            <w:pPr>
              <w:rPr>
                <w:color w:val="000000" w:themeColor="text1"/>
              </w:rPr>
            </w:pPr>
            <w:proofErr w:type="gramStart"/>
            <w:r w:rsidRPr="0058432E">
              <w:rPr>
                <w:color w:val="000000" w:themeColor="text1"/>
              </w:rPr>
              <w:t>gonflement</w:t>
            </w:r>
            <w:proofErr w:type="gramEnd"/>
            <w:r w:rsidRPr="0058432E">
              <w:rPr>
                <w:color w:val="000000" w:themeColor="text1"/>
              </w:rPr>
              <w:t xml:space="preserve"> des yeux</w:t>
            </w:r>
          </w:p>
        </w:tc>
      </w:tr>
      <w:tr w:rsidR="00CA2D0E" w:rsidRPr="0058432E" w14:paraId="48E47D34" w14:textId="77777777" w:rsidTr="00776D2E">
        <w:trPr>
          <w:cantSplit/>
        </w:trPr>
        <w:tc>
          <w:tcPr>
            <w:tcW w:w="2628" w:type="dxa"/>
            <w:vMerge/>
            <w:tcBorders>
              <w:left w:val="single" w:sz="4" w:space="0" w:color="auto"/>
              <w:bottom w:val="single" w:sz="4" w:space="0" w:color="auto"/>
              <w:right w:val="single" w:sz="4" w:space="0" w:color="auto"/>
            </w:tcBorders>
          </w:tcPr>
          <w:p w14:paraId="37EC5C49" w14:textId="77777777" w:rsidR="00CA2D0E" w:rsidRPr="0058432E" w:rsidRDefault="00CA2D0E" w:rsidP="00982118">
            <w:pPr>
              <w:rPr>
                <w:color w:val="000000" w:themeColor="text1"/>
              </w:rPr>
            </w:pPr>
          </w:p>
        </w:tc>
        <w:tc>
          <w:tcPr>
            <w:tcW w:w="1695" w:type="dxa"/>
            <w:tcBorders>
              <w:left w:val="single" w:sz="4" w:space="0" w:color="auto"/>
              <w:bottom w:val="single" w:sz="4" w:space="0" w:color="auto"/>
              <w:right w:val="single" w:sz="4" w:space="0" w:color="auto"/>
            </w:tcBorders>
          </w:tcPr>
          <w:p w14:paraId="019D3A69" w14:textId="77777777" w:rsidR="00CA2D0E" w:rsidRPr="0058432E" w:rsidRDefault="00CA2D0E" w:rsidP="000D3575">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07D6721D" w14:textId="77777777" w:rsidR="00CA2D0E" w:rsidRPr="0058432E" w:rsidRDefault="00CA2D0E" w:rsidP="000D3575">
            <w:pPr>
              <w:rPr>
                <w:color w:val="000000" w:themeColor="text1"/>
              </w:rPr>
            </w:pPr>
            <w:r w:rsidRPr="0058432E">
              <w:rPr>
                <w:color w:val="000000" w:themeColor="text1"/>
              </w:rPr>
              <w:t>Diplopie</w:t>
            </w:r>
          </w:p>
        </w:tc>
      </w:tr>
      <w:tr w:rsidR="00CA2D0E" w:rsidRPr="0058432E" w14:paraId="17A38D41"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00A421DA" w14:textId="77777777" w:rsidR="00CA2D0E" w:rsidRPr="0058432E" w:rsidRDefault="00CA2D0E" w:rsidP="00982118">
            <w:pPr>
              <w:rPr>
                <w:color w:val="000000" w:themeColor="text1"/>
              </w:rPr>
            </w:pPr>
            <w:r w:rsidRPr="0058432E">
              <w:rPr>
                <w:color w:val="000000" w:themeColor="text1"/>
              </w:rPr>
              <w:t>Affections de l’oreille et du labyrinthe</w:t>
            </w:r>
          </w:p>
        </w:tc>
        <w:tc>
          <w:tcPr>
            <w:tcW w:w="1695" w:type="dxa"/>
            <w:tcBorders>
              <w:top w:val="single" w:sz="4" w:space="0" w:color="auto"/>
              <w:left w:val="single" w:sz="4" w:space="0" w:color="auto"/>
              <w:bottom w:val="single" w:sz="4" w:space="0" w:color="auto"/>
              <w:right w:val="single" w:sz="4" w:space="0" w:color="auto"/>
            </w:tcBorders>
          </w:tcPr>
          <w:p w14:paraId="33B35DD8" w14:textId="77777777" w:rsidR="00CA2D0E" w:rsidRPr="0058432E" w:rsidRDefault="00CA2D0E" w:rsidP="000D3575">
            <w:pPr>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03240369" w14:textId="77777777" w:rsidR="00CA2D0E" w:rsidRPr="0058432E" w:rsidRDefault="00CA2D0E" w:rsidP="000D3575">
            <w:pPr>
              <w:rPr>
                <w:color w:val="000000" w:themeColor="text1"/>
              </w:rPr>
            </w:pPr>
            <w:r w:rsidRPr="0058432E">
              <w:rPr>
                <w:color w:val="000000" w:themeColor="text1"/>
              </w:rPr>
              <w:t>Vertiges</w:t>
            </w:r>
          </w:p>
        </w:tc>
      </w:tr>
      <w:tr w:rsidR="00CA2D0E" w:rsidRPr="0058432E" w14:paraId="56F64882" w14:textId="77777777" w:rsidTr="00776D2E">
        <w:trPr>
          <w:cantSplit/>
        </w:trPr>
        <w:tc>
          <w:tcPr>
            <w:tcW w:w="2628" w:type="dxa"/>
            <w:vMerge/>
            <w:tcBorders>
              <w:left w:val="single" w:sz="4" w:space="0" w:color="auto"/>
              <w:bottom w:val="single" w:sz="4" w:space="0" w:color="auto"/>
              <w:right w:val="single" w:sz="4" w:space="0" w:color="auto"/>
            </w:tcBorders>
          </w:tcPr>
          <w:p w14:paraId="786EB7FD"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A95550A" w14:textId="77777777" w:rsidR="00CA2D0E" w:rsidRPr="0058432E" w:rsidRDefault="00CA2D0E" w:rsidP="00982118">
            <w:pPr>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5DEC470F" w14:textId="77777777" w:rsidR="00CA2D0E" w:rsidRPr="0058432E" w:rsidRDefault="00CA2D0E" w:rsidP="00982118">
            <w:pPr>
              <w:rPr>
                <w:color w:val="000000" w:themeColor="text1"/>
              </w:rPr>
            </w:pPr>
            <w:r w:rsidRPr="0058432E">
              <w:rPr>
                <w:color w:val="000000" w:themeColor="text1"/>
              </w:rPr>
              <w:t>Surdité,</w:t>
            </w:r>
          </w:p>
          <w:p w14:paraId="4C6EEFE7" w14:textId="77777777" w:rsidR="00CA2D0E" w:rsidRPr="0058432E" w:rsidRDefault="00CA2D0E" w:rsidP="000D3575">
            <w:pPr>
              <w:rPr>
                <w:color w:val="000000" w:themeColor="text1"/>
              </w:rPr>
            </w:pPr>
            <w:proofErr w:type="gramStart"/>
            <w:r w:rsidRPr="0058432E">
              <w:rPr>
                <w:color w:val="000000" w:themeColor="text1"/>
              </w:rPr>
              <w:t>acouphènes</w:t>
            </w:r>
            <w:proofErr w:type="gramEnd"/>
          </w:p>
        </w:tc>
      </w:tr>
      <w:tr w:rsidR="00CA2D0E" w:rsidRPr="0058432E" w14:paraId="59E22802"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41488A07" w14:textId="77777777" w:rsidR="00CA2D0E" w:rsidRPr="0058432E" w:rsidRDefault="00CA2D0E" w:rsidP="003146E9">
            <w:pPr>
              <w:keepNext/>
              <w:rPr>
                <w:color w:val="000000" w:themeColor="text1"/>
              </w:rPr>
            </w:pPr>
            <w:r w:rsidRPr="0058432E">
              <w:rPr>
                <w:color w:val="000000" w:themeColor="text1"/>
              </w:rPr>
              <w:t>Affections cardiaques*</w:t>
            </w:r>
          </w:p>
        </w:tc>
        <w:tc>
          <w:tcPr>
            <w:tcW w:w="1695" w:type="dxa"/>
            <w:tcBorders>
              <w:top w:val="single" w:sz="4" w:space="0" w:color="auto"/>
              <w:left w:val="single" w:sz="4" w:space="0" w:color="auto"/>
              <w:bottom w:val="single" w:sz="4" w:space="0" w:color="auto"/>
              <w:right w:val="single" w:sz="4" w:space="0" w:color="auto"/>
            </w:tcBorders>
          </w:tcPr>
          <w:p w14:paraId="16E4107A" w14:textId="77777777" w:rsidR="00CA2D0E" w:rsidRPr="0058432E" w:rsidRDefault="00CA2D0E" w:rsidP="000D3575">
            <w:pPr>
              <w:keepNext/>
              <w:rPr>
                <w:color w:val="000000" w:themeColor="text1"/>
              </w:rPr>
            </w:pPr>
            <w:r w:rsidRPr="0058432E">
              <w:rPr>
                <w:color w:val="000000" w:themeColor="text1"/>
              </w:rPr>
              <w:t>Fréquent</w:t>
            </w:r>
          </w:p>
        </w:tc>
        <w:tc>
          <w:tcPr>
            <w:tcW w:w="0" w:type="auto"/>
            <w:tcBorders>
              <w:top w:val="single" w:sz="4" w:space="0" w:color="auto"/>
              <w:left w:val="single" w:sz="4" w:space="0" w:color="auto"/>
              <w:right w:val="single" w:sz="4" w:space="0" w:color="auto"/>
            </w:tcBorders>
          </w:tcPr>
          <w:p w14:paraId="4658DB4E" w14:textId="77777777" w:rsidR="00CA2D0E" w:rsidRPr="0058432E" w:rsidRDefault="00CA2D0E" w:rsidP="000D3575">
            <w:pPr>
              <w:keepNext/>
              <w:rPr>
                <w:color w:val="000000" w:themeColor="text1"/>
              </w:rPr>
            </w:pPr>
            <w:r w:rsidRPr="0058432E">
              <w:rPr>
                <w:color w:val="000000" w:themeColor="text1"/>
              </w:rPr>
              <w:t>Tachycardie</w:t>
            </w:r>
          </w:p>
        </w:tc>
      </w:tr>
      <w:tr w:rsidR="00CA2D0E" w:rsidRPr="0058432E" w14:paraId="58E0DFDF" w14:textId="77777777" w:rsidTr="00776D2E">
        <w:trPr>
          <w:cantSplit/>
        </w:trPr>
        <w:tc>
          <w:tcPr>
            <w:tcW w:w="2628" w:type="dxa"/>
            <w:vMerge/>
            <w:tcBorders>
              <w:left w:val="single" w:sz="4" w:space="0" w:color="auto"/>
              <w:right w:val="single" w:sz="4" w:space="0" w:color="auto"/>
            </w:tcBorders>
          </w:tcPr>
          <w:p w14:paraId="5425CB69" w14:textId="77777777" w:rsidR="00CA2D0E" w:rsidRPr="0058432E" w:rsidRDefault="00CA2D0E" w:rsidP="003146E9">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8F9708F" w14:textId="77777777" w:rsidR="00CA2D0E" w:rsidRPr="0058432E" w:rsidRDefault="00CA2D0E" w:rsidP="003146E9">
            <w:pPr>
              <w:keepNext/>
              <w:rPr>
                <w:color w:val="000000" w:themeColor="text1"/>
              </w:rPr>
            </w:pPr>
            <w:r w:rsidRPr="0058432E">
              <w:rPr>
                <w:color w:val="000000" w:themeColor="text1"/>
              </w:rPr>
              <w:t>Peu fréquent</w:t>
            </w:r>
          </w:p>
          <w:p w14:paraId="245FE9A1" w14:textId="77777777" w:rsidR="00CA2D0E" w:rsidRPr="0058432E" w:rsidRDefault="00CA2D0E" w:rsidP="003146E9">
            <w:pPr>
              <w:keepNext/>
              <w:rPr>
                <w:color w:val="000000" w:themeColor="text1"/>
              </w:rPr>
            </w:pPr>
          </w:p>
        </w:tc>
        <w:tc>
          <w:tcPr>
            <w:tcW w:w="0" w:type="auto"/>
            <w:tcBorders>
              <w:left w:val="single" w:sz="4" w:space="0" w:color="auto"/>
              <w:right w:val="single" w:sz="4" w:space="0" w:color="auto"/>
            </w:tcBorders>
          </w:tcPr>
          <w:p w14:paraId="0E928A80" w14:textId="77777777" w:rsidR="00CA2D0E" w:rsidRPr="0058432E" w:rsidRDefault="00CA2D0E" w:rsidP="003146E9">
            <w:pPr>
              <w:keepNext/>
              <w:autoSpaceDE w:val="0"/>
              <w:autoSpaceDN w:val="0"/>
              <w:adjustRightInd w:val="0"/>
              <w:rPr>
                <w:color w:val="000000" w:themeColor="text1"/>
              </w:rPr>
            </w:pPr>
            <w:r w:rsidRPr="0058432E">
              <w:rPr>
                <w:color w:val="000000" w:themeColor="text1"/>
              </w:rPr>
              <w:t>Infarctus du myocarde</w:t>
            </w:r>
            <w:r w:rsidRPr="0058432E">
              <w:rPr>
                <w:color w:val="000000" w:themeColor="text1"/>
                <w:szCs w:val="20"/>
                <w:vertAlign w:val="superscript"/>
              </w:rPr>
              <w:t>1</w:t>
            </w:r>
            <w:r w:rsidRPr="0058432E">
              <w:rPr>
                <w:color w:val="000000" w:themeColor="text1"/>
              </w:rPr>
              <w:t>,</w:t>
            </w:r>
          </w:p>
          <w:p w14:paraId="26D80F24" w14:textId="77777777" w:rsidR="00CA2D0E" w:rsidRPr="0058432E" w:rsidRDefault="00CA2D0E" w:rsidP="003146E9">
            <w:pPr>
              <w:keepNext/>
              <w:autoSpaceDE w:val="0"/>
              <w:autoSpaceDN w:val="0"/>
              <w:adjustRightInd w:val="0"/>
              <w:rPr>
                <w:color w:val="000000" w:themeColor="text1"/>
              </w:rPr>
            </w:pPr>
            <w:proofErr w:type="gramStart"/>
            <w:r w:rsidRPr="0058432E">
              <w:rPr>
                <w:color w:val="000000" w:themeColor="text1"/>
              </w:rPr>
              <w:t>arythmie</w:t>
            </w:r>
            <w:proofErr w:type="gramEnd"/>
            <w:r w:rsidRPr="0058432E">
              <w:rPr>
                <w:color w:val="000000" w:themeColor="text1"/>
              </w:rPr>
              <w:t>,</w:t>
            </w:r>
          </w:p>
          <w:p w14:paraId="49C9AC39" w14:textId="77777777" w:rsidR="00CA2D0E" w:rsidRPr="0058432E" w:rsidRDefault="00CA2D0E" w:rsidP="000D3575">
            <w:pPr>
              <w:keepNext/>
              <w:rPr>
                <w:color w:val="000000" w:themeColor="text1"/>
              </w:rPr>
            </w:pPr>
            <w:proofErr w:type="gramStart"/>
            <w:r w:rsidRPr="0058432E">
              <w:rPr>
                <w:color w:val="000000" w:themeColor="text1"/>
              </w:rPr>
              <w:t>insuffisance</w:t>
            </w:r>
            <w:proofErr w:type="gramEnd"/>
            <w:r w:rsidRPr="0058432E">
              <w:rPr>
                <w:color w:val="000000" w:themeColor="text1"/>
              </w:rPr>
              <w:t xml:space="preserve"> cardiaque congestive</w:t>
            </w:r>
          </w:p>
        </w:tc>
      </w:tr>
      <w:tr w:rsidR="00CA2D0E" w:rsidRPr="0058432E" w14:paraId="661C62AC" w14:textId="77777777" w:rsidTr="00776D2E">
        <w:trPr>
          <w:cantSplit/>
        </w:trPr>
        <w:tc>
          <w:tcPr>
            <w:tcW w:w="2628" w:type="dxa"/>
            <w:vMerge/>
            <w:tcBorders>
              <w:left w:val="single" w:sz="4" w:space="0" w:color="auto"/>
              <w:bottom w:val="single" w:sz="4" w:space="0" w:color="auto"/>
              <w:right w:val="single" w:sz="4" w:space="0" w:color="auto"/>
            </w:tcBorders>
          </w:tcPr>
          <w:p w14:paraId="45F94DB2"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08267DC9" w14:textId="77777777" w:rsidR="00CA2D0E" w:rsidRPr="0058432E" w:rsidRDefault="00CA2D0E"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47B42C82" w14:textId="77777777" w:rsidR="00CA2D0E" w:rsidRPr="0058432E" w:rsidRDefault="00CA2D0E" w:rsidP="000D3575">
            <w:pPr>
              <w:rPr>
                <w:color w:val="000000" w:themeColor="text1"/>
              </w:rPr>
            </w:pPr>
            <w:r w:rsidRPr="0058432E">
              <w:rPr>
                <w:color w:val="000000" w:themeColor="text1"/>
              </w:rPr>
              <w:t>Arrêt cardiaque</w:t>
            </w:r>
          </w:p>
        </w:tc>
      </w:tr>
      <w:tr w:rsidR="00CA2D0E" w:rsidRPr="0058432E" w14:paraId="23771FEF"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6A024C74" w14:textId="77777777" w:rsidR="00CA2D0E" w:rsidRPr="0058432E" w:rsidRDefault="00CA2D0E" w:rsidP="00982118">
            <w:pPr>
              <w:rPr>
                <w:color w:val="000000" w:themeColor="text1"/>
              </w:rPr>
            </w:pPr>
            <w:r w:rsidRPr="0058432E">
              <w:rPr>
                <w:color w:val="000000" w:themeColor="text1"/>
              </w:rPr>
              <w:t>Affections vasculaires</w:t>
            </w:r>
          </w:p>
        </w:tc>
        <w:tc>
          <w:tcPr>
            <w:tcW w:w="1695" w:type="dxa"/>
            <w:tcBorders>
              <w:top w:val="single" w:sz="4" w:space="0" w:color="auto"/>
              <w:left w:val="single" w:sz="4" w:space="0" w:color="auto"/>
              <w:bottom w:val="single" w:sz="4" w:space="0" w:color="auto"/>
              <w:right w:val="single" w:sz="4" w:space="0" w:color="auto"/>
            </w:tcBorders>
          </w:tcPr>
          <w:p w14:paraId="753BF486" w14:textId="77777777" w:rsidR="00CA2D0E" w:rsidRPr="0058432E" w:rsidRDefault="00CA2D0E" w:rsidP="00982118">
            <w:pPr>
              <w:rPr>
                <w:color w:val="000000" w:themeColor="text1"/>
              </w:rPr>
            </w:pPr>
            <w:r w:rsidRPr="0058432E">
              <w:rPr>
                <w:color w:val="000000" w:themeColor="text1"/>
              </w:rPr>
              <w:t>Fréquent</w:t>
            </w:r>
          </w:p>
          <w:p w14:paraId="1820B896" w14:textId="77777777" w:rsidR="00CA2D0E" w:rsidRPr="0058432E" w:rsidRDefault="00CA2D0E" w:rsidP="00982118">
            <w:pPr>
              <w:rPr>
                <w:color w:val="000000" w:themeColor="text1"/>
              </w:rPr>
            </w:pPr>
          </w:p>
        </w:tc>
        <w:tc>
          <w:tcPr>
            <w:tcW w:w="0" w:type="auto"/>
            <w:tcBorders>
              <w:top w:val="single" w:sz="4" w:space="0" w:color="auto"/>
              <w:left w:val="single" w:sz="4" w:space="0" w:color="auto"/>
              <w:right w:val="single" w:sz="4" w:space="0" w:color="auto"/>
            </w:tcBorders>
          </w:tcPr>
          <w:p w14:paraId="3A56085E" w14:textId="77777777" w:rsidR="00CA2D0E" w:rsidRPr="0058432E" w:rsidRDefault="00CA2D0E" w:rsidP="00982118">
            <w:pPr>
              <w:autoSpaceDE w:val="0"/>
              <w:autoSpaceDN w:val="0"/>
              <w:adjustRightInd w:val="0"/>
              <w:rPr>
                <w:color w:val="000000" w:themeColor="text1"/>
              </w:rPr>
            </w:pPr>
            <w:r w:rsidRPr="0058432E">
              <w:rPr>
                <w:color w:val="000000" w:themeColor="text1"/>
              </w:rPr>
              <w:t>Hypertension,</w:t>
            </w:r>
          </w:p>
          <w:p w14:paraId="118BC8A1"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bouffées</w:t>
            </w:r>
            <w:proofErr w:type="gramEnd"/>
            <w:r w:rsidRPr="0058432E">
              <w:rPr>
                <w:color w:val="000000" w:themeColor="text1"/>
              </w:rPr>
              <w:t xml:space="preserve"> de chaleur,</w:t>
            </w:r>
          </w:p>
          <w:p w14:paraId="3A9C9118" w14:textId="77777777" w:rsidR="00CA2D0E" w:rsidRPr="0058432E" w:rsidRDefault="00CA2D0E" w:rsidP="000D3575">
            <w:pPr>
              <w:rPr>
                <w:color w:val="000000" w:themeColor="text1"/>
              </w:rPr>
            </w:pPr>
            <w:proofErr w:type="gramStart"/>
            <w:r w:rsidRPr="0058432E">
              <w:rPr>
                <w:color w:val="000000" w:themeColor="text1"/>
              </w:rPr>
              <w:t>hématomes</w:t>
            </w:r>
            <w:proofErr w:type="gramEnd"/>
          </w:p>
        </w:tc>
      </w:tr>
      <w:tr w:rsidR="00CA2D0E" w:rsidRPr="0058432E" w14:paraId="2CCC0DFC" w14:textId="77777777" w:rsidTr="00776D2E">
        <w:trPr>
          <w:cantSplit/>
        </w:trPr>
        <w:tc>
          <w:tcPr>
            <w:tcW w:w="2628" w:type="dxa"/>
            <w:vMerge/>
            <w:tcBorders>
              <w:left w:val="single" w:sz="4" w:space="0" w:color="auto"/>
              <w:bottom w:val="single" w:sz="4" w:space="0" w:color="auto"/>
              <w:right w:val="single" w:sz="4" w:space="0" w:color="auto"/>
            </w:tcBorders>
          </w:tcPr>
          <w:p w14:paraId="2C10E1FA"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EB9F89B" w14:textId="77777777" w:rsidR="00CA2D0E" w:rsidRPr="0058432E" w:rsidRDefault="00CA2D0E" w:rsidP="00982118">
            <w:pPr>
              <w:rPr>
                <w:color w:val="000000" w:themeColor="text1"/>
              </w:rPr>
            </w:pPr>
            <w:r w:rsidRPr="0058432E">
              <w:rPr>
                <w:color w:val="000000" w:themeColor="text1"/>
              </w:rPr>
              <w:t>Peu fréquent</w:t>
            </w:r>
          </w:p>
        </w:tc>
        <w:tc>
          <w:tcPr>
            <w:tcW w:w="0" w:type="auto"/>
            <w:tcBorders>
              <w:left w:val="single" w:sz="4" w:space="0" w:color="auto"/>
              <w:bottom w:val="single" w:sz="4" w:space="0" w:color="auto"/>
              <w:right w:val="single" w:sz="4" w:space="0" w:color="auto"/>
            </w:tcBorders>
          </w:tcPr>
          <w:p w14:paraId="5F832268" w14:textId="77777777" w:rsidR="00CA2D0E" w:rsidRPr="0058432E" w:rsidRDefault="00CA2D0E" w:rsidP="00982118">
            <w:pPr>
              <w:autoSpaceDE w:val="0"/>
              <w:autoSpaceDN w:val="0"/>
              <w:adjustRightInd w:val="0"/>
              <w:rPr>
                <w:color w:val="000000" w:themeColor="text1"/>
              </w:rPr>
            </w:pPr>
            <w:r w:rsidRPr="0058432E">
              <w:rPr>
                <w:color w:val="000000" w:themeColor="text1"/>
              </w:rPr>
              <w:t xml:space="preserve">Anévrysme </w:t>
            </w:r>
            <w:r w:rsidR="008705FF" w:rsidRPr="0058432E">
              <w:rPr>
                <w:color w:val="000000" w:themeColor="text1"/>
              </w:rPr>
              <w:t>de l’</w:t>
            </w:r>
            <w:r w:rsidRPr="0058432E">
              <w:rPr>
                <w:color w:val="000000" w:themeColor="text1"/>
              </w:rPr>
              <w:t>aort</w:t>
            </w:r>
            <w:r w:rsidR="008705FF" w:rsidRPr="0058432E">
              <w:rPr>
                <w:color w:val="000000" w:themeColor="text1"/>
              </w:rPr>
              <w:t>e</w:t>
            </w:r>
            <w:r w:rsidRPr="0058432E">
              <w:rPr>
                <w:color w:val="000000" w:themeColor="text1"/>
              </w:rPr>
              <w:t>,</w:t>
            </w:r>
          </w:p>
          <w:p w14:paraId="44CBD04A"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occlusion</w:t>
            </w:r>
            <w:proofErr w:type="gramEnd"/>
            <w:r w:rsidRPr="0058432E">
              <w:rPr>
                <w:color w:val="000000" w:themeColor="text1"/>
              </w:rPr>
              <w:t xml:space="preserve"> vasculaire,</w:t>
            </w:r>
          </w:p>
          <w:p w14:paraId="5A027EEC" w14:textId="77777777" w:rsidR="00CA2D0E" w:rsidRPr="0058432E" w:rsidDel="00B633E5" w:rsidRDefault="00CA2D0E" w:rsidP="000D3575">
            <w:pPr>
              <w:rPr>
                <w:color w:val="000000" w:themeColor="text1"/>
              </w:rPr>
            </w:pPr>
            <w:proofErr w:type="gramStart"/>
            <w:r w:rsidRPr="0058432E">
              <w:rPr>
                <w:color w:val="000000" w:themeColor="text1"/>
              </w:rPr>
              <w:t>thrombophlébite</w:t>
            </w:r>
            <w:proofErr w:type="gramEnd"/>
          </w:p>
        </w:tc>
      </w:tr>
      <w:tr w:rsidR="00CA2D0E" w:rsidRPr="0058432E" w14:paraId="4346420F"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2B4145C1" w14:textId="77777777" w:rsidR="00CA2D0E" w:rsidRPr="0058432E" w:rsidRDefault="00CA2D0E" w:rsidP="00982118">
            <w:pPr>
              <w:keepNext/>
              <w:autoSpaceDE w:val="0"/>
              <w:autoSpaceDN w:val="0"/>
              <w:adjustRightInd w:val="0"/>
              <w:rPr>
                <w:color w:val="000000" w:themeColor="text1"/>
              </w:rPr>
            </w:pPr>
            <w:r w:rsidRPr="0058432E">
              <w:rPr>
                <w:color w:val="000000" w:themeColor="text1"/>
              </w:rPr>
              <w:t>Affections respiratoires, thoraciques et médiastinales*</w:t>
            </w:r>
          </w:p>
        </w:tc>
        <w:tc>
          <w:tcPr>
            <w:tcW w:w="1695" w:type="dxa"/>
            <w:tcBorders>
              <w:top w:val="single" w:sz="4" w:space="0" w:color="auto"/>
              <w:left w:val="single" w:sz="4" w:space="0" w:color="auto"/>
              <w:bottom w:val="single" w:sz="4" w:space="0" w:color="auto"/>
              <w:right w:val="single" w:sz="4" w:space="0" w:color="auto"/>
            </w:tcBorders>
          </w:tcPr>
          <w:p w14:paraId="021DC25A" w14:textId="77777777" w:rsidR="00CA2D0E" w:rsidRPr="0058432E" w:rsidRDefault="00CA2D0E" w:rsidP="00982118">
            <w:pPr>
              <w:keepNext/>
              <w:rPr>
                <w:color w:val="000000" w:themeColor="text1"/>
              </w:rPr>
            </w:pPr>
            <w:r w:rsidRPr="0058432E">
              <w:rPr>
                <w:color w:val="000000" w:themeColor="text1"/>
              </w:rPr>
              <w:t>Fréquent</w:t>
            </w:r>
          </w:p>
          <w:p w14:paraId="4AB5A3E0" w14:textId="77777777" w:rsidR="00CA2D0E" w:rsidRPr="0058432E" w:rsidRDefault="00CA2D0E" w:rsidP="00982118">
            <w:pPr>
              <w:keepNext/>
              <w:rPr>
                <w:color w:val="000000" w:themeColor="text1"/>
              </w:rPr>
            </w:pPr>
          </w:p>
        </w:tc>
        <w:tc>
          <w:tcPr>
            <w:tcW w:w="0" w:type="auto"/>
            <w:tcBorders>
              <w:top w:val="single" w:sz="4" w:space="0" w:color="auto"/>
              <w:left w:val="single" w:sz="4" w:space="0" w:color="auto"/>
              <w:right w:val="single" w:sz="4" w:space="0" w:color="auto"/>
            </w:tcBorders>
          </w:tcPr>
          <w:p w14:paraId="355CB686" w14:textId="77777777" w:rsidR="00CA2D0E" w:rsidRPr="0058432E" w:rsidRDefault="00CA2D0E" w:rsidP="00982118">
            <w:pPr>
              <w:keepNext/>
              <w:autoSpaceDE w:val="0"/>
              <w:autoSpaceDN w:val="0"/>
              <w:adjustRightInd w:val="0"/>
              <w:rPr>
                <w:color w:val="000000" w:themeColor="text1"/>
              </w:rPr>
            </w:pPr>
            <w:r w:rsidRPr="0058432E">
              <w:rPr>
                <w:color w:val="000000" w:themeColor="text1"/>
              </w:rPr>
              <w:t>Asthme,</w:t>
            </w:r>
          </w:p>
          <w:p w14:paraId="40D2FD9C"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dyspnée</w:t>
            </w:r>
            <w:proofErr w:type="gramEnd"/>
            <w:r w:rsidRPr="0058432E">
              <w:rPr>
                <w:color w:val="000000" w:themeColor="text1"/>
              </w:rPr>
              <w:t>,</w:t>
            </w:r>
          </w:p>
          <w:p w14:paraId="795815B9" w14:textId="77777777" w:rsidR="00CA2D0E" w:rsidRPr="0058432E" w:rsidRDefault="00CA2D0E" w:rsidP="000D3575">
            <w:pPr>
              <w:keepNext/>
              <w:autoSpaceDE w:val="0"/>
              <w:autoSpaceDN w:val="0"/>
              <w:adjustRightInd w:val="0"/>
              <w:rPr>
                <w:color w:val="000000" w:themeColor="text1"/>
              </w:rPr>
            </w:pPr>
            <w:proofErr w:type="gramStart"/>
            <w:r w:rsidRPr="0058432E">
              <w:rPr>
                <w:color w:val="000000" w:themeColor="text1"/>
              </w:rPr>
              <w:t>toux</w:t>
            </w:r>
            <w:proofErr w:type="gramEnd"/>
          </w:p>
        </w:tc>
      </w:tr>
      <w:tr w:rsidR="00CA2D0E" w:rsidRPr="0058432E" w14:paraId="00428759" w14:textId="77777777" w:rsidTr="00776D2E">
        <w:trPr>
          <w:cantSplit/>
        </w:trPr>
        <w:tc>
          <w:tcPr>
            <w:tcW w:w="2628" w:type="dxa"/>
            <w:vMerge/>
            <w:tcBorders>
              <w:left w:val="single" w:sz="4" w:space="0" w:color="auto"/>
              <w:right w:val="single" w:sz="4" w:space="0" w:color="auto"/>
            </w:tcBorders>
          </w:tcPr>
          <w:p w14:paraId="796109FE" w14:textId="77777777" w:rsidR="00CA2D0E" w:rsidRPr="0058432E" w:rsidRDefault="00CA2D0E" w:rsidP="00982118">
            <w:pPr>
              <w:keepNext/>
              <w:autoSpaceDE w:val="0"/>
              <w:autoSpaceDN w:val="0"/>
              <w:adjustRightInd w:val="0"/>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AC95F98" w14:textId="77777777" w:rsidR="00CA2D0E" w:rsidRPr="0058432E" w:rsidRDefault="00CA2D0E" w:rsidP="00982118">
            <w:pPr>
              <w:keepNext/>
              <w:rPr>
                <w:color w:val="000000" w:themeColor="text1"/>
              </w:rPr>
            </w:pPr>
            <w:r w:rsidRPr="0058432E">
              <w:rPr>
                <w:color w:val="000000" w:themeColor="text1"/>
              </w:rPr>
              <w:t>Peu fréquent</w:t>
            </w:r>
          </w:p>
          <w:p w14:paraId="3A6509AF"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513152A5" w14:textId="77777777" w:rsidR="00CA2D0E" w:rsidRPr="0058432E" w:rsidRDefault="00CA2D0E" w:rsidP="00982118">
            <w:pPr>
              <w:keepNext/>
              <w:autoSpaceDE w:val="0"/>
              <w:autoSpaceDN w:val="0"/>
              <w:adjustRightInd w:val="0"/>
              <w:rPr>
                <w:color w:val="000000" w:themeColor="text1"/>
              </w:rPr>
            </w:pPr>
            <w:r w:rsidRPr="0058432E">
              <w:rPr>
                <w:color w:val="000000" w:themeColor="text1"/>
              </w:rPr>
              <w:t>Embolie pulmonaire</w:t>
            </w:r>
            <w:r w:rsidRPr="0058432E">
              <w:rPr>
                <w:color w:val="000000" w:themeColor="text1"/>
                <w:vertAlign w:val="superscript"/>
              </w:rPr>
              <w:t>1</w:t>
            </w:r>
            <w:r w:rsidRPr="0058432E">
              <w:rPr>
                <w:color w:val="000000" w:themeColor="text1"/>
              </w:rPr>
              <w:t>,</w:t>
            </w:r>
          </w:p>
          <w:p w14:paraId="6C3C5623" w14:textId="77777777" w:rsidR="00CA2D0E" w:rsidRPr="0058432E" w:rsidRDefault="008705FF" w:rsidP="00982118">
            <w:pPr>
              <w:keepNext/>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 xml:space="preserve"> interstitielle diffuse</w:t>
            </w:r>
            <w:r w:rsidR="00CA2D0E" w:rsidRPr="0058432E">
              <w:rPr>
                <w:color w:val="000000" w:themeColor="text1"/>
              </w:rPr>
              <w:t>,</w:t>
            </w:r>
          </w:p>
          <w:p w14:paraId="61C16085"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broncho</w:t>
            </w:r>
            <w:proofErr w:type="gramEnd"/>
            <w:r w:rsidRPr="0058432E">
              <w:rPr>
                <w:color w:val="000000" w:themeColor="text1"/>
              </w:rPr>
              <w:t>-pneumopathie chronique obstructive,</w:t>
            </w:r>
          </w:p>
          <w:p w14:paraId="52A0A60E" w14:textId="77777777" w:rsidR="00CA2D0E" w:rsidRPr="0058432E" w:rsidRDefault="00CA2D0E" w:rsidP="00982118">
            <w:pPr>
              <w:keepNext/>
              <w:autoSpaceDE w:val="0"/>
              <w:autoSpaceDN w:val="0"/>
              <w:adjustRightInd w:val="0"/>
              <w:rPr>
                <w:color w:val="000000" w:themeColor="text1"/>
              </w:rPr>
            </w:pPr>
            <w:proofErr w:type="gramStart"/>
            <w:r w:rsidRPr="0058432E">
              <w:rPr>
                <w:color w:val="000000" w:themeColor="text1"/>
              </w:rPr>
              <w:t>pneumopathie</w:t>
            </w:r>
            <w:proofErr w:type="gramEnd"/>
            <w:r w:rsidRPr="0058432E">
              <w:rPr>
                <w:color w:val="000000" w:themeColor="text1"/>
              </w:rPr>
              <w:t>,</w:t>
            </w:r>
          </w:p>
          <w:p w14:paraId="780F5BD2" w14:textId="77777777" w:rsidR="00CA2D0E" w:rsidRPr="0058432E" w:rsidRDefault="00CA2D0E" w:rsidP="000D3575">
            <w:pPr>
              <w:keepNext/>
              <w:autoSpaceDE w:val="0"/>
              <w:autoSpaceDN w:val="0"/>
              <w:adjustRightInd w:val="0"/>
              <w:rPr>
                <w:color w:val="000000" w:themeColor="text1"/>
              </w:rPr>
            </w:pPr>
            <w:proofErr w:type="gramStart"/>
            <w:r w:rsidRPr="0058432E">
              <w:rPr>
                <w:color w:val="000000" w:themeColor="text1"/>
              </w:rPr>
              <w:t>épanchement</w:t>
            </w:r>
            <w:proofErr w:type="gramEnd"/>
            <w:r w:rsidRPr="0058432E">
              <w:rPr>
                <w:color w:val="000000" w:themeColor="text1"/>
              </w:rPr>
              <w:t xml:space="preserve"> pleural</w:t>
            </w:r>
            <w:r w:rsidRPr="0058432E">
              <w:rPr>
                <w:color w:val="000000" w:themeColor="text1"/>
                <w:vertAlign w:val="superscript"/>
              </w:rPr>
              <w:t>1</w:t>
            </w:r>
          </w:p>
        </w:tc>
      </w:tr>
      <w:tr w:rsidR="00CA2D0E" w:rsidRPr="0058432E" w14:paraId="121A6F41" w14:textId="77777777" w:rsidTr="00776D2E">
        <w:trPr>
          <w:cantSplit/>
        </w:trPr>
        <w:tc>
          <w:tcPr>
            <w:tcW w:w="2628" w:type="dxa"/>
            <w:vMerge/>
            <w:tcBorders>
              <w:left w:val="single" w:sz="4" w:space="0" w:color="auto"/>
              <w:bottom w:val="single" w:sz="4" w:space="0" w:color="auto"/>
              <w:right w:val="single" w:sz="4" w:space="0" w:color="auto"/>
            </w:tcBorders>
          </w:tcPr>
          <w:p w14:paraId="134EFEC8" w14:textId="77777777" w:rsidR="00CA2D0E" w:rsidRPr="0058432E" w:rsidRDefault="00CA2D0E" w:rsidP="00982118">
            <w:pPr>
              <w:autoSpaceDE w:val="0"/>
              <w:autoSpaceDN w:val="0"/>
              <w:adjustRightInd w:val="0"/>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589100E5" w14:textId="77777777" w:rsidR="00CA2D0E" w:rsidRPr="0058432E" w:rsidRDefault="00CA2D0E"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4DDC28EA" w14:textId="77777777" w:rsidR="00CA2D0E" w:rsidRPr="0058432E" w:rsidRDefault="00CA2D0E" w:rsidP="000D3575">
            <w:pPr>
              <w:autoSpaceDE w:val="0"/>
              <w:autoSpaceDN w:val="0"/>
              <w:adjustRightInd w:val="0"/>
              <w:rPr>
                <w:color w:val="000000" w:themeColor="text1"/>
              </w:rPr>
            </w:pPr>
            <w:r w:rsidRPr="0058432E">
              <w:rPr>
                <w:color w:val="000000" w:themeColor="text1"/>
              </w:rPr>
              <w:t>Fibrose pulmonaire</w:t>
            </w:r>
            <w:r w:rsidRPr="0058432E">
              <w:rPr>
                <w:color w:val="000000" w:themeColor="text1"/>
                <w:vertAlign w:val="superscript"/>
              </w:rPr>
              <w:t>1</w:t>
            </w:r>
          </w:p>
        </w:tc>
      </w:tr>
      <w:tr w:rsidR="00CA2D0E" w:rsidRPr="0058432E" w14:paraId="7091882C"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1B2AC6B7" w14:textId="77777777" w:rsidR="00CA2D0E" w:rsidRPr="0058432E" w:rsidRDefault="00CA2D0E" w:rsidP="00982118">
            <w:pPr>
              <w:rPr>
                <w:color w:val="000000" w:themeColor="text1"/>
              </w:rPr>
            </w:pPr>
            <w:r w:rsidRPr="0058432E">
              <w:rPr>
                <w:color w:val="000000" w:themeColor="text1"/>
              </w:rPr>
              <w:t>Affections gastro-intestinales</w:t>
            </w:r>
          </w:p>
        </w:tc>
        <w:tc>
          <w:tcPr>
            <w:tcW w:w="1695" w:type="dxa"/>
            <w:tcBorders>
              <w:top w:val="single" w:sz="4" w:space="0" w:color="auto"/>
              <w:left w:val="single" w:sz="4" w:space="0" w:color="auto"/>
              <w:bottom w:val="single" w:sz="4" w:space="0" w:color="auto"/>
              <w:right w:val="single" w:sz="4" w:space="0" w:color="auto"/>
            </w:tcBorders>
          </w:tcPr>
          <w:p w14:paraId="53161380" w14:textId="77777777" w:rsidR="00CA2D0E" w:rsidRPr="0058432E" w:rsidRDefault="00CA2D0E" w:rsidP="00982118">
            <w:pPr>
              <w:rPr>
                <w:color w:val="000000" w:themeColor="text1"/>
              </w:rPr>
            </w:pPr>
            <w:r w:rsidRPr="0058432E">
              <w:rPr>
                <w:color w:val="000000" w:themeColor="text1"/>
              </w:rPr>
              <w:t>Très fréquent</w:t>
            </w:r>
          </w:p>
          <w:p w14:paraId="10F6F81C" w14:textId="77777777" w:rsidR="00CA2D0E" w:rsidRPr="0058432E" w:rsidRDefault="00CA2D0E" w:rsidP="00982118">
            <w:pPr>
              <w:rPr>
                <w:color w:val="000000" w:themeColor="text1"/>
              </w:rPr>
            </w:pPr>
          </w:p>
        </w:tc>
        <w:tc>
          <w:tcPr>
            <w:tcW w:w="0" w:type="auto"/>
            <w:tcBorders>
              <w:top w:val="single" w:sz="4" w:space="0" w:color="auto"/>
              <w:left w:val="single" w:sz="4" w:space="0" w:color="auto"/>
              <w:right w:val="single" w:sz="4" w:space="0" w:color="auto"/>
            </w:tcBorders>
          </w:tcPr>
          <w:p w14:paraId="6D98FF25" w14:textId="77777777" w:rsidR="00CA2D0E" w:rsidRPr="0058432E" w:rsidRDefault="00CA2D0E" w:rsidP="00982118">
            <w:pPr>
              <w:autoSpaceDE w:val="0"/>
              <w:autoSpaceDN w:val="0"/>
              <w:adjustRightInd w:val="0"/>
              <w:rPr>
                <w:color w:val="000000" w:themeColor="text1"/>
              </w:rPr>
            </w:pPr>
            <w:r w:rsidRPr="0058432E">
              <w:rPr>
                <w:color w:val="000000" w:themeColor="text1"/>
              </w:rPr>
              <w:t>Douleurs abdominales,</w:t>
            </w:r>
          </w:p>
          <w:p w14:paraId="21811864" w14:textId="77777777" w:rsidR="00CA2D0E" w:rsidRPr="0058432E" w:rsidRDefault="00CA2D0E" w:rsidP="000D3575">
            <w:pPr>
              <w:autoSpaceDE w:val="0"/>
              <w:autoSpaceDN w:val="0"/>
              <w:adjustRightInd w:val="0"/>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w:t>
            </w:r>
          </w:p>
        </w:tc>
      </w:tr>
      <w:tr w:rsidR="00CA2D0E" w:rsidRPr="0058432E" w14:paraId="04A105D3" w14:textId="77777777" w:rsidTr="00776D2E">
        <w:trPr>
          <w:cantSplit/>
        </w:trPr>
        <w:tc>
          <w:tcPr>
            <w:tcW w:w="2628" w:type="dxa"/>
            <w:vMerge/>
            <w:tcBorders>
              <w:left w:val="single" w:sz="4" w:space="0" w:color="auto"/>
              <w:right w:val="single" w:sz="4" w:space="0" w:color="auto"/>
            </w:tcBorders>
          </w:tcPr>
          <w:p w14:paraId="1A21E3A4"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2126D489" w14:textId="77777777" w:rsidR="00CA2D0E" w:rsidRPr="0058432E" w:rsidRDefault="00CA2D0E" w:rsidP="00982118">
            <w:pPr>
              <w:rPr>
                <w:color w:val="000000" w:themeColor="text1"/>
              </w:rPr>
            </w:pPr>
            <w:r w:rsidRPr="0058432E">
              <w:rPr>
                <w:color w:val="000000" w:themeColor="text1"/>
              </w:rPr>
              <w:t>Fréquent</w:t>
            </w:r>
          </w:p>
          <w:p w14:paraId="69B449F5"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44863311" w14:textId="77777777" w:rsidR="00CA2D0E" w:rsidRPr="0058432E" w:rsidRDefault="00CA2D0E" w:rsidP="00982118">
            <w:pPr>
              <w:autoSpaceDE w:val="0"/>
              <w:autoSpaceDN w:val="0"/>
              <w:adjustRightInd w:val="0"/>
              <w:rPr>
                <w:color w:val="000000" w:themeColor="text1"/>
              </w:rPr>
            </w:pPr>
            <w:r w:rsidRPr="0058432E">
              <w:rPr>
                <w:color w:val="000000" w:themeColor="text1"/>
              </w:rPr>
              <w:t>Hémorragie gastro-intestinale,</w:t>
            </w:r>
          </w:p>
          <w:p w14:paraId="6B61DEB4"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dyspepsie</w:t>
            </w:r>
            <w:proofErr w:type="gramEnd"/>
            <w:r w:rsidRPr="0058432E">
              <w:rPr>
                <w:color w:val="000000" w:themeColor="text1"/>
              </w:rPr>
              <w:t>,</w:t>
            </w:r>
          </w:p>
          <w:p w14:paraId="24A97CD4"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reflux</w:t>
            </w:r>
            <w:proofErr w:type="gramEnd"/>
            <w:r w:rsidRPr="0058432E">
              <w:rPr>
                <w:color w:val="000000" w:themeColor="text1"/>
              </w:rPr>
              <w:t xml:space="preserve"> gastro-œsophagien,</w:t>
            </w:r>
          </w:p>
          <w:p w14:paraId="152697FA" w14:textId="77777777" w:rsidR="00CA2D0E" w:rsidRPr="0058432E" w:rsidRDefault="00CA2D0E" w:rsidP="000D3575">
            <w:pPr>
              <w:autoSpaceDE w:val="0"/>
              <w:autoSpaceDN w:val="0"/>
              <w:adjustRightInd w:val="0"/>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w:t>
            </w:r>
          </w:p>
        </w:tc>
      </w:tr>
      <w:tr w:rsidR="00CA2D0E" w:rsidRPr="0058432E" w14:paraId="4B35CB1A" w14:textId="77777777" w:rsidTr="00776D2E">
        <w:trPr>
          <w:cantSplit/>
        </w:trPr>
        <w:tc>
          <w:tcPr>
            <w:tcW w:w="2628" w:type="dxa"/>
            <w:vMerge/>
            <w:tcBorders>
              <w:left w:val="single" w:sz="4" w:space="0" w:color="auto"/>
              <w:right w:val="single" w:sz="4" w:space="0" w:color="auto"/>
            </w:tcBorders>
          </w:tcPr>
          <w:p w14:paraId="30692561"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CCBB6C8" w14:textId="77777777" w:rsidR="00CA2D0E" w:rsidRPr="0058432E" w:rsidRDefault="00CA2D0E" w:rsidP="00982118">
            <w:pPr>
              <w:rPr>
                <w:color w:val="000000" w:themeColor="text1"/>
              </w:rPr>
            </w:pPr>
            <w:r w:rsidRPr="0058432E">
              <w:rPr>
                <w:color w:val="000000" w:themeColor="text1"/>
              </w:rPr>
              <w:t>Peu fréquent</w:t>
            </w:r>
          </w:p>
          <w:p w14:paraId="3E2FE781"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4ED11954" w14:textId="77777777" w:rsidR="00CA2D0E" w:rsidRPr="0058432E" w:rsidRDefault="00CA2D0E" w:rsidP="00982118">
            <w:pPr>
              <w:autoSpaceDE w:val="0"/>
              <w:autoSpaceDN w:val="0"/>
              <w:adjustRightInd w:val="0"/>
              <w:rPr>
                <w:color w:val="000000" w:themeColor="text1"/>
              </w:rPr>
            </w:pPr>
            <w:r w:rsidRPr="0058432E">
              <w:rPr>
                <w:color w:val="000000" w:themeColor="text1"/>
              </w:rPr>
              <w:t>Pancréatite,</w:t>
            </w:r>
          </w:p>
          <w:p w14:paraId="46C580B6" w14:textId="77777777" w:rsidR="00CA2D0E" w:rsidRPr="0058432E" w:rsidRDefault="00CA2D0E" w:rsidP="00982118">
            <w:pPr>
              <w:autoSpaceDE w:val="0"/>
              <w:autoSpaceDN w:val="0"/>
              <w:adjustRightInd w:val="0"/>
              <w:rPr>
                <w:color w:val="000000" w:themeColor="text1"/>
              </w:rPr>
            </w:pPr>
            <w:proofErr w:type="gramStart"/>
            <w:r w:rsidRPr="0058432E">
              <w:rPr>
                <w:color w:val="000000" w:themeColor="text1"/>
              </w:rPr>
              <w:t>dysphagie</w:t>
            </w:r>
            <w:proofErr w:type="gramEnd"/>
            <w:r w:rsidRPr="0058432E">
              <w:rPr>
                <w:color w:val="000000" w:themeColor="text1"/>
              </w:rPr>
              <w:t>,</w:t>
            </w:r>
          </w:p>
          <w:p w14:paraId="21E78DC0" w14:textId="77777777" w:rsidR="00CA2D0E" w:rsidRPr="0058432E" w:rsidRDefault="00CA2D0E" w:rsidP="000D3575">
            <w:pPr>
              <w:autoSpaceDE w:val="0"/>
              <w:autoSpaceDN w:val="0"/>
              <w:adjustRightInd w:val="0"/>
              <w:rPr>
                <w:color w:val="000000" w:themeColor="text1"/>
              </w:rPr>
            </w:pPr>
            <w:proofErr w:type="gramStart"/>
            <w:r w:rsidRPr="0058432E">
              <w:rPr>
                <w:color w:val="000000" w:themeColor="text1"/>
              </w:rPr>
              <w:t>œdème</w:t>
            </w:r>
            <w:proofErr w:type="gramEnd"/>
            <w:r w:rsidRPr="0058432E">
              <w:rPr>
                <w:color w:val="000000" w:themeColor="text1"/>
              </w:rPr>
              <w:t xml:space="preserve"> du visage</w:t>
            </w:r>
          </w:p>
        </w:tc>
      </w:tr>
      <w:tr w:rsidR="00CA2D0E" w:rsidRPr="0058432E" w14:paraId="0EB7748F" w14:textId="77777777" w:rsidTr="00776D2E">
        <w:trPr>
          <w:cantSplit/>
        </w:trPr>
        <w:tc>
          <w:tcPr>
            <w:tcW w:w="2628" w:type="dxa"/>
            <w:vMerge/>
            <w:tcBorders>
              <w:left w:val="single" w:sz="4" w:space="0" w:color="auto"/>
              <w:bottom w:val="single" w:sz="4" w:space="0" w:color="auto"/>
              <w:right w:val="single" w:sz="4" w:space="0" w:color="auto"/>
            </w:tcBorders>
          </w:tcPr>
          <w:p w14:paraId="69BD81CE"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2629A21D" w14:textId="77777777" w:rsidR="00CA2D0E" w:rsidRPr="0058432E" w:rsidRDefault="00CA2D0E" w:rsidP="000D3575">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263D0A0E" w14:textId="77777777" w:rsidR="00CA2D0E" w:rsidRPr="0058432E" w:rsidRDefault="00CA2D0E" w:rsidP="000D3575">
            <w:pPr>
              <w:autoSpaceDE w:val="0"/>
              <w:autoSpaceDN w:val="0"/>
              <w:adjustRightInd w:val="0"/>
              <w:rPr>
                <w:color w:val="000000" w:themeColor="text1"/>
              </w:rPr>
            </w:pPr>
            <w:r w:rsidRPr="0058432E">
              <w:rPr>
                <w:color w:val="000000" w:themeColor="text1"/>
              </w:rPr>
              <w:t>Perforation intestinale</w:t>
            </w:r>
            <w:r w:rsidRPr="0058432E">
              <w:rPr>
                <w:color w:val="000000" w:themeColor="text1"/>
                <w:vertAlign w:val="superscript"/>
              </w:rPr>
              <w:t>1</w:t>
            </w:r>
          </w:p>
        </w:tc>
      </w:tr>
      <w:tr w:rsidR="00CA2D0E" w:rsidRPr="0058432E" w14:paraId="1DD4CFC8"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2EFF51A4" w14:textId="77777777" w:rsidR="00CA2D0E" w:rsidRPr="0058432E" w:rsidRDefault="00CA2D0E" w:rsidP="00982118">
            <w:pPr>
              <w:rPr>
                <w:color w:val="000000" w:themeColor="text1"/>
              </w:rPr>
            </w:pPr>
            <w:r w:rsidRPr="0058432E">
              <w:rPr>
                <w:color w:val="000000" w:themeColor="text1"/>
              </w:rPr>
              <w:t>Affections hépatobiliaires*</w:t>
            </w:r>
          </w:p>
        </w:tc>
        <w:tc>
          <w:tcPr>
            <w:tcW w:w="1695" w:type="dxa"/>
            <w:tcBorders>
              <w:top w:val="single" w:sz="4" w:space="0" w:color="auto"/>
              <w:left w:val="single" w:sz="4" w:space="0" w:color="auto"/>
              <w:bottom w:val="single" w:sz="4" w:space="0" w:color="auto"/>
              <w:right w:val="single" w:sz="4" w:space="0" w:color="auto"/>
            </w:tcBorders>
          </w:tcPr>
          <w:p w14:paraId="13EBC331" w14:textId="77777777" w:rsidR="00CA2D0E" w:rsidRPr="0058432E" w:rsidRDefault="00CA2D0E" w:rsidP="000D3575">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56ABF4A2" w14:textId="77777777" w:rsidR="00CA2D0E" w:rsidRPr="0058432E" w:rsidRDefault="00CA2D0E" w:rsidP="000D3575">
            <w:pPr>
              <w:rPr>
                <w:color w:val="000000" w:themeColor="text1"/>
              </w:rPr>
            </w:pPr>
            <w:r w:rsidRPr="0058432E">
              <w:rPr>
                <w:color w:val="000000" w:themeColor="text1"/>
              </w:rPr>
              <w:t>Élévation des enzymes hépatiques</w:t>
            </w:r>
          </w:p>
        </w:tc>
      </w:tr>
      <w:tr w:rsidR="00CA2D0E" w:rsidRPr="0058432E" w14:paraId="79F0314E" w14:textId="77777777" w:rsidTr="00776D2E">
        <w:trPr>
          <w:cantSplit/>
        </w:trPr>
        <w:tc>
          <w:tcPr>
            <w:tcW w:w="2628" w:type="dxa"/>
            <w:vMerge/>
            <w:tcBorders>
              <w:left w:val="single" w:sz="4" w:space="0" w:color="auto"/>
              <w:right w:val="single" w:sz="4" w:space="0" w:color="auto"/>
            </w:tcBorders>
          </w:tcPr>
          <w:p w14:paraId="0833F8D6"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4CDDE0AA" w14:textId="77777777" w:rsidR="00CA2D0E" w:rsidRPr="0058432E" w:rsidRDefault="00CA2D0E" w:rsidP="00982118">
            <w:pPr>
              <w:rPr>
                <w:color w:val="000000" w:themeColor="text1"/>
              </w:rPr>
            </w:pPr>
            <w:r w:rsidRPr="0058432E">
              <w:rPr>
                <w:color w:val="000000" w:themeColor="text1"/>
              </w:rPr>
              <w:t>Peu fréquent</w:t>
            </w:r>
          </w:p>
          <w:p w14:paraId="7700B910"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71C89CCF" w14:textId="77777777" w:rsidR="00CA2D0E" w:rsidRPr="0058432E" w:rsidRDefault="00CA2D0E" w:rsidP="00982118">
            <w:pPr>
              <w:rPr>
                <w:color w:val="000000" w:themeColor="text1"/>
              </w:rPr>
            </w:pPr>
            <w:r w:rsidRPr="0058432E">
              <w:rPr>
                <w:color w:val="000000" w:themeColor="text1"/>
              </w:rPr>
              <w:t>Cholécystite et lithiase biliaire,</w:t>
            </w:r>
          </w:p>
          <w:p w14:paraId="3834B719" w14:textId="77777777" w:rsidR="00CA2D0E" w:rsidRPr="0058432E" w:rsidRDefault="00CA2D0E" w:rsidP="00982118">
            <w:pPr>
              <w:rPr>
                <w:color w:val="000000" w:themeColor="text1"/>
              </w:rPr>
            </w:pPr>
            <w:proofErr w:type="gramStart"/>
            <w:r w:rsidRPr="0058432E">
              <w:rPr>
                <w:color w:val="000000" w:themeColor="text1"/>
              </w:rPr>
              <w:t>stéatose</w:t>
            </w:r>
            <w:proofErr w:type="gramEnd"/>
            <w:r w:rsidRPr="0058432E">
              <w:rPr>
                <w:color w:val="000000" w:themeColor="text1"/>
              </w:rPr>
              <w:t xml:space="preserve"> hépatique,</w:t>
            </w:r>
          </w:p>
          <w:p w14:paraId="59610456" w14:textId="77777777" w:rsidR="00CA2D0E" w:rsidRPr="0058432E" w:rsidRDefault="00CA2D0E" w:rsidP="000D3575">
            <w:pPr>
              <w:rPr>
                <w:color w:val="000000" w:themeColor="text1"/>
              </w:rPr>
            </w:pPr>
            <w:proofErr w:type="gramStart"/>
            <w:r w:rsidRPr="0058432E">
              <w:rPr>
                <w:color w:val="000000" w:themeColor="text1"/>
              </w:rPr>
              <w:t>hyperbilirubinémie</w:t>
            </w:r>
            <w:proofErr w:type="gramEnd"/>
          </w:p>
        </w:tc>
      </w:tr>
      <w:tr w:rsidR="00CA2D0E" w:rsidRPr="0058432E" w14:paraId="0AE4B88D" w14:textId="77777777" w:rsidTr="00776D2E">
        <w:trPr>
          <w:cantSplit/>
        </w:trPr>
        <w:tc>
          <w:tcPr>
            <w:tcW w:w="2628" w:type="dxa"/>
            <w:vMerge/>
            <w:tcBorders>
              <w:left w:val="single" w:sz="4" w:space="0" w:color="auto"/>
              <w:right w:val="single" w:sz="4" w:space="0" w:color="auto"/>
            </w:tcBorders>
          </w:tcPr>
          <w:p w14:paraId="0EA063EB"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3A25D51C" w14:textId="77777777" w:rsidR="00CA2D0E" w:rsidRPr="0058432E" w:rsidRDefault="00CA2D0E" w:rsidP="00982118">
            <w:pPr>
              <w:rPr>
                <w:color w:val="000000" w:themeColor="text1"/>
              </w:rPr>
            </w:pPr>
            <w:r w:rsidRPr="0058432E">
              <w:rPr>
                <w:color w:val="000000" w:themeColor="text1"/>
              </w:rPr>
              <w:t>Rare</w:t>
            </w:r>
          </w:p>
          <w:p w14:paraId="586D697D"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7874C3D6" w14:textId="77777777" w:rsidR="00CA2D0E" w:rsidRPr="0058432E" w:rsidRDefault="00CA2D0E" w:rsidP="00982118">
            <w:pPr>
              <w:rPr>
                <w:color w:val="000000" w:themeColor="text1"/>
              </w:rPr>
            </w:pPr>
            <w:r w:rsidRPr="0058432E">
              <w:rPr>
                <w:color w:val="000000" w:themeColor="text1"/>
              </w:rPr>
              <w:t>Hépatite,</w:t>
            </w:r>
          </w:p>
          <w:p w14:paraId="3289EA5F" w14:textId="77777777" w:rsidR="00CA2D0E" w:rsidRPr="0058432E" w:rsidRDefault="00CA2D0E" w:rsidP="00982118">
            <w:pPr>
              <w:rPr>
                <w:color w:val="000000" w:themeColor="text1"/>
              </w:rPr>
            </w:pPr>
            <w:proofErr w:type="gramStart"/>
            <w:r w:rsidRPr="0058432E">
              <w:rPr>
                <w:color w:val="000000" w:themeColor="text1"/>
              </w:rPr>
              <w:t>réactivation</w:t>
            </w:r>
            <w:proofErr w:type="gramEnd"/>
            <w:r w:rsidRPr="0058432E">
              <w:rPr>
                <w:color w:val="000000" w:themeColor="text1"/>
              </w:rPr>
              <w:t xml:space="preserve"> du virus de l’hépatite B</w:t>
            </w:r>
            <w:r w:rsidRPr="0058432E">
              <w:rPr>
                <w:color w:val="000000" w:themeColor="text1"/>
                <w:vertAlign w:val="superscript"/>
              </w:rPr>
              <w:t>1</w:t>
            </w:r>
            <w:r w:rsidRPr="0058432E">
              <w:rPr>
                <w:color w:val="000000" w:themeColor="text1"/>
              </w:rPr>
              <w:t>,</w:t>
            </w:r>
          </w:p>
          <w:p w14:paraId="6FF0FB47" w14:textId="77777777" w:rsidR="00CA2D0E" w:rsidRPr="0058432E" w:rsidRDefault="00CA2D0E" w:rsidP="000D3575">
            <w:pPr>
              <w:rPr>
                <w:color w:val="000000" w:themeColor="text1"/>
              </w:rPr>
            </w:pPr>
            <w:proofErr w:type="gramStart"/>
            <w:r w:rsidRPr="0058432E">
              <w:rPr>
                <w:color w:val="000000" w:themeColor="text1"/>
              </w:rPr>
              <w:t>hépatite</w:t>
            </w:r>
            <w:proofErr w:type="gramEnd"/>
            <w:r w:rsidRPr="0058432E">
              <w:rPr>
                <w:color w:val="000000" w:themeColor="text1"/>
              </w:rPr>
              <w:t xml:space="preserve"> auto-immune</w:t>
            </w:r>
            <w:r w:rsidRPr="0058432E">
              <w:rPr>
                <w:color w:val="000000" w:themeColor="text1"/>
                <w:vertAlign w:val="superscript"/>
              </w:rPr>
              <w:t>1</w:t>
            </w:r>
          </w:p>
        </w:tc>
      </w:tr>
      <w:tr w:rsidR="00CA2D0E" w:rsidRPr="0058432E" w14:paraId="5EB7FBD7" w14:textId="77777777" w:rsidTr="00776D2E">
        <w:trPr>
          <w:cantSplit/>
        </w:trPr>
        <w:tc>
          <w:tcPr>
            <w:tcW w:w="2628" w:type="dxa"/>
            <w:vMerge/>
            <w:tcBorders>
              <w:left w:val="single" w:sz="4" w:space="0" w:color="auto"/>
              <w:bottom w:val="single" w:sz="4" w:space="0" w:color="auto"/>
              <w:right w:val="single" w:sz="4" w:space="0" w:color="auto"/>
            </w:tcBorders>
          </w:tcPr>
          <w:p w14:paraId="0388A01D"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2B73366D" w14:textId="77777777" w:rsidR="00CA2D0E" w:rsidRPr="0058432E" w:rsidRDefault="00CA2D0E" w:rsidP="000D3575">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7DFBCEC8" w14:textId="77777777" w:rsidR="00CA2D0E" w:rsidRPr="0058432E" w:rsidRDefault="00CA2D0E" w:rsidP="00982118">
            <w:pPr>
              <w:rPr>
                <w:color w:val="000000" w:themeColor="text1"/>
              </w:rPr>
            </w:pPr>
            <w:r w:rsidRPr="0058432E">
              <w:rPr>
                <w:color w:val="000000" w:themeColor="text1"/>
              </w:rPr>
              <w:t>Insuffisance hépatique</w:t>
            </w:r>
            <w:r w:rsidRPr="0058432E">
              <w:rPr>
                <w:color w:val="000000" w:themeColor="text1"/>
                <w:vertAlign w:val="superscript"/>
              </w:rPr>
              <w:t>1</w:t>
            </w:r>
          </w:p>
          <w:p w14:paraId="4038D108" w14:textId="77777777" w:rsidR="00CA2D0E" w:rsidRPr="0058432E" w:rsidRDefault="00CA2D0E" w:rsidP="00982118">
            <w:pPr>
              <w:rPr>
                <w:color w:val="000000" w:themeColor="text1"/>
              </w:rPr>
            </w:pPr>
          </w:p>
        </w:tc>
      </w:tr>
      <w:tr w:rsidR="00CA2D0E" w:rsidRPr="0058432E" w14:paraId="32FA9AF7"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53456270" w14:textId="77777777" w:rsidR="00CA2D0E" w:rsidRPr="0058432E" w:rsidRDefault="00CA2D0E" w:rsidP="00982118">
            <w:pPr>
              <w:keepNext/>
              <w:rPr>
                <w:color w:val="000000" w:themeColor="text1"/>
              </w:rPr>
            </w:pPr>
            <w:r w:rsidRPr="0058432E">
              <w:rPr>
                <w:color w:val="000000" w:themeColor="text1"/>
              </w:rPr>
              <w:t>Affections de la peau et du tissu sous-cutané</w:t>
            </w:r>
          </w:p>
        </w:tc>
        <w:tc>
          <w:tcPr>
            <w:tcW w:w="1695" w:type="dxa"/>
            <w:tcBorders>
              <w:top w:val="single" w:sz="4" w:space="0" w:color="auto"/>
              <w:left w:val="single" w:sz="4" w:space="0" w:color="auto"/>
              <w:bottom w:val="single" w:sz="4" w:space="0" w:color="auto"/>
              <w:right w:val="single" w:sz="4" w:space="0" w:color="auto"/>
            </w:tcBorders>
          </w:tcPr>
          <w:p w14:paraId="27DE3BC7" w14:textId="77777777" w:rsidR="00CA2D0E" w:rsidRPr="0058432E" w:rsidRDefault="00CA2D0E" w:rsidP="000D3575">
            <w:pPr>
              <w:keepNext/>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13A81A03" w14:textId="77777777" w:rsidR="00CA2D0E" w:rsidRPr="0058432E" w:rsidRDefault="00CA2D0E" w:rsidP="000D3575">
            <w:pPr>
              <w:keepNext/>
              <w:rPr>
                <w:color w:val="000000" w:themeColor="text1"/>
              </w:rPr>
            </w:pPr>
            <w:r w:rsidRPr="0058432E">
              <w:rPr>
                <w:color w:val="000000" w:themeColor="text1"/>
              </w:rPr>
              <w:t>Rash (y compris éruption exfoliative)</w:t>
            </w:r>
          </w:p>
        </w:tc>
      </w:tr>
      <w:tr w:rsidR="00CA2D0E" w:rsidRPr="0058432E" w14:paraId="6B712B69" w14:textId="77777777" w:rsidTr="00776D2E">
        <w:trPr>
          <w:cantSplit/>
        </w:trPr>
        <w:tc>
          <w:tcPr>
            <w:tcW w:w="2628" w:type="dxa"/>
            <w:vMerge/>
            <w:tcBorders>
              <w:left w:val="single" w:sz="4" w:space="0" w:color="auto"/>
              <w:right w:val="single" w:sz="4" w:space="0" w:color="auto"/>
            </w:tcBorders>
          </w:tcPr>
          <w:p w14:paraId="5317C035"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5135A039" w14:textId="77777777" w:rsidR="00CA2D0E" w:rsidRPr="0058432E" w:rsidRDefault="00CA2D0E" w:rsidP="00982118">
            <w:pPr>
              <w:keepNext/>
              <w:rPr>
                <w:color w:val="000000" w:themeColor="text1"/>
              </w:rPr>
            </w:pPr>
            <w:r w:rsidRPr="0058432E">
              <w:rPr>
                <w:color w:val="000000" w:themeColor="text1"/>
              </w:rPr>
              <w:t>Fréquent</w:t>
            </w:r>
          </w:p>
          <w:p w14:paraId="115084ED"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59081FE2" w14:textId="77777777" w:rsidR="00CA2D0E" w:rsidRPr="0058432E" w:rsidRDefault="00CA2D0E" w:rsidP="00982118">
            <w:pPr>
              <w:keepNext/>
              <w:rPr>
                <w:color w:val="000000" w:themeColor="text1"/>
              </w:rPr>
            </w:pPr>
            <w:r w:rsidRPr="0058432E">
              <w:rPr>
                <w:color w:val="000000" w:themeColor="text1"/>
              </w:rPr>
              <w:t>Aggravation ou apparition d’un psoriasis (y compris psoriasis pustulaire palmoplantaire)</w:t>
            </w:r>
            <w:r w:rsidRPr="0058432E">
              <w:rPr>
                <w:color w:val="000000" w:themeColor="text1"/>
                <w:vertAlign w:val="superscript"/>
              </w:rPr>
              <w:t>1</w:t>
            </w:r>
            <w:r w:rsidRPr="0058432E">
              <w:rPr>
                <w:color w:val="000000" w:themeColor="text1"/>
              </w:rPr>
              <w:t>,</w:t>
            </w:r>
          </w:p>
          <w:p w14:paraId="27BC0C40" w14:textId="77777777" w:rsidR="00CA2D0E" w:rsidRPr="0058432E" w:rsidRDefault="00CA2D0E" w:rsidP="00982118">
            <w:pPr>
              <w:keepNext/>
              <w:rPr>
                <w:color w:val="000000" w:themeColor="text1"/>
              </w:rPr>
            </w:pPr>
            <w:proofErr w:type="gramStart"/>
            <w:r w:rsidRPr="0058432E">
              <w:rPr>
                <w:color w:val="000000" w:themeColor="text1"/>
              </w:rPr>
              <w:t>urticaire</w:t>
            </w:r>
            <w:proofErr w:type="gramEnd"/>
            <w:r w:rsidRPr="0058432E">
              <w:rPr>
                <w:color w:val="000000" w:themeColor="text1"/>
              </w:rPr>
              <w:t>,</w:t>
            </w:r>
          </w:p>
          <w:p w14:paraId="742EC358" w14:textId="77777777" w:rsidR="00CA2D0E" w:rsidRPr="0058432E" w:rsidRDefault="00CA2D0E" w:rsidP="00982118">
            <w:pPr>
              <w:keepNext/>
              <w:rPr>
                <w:color w:val="000000" w:themeColor="text1"/>
              </w:rPr>
            </w:pPr>
            <w:proofErr w:type="gramStart"/>
            <w:r w:rsidRPr="0058432E">
              <w:rPr>
                <w:color w:val="000000" w:themeColor="text1"/>
              </w:rPr>
              <w:t>ecchymoses</w:t>
            </w:r>
            <w:proofErr w:type="gramEnd"/>
            <w:r w:rsidRPr="0058432E">
              <w:rPr>
                <w:color w:val="000000" w:themeColor="text1"/>
              </w:rPr>
              <w:t xml:space="preserve"> (y compris purpura),</w:t>
            </w:r>
          </w:p>
          <w:p w14:paraId="41090DD7" w14:textId="77777777" w:rsidR="00CA2D0E" w:rsidRPr="0058432E" w:rsidRDefault="00CA2D0E" w:rsidP="00982118">
            <w:pPr>
              <w:keepNext/>
              <w:rPr>
                <w:color w:val="000000" w:themeColor="text1"/>
              </w:rPr>
            </w:pPr>
            <w:proofErr w:type="gramStart"/>
            <w:r w:rsidRPr="0058432E">
              <w:rPr>
                <w:color w:val="000000" w:themeColor="text1"/>
              </w:rPr>
              <w:t>dermatite</w:t>
            </w:r>
            <w:proofErr w:type="gramEnd"/>
            <w:r w:rsidRPr="0058432E">
              <w:rPr>
                <w:color w:val="000000" w:themeColor="text1"/>
              </w:rPr>
              <w:t xml:space="preserve"> (y compris eczéma),</w:t>
            </w:r>
          </w:p>
          <w:p w14:paraId="1364C926" w14:textId="77777777" w:rsidR="00CA2D0E" w:rsidRPr="0058432E" w:rsidRDefault="00CA2D0E" w:rsidP="00982118">
            <w:pPr>
              <w:keepNext/>
              <w:rPr>
                <w:color w:val="000000" w:themeColor="text1"/>
              </w:rPr>
            </w:pPr>
            <w:proofErr w:type="gramStart"/>
            <w:r w:rsidRPr="0058432E">
              <w:rPr>
                <w:color w:val="000000" w:themeColor="text1"/>
              </w:rPr>
              <w:t>onychoclasie</w:t>
            </w:r>
            <w:proofErr w:type="gramEnd"/>
            <w:r w:rsidRPr="0058432E">
              <w:rPr>
                <w:color w:val="000000" w:themeColor="text1"/>
              </w:rPr>
              <w:t>,</w:t>
            </w:r>
          </w:p>
          <w:p w14:paraId="1C857AB1" w14:textId="77777777" w:rsidR="00CA2D0E" w:rsidRPr="0058432E" w:rsidRDefault="00CA2D0E" w:rsidP="00982118">
            <w:pPr>
              <w:keepNext/>
              <w:rPr>
                <w:color w:val="000000" w:themeColor="text1"/>
              </w:rPr>
            </w:pPr>
            <w:proofErr w:type="gramStart"/>
            <w:r w:rsidRPr="0058432E">
              <w:rPr>
                <w:color w:val="000000" w:themeColor="text1"/>
              </w:rPr>
              <w:t>hyperhidrose</w:t>
            </w:r>
            <w:proofErr w:type="gramEnd"/>
            <w:r w:rsidRPr="0058432E">
              <w:rPr>
                <w:color w:val="000000" w:themeColor="text1"/>
              </w:rPr>
              <w:t>,</w:t>
            </w:r>
          </w:p>
          <w:p w14:paraId="47C0A181" w14:textId="77777777" w:rsidR="00CA2D0E" w:rsidRPr="0058432E" w:rsidRDefault="00CA2D0E" w:rsidP="00982118">
            <w:pPr>
              <w:keepNext/>
              <w:rPr>
                <w:color w:val="000000" w:themeColor="text1"/>
              </w:rPr>
            </w:pPr>
            <w:proofErr w:type="gramStart"/>
            <w:r w:rsidRPr="0058432E">
              <w:rPr>
                <w:color w:val="000000" w:themeColor="text1"/>
              </w:rPr>
              <w:t>alopécie</w:t>
            </w:r>
            <w:proofErr w:type="gramEnd"/>
            <w:r w:rsidRPr="0058432E">
              <w:rPr>
                <w:color w:val="000000" w:themeColor="text1"/>
                <w:vertAlign w:val="superscript"/>
              </w:rPr>
              <w:t>1</w:t>
            </w:r>
            <w:r w:rsidRPr="0058432E">
              <w:rPr>
                <w:color w:val="000000" w:themeColor="text1"/>
              </w:rPr>
              <w:t>,</w:t>
            </w:r>
          </w:p>
          <w:p w14:paraId="4400BD76" w14:textId="77777777" w:rsidR="00CA2D0E" w:rsidRPr="0058432E" w:rsidRDefault="00CA2D0E" w:rsidP="000D3575">
            <w:pPr>
              <w:keepNext/>
              <w:rPr>
                <w:color w:val="000000" w:themeColor="text1"/>
              </w:rPr>
            </w:pPr>
            <w:proofErr w:type="gramStart"/>
            <w:r w:rsidRPr="0058432E">
              <w:rPr>
                <w:color w:val="000000" w:themeColor="text1"/>
              </w:rPr>
              <w:t>prurit</w:t>
            </w:r>
            <w:proofErr w:type="gramEnd"/>
          </w:p>
        </w:tc>
      </w:tr>
      <w:tr w:rsidR="00CA2D0E" w:rsidRPr="0058432E" w14:paraId="5F0BE4E3" w14:textId="77777777" w:rsidTr="00776D2E">
        <w:trPr>
          <w:cantSplit/>
        </w:trPr>
        <w:tc>
          <w:tcPr>
            <w:tcW w:w="2628" w:type="dxa"/>
            <w:vMerge/>
            <w:tcBorders>
              <w:left w:val="single" w:sz="4" w:space="0" w:color="auto"/>
              <w:right w:val="single" w:sz="4" w:space="0" w:color="auto"/>
            </w:tcBorders>
          </w:tcPr>
          <w:p w14:paraId="6F9B4949"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33577653" w14:textId="77777777" w:rsidR="00CA2D0E" w:rsidRPr="0058432E" w:rsidRDefault="00CA2D0E" w:rsidP="00982118">
            <w:pPr>
              <w:keepNext/>
              <w:rPr>
                <w:color w:val="000000" w:themeColor="text1"/>
              </w:rPr>
            </w:pPr>
            <w:r w:rsidRPr="0058432E">
              <w:rPr>
                <w:color w:val="000000" w:themeColor="text1"/>
              </w:rPr>
              <w:t>Peu fréquent</w:t>
            </w:r>
          </w:p>
          <w:p w14:paraId="3D630AEB"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1BA6BF20" w14:textId="77777777" w:rsidR="00CA2D0E" w:rsidRPr="0058432E" w:rsidRDefault="00CA2D0E" w:rsidP="00982118">
            <w:pPr>
              <w:keepNext/>
              <w:rPr>
                <w:color w:val="000000" w:themeColor="text1"/>
              </w:rPr>
            </w:pPr>
            <w:r w:rsidRPr="0058432E">
              <w:rPr>
                <w:color w:val="000000" w:themeColor="text1"/>
              </w:rPr>
              <w:t>Sueurs nocturnes,</w:t>
            </w:r>
          </w:p>
          <w:p w14:paraId="66FEFBB9" w14:textId="77777777" w:rsidR="00CA2D0E" w:rsidRPr="0058432E" w:rsidRDefault="00CA2D0E" w:rsidP="000D3575">
            <w:pPr>
              <w:keepNext/>
              <w:rPr>
                <w:color w:val="000000" w:themeColor="text1"/>
              </w:rPr>
            </w:pPr>
            <w:proofErr w:type="gramStart"/>
            <w:r w:rsidRPr="0058432E">
              <w:rPr>
                <w:color w:val="000000" w:themeColor="text1"/>
              </w:rPr>
              <w:t>cicatrice</w:t>
            </w:r>
            <w:proofErr w:type="gramEnd"/>
          </w:p>
        </w:tc>
      </w:tr>
      <w:tr w:rsidR="00CA2D0E" w:rsidRPr="0058432E" w14:paraId="76824A65" w14:textId="77777777" w:rsidTr="00776D2E">
        <w:trPr>
          <w:cantSplit/>
        </w:trPr>
        <w:tc>
          <w:tcPr>
            <w:tcW w:w="2628" w:type="dxa"/>
            <w:vMerge/>
            <w:tcBorders>
              <w:left w:val="single" w:sz="4" w:space="0" w:color="auto"/>
              <w:right w:val="single" w:sz="4" w:space="0" w:color="auto"/>
            </w:tcBorders>
          </w:tcPr>
          <w:p w14:paraId="6658BBE5" w14:textId="77777777" w:rsidR="00CA2D0E" w:rsidRPr="0058432E" w:rsidRDefault="00CA2D0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752D1B73" w14:textId="77777777" w:rsidR="00CA2D0E" w:rsidRPr="0058432E" w:rsidRDefault="00CA2D0E" w:rsidP="00982118">
            <w:pPr>
              <w:keepNext/>
              <w:rPr>
                <w:color w:val="000000" w:themeColor="text1"/>
              </w:rPr>
            </w:pPr>
            <w:r w:rsidRPr="0058432E">
              <w:rPr>
                <w:color w:val="000000" w:themeColor="text1"/>
              </w:rPr>
              <w:t>Rare</w:t>
            </w:r>
          </w:p>
          <w:p w14:paraId="5E83141F" w14:textId="77777777" w:rsidR="00CA2D0E" w:rsidRPr="0058432E" w:rsidRDefault="00CA2D0E" w:rsidP="00982118">
            <w:pPr>
              <w:keepNext/>
              <w:rPr>
                <w:color w:val="000000" w:themeColor="text1"/>
              </w:rPr>
            </w:pPr>
          </w:p>
        </w:tc>
        <w:tc>
          <w:tcPr>
            <w:tcW w:w="0" w:type="auto"/>
            <w:tcBorders>
              <w:left w:val="single" w:sz="4" w:space="0" w:color="auto"/>
              <w:right w:val="single" w:sz="4" w:space="0" w:color="auto"/>
            </w:tcBorders>
          </w:tcPr>
          <w:p w14:paraId="65A7C127" w14:textId="77777777" w:rsidR="00CA2D0E" w:rsidRPr="0058432E" w:rsidRDefault="00CA2D0E" w:rsidP="00982118">
            <w:pPr>
              <w:keepNext/>
              <w:rPr>
                <w:color w:val="000000" w:themeColor="text1"/>
              </w:rPr>
            </w:pPr>
            <w:r w:rsidRPr="0058432E">
              <w:rPr>
                <w:color w:val="000000" w:themeColor="text1"/>
              </w:rPr>
              <w:t>Érythème polymorphe</w:t>
            </w:r>
            <w:r w:rsidRPr="0058432E">
              <w:rPr>
                <w:color w:val="000000" w:themeColor="text1"/>
                <w:vertAlign w:val="superscript"/>
              </w:rPr>
              <w:t>1</w:t>
            </w:r>
            <w:r w:rsidRPr="0058432E">
              <w:rPr>
                <w:color w:val="000000" w:themeColor="text1"/>
              </w:rPr>
              <w:t>,</w:t>
            </w:r>
          </w:p>
          <w:p w14:paraId="6FA9D17A" w14:textId="77777777" w:rsidR="00CA2D0E" w:rsidRPr="0058432E" w:rsidRDefault="00CA2D0E" w:rsidP="00982118">
            <w:pPr>
              <w:keepNext/>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Johnson</w:t>
            </w:r>
            <w:r w:rsidRPr="0058432E">
              <w:rPr>
                <w:color w:val="000000" w:themeColor="text1"/>
                <w:vertAlign w:val="superscript"/>
              </w:rPr>
              <w:t>1</w:t>
            </w:r>
            <w:r w:rsidRPr="0058432E">
              <w:rPr>
                <w:color w:val="000000" w:themeColor="text1"/>
              </w:rPr>
              <w:t>,</w:t>
            </w:r>
          </w:p>
          <w:p w14:paraId="60D62D21" w14:textId="77777777" w:rsidR="00CA2D0E" w:rsidRPr="0058432E" w:rsidRDefault="00CA2D0E" w:rsidP="00982118">
            <w:pPr>
              <w:keepNext/>
              <w:rPr>
                <w:color w:val="000000" w:themeColor="text1"/>
              </w:rPr>
            </w:pPr>
            <w:proofErr w:type="gramStart"/>
            <w:r w:rsidRPr="0058432E">
              <w:rPr>
                <w:color w:val="000000" w:themeColor="text1"/>
              </w:rPr>
              <w:t>angiœdème</w:t>
            </w:r>
            <w:proofErr w:type="gramEnd"/>
            <w:r w:rsidRPr="0058432E">
              <w:rPr>
                <w:color w:val="000000" w:themeColor="text1"/>
                <w:vertAlign w:val="superscript"/>
              </w:rPr>
              <w:t>1</w:t>
            </w:r>
            <w:r w:rsidRPr="0058432E">
              <w:rPr>
                <w:color w:val="000000" w:themeColor="text1"/>
              </w:rPr>
              <w:t>,</w:t>
            </w:r>
          </w:p>
          <w:p w14:paraId="138E35EA" w14:textId="77777777" w:rsidR="00CA2D0E" w:rsidRPr="0058432E" w:rsidRDefault="00CA2D0E" w:rsidP="00982118">
            <w:pPr>
              <w:keepNext/>
              <w:rPr>
                <w:color w:val="000000" w:themeColor="text1"/>
              </w:rPr>
            </w:pPr>
            <w:proofErr w:type="gramStart"/>
            <w:r w:rsidRPr="0058432E">
              <w:rPr>
                <w:color w:val="000000" w:themeColor="text1"/>
              </w:rPr>
              <w:t>vascularite</w:t>
            </w:r>
            <w:proofErr w:type="gramEnd"/>
            <w:r w:rsidRPr="0058432E">
              <w:rPr>
                <w:color w:val="000000" w:themeColor="text1"/>
              </w:rPr>
              <w:t xml:space="preserve"> cutanée</w:t>
            </w:r>
            <w:r w:rsidRPr="0058432E">
              <w:rPr>
                <w:color w:val="000000" w:themeColor="text1"/>
                <w:vertAlign w:val="superscript"/>
              </w:rPr>
              <w:t>1</w:t>
            </w:r>
            <w:r w:rsidRPr="0058432E">
              <w:rPr>
                <w:color w:val="000000" w:themeColor="text1"/>
              </w:rPr>
              <w:t>,</w:t>
            </w:r>
          </w:p>
          <w:p w14:paraId="51B70D33" w14:textId="77777777" w:rsidR="00CA2D0E" w:rsidRPr="0058432E" w:rsidRDefault="00151BF0" w:rsidP="000D3575">
            <w:pPr>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w:t>
            </w:r>
            <w:r w:rsidRPr="0058432E">
              <w:rPr>
                <w:color w:val="000000" w:themeColor="text1"/>
                <w:vertAlign w:val="superscript"/>
              </w:rPr>
              <w:t>1</w:t>
            </w:r>
          </w:p>
        </w:tc>
      </w:tr>
      <w:tr w:rsidR="00CA2D0E" w:rsidRPr="0058432E" w14:paraId="78330B27" w14:textId="77777777" w:rsidTr="00776D2E">
        <w:trPr>
          <w:cantSplit/>
        </w:trPr>
        <w:tc>
          <w:tcPr>
            <w:tcW w:w="2628" w:type="dxa"/>
            <w:vMerge/>
            <w:tcBorders>
              <w:left w:val="single" w:sz="4" w:space="0" w:color="auto"/>
              <w:bottom w:val="single" w:sz="4" w:space="0" w:color="auto"/>
              <w:right w:val="single" w:sz="4" w:space="0" w:color="auto"/>
            </w:tcBorders>
          </w:tcPr>
          <w:p w14:paraId="7F6D01F8"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3F17BE9" w14:textId="77777777" w:rsidR="00CA2D0E" w:rsidRPr="0058432E" w:rsidRDefault="00CA2D0E" w:rsidP="00982118">
            <w:pPr>
              <w:rPr>
                <w:color w:val="000000" w:themeColor="text1"/>
              </w:rPr>
            </w:pPr>
            <w:r w:rsidRPr="0058432E">
              <w:rPr>
                <w:color w:val="000000" w:themeColor="text1"/>
              </w:rPr>
              <w:t>Fréquence indéterminée</w:t>
            </w:r>
          </w:p>
        </w:tc>
        <w:tc>
          <w:tcPr>
            <w:tcW w:w="0" w:type="auto"/>
            <w:tcBorders>
              <w:left w:val="single" w:sz="4" w:space="0" w:color="auto"/>
              <w:bottom w:val="single" w:sz="4" w:space="0" w:color="auto"/>
              <w:right w:val="single" w:sz="4" w:space="0" w:color="auto"/>
            </w:tcBorders>
          </w:tcPr>
          <w:p w14:paraId="322B5404" w14:textId="77777777" w:rsidR="00CA2D0E" w:rsidRPr="0058432E" w:rsidRDefault="00CA2D0E" w:rsidP="00982118">
            <w:pPr>
              <w:rPr>
                <w:color w:val="000000" w:themeColor="text1"/>
              </w:rPr>
            </w:pPr>
            <w:r w:rsidRPr="0058432E">
              <w:rPr>
                <w:color w:val="000000" w:themeColor="text1"/>
              </w:rPr>
              <w:t>Aggravation des symptômes de dermatomyosite</w:t>
            </w:r>
            <w:r w:rsidRPr="0058432E">
              <w:rPr>
                <w:color w:val="000000" w:themeColor="text1"/>
                <w:vertAlign w:val="superscript"/>
              </w:rPr>
              <w:t>1</w:t>
            </w:r>
          </w:p>
          <w:p w14:paraId="4342E409" w14:textId="77777777" w:rsidR="00CA2D0E" w:rsidRPr="0058432E" w:rsidRDefault="00CA2D0E" w:rsidP="00982118">
            <w:pPr>
              <w:rPr>
                <w:color w:val="000000" w:themeColor="text1"/>
              </w:rPr>
            </w:pPr>
          </w:p>
        </w:tc>
      </w:tr>
      <w:tr w:rsidR="00CA2D0E" w:rsidRPr="0058432E" w14:paraId="4146CEA2"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593FC7DC" w14:textId="77777777" w:rsidR="00CA2D0E" w:rsidRPr="0058432E" w:rsidRDefault="00CA2D0E" w:rsidP="00982118">
            <w:pPr>
              <w:rPr>
                <w:color w:val="000000" w:themeColor="text1"/>
              </w:rPr>
            </w:pPr>
            <w:r w:rsidRPr="0058432E">
              <w:rPr>
                <w:color w:val="000000" w:themeColor="text1"/>
              </w:rPr>
              <w:t>Affections musculo-squelettiques et systémiques</w:t>
            </w:r>
          </w:p>
        </w:tc>
        <w:tc>
          <w:tcPr>
            <w:tcW w:w="1695" w:type="dxa"/>
            <w:tcBorders>
              <w:top w:val="single" w:sz="4" w:space="0" w:color="auto"/>
              <w:left w:val="single" w:sz="4" w:space="0" w:color="auto"/>
              <w:bottom w:val="single" w:sz="4" w:space="0" w:color="auto"/>
              <w:right w:val="single" w:sz="4" w:space="0" w:color="auto"/>
            </w:tcBorders>
          </w:tcPr>
          <w:p w14:paraId="7EE323F3" w14:textId="77777777" w:rsidR="00CA2D0E" w:rsidRPr="0058432E" w:rsidRDefault="00CA2D0E" w:rsidP="00982118">
            <w:pPr>
              <w:rPr>
                <w:color w:val="000000" w:themeColor="text1"/>
              </w:rPr>
            </w:pPr>
            <w:r w:rsidRPr="0058432E">
              <w:rPr>
                <w:color w:val="000000" w:themeColor="text1"/>
              </w:rPr>
              <w:t>Très fréquent</w:t>
            </w:r>
          </w:p>
        </w:tc>
        <w:tc>
          <w:tcPr>
            <w:tcW w:w="0" w:type="auto"/>
            <w:tcBorders>
              <w:top w:val="single" w:sz="4" w:space="0" w:color="auto"/>
              <w:left w:val="single" w:sz="4" w:space="0" w:color="auto"/>
              <w:right w:val="single" w:sz="4" w:space="0" w:color="auto"/>
            </w:tcBorders>
          </w:tcPr>
          <w:p w14:paraId="6AE72A18" w14:textId="77777777" w:rsidR="00CA2D0E" w:rsidRPr="0058432E" w:rsidRDefault="00CA2D0E" w:rsidP="000D3575">
            <w:pPr>
              <w:rPr>
                <w:color w:val="000000" w:themeColor="text1"/>
              </w:rPr>
            </w:pPr>
            <w:r w:rsidRPr="0058432E">
              <w:rPr>
                <w:color w:val="000000" w:themeColor="text1"/>
              </w:rPr>
              <w:t>Douleurs musculo-squelettiques</w:t>
            </w:r>
          </w:p>
        </w:tc>
      </w:tr>
      <w:tr w:rsidR="00CA2D0E" w:rsidRPr="0058432E" w14:paraId="323FEC34" w14:textId="77777777" w:rsidTr="00776D2E">
        <w:trPr>
          <w:cantSplit/>
        </w:trPr>
        <w:tc>
          <w:tcPr>
            <w:tcW w:w="2628" w:type="dxa"/>
            <w:vMerge/>
            <w:tcBorders>
              <w:left w:val="single" w:sz="4" w:space="0" w:color="auto"/>
              <w:right w:val="single" w:sz="4" w:space="0" w:color="auto"/>
            </w:tcBorders>
          </w:tcPr>
          <w:p w14:paraId="5471F6B1"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3311B5F9" w14:textId="77777777" w:rsidR="00CA2D0E" w:rsidRPr="0058432E" w:rsidRDefault="00CA2D0E" w:rsidP="00982118">
            <w:pPr>
              <w:rPr>
                <w:color w:val="000000" w:themeColor="text1"/>
              </w:rPr>
            </w:pPr>
            <w:r w:rsidRPr="0058432E">
              <w:rPr>
                <w:color w:val="000000" w:themeColor="text1"/>
              </w:rPr>
              <w:t>Fréquent</w:t>
            </w:r>
          </w:p>
          <w:p w14:paraId="497EEAD9"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2504550F" w14:textId="77777777" w:rsidR="00CA2D0E" w:rsidRPr="0058432E" w:rsidRDefault="00CA2D0E" w:rsidP="000D3575">
            <w:pPr>
              <w:rPr>
                <w:color w:val="000000" w:themeColor="text1"/>
              </w:rPr>
            </w:pPr>
            <w:r w:rsidRPr="0058432E">
              <w:rPr>
                <w:color w:val="000000" w:themeColor="text1"/>
              </w:rPr>
              <w:t>Spasmes musculaires (y compris augmentation de la créatine phosphokinase sérique)</w:t>
            </w:r>
          </w:p>
        </w:tc>
      </w:tr>
      <w:tr w:rsidR="00CA2D0E" w:rsidRPr="0058432E" w14:paraId="2CA37C70" w14:textId="77777777" w:rsidTr="00776D2E">
        <w:trPr>
          <w:cantSplit/>
        </w:trPr>
        <w:tc>
          <w:tcPr>
            <w:tcW w:w="2628" w:type="dxa"/>
            <w:vMerge/>
            <w:tcBorders>
              <w:left w:val="single" w:sz="4" w:space="0" w:color="auto"/>
              <w:right w:val="single" w:sz="4" w:space="0" w:color="auto"/>
            </w:tcBorders>
          </w:tcPr>
          <w:p w14:paraId="595552DE"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3958EF88" w14:textId="77777777" w:rsidR="00CA2D0E" w:rsidRPr="0058432E" w:rsidRDefault="00CA2D0E" w:rsidP="00982118">
            <w:pPr>
              <w:rPr>
                <w:color w:val="000000" w:themeColor="text1"/>
              </w:rPr>
            </w:pPr>
            <w:r w:rsidRPr="0058432E">
              <w:rPr>
                <w:color w:val="000000" w:themeColor="text1"/>
              </w:rPr>
              <w:t>Peu fréquent</w:t>
            </w:r>
          </w:p>
          <w:p w14:paraId="23EA08ED" w14:textId="77777777" w:rsidR="00CA2D0E" w:rsidRPr="0058432E" w:rsidRDefault="00CA2D0E" w:rsidP="00982118">
            <w:pPr>
              <w:rPr>
                <w:color w:val="000000" w:themeColor="text1"/>
              </w:rPr>
            </w:pPr>
          </w:p>
        </w:tc>
        <w:tc>
          <w:tcPr>
            <w:tcW w:w="0" w:type="auto"/>
            <w:tcBorders>
              <w:left w:val="single" w:sz="4" w:space="0" w:color="auto"/>
              <w:right w:val="single" w:sz="4" w:space="0" w:color="auto"/>
            </w:tcBorders>
          </w:tcPr>
          <w:p w14:paraId="646541BD" w14:textId="77777777" w:rsidR="00CA2D0E" w:rsidRPr="0058432E" w:rsidRDefault="00CA2D0E" w:rsidP="00982118">
            <w:pPr>
              <w:rPr>
                <w:color w:val="000000" w:themeColor="text1"/>
              </w:rPr>
            </w:pPr>
            <w:r w:rsidRPr="0058432E">
              <w:rPr>
                <w:color w:val="000000" w:themeColor="text1"/>
              </w:rPr>
              <w:t>Rhabdomyolyse,</w:t>
            </w:r>
          </w:p>
          <w:p w14:paraId="1B97E11B" w14:textId="77777777" w:rsidR="00CA2D0E" w:rsidRPr="0058432E" w:rsidRDefault="00CA2D0E" w:rsidP="000D3575">
            <w:pPr>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w:t>
            </w:r>
          </w:p>
        </w:tc>
      </w:tr>
      <w:tr w:rsidR="00CA2D0E" w:rsidRPr="0058432E" w14:paraId="6BAFD408" w14:textId="77777777" w:rsidTr="00776D2E">
        <w:trPr>
          <w:cantSplit/>
        </w:trPr>
        <w:tc>
          <w:tcPr>
            <w:tcW w:w="2628" w:type="dxa"/>
            <w:vMerge/>
            <w:tcBorders>
              <w:left w:val="single" w:sz="4" w:space="0" w:color="auto"/>
              <w:bottom w:val="single" w:sz="4" w:space="0" w:color="auto"/>
              <w:right w:val="single" w:sz="4" w:space="0" w:color="auto"/>
            </w:tcBorders>
          </w:tcPr>
          <w:p w14:paraId="16E98DF0" w14:textId="77777777" w:rsidR="00CA2D0E" w:rsidRPr="0058432E" w:rsidRDefault="00CA2D0E" w:rsidP="00982118">
            <w:pPr>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18F6DAF9" w14:textId="77777777" w:rsidR="00CA2D0E" w:rsidRPr="0058432E" w:rsidRDefault="00CA2D0E" w:rsidP="00982118">
            <w:pPr>
              <w:rPr>
                <w:color w:val="000000" w:themeColor="text1"/>
              </w:rPr>
            </w:pPr>
            <w:r w:rsidRPr="0058432E">
              <w:rPr>
                <w:color w:val="000000" w:themeColor="text1"/>
              </w:rPr>
              <w:t>Rare</w:t>
            </w:r>
          </w:p>
        </w:tc>
        <w:tc>
          <w:tcPr>
            <w:tcW w:w="0" w:type="auto"/>
            <w:tcBorders>
              <w:left w:val="single" w:sz="4" w:space="0" w:color="auto"/>
              <w:bottom w:val="single" w:sz="4" w:space="0" w:color="auto"/>
              <w:right w:val="single" w:sz="4" w:space="0" w:color="auto"/>
            </w:tcBorders>
          </w:tcPr>
          <w:p w14:paraId="513B516E" w14:textId="77777777" w:rsidR="00CA2D0E" w:rsidRPr="0058432E" w:rsidRDefault="00CA2D0E" w:rsidP="000D3575">
            <w:pPr>
              <w:rPr>
                <w:color w:val="000000" w:themeColor="text1"/>
              </w:rPr>
            </w:pPr>
            <w:r w:rsidRPr="0058432E">
              <w:rPr>
                <w:color w:val="000000" w:themeColor="text1"/>
              </w:rPr>
              <w:t>Syndrome de type lupus</w:t>
            </w:r>
            <w:r w:rsidRPr="0058432E">
              <w:rPr>
                <w:color w:val="000000" w:themeColor="text1"/>
                <w:vertAlign w:val="superscript"/>
              </w:rPr>
              <w:t>1</w:t>
            </w:r>
          </w:p>
        </w:tc>
      </w:tr>
      <w:tr w:rsidR="00CA2D0E" w:rsidRPr="0058432E" w14:paraId="2257F546"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53662666" w14:textId="77777777" w:rsidR="00CA2D0E" w:rsidRPr="0058432E" w:rsidRDefault="00CA2D0E" w:rsidP="00982118">
            <w:pPr>
              <w:rPr>
                <w:color w:val="000000" w:themeColor="text1"/>
              </w:rPr>
            </w:pPr>
            <w:r w:rsidRPr="0058432E">
              <w:rPr>
                <w:color w:val="000000" w:themeColor="text1"/>
              </w:rPr>
              <w:t>Affections du rein et des voies urinaires</w:t>
            </w:r>
          </w:p>
        </w:tc>
        <w:tc>
          <w:tcPr>
            <w:tcW w:w="1695" w:type="dxa"/>
            <w:tcBorders>
              <w:top w:val="single" w:sz="4" w:space="0" w:color="auto"/>
              <w:left w:val="single" w:sz="4" w:space="0" w:color="auto"/>
              <w:right w:val="single" w:sz="4" w:space="0" w:color="auto"/>
            </w:tcBorders>
          </w:tcPr>
          <w:p w14:paraId="10DBFBB0" w14:textId="77777777" w:rsidR="00CA2D0E" w:rsidRPr="0058432E" w:rsidRDefault="00CA2D0E"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tcPr>
          <w:p w14:paraId="6253403D" w14:textId="77777777" w:rsidR="00CA2D0E" w:rsidRPr="0058432E" w:rsidRDefault="00CA2D0E" w:rsidP="00982118">
            <w:pPr>
              <w:rPr>
                <w:color w:val="000000" w:themeColor="text1"/>
              </w:rPr>
            </w:pPr>
            <w:r w:rsidRPr="0058432E">
              <w:rPr>
                <w:color w:val="000000" w:themeColor="text1"/>
              </w:rPr>
              <w:t>Insuffisance rénale,</w:t>
            </w:r>
          </w:p>
          <w:p w14:paraId="2ED451EE" w14:textId="77777777" w:rsidR="00CA2D0E" w:rsidRPr="0058432E" w:rsidRDefault="00CA2D0E" w:rsidP="000D3575">
            <w:pPr>
              <w:rPr>
                <w:color w:val="000000" w:themeColor="text1"/>
              </w:rPr>
            </w:pPr>
            <w:proofErr w:type="gramStart"/>
            <w:r w:rsidRPr="0058432E">
              <w:rPr>
                <w:color w:val="000000" w:themeColor="text1"/>
              </w:rPr>
              <w:t>hématurie</w:t>
            </w:r>
            <w:proofErr w:type="gramEnd"/>
          </w:p>
        </w:tc>
      </w:tr>
      <w:tr w:rsidR="00CA2D0E" w:rsidRPr="0058432E" w14:paraId="73A2E01D" w14:textId="77777777" w:rsidTr="00776D2E">
        <w:trPr>
          <w:cantSplit/>
        </w:trPr>
        <w:tc>
          <w:tcPr>
            <w:tcW w:w="2628" w:type="dxa"/>
            <w:vMerge/>
            <w:tcBorders>
              <w:left w:val="single" w:sz="4" w:space="0" w:color="auto"/>
              <w:bottom w:val="single" w:sz="4" w:space="0" w:color="auto"/>
              <w:right w:val="single" w:sz="4" w:space="0" w:color="auto"/>
            </w:tcBorders>
          </w:tcPr>
          <w:p w14:paraId="236941CB" w14:textId="77777777" w:rsidR="00CA2D0E" w:rsidRPr="0058432E" w:rsidRDefault="00CA2D0E" w:rsidP="00982118">
            <w:pPr>
              <w:rPr>
                <w:color w:val="000000" w:themeColor="text1"/>
              </w:rPr>
            </w:pPr>
          </w:p>
        </w:tc>
        <w:tc>
          <w:tcPr>
            <w:tcW w:w="1695" w:type="dxa"/>
            <w:tcBorders>
              <w:left w:val="single" w:sz="4" w:space="0" w:color="auto"/>
              <w:bottom w:val="single" w:sz="4" w:space="0" w:color="auto"/>
              <w:right w:val="single" w:sz="4" w:space="0" w:color="auto"/>
            </w:tcBorders>
          </w:tcPr>
          <w:p w14:paraId="180DC78A" w14:textId="77777777" w:rsidR="00CA2D0E" w:rsidRPr="0058432E" w:rsidRDefault="00CA2D0E" w:rsidP="000D3575">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63ACB4D9" w14:textId="77777777" w:rsidR="00CA2D0E" w:rsidRPr="0058432E" w:rsidRDefault="00CA2D0E" w:rsidP="00982118">
            <w:pPr>
              <w:rPr>
                <w:color w:val="000000" w:themeColor="text1"/>
              </w:rPr>
            </w:pPr>
            <w:r w:rsidRPr="0058432E">
              <w:rPr>
                <w:color w:val="000000" w:themeColor="text1"/>
              </w:rPr>
              <w:t>Nycturie</w:t>
            </w:r>
          </w:p>
        </w:tc>
      </w:tr>
      <w:tr w:rsidR="00CA2D0E" w:rsidRPr="0058432E" w14:paraId="6B397B06" w14:textId="77777777" w:rsidTr="00776D2E">
        <w:trPr>
          <w:cantSplit/>
        </w:trPr>
        <w:tc>
          <w:tcPr>
            <w:tcW w:w="2628" w:type="dxa"/>
            <w:tcBorders>
              <w:top w:val="single" w:sz="4" w:space="0" w:color="auto"/>
              <w:left w:val="single" w:sz="4" w:space="0" w:color="auto"/>
              <w:bottom w:val="single" w:sz="4" w:space="0" w:color="auto"/>
              <w:right w:val="single" w:sz="4" w:space="0" w:color="auto"/>
            </w:tcBorders>
            <w:hideMark/>
          </w:tcPr>
          <w:p w14:paraId="4A7CBF55" w14:textId="77777777" w:rsidR="00CA2D0E" w:rsidRPr="0058432E" w:rsidRDefault="00CA2D0E" w:rsidP="00982118">
            <w:pPr>
              <w:rPr>
                <w:color w:val="000000" w:themeColor="text1"/>
              </w:rPr>
            </w:pPr>
            <w:r w:rsidRPr="0058432E">
              <w:rPr>
                <w:color w:val="000000" w:themeColor="text1"/>
              </w:rPr>
              <w:t>Affections des organes de reproduction et du sein</w:t>
            </w:r>
          </w:p>
        </w:tc>
        <w:tc>
          <w:tcPr>
            <w:tcW w:w="1695" w:type="dxa"/>
            <w:tcBorders>
              <w:top w:val="single" w:sz="4" w:space="0" w:color="auto"/>
              <w:left w:val="single" w:sz="4" w:space="0" w:color="auto"/>
              <w:bottom w:val="single" w:sz="4" w:space="0" w:color="auto"/>
              <w:right w:val="single" w:sz="4" w:space="0" w:color="auto"/>
            </w:tcBorders>
            <w:hideMark/>
          </w:tcPr>
          <w:p w14:paraId="2EC4F107" w14:textId="77777777" w:rsidR="00CA2D0E" w:rsidRPr="0058432E" w:rsidRDefault="00CA2D0E" w:rsidP="00982118">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hideMark/>
          </w:tcPr>
          <w:p w14:paraId="545F6884" w14:textId="77777777" w:rsidR="00CA2D0E" w:rsidRPr="0058432E" w:rsidRDefault="00CA2D0E" w:rsidP="00982118">
            <w:pPr>
              <w:rPr>
                <w:color w:val="000000" w:themeColor="text1"/>
              </w:rPr>
            </w:pPr>
            <w:r w:rsidRPr="0058432E">
              <w:rPr>
                <w:color w:val="000000" w:themeColor="text1"/>
              </w:rPr>
              <w:t>Troubles de la fonction érectile</w:t>
            </w:r>
          </w:p>
        </w:tc>
      </w:tr>
      <w:tr w:rsidR="00CA2D0E" w:rsidRPr="0058432E" w14:paraId="4A0E167F"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173184AD" w14:textId="77777777" w:rsidR="00CA2D0E" w:rsidRPr="0058432E" w:rsidRDefault="00CA2D0E" w:rsidP="00982118">
            <w:pPr>
              <w:rPr>
                <w:color w:val="000000" w:themeColor="text1"/>
              </w:rPr>
            </w:pPr>
            <w:r w:rsidRPr="0058432E">
              <w:rPr>
                <w:color w:val="000000" w:themeColor="text1"/>
              </w:rPr>
              <w:t>Troubles généraux et anomalies au site d’administration*</w:t>
            </w:r>
          </w:p>
        </w:tc>
        <w:tc>
          <w:tcPr>
            <w:tcW w:w="1695" w:type="dxa"/>
            <w:tcBorders>
              <w:top w:val="single" w:sz="4" w:space="0" w:color="auto"/>
              <w:left w:val="single" w:sz="4" w:space="0" w:color="auto"/>
              <w:right w:val="single" w:sz="4" w:space="0" w:color="auto"/>
            </w:tcBorders>
          </w:tcPr>
          <w:p w14:paraId="61BB9F1D" w14:textId="77777777" w:rsidR="00CA2D0E" w:rsidRPr="0058432E" w:rsidRDefault="00CA2D0E" w:rsidP="00982118">
            <w:pPr>
              <w:rPr>
                <w:color w:val="000000" w:themeColor="text1"/>
              </w:rPr>
            </w:pPr>
            <w:r w:rsidRPr="0058432E">
              <w:rPr>
                <w:color w:val="000000" w:themeColor="text1"/>
              </w:rPr>
              <w:t>Très fréquent</w:t>
            </w:r>
          </w:p>
          <w:p w14:paraId="75D3F333" w14:textId="77777777" w:rsidR="00CA2D0E" w:rsidRPr="0058432E" w:rsidRDefault="00CA2D0E"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5F25D94C" w14:textId="77777777" w:rsidR="00CA2D0E" w:rsidRPr="0058432E" w:rsidRDefault="00CA2D0E" w:rsidP="000D3575">
            <w:pPr>
              <w:rPr>
                <w:color w:val="000000" w:themeColor="text1"/>
              </w:rPr>
            </w:pPr>
            <w:r w:rsidRPr="0058432E">
              <w:rPr>
                <w:color w:val="000000" w:themeColor="text1"/>
              </w:rPr>
              <w:t>Réaction au site d’injection (y compris érythème au site d’injection)</w:t>
            </w:r>
          </w:p>
        </w:tc>
      </w:tr>
      <w:tr w:rsidR="00CA2D0E" w:rsidRPr="0058432E" w14:paraId="3E97A7B0" w14:textId="77777777" w:rsidTr="00776D2E">
        <w:trPr>
          <w:cantSplit/>
        </w:trPr>
        <w:tc>
          <w:tcPr>
            <w:tcW w:w="2628" w:type="dxa"/>
            <w:vMerge/>
            <w:tcBorders>
              <w:left w:val="single" w:sz="4" w:space="0" w:color="auto"/>
              <w:right w:val="single" w:sz="4" w:space="0" w:color="auto"/>
            </w:tcBorders>
          </w:tcPr>
          <w:p w14:paraId="1981D078" w14:textId="77777777" w:rsidR="00CA2D0E" w:rsidRPr="0058432E" w:rsidRDefault="00CA2D0E" w:rsidP="00982118">
            <w:pPr>
              <w:rPr>
                <w:color w:val="000000" w:themeColor="text1"/>
              </w:rPr>
            </w:pPr>
          </w:p>
        </w:tc>
        <w:tc>
          <w:tcPr>
            <w:tcW w:w="1695" w:type="dxa"/>
            <w:tcBorders>
              <w:left w:val="single" w:sz="4" w:space="0" w:color="auto"/>
              <w:right w:val="single" w:sz="4" w:space="0" w:color="auto"/>
            </w:tcBorders>
          </w:tcPr>
          <w:p w14:paraId="24274644" w14:textId="77777777" w:rsidR="00CA2D0E" w:rsidRPr="0058432E" w:rsidRDefault="00CA2D0E" w:rsidP="00982118">
            <w:pPr>
              <w:rPr>
                <w:color w:val="000000" w:themeColor="text1"/>
              </w:rPr>
            </w:pPr>
            <w:r w:rsidRPr="0058432E">
              <w:rPr>
                <w:color w:val="000000" w:themeColor="text1"/>
              </w:rPr>
              <w:t>Fréquent</w:t>
            </w:r>
          </w:p>
          <w:p w14:paraId="11BF5ACC" w14:textId="77777777" w:rsidR="00CA2D0E" w:rsidRPr="0058432E" w:rsidRDefault="00CA2D0E" w:rsidP="00982118">
            <w:pPr>
              <w:rPr>
                <w:color w:val="000000" w:themeColor="text1"/>
              </w:rPr>
            </w:pPr>
          </w:p>
        </w:tc>
        <w:tc>
          <w:tcPr>
            <w:tcW w:w="0" w:type="auto"/>
            <w:tcBorders>
              <w:top w:val="single" w:sz="4" w:space="0" w:color="auto"/>
              <w:left w:val="single" w:sz="4" w:space="0" w:color="auto"/>
              <w:bottom w:val="single" w:sz="4" w:space="0" w:color="auto"/>
              <w:right w:val="single" w:sz="4" w:space="0" w:color="auto"/>
            </w:tcBorders>
          </w:tcPr>
          <w:p w14:paraId="750B1182" w14:textId="77777777" w:rsidR="00CA2D0E" w:rsidRPr="0058432E" w:rsidRDefault="00CA2D0E" w:rsidP="00982118">
            <w:pPr>
              <w:rPr>
                <w:color w:val="000000" w:themeColor="text1"/>
              </w:rPr>
            </w:pPr>
            <w:r w:rsidRPr="0058432E">
              <w:rPr>
                <w:color w:val="000000" w:themeColor="text1"/>
              </w:rPr>
              <w:t>Douleur thoracique,</w:t>
            </w:r>
          </w:p>
          <w:p w14:paraId="44AB9A6B" w14:textId="77777777" w:rsidR="00CA2D0E" w:rsidRPr="0058432E" w:rsidRDefault="00CA2D0E" w:rsidP="00982118">
            <w:pPr>
              <w:rPr>
                <w:color w:val="000000" w:themeColor="text1"/>
              </w:rPr>
            </w:pPr>
            <w:proofErr w:type="gramStart"/>
            <w:r w:rsidRPr="0058432E">
              <w:rPr>
                <w:color w:val="000000" w:themeColor="text1"/>
              </w:rPr>
              <w:t>œdème</w:t>
            </w:r>
            <w:proofErr w:type="gramEnd"/>
            <w:r w:rsidRPr="0058432E">
              <w:rPr>
                <w:color w:val="000000" w:themeColor="text1"/>
              </w:rPr>
              <w:t>,</w:t>
            </w:r>
          </w:p>
          <w:p w14:paraId="064FCDD2" w14:textId="77777777" w:rsidR="00CA2D0E" w:rsidRPr="0058432E" w:rsidRDefault="00CA2D0E" w:rsidP="000D3575">
            <w:pPr>
              <w:rPr>
                <w:color w:val="000000" w:themeColor="text1"/>
              </w:rPr>
            </w:pPr>
            <w:proofErr w:type="gramStart"/>
            <w:r w:rsidRPr="0058432E">
              <w:rPr>
                <w:color w:val="000000" w:themeColor="text1"/>
              </w:rPr>
              <w:t>fièvre</w:t>
            </w:r>
            <w:proofErr w:type="gramEnd"/>
            <w:r w:rsidRPr="0058432E">
              <w:rPr>
                <w:color w:val="000000" w:themeColor="text1"/>
                <w:vertAlign w:val="superscript"/>
              </w:rPr>
              <w:t>1</w:t>
            </w:r>
          </w:p>
        </w:tc>
      </w:tr>
      <w:tr w:rsidR="00CA2D0E" w:rsidRPr="0058432E" w14:paraId="1A6D7E2F" w14:textId="77777777" w:rsidTr="00776D2E">
        <w:trPr>
          <w:cantSplit/>
        </w:trPr>
        <w:tc>
          <w:tcPr>
            <w:tcW w:w="2628" w:type="dxa"/>
            <w:vMerge/>
            <w:tcBorders>
              <w:left w:val="single" w:sz="4" w:space="0" w:color="auto"/>
              <w:bottom w:val="single" w:sz="4" w:space="0" w:color="auto"/>
              <w:right w:val="single" w:sz="4" w:space="0" w:color="auto"/>
            </w:tcBorders>
          </w:tcPr>
          <w:p w14:paraId="5B08DFD4" w14:textId="77777777" w:rsidR="00CA2D0E" w:rsidRPr="0058432E" w:rsidRDefault="00CA2D0E" w:rsidP="00982118">
            <w:pPr>
              <w:rPr>
                <w:color w:val="000000" w:themeColor="text1"/>
              </w:rPr>
            </w:pPr>
          </w:p>
        </w:tc>
        <w:tc>
          <w:tcPr>
            <w:tcW w:w="1695" w:type="dxa"/>
            <w:tcBorders>
              <w:left w:val="single" w:sz="4" w:space="0" w:color="auto"/>
              <w:bottom w:val="single" w:sz="4" w:space="0" w:color="auto"/>
              <w:right w:val="single" w:sz="4" w:space="0" w:color="auto"/>
            </w:tcBorders>
          </w:tcPr>
          <w:p w14:paraId="7E7FC07F" w14:textId="77777777" w:rsidR="00CA2D0E" w:rsidRPr="0058432E" w:rsidRDefault="00CA2D0E" w:rsidP="000D3575">
            <w:pPr>
              <w:rPr>
                <w:color w:val="000000" w:themeColor="text1"/>
              </w:rPr>
            </w:pPr>
            <w:r w:rsidRPr="0058432E">
              <w:rPr>
                <w:color w:val="000000" w:themeColor="text1"/>
              </w:rPr>
              <w:t>Peu fréquent</w:t>
            </w:r>
          </w:p>
        </w:tc>
        <w:tc>
          <w:tcPr>
            <w:tcW w:w="0" w:type="auto"/>
            <w:tcBorders>
              <w:top w:val="single" w:sz="4" w:space="0" w:color="auto"/>
              <w:left w:val="single" w:sz="4" w:space="0" w:color="auto"/>
              <w:bottom w:val="single" w:sz="4" w:space="0" w:color="auto"/>
              <w:right w:val="single" w:sz="4" w:space="0" w:color="auto"/>
            </w:tcBorders>
          </w:tcPr>
          <w:p w14:paraId="0608CB57" w14:textId="77777777" w:rsidR="00CA2D0E" w:rsidRPr="0058432E" w:rsidRDefault="00CA2D0E" w:rsidP="00982118">
            <w:pPr>
              <w:rPr>
                <w:color w:val="000000" w:themeColor="text1"/>
              </w:rPr>
            </w:pPr>
            <w:r w:rsidRPr="0058432E">
              <w:rPr>
                <w:color w:val="000000" w:themeColor="text1"/>
              </w:rPr>
              <w:t>Inflammation</w:t>
            </w:r>
          </w:p>
        </w:tc>
      </w:tr>
      <w:tr w:rsidR="00776D2E" w:rsidRPr="0058432E" w14:paraId="50160041" w14:textId="77777777" w:rsidTr="00776D2E">
        <w:trPr>
          <w:cantSplit/>
        </w:trPr>
        <w:tc>
          <w:tcPr>
            <w:tcW w:w="2628" w:type="dxa"/>
            <w:vMerge w:val="restart"/>
            <w:tcBorders>
              <w:top w:val="single" w:sz="4" w:space="0" w:color="auto"/>
              <w:left w:val="single" w:sz="4" w:space="0" w:color="auto"/>
              <w:right w:val="single" w:sz="4" w:space="0" w:color="auto"/>
            </w:tcBorders>
            <w:hideMark/>
          </w:tcPr>
          <w:p w14:paraId="758E7FAD" w14:textId="77777777" w:rsidR="00776D2E" w:rsidRPr="0058432E" w:rsidRDefault="00776D2E" w:rsidP="00982118">
            <w:pPr>
              <w:keepNext/>
              <w:rPr>
                <w:color w:val="000000" w:themeColor="text1"/>
              </w:rPr>
            </w:pPr>
            <w:r w:rsidRPr="0058432E">
              <w:rPr>
                <w:color w:val="000000" w:themeColor="text1"/>
              </w:rPr>
              <w:lastRenderedPageBreak/>
              <w:t>Investigations*</w:t>
            </w:r>
          </w:p>
        </w:tc>
        <w:tc>
          <w:tcPr>
            <w:tcW w:w="1695" w:type="dxa"/>
            <w:tcBorders>
              <w:top w:val="single" w:sz="4" w:space="0" w:color="auto"/>
              <w:left w:val="single" w:sz="4" w:space="0" w:color="auto"/>
              <w:bottom w:val="single" w:sz="4" w:space="0" w:color="auto"/>
              <w:right w:val="single" w:sz="4" w:space="0" w:color="auto"/>
            </w:tcBorders>
            <w:hideMark/>
          </w:tcPr>
          <w:p w14:paraId="76C50F4C" w14:textId="77777777" w:rsidR="00776D2E" w:rsidRPr="0058432E" w:rsidRDefault="00776D2E" w:rsidP="00982118">
            <w:pPr>
              <w:keepNext/>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00E8D5C4" w14:textId="77777777" w:rsidR="00776D2E" w:rsidRPr="0058432E" w:rsidRDefault="00776D2E" w:rsidP="00982118">
            <w:pPr>
              <w:keepNext/>
              <w:autoSpaceDE w:val="0"/>
              <w:autoSpaceDN w:val="0"/>
              <w:adjustRightInd w:val="0"/>
              <w:rPr>
                <w:color w:val="000000" w:themeColor="text1"/>
              </w:rPr>
            </w:pPr>
            <w:r w:rsidRPr="0058432E">
              <w:rPr>
                <w:color w:val="000000" w:themeColor="text1"/>
              </w:rPr>
              <w:t xml:space="preserve">Troubles de la coagulation et troubles hémorragiques (incluant un allongement du temps de céphaline activé), </w:t>
            </w:r>
          </w:p>
          <w:p w14:paraId="7F5D7D1E" w14:textId="77777777" w:rsidR="00776D2E" w:rsidRPr="0058432E" w:rsidRDefault="00776D2E" w:rsidP="00982118">
            <w:pPr>
              <w:keepNext/>
              <w:autoSpaceDE w:val="0"/>
              <w:autoSpaceDN w:val="0"/>
              <w:adjustRightInd w:val="0"/>
              <w:rPr>
                <w:color w:val="000000" w:themeColor="text1"/>
              </w:rPr>
            </w:pPr>
            <w:proofErr w:type="gramStart"/>
            <w:r w:rsidRPr="0058432E">
              <w:rPr>
                <w:color w:val="000000" w:themeColor="text1"/>
              </w:rPr>
              <w:t>positivité</w:t>
            </w:r>
            <w:proofErr w:type="gramEnd"/>
            <w:r w:rsidRPr="0058432E">
              <w:rPr>
                <w:color w:val="000000" w:themeColor="text1"/>
              </w:rPr>
              <w:t xml:space="preserve"> aux auto-anticorps (y compris aux anticorps anti-ADN double brin), </w:t>
            </w:r>
          </w:p>
          <w:p w14:paraId="4095DB97" w14:textId="77777777" w:rsidR="00776D2E" w:rsidRPr="0058432E" w:rsidRDefault="00776D2E" w:rsidP="000D3575">
            <w:pPr>
              <w:keepNext/>
              <w:autoSpaceDE w:val="0"/>
              <w:autoSpaceDN w:val="0"/>
              <w:adjustRightInd w:val="0"/>
              <w:rPr>
                <w:color w:val="000000" w:themeColor="text1"/>
              </w:rPr>
            </w:pPr>
            <w:proofErr w:type="gramStart"/>
            <w:r w:rsidRPr="0058432E">
              <w:rPr>
                <w:color w:val="000000" w:themeColor="text1"/>
              </w:rPr>
              <w:t>lactate</w:t>
            </w:r>
            <w:proofErr w:type="gramEnd"/>
            <w:r w:rsidRPr="0058432E">
              <w:rPr>
                <w:color w:val="000000" w:themeColor="text1"/>
              </w:rPr>
              <w:t xml:space="preserve"> déshydrogénase sanguine augmentée</w:t>
            </w:r>
          </w:p>
        </w:tc>
      </w:tr>
      <w:tr w:rsidR="00776D2E" w:rsidRPr="0058432E" w14:paraId="5C51B678" w14:textId="77777777" w:rsidTr="00776D2E">
        <w:trPr>
          <w:cantSplit/>
        </w:trPr>
        <w:tc>
          <w:tcPr>
            <w:tcW w:w="2628" w:type="dxa"/>
            <w:vMerge/>
            <w:tcBorders>
              <w:left w:val="single" w:sz="4" w:space="0" w:color="auto"/>
              <w:bottom w:val="single" w:sz="4" w:space="0" w:color="auto"/>
              <w:right w:val="single" w:sz="4" w:space="0" w:color="auto"/>
            </w:tcBorders>
          </w:tcPr>
          <w:p w14:paraId="771493A1" w14:textId="77777777" w:rsidR="00776D2E" w:rsidRPr="0058432E" w:rsidRDefault="00776D2E" w:rsidP="00982118">
            <w:pPr>
              <w:keepNext/>
              <w:rPr>
                <w:color w:val="000000" w:themeColor="text1"/>
              </w:rPr>
            </w:pPr>
          </w:p>
        </w:tc>
        <w:tc>
          <w:tcPr>
            <w:tcW w:w="1695" w:type="dxa"/>
            <w:tcBorders>
              <w:top w:val="single" w:sz="4" w:space="0" w:color="auto"/>
              <w:left w:val="single" w:sz="4" w:space="0" w:color="auto"/>
              <w:bottom w:val="single" w:sz="4" w:space="0" w:color="auto"/>
              <w:right w:val="single" w:sz="4" w:space="0" w:color="auto"/>
            </w:tcBorders>
          </w:tcPr>
          <w:p w14:paraId="6B707568" w14:textId="77777777" w:rsidR="00776D2E" w:rsidRPr="0058432E" w:rsidRDefault="00776D2E" w:rsidP="00982118">
            <w:pPr>
              <w:keepNext/>
              <w:rPr>
                <w:color w:val="000000" w:themeColor="text1"/>
              </w:rPr>
            </w:pPr>
            <w:r w:rsidRPr="0058432E">
              <w:rPr>
                <w:color w:val="000000" w:themeColor="text1"/>
              </w:rPr>
              <w:t>Fréquence indéterminée</w:t>
            </w:r>
          </w:p>
        </w:tc>
        <w:tc>
          <w:tcPr>
            <w:tcW w:w="0" w:type="auto"/>
            <w:tcBorders>
              <w:top w:val="single" w:sz="4" w:space="0" w:color="auto"/>
              <w:left w:val="single" w:sz="4" w:space="0" w:color="auto"/>
              <w:bottom w:val="single" w:sz="4" w:space="0" w:color="auto"/>
              <w:right w:val="single" w:sz="4" w:space="0" w:color="auto"/>
            </w:tcBorders>
          </w:tcPr>
          <w:p w14:paraId="5455029A" w14:textId="77777777" w:rsidR="00776D2E" w:rsidRPr="0058432E" w:rsidRDefault="00776D2E" w:rsidP="00982118">
            <w:pPr>
              <w:keepNext/>
              <w:autoSpaceDE w:val="0"/>
              <w:autoSpaceDN w:val="0"/>
              <w:adjustRightInd w:val="0"/>
              <w:rPr>
                <w:color w:val="000000" w:themeColor="text1"/>
              </w:rPr>
            </w:pPr>
            <w:r w:rsidRPr="0058432E">
              <w:rPr>
                <w:color w:val="000000" w:themeColor="text1"/>
              </w:rPr>
              <w:t>Augmentation du poids</w:t>
            </w:r>
            <w:r w:rsidRPr="0058432E">
              <w:rPr>
                <w:color w:val="000000" w:themeColor="text1"/>
                <w:vertAlign w:val="superscript"/>
              </w:rPr>
              <w:t>2</w:t>
            </w:r>
          </w:p>
        </w:tc>
      </w:tr>
      <w:tr w:rsidR="00CA2D0E" w:rsidRPr="0058432E" w14:paraId="22450D1F" w14:textId="77777777" w:rsidTr="00776D2E">
        <w:trPr>
          <w:cantSplit/>
        </w:trPr>
        <w:tc>
          <w:tcPr>
            <w:tcW w:w="2628" w:type="dxa"/>
            <w:tcBorders>
              <w:top w:val="single" w:sz="4" w:space="0" w:color="auto"/>
              <w:left w:val="single" w:sz="4" w:space="0" w:color="auto"/>
              <w:bottom w:val="single" w:sz="4" w:space="0" w:color="auto"/>
              <w:right w:val="single" w:sz="4" w:space="0" w:color="auto"/>
            </w:tcBorders>
            <w:hideMark/>
          </w:tcPr>
          <w:p w14:paraId="45D20258" w14:textId="77777777" w:rsidR="00CA2D0E" w:rsidRPr="0058432E" w:rsidRDefault="00CA2D0E" w:rsidP="00982118">
            <w:pPr>
              <w:rPr>
                <w:color w:val="000000" w:themeColor="text1"/>
              </w:rPr>
            </w:pPr>
            <w:r w:rsidRPr="0058432E">
              <w:rPr>
                <w:color w:val="000000" w:themeColor="text1"/>
              </w:rPr>
              <w:t>Lésions, intoxications et complications liées aux procédures</w:t>
            </w:r>
          </w:p>
        </w:tc>
        <w:tc>
          <w:tcPr>
            <w:tcW w:w="1695" w:type="dxa"/>
            <w:tcBorders>
              <w:top w:val="single" w:sz="4" w:space="0" w:color="auto"/>
              <w:left w:val="single" w:sz="4" w:space="0" w:color="auto"/>
              <w:bottom w:val="single" w:sz="4" w:space="0" w:color="auto"/>
              <w:right w:val="single" w:sz="4" w:space="0" w:color="auto"/>
            </w:tcBorders>
            <w:hideMark/>
          </w:tcPr>
          <w:p w14:paraId="24B0C143" w14:textId="77777777" w:rsidR="00CA2D0E" w:rsidRPr="0058432E" w:rsidRDefault="00CA2D0E" w:rsidP="00982118">
            <w:pPr>
              <w:rPr>
                <w:color w:val="000000" w:themeColor="text1"/>
              </w:rPr>
            </w:pPr>
            <w:r w:rsidRPr="0058432E">
              <w:rPr>
                <w:color w:val="000000" w:themeColor="text1"/>
              </w:rPr>
              <w:t>Fréquent</w:t>
            </w:r>
          </w:p>
        </w:tc>
        <w:tc>
          <w:tcPr>
            <w:tcW w:w="0" w:type="auto"/>
            <w:tcBorders>
              <w:top w:val="single" w:sz="4" w:space="0" w:color="auto"/>
              <w:left w:val="single" w:sz="4" w:space="0" w:color="auto"/>
              <w:bottom w:val="single" w:sz="4" w:space="0" w:color="auto"/>
              <w:right w:val="single" w:sz="4" w:space="0" w:color="auto"/>
            </w:tcBorders>
            <w:hideMark/>
          </w:tcPr>
          <w:p w14:paraId="2BF2F245" w14:textId="77777777" w:rsidR="00CA2D0E" w:rsidRPr="0058432E" w:rsidRDefault="00CA2D0E" w:rsidP="00982118">
            <w:pPr>
              <w:rPr>
                <w:color w:val="000000" w:themeColor="text1"/>
              </w:rPr>
            </w:pPr>
            <w:r w:rsidRPr="0058432E">
              <w:rPr>
                <w:color w:val="000000" w:themeColor="text1"/>
              </w:rPr>
              <w:t>Mauvaise cicatrisation</w:t>
            </w:r>
          </w:p>
        </w:tc>
      </w:tr>
      <w:tr w:rsidR="00CA2D0E" w:rsidRPr="0058432E" w14:paraId="35F7D236" w14:textId="77777777" w:rsidTr="0095181C">
        <w:trPr>
          <w:cantSplit/>
        </w:trPr>
        <w:tc>
          <w:tcPr>
            <w:tcW w:w="0" w:type="auto"/>
            <w:gridSpan w:val="3"/>
            <w:tcBorders>
              <w:top w:val="single" w:sz="4" w:space="0" w:color="auto"/>
              <w:left w:val="nil"/>
              <w:bottom w:val="nil"/>
              <w:right w:val="nil"/>
            </w:tcBorders>
            <w:hideMark/>
          </w:tcPr>
          <w:p w14:paraId="4E151FC0" w14:textId="77777777" w:rsidR="00CA2D0E" w:rsidRPr="0058432E" w:rsidRDefault="00CA2D0E" w:rsidP="00982118">
            <w:pPr>
              <w:tabs>
                <w:tab w:val="left" w:pos="360"/>
              </w:tabs>
              <w:rPr>
                <w:color w:val="000000" w:themeColor="text1"/>
                <w:sz w:val="20"/>
              </w:rPr>
            </w:pPr>
            <w:r w:rsidRPr="0058432E">
              <w:rPr>
                <w:color w:val="000000" w:themeColor="text1"/>
                <w:sz w:val="20"/>
              </w:rPr>
              <w:t>*</w:t>
            </w:r>
            <w:r w:rsidRPr="0058432E">
              <w:rPr>
                <w:color w:val="000000" w:themeColor="text1"/>
                <w:sz w:val="20"/>
              </w:rPr>
              <w:tab/>
            </w:r>
            <w:r w:rsidR="00577EB7" w:rsidRPr="0058432E">
              <w:rPr>
                <w:color w:val="000000" w:themeColor="text1"/>
                <w:sz w:val="20"/>
              </w:rPr>
              <w:t>D</w:t>
            </w:r>
            <w:r w:rsidRPr="0058432E">
              <w:rPr>
                <w:color w:val="000000" w:themeColor="text1"/>
                <w:sz w:val="20"/>
              </w:rPr>
              <w:t>e plus amples informations sont disponibles aux rubriques 4.3, 4.4 et 4.8. </w:t>
            </w:r>
          </w:p>
          <w:p w14:paraId="1B6FD927" w14:textId="77777777" w:rsidR="00CA2D0E" w:rsidRPr="0058432E" w:rsidRDefault="00CA2D0E" w:rsidP="00982118">
            <w:pPr>
              <w:tabs>
                <w:tab w:val="left" w:pos="360"/>
              </w:tabs>
              <w:rPr>
                <w:color w:val="000000" w:themeColor="text1"/>
                <w:sz w:val="20"/>
              </w:rPr>
            </w:pPr>
            <w:r w:rsidRPr="0058432E">
              <w:rPr>
                <w:color w:val="000000" w:themeColor="text1"/>
                <w:sz w:val="20"/>
              </w:rPr>
              <w:t>**</w:t>
            </w:r>
            <w:r w:rsidRPr="0058432E">
              <w:rPr>
                <w:color w:val="000000" w:themeColor="text1"/>
                <w:sz w:val="20"/>
              </w:rPr>
              <w:tab/>
              <w:t>y compris les études d’extension en ouvert</w:t>
            </w:r>
          </w:p>
          <w:p w14:paraId="2CEA5CD3" w14:textId="77777777" w:rsidR="00CA2D0E" w:rsidRPr="0058432E" w:rsidRDefault="00CA2D0E" w:rsidP="00982118">
            <w:pPr>
              <w:tabs>
                <w:tab w:val="left" w:pos="360"/>
              </w:tabs>
              <w:rPr>
                <w:color w:val="000000" w:themeColor="text1"/>
                <w:sz w:val="20"/>
              </w:rPr>
            </w:pPr>
            <w:r w:rsidRPr="0058432E">
              <w:rPr>
                <w:color w:val="000000" w:themeColor="text1"/>
                <w:sz w:val="20"/>
                <w:vertAlign w:val="superscript"/>
              </w:rPr>
              <w:t>1</w:t>
            </w:r>
            <w:r w:rsidRPr="0058432E">
              <w:rPr>
                <w:color w:val="000000" w:themeColor="text1"/>
                <w:sz w:val="20"/>
              </w:rPr>
              <w:tab/>
              <w:t xml:space="preserve">comprenant les données des notifications spontanées </w:t>
            </w:r>
          </w:p>
        </w:tc>
      </w:tr>
    </w:tbl>
    <w:p w14:paraId="7F4826FF" w14:textId="77777777" w:rsidR="00CA2D0E" w:rsidRPr="0058432E" w:rsidRDefault="00776D2E" w:rsidP="00982118">
      <w:pPr>
        <w:rPr>
          <w:color w:val="000000" w:themeColor="text1"/>
          <w:sz w:val="20"/>
          <w:szCs w:val="20"/>
        </w:rPr>
      </w:pPr>
      <w:r w:rsidRPr="0058432E">
        <w:rPr>
          <w:color w:val="000000" w:themeColor="text1"/>
          <w:vertAlign w:val="superscript"/>
        </w:rPr>
        <w:t>2</w:t>
      </w:r>
      <w:r w:rsidRPr="0058432E">
        <w:rPr>
          <w:color w:val="000000" w:themeColor="text1"/>
        </w:rPr>
        <w:t xml:space="preserve">     </w:t>
      </w:r>
      <w:r w:rsidRPr="0058432E">
        <w:rPr>
          <w:color w:val="000000" w:themeColor="text1"/>
          <w:sz w:val="20"/>
          <w:szCs w:val="20"/>
        </w:rPr>
        <w:t>Le changement de poids moyen par rapport aux valeurs initiales pour l’adalimumab allait de 0,3 kg à 1,0 kg      pour toutes les indications chez l’adulte, contre (moins) -0,4 kg à 0,4 kg pour le placebo, sur une période de traitement de 4 à 6 mois. Une augmentation de poids comprise entre 5 et 6 kg a également été observée au cours d’études d’extension à long terme, avec des expositions moyennes d’environ 1 à 2 ans sans groupe témoin, en particulier chez les patients atteints de la maladie de Crohn et de colite ulcéreuse. Le mécanisme qui sous-tend cet effet n’est pas clair mais pourrait être associé à l’action anti-inflammatoire de l’adalimumab.</w:t>
      </w:r>
    </w:p>
    <w:p w14:paraId="0E0D0C7C" w14:textId="77777777" w:rsidR="00776D2E" w:rsidRPr="0058432E" w:rsidRDefault="00776D2E" w:rsidP="00982118">
      <w:pPr>
        <w:rPr>
          <w:color w:val="000000" w:themeColor="text1"/>
        </w:rPr>
      </w:pPr>
    </w:p>
    <w:p w14:paraId="25A4B0AA" w14:textId="77777777" w:rsidR="00C46587" w:rsidRPr="0058432E" w:rsidRDefault="00C46587" w:rsidP="00982118">
      <w:pPr>
        <w:keepNext/>
        <w:rPr>
          <w:color w:val="000000" w:themeColor="text1"/>
          <w:u w:val="single"/>
        </w:rPr>
      </w:pPr>
      <w:r w:rsidRPr="0058432E">
        <w:rPr>
          <w:color w:val="000000" w:themeColor="text1"/>
          <w:u w:val="single"/>
        </w:rPr>
        <w:t xml:space="preserve">Hidrosadénite suppurée </w:t>
      </w:r>
    </w:p>
    <w:p w14:paraId="3A1A2567" w14:textId="77777777" w:rsidR="00C46587" w:rsidRPr="0058432E" w:rsidRDefault="00C46587" w:rsidP="00982118">
      <w:pPr>
        <w:keepNext/>
        <w:rPr>
          <w:color w:val="000000" w:themeColor="text1"/>
        </w:rPr>
      </w:pPr>
    </w:p>
    <w:p w14:paraId="1819AA60" w14:textId="77777777" w:rsidR="00C46587" w:rsidRPr="0058432E" w:rsidRDefault="00C46587" w:rsidP="00982118">
      <w:pPr>
        <w:rPr>
          <w:color w:val="000000" w:themeColor="text1"/>
        </w:rPr>
      </w:pPr>
      <w:r w:rsidRPr="0058432E">
        <w:rPr>
          <w:color w:val="000000" w:themeColor="text1"/>
        </w:rPr>
        <w:t xml:space="preserve">Le profil de </w:t>
      </w:r>
      <w:r w:rsidR="00B11789" w:rsidRPr="0058432E">
        <w:rPr>
          <w:color w:val="000000" w:themeColor="text1"/>
        </w:rPr>
        <w:t xml:space="preserve">tolérance </w:t>
      </w:r>
      <w:r w:rsidRPr="0058432E">
        <w:rPr>
          <w:color w:val="000000" w:themeColor="text1"/>
        </w:rPr>
        <w:t xml:space="preserve">chez les patients atteints d’HS traités par adalimumab de façon hebdomadaire correspond au profil de sécurité </w:t>
      </w:r>
      <w:r w:rsidR="00B11789" w:rsidRPr="0058432E">
        <w:rPr>
          <w:color w:val="000000" w:themeColor="text1"/>
        </w:rPr>
        <w:t xml:space="preserve">tolérance </w:t>
      </w:r>
      <w:r w:rsidRPr="0058432E">
        <w:rPr>
          <w:color w:val="000000" w:themeColor="text1"/>
        </w:rPr>
        <w:t xml:space="preserve">connu de l’adalimumab. </w:t>
      </w:r>
    </w:p>
    <w:p w14:paraId="2BA9E311" w14:textId="77777777" w:rsidR="00CA2D0E" w:rsidRPr="0058432E" w:rsidRDefault="00CA2D0E" w:rsidP="00982118">
      <w:pPr>
        <w:rPr>
          <w:color w:val="000000" w:themeColor="text1"/>
        </w:rPr>
      </w:pPr>
    </w:p>
    <w:p w14:paraId="2F78D3E0" w14:textId="77777777" w:rsidR="00C46587" w:rsidRPr="0058432E" w:rsidRDefault="00186764" w:rsidP="00DC3A99">
      <w:pPr>
        <w:keepNext/>
        <w:rPr>
          <w:color w:val="000000" w:themeColor="text1"/>
          <w:u w:val="single"/>
        </w:rPr>
      </w:pPr>
      <w:r w:rsidRPr="0058432E">
        <w:rPr>
          <w:color w:val="000000" w:themeColor="text1"/>
          <w:u w:val="single"/>
        </w:rPr>
        <w:t>Uvéite</w:t>
      </w:r>
    </w:p>
    <w:p w14:paraId="496503E7" w14:textId="77777777" w:rsidR="00C46587" w:rsidRPr="0058432E" w:rsidRDefault="00C46587" w:rsidP="00DC3A99">
      <w:pPr>
        <w:keepNext/>
        <w:rPr>
          <w:color w:val="000000" w:themeColor="text1"/>
        </w:rPr>
      </w:pPr>
    </w:p>
    <w:p w14:paraId="4353925B" w14:textId="77777777" w:rsidR="00C46587" w:rsidRPr="0058432E" w:rsidRDefault="00C46587" w:rsidP="00982118">
      <w:pPr>
        <w:rPr>
          <w:color w:val="000000" w:themeColor="text1"/>
        </w:rPr>
      </w:pPr>
      <w:r w:rsidRPr="0058432E">
        <w:rPr>
          <w:color w:val="000000" w:themeColor="text1"/>
        </w:rPr>
        <w:t xml:space="preserve">Le profil de </w:t>
      </w:r>
      <w:r w:rsidR="00B11789" w:rsidRPr="0058432E">
        <w:rPr>
          <w:color w:val="000000" w:themeColor="text1"/>
        </w:rPr>
        <w:t xml:space="preserve">tolérance </w:t>
      </w:r>
      <w:r w:rsidRPr="0058432E">
        <w:rPr>
          <w:color w:val="000000" w:themeColor="text1"/>
        </w:rPr>
        <w:t xml:space="preserve">chez les patients atteints d’uvéite traités par adalimumab toutes les deux semaines correspond au profil de </w:t>
      </w:r>
      <w:r w:rsidR="00B11789" w:rsidRPr="0058432E">
        <w:rPr>
          <w:color w:val="000000" w:themeColor="text1"/>
        </w:rPr>
        <w:t xml:space="preserve">tolérance </w:t>
      </w:r>
      <w:r w:rsidRPr="0058432E">
        <w:rPr>
          <w:color w:val="000000" w:themeColor="text1"/>
        </w:rPr>
        <w:t xml:space="preserve">connu de l’adalimumab. </w:t>
      </w:r>
    </w:p>
    <w:p w14:paraId="782273F0" w14:textId="77777777" w:rsidR="00C46587" w:rsidRPr="0058432E" w:rsidRDefault="00C46587" w:rsidP="00982118">
      <w:pPr>
        <w:rPr>
          <w:color w:val="000000" w:themeColor="text1"/>
        </w:rPr>
      </w:pPr>
    </w:p>
    <w:p w14:paraId="5CC6B7F2" w14:textId="77777777" w:rsidR="00C46587" w:rsidRPr="0058432E" w:rsidRDefault="00C46587" w:rsidP="00DC3A99">
      <w:pPr>
        <w:keepNext/>
        <w:rPr>
          <w:color w:val="000000" w:themeColor="text1"/>
          <w:u w:val="single"/>
        </w:rPr>
      </w:pPr>
      <w:r w:rsidRPr="0058432E">
        <w:rPr>
          <w:color w:val="000000" w:themeColor="text1"/>
          <w:u w:val="single"/>
        </w:rPr>
        <w:t>Description des effets indésirables sélectionnés</w:t>
      </w:r>
    </w:p>
    <w:p w14:paraId="4E8B9F32" w14:textId="77777777" w:rsidR="00C46587" w:rsidRPr="0058432E" w:rsidRDefault="00C46587" w:rsidP="00DC3A99">
      <w:pPr>
        <w:keepNext/>
        <w:rPr>
          <w:color w:val="000000" w:themeColor="text1"/>
        </w:rPr>
      </w:pPr>
    </w:p>
    <w:p w14:paraId="5D672AA9" w14:textId="77777777" w:rsidR="00C46587" w:rsidRPr="0058432E" w:rsidRDefault="00C46587" w:rsidP="00DC3A99">
      <w:pPr>
        <w:keepNext/>
        <w:rPr>
          <w:i/>
          <w:color w:val="000000" w:themeColor="text1"/>
        </w:rPr>
      </w:pPr>
      <w:r w:rsidRPr="0058432E">
        <w:rPr>
          <w:i/>
          <w:color w:val="000000" w:themeColor="text1"/>
        </w:rPr>
        <w:t xml:space="preserve">Réactions au point d’injection </w:t>
      </w:r>
    </w:p>
    <w:p w14:paraId="59DC8C01" w14:textId="77777777" w:rsidR="00C46587" w:rsidRPr="0058432E" w:rsidRDefault="00C46587" w:rsidP="00DC3A99">
      <w:pPr>
        <w:keepNext/>
        <w:rPr>
          <w:color w:val="000000" w:themeColor="text1"/>
        </w:rPr>
      </w:pPr>
    </w:p>
    <w:p w14:paraId="7CF3F0CE" w14:textId="77777777" w:rsidR="00C46587" w:rsidRPr="0058432E" w:rsidRDefault="00C46587" w:rsidP="00982118">
      <w:pPr>
        <w:rPr>
          <w:color w:val="000000" w:themeColor="text1"/>
        </w:rPr>
      </w:pPr>
      <w:r w:rsidRPr="0058432E">
        <w:rPr>
          <w:color w:val="000000" w:themeColor="text1"/>
        </w:rPr>
        <w:t xml:space="preserve">Dans les essais </w:t>
      </w:r>
      <w:r w:rsidR="002A60C0" w:rsidRPr="0058432E">
        <w:rPr>
          <w:color w:val="000000" w:themeColor="text1"/>
        </w:rPr>
        <w:t xml:space="preserve">pivots </w:t>
      </w:r>
      <w:r w:rsidRPr="0058432E">
        <w:rPr>
          <w:color w:val="000000" w:themeColor="text1"/>
        </w:rPr>
        <w:t xml:space="preserve">contrôlés menés chez l’adulte et l’enfant, 12,9 % des patients traités par adalimumab ont présenté des réactions au point d'injection (érythème et/ou prurit, saignement, douleur ou tuméfaction) contre 7,2 % des patients recevant le placebo ou le comparateur actif. Les réactions au point d’injection n’ont généralement pas nécessité l’arrêt du médicament. </w:t>
      </w:r>
    </w:p>
    <w:p w14:paraId="356A0500" w14:textId="77777777" w:rsidR="00C46587" w:rsidRPr="0058432E" w:rsidRDefault="00C46587" w:rsidP="00982118">
      <w:pPr>
        <w:rPr>
          <w:color w:val="000000" w:themeColor="text1"/>
        </w:rPr>
      </w:pPr>
    </w:p>
    <w:p w14:paraId="3F4E95B6" w14:textId="77777777" w:rsidR="00C46587" w:rsidRPr="0058432E" w:rsidRDefault="00C46587" w:rsidP="00DC3A99">
      <w:pPr>
        <w:keepNext/>
        <w:rPr>
          <w:i/>
          <w:color w:val="000000" w:themeColor="text1"/>
        </w:rPr>
      </w:pPr>
      <w:r w:rsidRPr="0058432E">
        <w:rPr>
          <w:i/>
          <w:color w:val="000000" w:themeColor="text1"/>
        </w:rPr>
        <w:t xml:space="preserve">Infections </w:t>
      </w:r>
    </w:p>
    <w:p w14:paraId="44D2303F" w14:textId="77777777" w:rsidR="00C46587" w:rsidRPr="0058432E" w:rsidRDefault="00C46587" w:rsidP="00DC3A99">
      <w:pPr>
        <w:keepNext/>
        <w:rPr>
          <w:color w:val="000000" w:themeColor="text1"/>
        </w:rPr>
      </w:pPr>
    </w:p>
    <w:p w14:paraId="4E91C584" w14:textId="77777777" w:rsidR="00C46587" w:rsidRPr="0058432E" w:rsidRDefault="00C46587" w:rsidP="00982118">
      <w:pPr>
        <w:rPr>
          <w:color w:val="000000" w:themeColor="text1"/>
        </w:rPr>
      </w:pPr>
      <w:r w:rsidRPr="0058432E">
        <w:rPr>
          <w:color w:val="000000" w:themeColor="text1"/>
        </w:rPr>
        <w:t xml:space="preserve">Dans les essais </w:t>
      </w:r>
      <w:r w:rsidR="002A60C0" w:rsidRPr="0058432E">
        <w:rPr>
          <w:color w:val="000000" w:themeColor="text1"/>
        </w:rPr>
        <w:t xml:space="preserve">pivots </w:t>
      </w:r>
      <w:r w:rsidRPr="0058432E">
        <w:rPr>
          <w:color w:val="000000" w:themeColor="text1"/>
        </w:rPr>
        <w:t>contrôlés menés chez l’adulte et l’enfant, la fréquence des infections a été de 1,51 par patient</w:t>
      </w:r>
      <w:r w:rsidRPr="0058432E">
        <w:rPr>
          <w:color w:val="000000" w:themeColor="text1"/>
        </w:rPr>
        <w:noBreakHyphen/>
        <w:t>année dans le groupe adalimumab et de 1,46 par patient</w:t>
      </w:r>
      <w:r w:rsidRPr="0058432E">
        <w:rPr>
          <w:color w:val="000000" w:themeColor="text1"/>
        </w:rPr>
        <w:noBreakHyphen/>
        <w:t xml:space="preserve">année dans le groupe placebo et le groupe contrôle. Les infections consistaient essentiellement en rhinopharyngites, infections de l’appareil respiratoire supérieur et sinusites. La plupart des patients ont continué l’adalimumab après la guérison de l’infection. </w:t>
      </w:r>
    </w:p>
    <w:p w14:paraId="4953309E" w14:textId="77777777" w:rsidR="00C46587" w:rsidRPr="0058432E" w:rsidRDefault="00C46587" w:rsidP="00982118">
      <w:pPr>
        <w:rPr>
          <w:color w:val="000000" w:themeColor="text1"/>
        </w:rPr>
      </w:pPr>
    </w:p>
    <w:p w14:paraId="177D0B2C" w14:textId="77777777" w:rsidR="00C46587" w:rsidRPr="0058432E" w:rsidRDefault="00C46587" w:rsidP="00982118">
      <w:pPr>
        <w:rPr>
          <w:color w:val="000000" w:themeColor="text1"/>
        </w:rPr>
      </w:pPr>
      <w:r w:rsidRPr="0058432E">
        <w:rPr>
          <w:color w:val="000000" w:themeColor="text1"/>
        </w:rPr>
        <w:t>L’incidence des infections graves a été de 0,04 par patient</w:t>
      </w:r>
      <w:r w:rsidRPr="0058432E">
        <w:rPr>
          <w:color w:val="000000" w:themeColor="text1"/>
        </w:rPr>
        <w:noBreakHyphen/>
        <w:t>année dans le groupe adalimumab et de 0,03 par patient</w:t>
      </w:r>
      <w:r w:rsidRPr="0058432E">
        <w:rPr>
          <w:color w:val="000000" w:themeColor="text1"/>
        </w:rPr>
        <w:noBreakHyphen/>
        <w:t xml:space="preserve">année dans le groupe placebo et le groupe contrôle. </w:t>
      </w:r>
    </w:p>
    <w:p w14:paraId="33224E6F" w14:textId="77777777" w:rsidR="00C46587" w:rsidRPr="0058432E" w:rsidRDefault="00C46587" w:rsidP="00982118">
      <w:pPr>
        <w:rPr>
          <w:color w:val="000000" w:themeColor="text1"/>
        </w:rPr>
      </w:pPr>
    </w:p>
    <w:p w14:paraId="4627BBAF" w14:textId="77777777" w:rsidR="00C46587" w:rsidRPr="0058432E" w:rsidRDefault="00C46587" w:rsidP="00982118">
      <w:pPr>
        <w:rPr>
          <w:color w:val="000000" w:themeColor="text1"/>
        </w:rPr>
      </w:pPr>
      <w:r w:rsidRPr="0058432E">
        <w:rPr>
          <w:color w:val="000000" w:themeColor="text1"/>
        </w:rPr>
        <w:t>Dans les études contrôlées et en ouvert avec l’adalimumab menées chez l’adulte et dans la population pédiatrique, des infections graves (y compris des infections d’issue fatale, ce qui s’est produit rarement) ont été rapportées dont des signalements de tuberculose (y compris miliaire et à localisations extra-pulmonaires) et d’infections opportunistes invasives (par ex</w:t>
      </w:r>
      <w:r w:rsidR="00A67736" w:rsidRPr="0058432E">
        <w:rPr>
          <w:color w:val="000000" w:themeColor="text1"/>
        </w:rPr>
        <w:t>emple,</w:t>
      </w:r>
      <w:r w:rsidRPr="0058432E">
        <w:rPr>
          <w:color w:val="000000" w:themeColor="text1"/>
        </w:rPr>
        <w:t xml:space="preserve"> histoplasmose disséminée ou histoplasmose extrapulmonaire, blastomycose, coccidioïdomycose, pneumocystose, candidose, </w:t>
      </w:r>
      <w:r w:rsidRPr="0058432E">
        <w:rPr>
          <w:color w:val="000000" w:themeColor="text1"/>
        </w:rPr>
        <w:lastRenderedPageBreak/>
        <w:t xml:space="preserve">aspergillose et listériose). La plupart des cas de tuberculose sont survenus dans les huit premiers mois après le début du traitement et peuvent être le reflet d’une réactivation d’une maladie latente. </w:t>
      </w:r>
    </w:p>
    <w:p w14:paraId="7D580DB9" w14:textId="77777777" w:rsidR="00C46587" w:rsidRPr="0058432E" w:rsidRDefault="00C46587" w:rsidP="00982118">
      <w:pPr>
        <w:rPr>
          <w:color w:val="000000" w:themeColor="text1"/>
        </w:rPr>
      </w:pPr>
    </w:p>
    <w:p w14:paraId="36137AA7" w14:textId="77777777" w:rsidR="00C46587" w:rsidRPr="0058432E" w:rsidRDefault="00C46587" w:rsidP="00DC3A99">
      <w:pPr>
        <w:keepNext/>
        <w:rPr>
          <w:i/>
          <w:color w:val="000000" w:themeColor="text1"/>
        </w:rPr>
      </w:pPr>
      <w:r w:rsidRPr="0058432E">
        <w:rPr>
          <w:i/>
          <w:color w:val="000000" w:themeColor="text1"/>
        </w:rPr>
        <w:t xml:space="preserve">Tumeurs malignes et troubles lymphoprolifératifs </w:t>
      </w:r>
    </w:p>
    <w:p w14:paraId="245529AB" w14:textId="77777777" w:rsidR="00C46587" w:rsidRPr="0058432E" w:rsidRDefault="00C46587" w:rsidP="00DC3A99">
      <w:pPr>
        <w:keepNext/>
        <w:rPr>
          <w:color w:val="000000" w:themeColor="text1"/>
        </w:rPr>
      </w:pPr>
    </w:p>
    <w:p w14:paraId="722C4628" w14:textId="77777777" w:rsidR="00C46587" w:rsidRPr="0058432E" w:rsidRDefault="00C46587" w:rsidP="00982118">
      <w:pPr>
        <w:rPr>
          <w:color w:val="000000" w:themeColor="text1"/>
        </w:rPr>
      </w:pPr>
      <w:r w:rsidRPr="0058432E">
        <w:rPr>
          <w:color w:val="000000" w:themeColor="text1"/>
        </w:rPr>
        <w:t>Aucun cas de cancer n’a été observé chez 249 patients pédiatriques représentant une exposition de 655,6 patient</w:t>
      </w:r>
      <w:r w:rsidR="002A60C0" w:rsidRPr="0058432E">
        <w:rPr>
          <w:color w:val="000000" w:themeColor="text1"/>
        </w:rPr>
        <w:t>s</w:t>
      </w:r>
      <w:r w:rsidRPr="0058432E">
        <w:rPr>
          <w:color w:val="000000" w:themeColor="text1"/>
        </w:rPr>
        <w:noBreakHyphen/>
        <w:t xml:space="preserve">année lors des </w:t>
      </w:r>
      <w:r w:rsidR="002A60C0" w:rsidRPr="0058432E">
        <w:rPr>
          <w:color w:val="000000" w:themeColor="text1"/>
        </w:rPr>
        <w:t xml:space="preserve">essais </w:t>
      </w:r>
      <w:r w:rsidRPr="0058432E">
        <w:rPr>
          <w:color w:val="000000" w:themeColor="text1"/>
        </w:rPr>
        <w:t>avec l’adalimumab chez les patients atteints d’arthrite juvénile idiopathique (arthrite juvénile idiopathique polyarticulaire et arthrite liée à l’enthésite). De plus, aucun cas de cancer n’a été observé chez 192 patients pédiatriques représentant une exposition de 498,1 patient</w:t>
      </w:r>
      <w:r w:rsidR="002A60C0" w:rsidRPr="0058432E">
        <w:rPr>
          <w:color w:val="000000" w:themeColor="text1"/>
        </w:rPr>
        <w:t>s</w:t>
      </w:r>
      <w:r w:rsidRPr="0058432E">
        <w:rPr>
          <w:color w:val="000000" w:themeColor="text1"/>
        </w:rPr>
        <w:noBreakHyphen/>
        <w:t xml:space="preserve">année lors des </w:t>
      </w:r>
      <w:r w:rsidR="002A60C0" w:rsidRPr="0058432E">
        <w:rPr>
          <w:color w:val="000000" w:themeColor="text1"/>
        </w:rPr>
        <w:t xml:space="preserve">essais </w:t>
      </w:r>
      <w:r w:rsidRPr="0058432E">
        <w:rPr>
          <w:color w:val="000000" w:themeColor="text1"/>
        </w:rPr>
        <w:t xml:space="preserve">avec l’adalimumab </w:t>
      </w:r>
      <w:r w:rsidR="002A60C0" w:rsidRPr="0058432E">
        <w:rPr>
          <w:color w:val="000000" w:themeColor="text1"/>
        </w:rPr>
        <w:t xml:space="preserve">chez les patients atteints de </w:t>
      </w:r>
      <w:r w:rsidRPr="0058432E">
        <w:rPr>
          <w:color w:val="000000" w:themeColor="text1"/>
        </w:rPr>
        <w:t xml:space="preserve">la maladie de Crohn pédiatrique. Aucun cas de cancer n’a été observé chez 77 patients pédiatriques </w:t>
      </w:r>
      <w:r w:rsidR="002A60C0" w:rsidRPr="0058432E">
        <w:rPr>
          <w:color w:val="000000" w:themeColor="text1"/>
        </w:rPr>
        <w:t>représentant</w:t>
      </w:r>
      <w:r w:rsidRPr="0058432E">
        <w:rPr>
          <w:color w:val="000000" w:themeColor="text1"/>
        </w:rPr>
        <w:t xml:space="preserve"> une exposition de 80,0 patients</w:t>
      </w:r>
      <w:r w:rsidRPr="0058432E">
        <w:rPr>
          <w:color w:val="000000" w:themeColor="text1"/>
        </w:rPr>
        <w:noBreakHyphen/>
        <w:t xml:space="preserve">année lors d’un </w:t>
      </w:r>
      <w:r w:rsidR="002A60C0" w:rsidRPr="0058432E">
        <w:rPr>
          <w:color w:val="000000" w:themeColor="text1"/>
        </w:rPr>
        <w:t xml:space="preserve">essai </w:t>
      </w:r>
      <w:r w:rsidRPr="0058432E">
        <w:rPr>
          <w:color w:val="000000" w:themeColor="text1"/>
        </w:rPr>
        <w:t xml:space="preserve">avec l’adalimumab </w:t>
      </w:r>
      <w:r w:rsidR="002A60C0" w:rsidRPr="0058432E">
        <w:rPr>
          <w:color w:val="000000" w:themeColor="text1"/>
        </w:rPr>
        <w:t xml:space="preserve">chez les patients atteints de </w:t>
      </w:r>
      <w:r w:rsidRPr="0058432E">
        <w:rPr>
          <w:color w:val="000000" w:themeColor="text1"/>
        </w:rPr>
        <w:t xml:space="preserve">psoriasis en plaques chronique pédiatrique. </w:t>
      </w:r>
      <w:r w:rsidR="00352EDF" w:rsidRPr="0058432E">
        <w:rPr>
          <w:color w:val="000000" w:themeColor="text1"/>
        </w:rPr>
        <w:t xml:space="preserve">Lors d’une étude avec l’adalimumab </w:t>
      </w:r>
      <w:r w:rsidR="00533C4E" w:rsidRPr="0058432E">
        <w:rPr>
          <w:color w:val="000000" w:themeColor="text1"/>
        </w:rPr>
        <w:t xml:space="preserve">menée </w:t>
      </w:r>
      <w:r w:rsidR="00352EDF" w:rsidRPr="0058432E">
        <w:rPr>
          <w:color w:val="000000" w:themeColor="text1"/>
        </w:rPr>
        <w:t>chez des patients pédiatriques atteints de rectocolite hémorragiques, a</w:t>
      </w:r>
      <w:r w:rsidR="00E81DE6" w:rsidRPr="0058432E">
        <w:rPr>
          <w:color w:val="000000" w:themeColor="text1"/>
        </w:rPr>
        <w:t>ucun cas de cancer n’a été observé chez 93 patients pédiatriques représentant une exposition de 65,3 patients</w:t>
      </w:r>
      <w:r w:rsidR="00E81DE6" w:rsidRPr="0058432E">
        <w:rPr>
          <w:color w:val="000000" w:themeColor="text1"/>
        </w:rPr>
        <w:noBreakHyphen/>
        <w:t>années.</w:t>
      </w:r>
      <w:r w:rsidR="00282540" w:rsidRPr="0058432E">
        <w:rPr>
          <w:color w:val="000000" w:themeColor="text1"/>
        </w:rPr>
        <w:t xml:space="preserve"> </w:t>
      </w:r>
      <w:r w:rsidRPr="0058432E">
        <w:rPr>
          <w:color w:val="000000" w:themeColor="text1"/>
        </w:rPr>
        <w:t>Aucun cas de cancer n’a été observé chez 60 patients pédiatriques représentant une exposition de 58,4 patient</w:t>
      </w:r>
      <w:r w:rsidR="002A60C0" w:rsidRPr="0058432E">
        <w:rPr>
          <w:color w:val="000000" w:themeColor="text1"/>
        </w:rPr>
        <w:t>s</w:t>
      </w:r>
      <w:r w:rsidRPr="0058432E">
        <w:rPr>
          <w:color w:val="000000" w:themeColor="text1"/>
        </w:rPr>
        <w:t xml:space="preserve">-année lors d’une étude avec l’adalimumab </w:t>
      </w:r>
      <w:r w:rsidR="00E41242" w:rsidRPr="0058432E">
        <w:rPr>
          <w:color w:val="000000" w:themeColor="text1"/>
        </w:rPr>
        <w:t>chez les patients atteints d</w:t>
      </w:r>
      <w:r w:rsidRPr="0058432E">
        <w:rPr>
          <w:color w:val="000000" w:themeColor="text1"/>
        </w:rPr>
        <w:t>’uvéite pédiatrique.</w:t>
      </w:r>
    </w:p>
    <w:p w14:paraId="278C5FD9" w14:textId="77777777" w:rsidR="00C46587" w:rsidRPr="0058432E" w:rsidRDefault="00C46587" w:rsidP="00982118">
      <w:pPr>
        <w:rPr>
          <w:color w:val="000000" w:themeColor="text1"/>
        </w:rPr>
      </w:pPr>
    </w:p>
    <w:p w14:paraId="4F45D049" w14:textId="77777777" w:rsidR="00C46587" w:rsidRPr="0058432E" w:rsidRDefault="00C46587" w:rsidP="00982118">
      <w:pPr>
        <w:rPr>
          <w:color w:val="000000" w:themeColor="text1"/>
        </w:rPr>
      </w:pPr>
      <w:r w:rsidRPr="0058432E">
        <w:rPr>
          <w:color w:val="000000" w:themeColor="text1"/>
        </w:rPr>
        <w:t xml:space="preserve">Pendant les périodes contrôlées des essais pivots chez l’adulte avec l’adalimumab d’une durée d’au moins 12 semaines chez des patients </w:t>
      </w:r>
      <w:r w:rsidR="00D546C9" w:rsidRPr="0058432E">
        <w:rPr>
          <w:color w:val="000000" w:themeColor="text1"/>
        </w:rPr>
        <w:t>atteints</w:t>
      </w:r>
      <w:r w:rsidRPr="0058432E">
        <w:rPr>
          <w:color w:val="000000" w:themeColor="text1"/>
        </w:rPr>
        <w:t xml:space="preserve"> de polyarthrite rhumatoïde </w:t>
      </w:r>
      <w:r w:rsidR="00771429" w:rsidRPr="0058432E">
        <w:rPr>
          <w:color w:val="000000" w:themeColor="text1"/>
        </w:rPr>
        <w:t>active modérée à sévère</w:t>
      </w:r>
      <w:r w:rsidRPr="0058432E">
        <w:rPr>
          <w:color w:val="000000" w:themeColor="text1"/>
        </w:rPr>
        <w:t>, de spondylarthrite ankylosante, de spondyl</w:t>
      </w:r>
      <w:r w:rsidR="00B412CF" w:rsidRPr="0058432E">
        <w:rPr>
          <w:color w:val="000000" w:themeColor="text1"/>
        </w:rPr>
        <w:t>o</w:t>
      </w:r>
      <w:r w:rsidRPr="0058432E">
        <w:rPr>
          <w:color w:val="000000" w:themeColor="text1"/>
        </w:rPr>
        <w:t>arthrite axiale sans signes radiographiques de SA, de rhumatisme psoriasique, de psoriasis, d’hidrosadénite suppurée, de la maladie de Crohn, de rectocolite hémorragique et d’uvéite, un taux (intervalle de confiance à 95 %) de cancers autres que lymphomes ou cancers de la peau non mélanomes, de 6,8 (4,4</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10,5) pour 1 000 patient</w:t>
      </w:r>
      <w:r w:rsidR="00E41242" w:rsidRPr="0058432E">
        <w:rPr>
          <w:color w:val="000000" w:themeColor="text1"/>
        </w:rPr>
        <w:t>s</w:t>
      </w:r>
      <w:r w:rsidRPr="0058432E">
        <w:rPr>
          <w:color w:val="000000" w:themeColor="text1"/>
        </w:rPr>
        <w:noBreakHyphen/>
        <w:t>année parmi les 5</w:t>
      </w:r>
      <w:r w:rsidR="008A08F0" w:rsidRPr="0058432E">
        <w:rPr>
          <w:color w:val="000000" w:themeColor="text1"/>
        </w:rPr>
        <w:t> </w:t>
      </w:r>
      <w:r w:rsidRPr="0058432E">
        <w:rPr>
          <w:color w:val="000000" w:themeColor="text1"/>
        </w:rPr>
        <w:t>291</w:t>
      </w:r>
      <w:r w:rsidR="008A08F0" w:rsidRPr="0058432E">
        <w:rPr>
          <w:color w:val="000000" w:themeColor="text1"/>
        </w:rPr>
        <w:t> </w:t>
      </w:r>
      <w:r w:rsidRPr="0058432E">
        <w:rPr>
          <w:color w:val="000000" w:themeColor="text1"/>
        </w:rPr>
        <w:t>patients traités par adalimumab, a été observé versus un taux de 6,3 (3,4</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11,8) pour 1 000 patient</w:t>
      </w:r>
      <w:r w:rsidR="00E41242" w:rsidRPr="0058432E">
        <w:rPr>
          <w:color w:val="000000" w:themeColor="text1"/>
        </w:rPr>
        <w:t>s</w:t>
      </w:r>
      <w:r w:rsidRPr="0058432E">
        <w:rPr>
          <w:color w:val="000000" w:themeColor="text1"/>
        </w:rPr>
        <w:noBreakHyphen/>
        <w:t xml:space="preserve">année parmi les 3 444 patients du groupe contrôle (la durée moyenne du traitement était de 4,0 mois pour les patients traités par adalimumab et de 3,8 mois pour les patients du groupe contrôle). Le taux (intervalle de confiance à 95 %) de cancers de la peau </w:t>
      </w:r>
      <w:proofErr w:type="gramStart"/>
      <w:r w:rsidRPr="0058432E">
        <w:rPr>
          <w:color w:val="000000" w:themeColor="text1"/>
        </w:rPr>
        <w:t>non mélanomes</w:t>
      </w:r>
      <w:proofErr w:type="gramEnd"/>
      <w:r w:rsidRPr="0058432E">
        <w:rPr>
          <w:color w:val="000000" w:themeColor="text1"/>
        </w:rPr>
        <w:t xml:space="preserve"> était de 8,8 (6,0</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13,0) pour 1 000 patient</w:t>
      </w:r>
      <w:r w:rsidR="00E41242" w:rsidRPr="0058432E">
        <w:rPr>
          <w:color w:val="000000" w:themeColor="text1"/>
        </w:rPr>
        <w:t>s</w:t>
      </w:r>
      <w:r w:rsidRPr="0058432E">
        <w:rPr>
          <w:color w:val="000000" w:themeColor="text1"/>
        </w:rPr>
        <w:noBreakHyphen/>
        <w:t xml:space="preserve">année </w:t>
      </w:r>
      <w:r w:rsidR="00E41242" w:rsidRPr="0058432E">
        <w:rPr>
          <w:color w:val="000000" w:themeColor="text1"/>
        </w:rPr>
        <w:t xml:space="preserve">parmi </w:t>
      </w:r>
      <w:r w:rsidRPr="0058432E">
        <w:rPr>
          <w:color w:val="000000" w:themeColor="text1"/>
        </w:rPr>
        <w:t>les patients traités par adalimumab et de 3,2 (1,3</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7,6) pour 1 000 patient</w:t>
      </w:r>
      <w:r w:rsidR="00E41242" w:rsidRPr="0058432E">
        <w:rPr>
          <w:color w:val="000000" w:themeColor="text1"/>
        </w:rPr>
        <w:t>s</w:t>
      </w:r>
      <w:r w:rsidRPr="0058432E">
        <w:rPr>
          <w:color w:val="000000" w:themeColor="text1"/>
        </w:rPr>
        <w:noBreakHyphen/>
        <w:t xml:space="preserve">année parmi les patients du groupe contrôle. Dans ces cancers de la peau, </w:t>
      </w:r>
      <w:r w:rsidR="00E41242" w:rsidRPr="0058432E">
        <w:rPr>
          <w:color w:val="000000" w:themeColor="text1"/>
        </w:rPr>
        <w:t>d</w:t>
      </w:r>
      <w:r w:rsidRPr="0058432E">
        <w:rPr>
          <w:color w:val="000000" w:themeColor="text1"/>
        </w:rPr>
        <w:t xml:space="preserve">es carcinomes spino-cellulaires sont survenus à des taux </w:t>
      </w:r>
      <w:r w:rsidR="00E41242" w:rsidRPr="0058432E">
        <w:rPr>
          <w:color w:val="000000" w:themeColor="text1"/>
        </w:rPr>
        <w:t xml:space="preserve">(intervalle de confiance à 95 %) </w:t>
      </w:r>
      <w:r w:rsidRPr="0058432E">
        <w:rPr>
          <w:color w:val="000000" w:themeColor="text1"/>
        </w:rPr>
        <w:t>de 2,7 (1,4</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5,4) pour 1 000 patient</w:t>
      </w:r>
      <w:r w:rsidR="00E41242" w:rsidRPr="0058432E">
        <w:rPr>
          <w:color w:val="000000" w:themeColor="text1"/>
        </w:rPr>
        <w:t>s</w:t>
      </w:r>
      <w:r w:rsidRPr="0058432E">
        <w:rPr>
          <w:color w:val="000000" w:themeColor="text1"/>
        </w:rPr>
        <w:noBreakHyphen/>
        <w:t xml:space="preserve">année </w:t>
      </w:r>
      <w:r w:rsidR="00E41242" w:rsidRPr="0058432E">
        <w:rPr>
          <w:color w:val="000000" w:themeColor="text1"/>
        </w:rPr>
        <w:t xml:space="preserve">parmi </w:t>
      </w:r>
      <w:r w:rsidRPr="0058432E">
        <w:rPr>
          <w:color w:val="000000" w:themeColor="text1"/>
        </w:rPr>
        <w:t>les patients traités par adalimumab et 0,6 (0,1</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4,5) pour 1 000 patient</w:t>
      </w:r>
      <w:r w:rsidR="00E41242" w:rsidRPr="0058432E">
        <w:rPr>
          <w:color w:val="000000" w:themeColor="text1"/>
        </w:rPr>
        <w:t>s</w:t>
      </w:r>
      <w:r w:rsidRPr="0058432E">
        <w:rPr>
          <w:color w:val="000000" w:themeColor="text1"/>
        </w:rPr>
        <w:noBreakHyphen/>
        <w:t xml:space="preserve">année </w:t>
      </w:r>
      <w:r w:rsidR="00E41242" w:rsidRPr="0058432E">
        <w:rPr>
          <w:color w:val="000000" w:themeColor="text1"/>
        </w:rPr>
        <w:t xml:space="preserve">parmi </w:t>
      </w:r>
      <w:r w:rsidRPr="0058432E">
        <w:rPr>
          <w:color w:val="000000" w:themeColor="text1"/>
        </w:rPr>
        <w:t>les patients du groupe contrôle. Le taux (intervalle de confiance à 95 %) de lymphomes était de 0,7 (0,2</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2,7) pour 1 000 patient</w:t>
      </w:r>
      <w:r w:rsidR="00E41242" w:rsidRPr="0058432E">
        <w:rPr>
          <w:color w:val="000000" w:themeColor="text1"/>
        </w:rPr>
        <w:t>s</w:t>
      </w:r>
      <w:r w:rsidRPr="0058432E">
        <w:rPr>
          <w:color w:val="000000" w:themeColor="text1"/>
        </w:rPr>
        <w:noBreakHyphen/>
        <w:t xml:space="preserve">année </w:t>
      </w:r>
      <w:r w:rsidR="00E41242" w:rsidRPr="0058432E">
        <w:rPr>
          <w:color w:val="000000" w:themeColor="text1"/>
        </w:rPr>
        <w:t xml:space="preserve">parmi </w:t>
      </w:r>
      <w:r w:rsidRPr="0058432E">
        <w:rPr>
          <w:color w:val="000000" w:themeColor="text1"/>
        </w:rPr>
        <w:t>les patients traités par adalimumab et 0,6 (0,1</w:t>
      </w:r>
      <w:r w:rsidR="008A08F0" w:rsidRPr="0058432E">
        <w:rPr>
          <w:color w:val="000000" w:themeColor="text1"/>
        </w:rPr>
        <w:t> </w:t>
      </w:r>
      <w:r w:rsidRPr="0058432E">
        <w:rPr>
          <w:color w:val="000000" w:themeColor="text1"/>
        </w:rPr>
        <w:t>–</w:t>
      </w:r>
      <w:r w:rsidR="008A08F0" w:rsidRPr="0058432E">
        <w:rPr>
          <w:color w:val="000000" w:themeColor="text1"/>
        </w:rPr>
        <w:t> </w:t>
      </w:r>
      <w:r w:rsidRPr="0058432E">
        <w:rPr>
          <w:color w:val="000000" w:themeColor="text1"/>
        </w:rPr>
        <w:t>4,5) pour 1 000 patient</w:t>
      </w:r>
      <w:r w:rsidR="00E41242" w:rsidRPr="0058432E">
        <w:rPr>
          <w:color w:val="000000" w:themeColor="text1"/>
        </w:rPr>
        <w:t>s</w:t>
      </w:r>
      <w:r w:rsidRPr="0058432E">
        <w:rPr>
          <w:color w:val="000000" w:themeColor="text1"/>
        </w:rPr>
        <w:noBreakHyphen/>
        <w:t xml:space="preserve">année </w:t>
      </w:r>
      <w:r w:rsidR="00E41242" w:rsidRPr="0058432E">
        <w:rPr>
          <w:color w:val="000000" w:themeColor="text1"/>
        </w:rPr>
        <w:t xml:space="preserve">parmi </w:t>
      </w:r>
      <w:r w:rsidRPr="0058432E">
        <w:rPr>
          <w:color w:val="000000" w:themeColor="text1"/>
        </w:rPr>
        <w:t xml:space="preserve">les patients du groupe contrôle. </w:t>
      </w:r>
    </w:p>
    <w:p w14:paraId="44547329" w14:textId="77777777" w:rsidR="00C46587" w:rsidRPr="0058432E" w:rsidRDefault="00C46587" w:rsidP="00982118">
      <w:pPr>
        <w:rPr>
          <w:color w:val="000000" w:themeColor="text1"/>
        </w:rPr>
      </w:pPr>
    </w:p>
    <w:p w14:paraId="76D2C249" w14:textId="77777777" w:rsidR="00C46587" w:rsidRPr="0058432E" w:rsidRDefault="00C46587" w:rsidP="00982118">
      <w:pPr>
        <w:rPr>
          <w:color w:val="000000" w:themeColor="text1"/>
        </w:rPr>
      </w:pPr>
      <w:r w:rsidRPr="0058432E">
        <w:rPr>
          <w:color w:val="000000" w:themeColor="text1"/>
        </w:rPr>
        <w:t xml:space="preserve">En joignant les périodes contrôlées de ces essais et les </w:t>
      </w:r>
      <w:r w:rsidR="00E41242" w:rsidRPr="0058432E">
        <w:rPr>
          <w:color w:val="000000" w:themeColor="text1"/>
        </w:rPr>
        <w:t xml:space="preserve">études </w:t>
      </w:r>
      <w:r w:rsidRPr="0058432E">
        <w:rPr>
          <w:color w:val="000000" w:themeColor="text1"/>
        </w:rPr>
        <w:t>d’extension en ouvert terminé</w:t>
      </w:r>
      <w:r w:rsidR="00E41242" w:rsidRPr="0058432E">
        <w:rPr>
          <w:color w:val="000000" w:themeColor="text1"/>
        </w:rPr>
        <w:t>e</w:t>
      </w:r>
      <w:r w:rsidRPr="0058432E">
        <w:rPr>
          <w:color w:val="000000" w:themeColor="text1"/>
        </w:rPr>
        <w:t>s ou en cours avec une durée moyenne d’environ 3,3 ans incluant 6 427 patients et plus de 26 439 patient</w:t>
      </w:r>
      <w:r w:rsidR="00E41242" w:rsidRPr="0058432E">
        <w:rPr>
          <w:color w:val="000000" w:themeColor="text1"/>
        </w:rPr>
        <w:t>s</w:t>
      </w:r>
      <w:r w:rsidRPr="0058432E">
        <w:rPr>
          <w:color w:val="000000" w:themeColor="text1"/>
        </w:rPr>
        <w:noBreakHyphen/>
        <w:t xml:space="preserve">année de traitement, le taux observé de cancers, autres que lymphomes et cancers de la peau </w:t>
      </w:r>
      <w:proofErr w:type="gramStart"/>
      <w:r w:rsidRPr="0058432E">
        <w:rPr>
          <w:color w:val="000000" w:themeColor="text1"/>
        </w:rPr>
        <w:t>non mélanomes</w:t>
      </w:r>
      <w:proofErr w:type="gramEnd"/>
      <w:r w:rsidRPr="0058432E">
        <w:rPr>
          <w:color w:val="000000" w:themeColor="text1"/>
        </w:rPr>
        <w:t xml:space="preserve"> est d’environ 8,5 pour 1 000 patient</w:t>
      </w:r>
      <w:r w:rsidR="00E41242" w:rsidRPr="0058432E">
        <w:rPr>
          <w:color w:val="000000" w:themeColor="text1"/>
        </w:rPr>
        <w:t>s</w:t>
      </w:r>
      <w:r w:rsidRPr="0058432E">
        <w:rPr>
          <w:color w:val="000000" w:themeColor="text1"/>
        </w:rPr>
        <w:noBreakHyphen/>
        <w:t>année. Le taux observé de cancers de la peau non-mélanomes est d’environ 9,6 pour 1 000 patient</w:t>
      </w:r>
      <w:r w:rsidR="00E41242" w:rsidRPr="0058432E">
        <w:rPr>
          <w:color w:val="000000" w:themeColor="text1"/>
        </w:rPr>
        <w:t>s</w:t>
      </w:r>
      <w:r w:rsidRPr="0058432E">
        <w:rPr>
          <w:color w:val="000000" w:themeColor="text1"/>
        </w:rPr>
        <w:noBreakHyphen/>
        <w:t>année et le taux de lymphomes observés est d’environ 1,3 pour 1 000 patient</w:t>
      </w:r>
      <w:r w:rsidR="00E41242" w:rsidRPr="0058432E">
        <w:rPr>
          <w:color w:val="000000" w:themeColor="text1"/>
        </w:rPr>
        <w:t>s</w:t>
      </w:r>
      <w:r w:rsidRPr="0058432E">
        <w:rPr>
          <w:color w:val="000000" w:themeColor="text1"/>
        </w:rPr>
        <w:noBreakHyphen/>
        <w:t xml:space="preserve">année. </w:t>
      </w:r>
    </w:p>
    <w:p w14:paraId="0E7454EC" w14:textId="77777777" w:rsidR="00C46587" w:rsidRPr="0058432E" w:rsidRDefault="00C46587" w:rsidP="00982118">
      <w:pPr>
        <w:rPr>
          <w:color w:val="000000" w:themeColor="text1"/>
        </w:rPr>
      </w:pPr>
    </w:p>
    <w:p w14:paraId="1FEA9284" w14:textId="6D492B9A" w:rsidR="00C46587" w:rsidRPr="0058432E" w:rsidRDefault="00E41242" w:rsidP="00982118">
      <w:pPr>
        <w:rPr>
          <w:color w:val="000000" w:themeColor="text1"/>
        </w:rPr>
      </w:pPr>
      <w:r w:rsidRPr="0058432E">
        <w:rPr>
          <w:color w:val="000000" w:themeColor="text1"/>
        </w:rPr>
        <w:t>Après la mise sur le marché</w:t>
      </w:r>
      <w:r w:rsidR="00C46587" w:rsidRPr="0058432E">
        <w:rPr>
          <w:color w:val="000000" w:themeColor="text1"/>
        </w:rPr>
        <w:t xml:space="preserve"> de janvier 2003 à décembre 2010, essentiellement chez les patients atteints de polyarthrite rhumatoïde, le taux </w:t>
      </w:r>
      <w:r w:rsidR="00C50EAF" w:rsidRPr="0058432E">
        <w:rPr>
          <w:color w:val="000000" w:themeColor="text1"/>
        </w:rPr>
        <w:t xml:space="preserve">spontanément </w:t>
      </w:r>
      <w:r w:rsidR="00C46587" w:rsidRPr="0058432E">
        <w:rPr>
          <w:color w:val="000000" w:themeColor="text1"/>
        </w:rPr>
        <w:t>rapporté de cancers est approximativement de 2,7 pour 1 000 patient</w:t>
      </w:r>
      <w:r w:rsidRPr="0058432E">
        <w:rPr>
          <w:color w:val="000000" w:themeColor="text1"/>
        </w:rPr>
        <w:t>s</w:t>
      </w:r>
      <w:r w:rsidR="00C46587" w:rsidRPr="0058432E">
        <w:rPr>
          <w:color w:val="000000" w:themeColor="text1"/>
        </w:rPr>
        <w:noBreakHyphen/>
        <w:t>année de traitement. Les taux</w:t>
      </w:r>
      <w:r w:rsidR="00C50EAF" w:rsidRPr="0058432E">
        <w:rPr>
          <w:color w:val="000000" w:themeColor="text1"/>
        </w:rPr>
        <w:t xml:space="preserve"> spontanément</w:t>
      </w:r>
      <w:r w:rsidR="00C46587" w:rsidRPr="0058432E">
        <w:rPr>
          <w:color w:val="000000" w:themeColor="text1"/>
        </w:rPr>
        <w:t xml:space="preserve"> rapportés pour les cancers de la peau non-mélanomes et les lymphomes sont respectivement d’environ 0,2 et 0,3 pour 1 000 patient</w:t>
      </w:r>
      <w:r w:rsidRPr="0058432E">
        <w:rPr>
          <w:color w:val="000000" w:themeColor="text1"/>
        </w:rPr>
        <w:t>s</w:t>
      </w:r>
      <w:r w:rsidR="00C46587" w:rsidRPr="0058432E">
        <w:rPr>
          <w:color w:val="000000" w:themeColor="text1"/>
        </w:rPr>
        <w:t xml:space="preserve">-année de traitement (voir rubrique 4.4). </w:t>
      </w:r>
    </w:p>
    <w:p w14:paraId="05038EF3" w14:textId="77777777" w:rsidR="00C46587" w:rsidRPr="0058432E" w:rsidRDefault="00C46587" w:rsidP="00982118">
      <w:pPr>
        <w:rPr>
          <w:color w:val="000000" w:themeColor="text1"/>
        </w:rPr>
      </w:pPr>
    </w:p>
    <w:p w14:paraId="748FAE35" w14:textId="77777777" w:rsidR="00C46587" w:rsidRPr="0058432E" w:rsidRDefault="00E41242" w:rsidP="00982118">
      <w:pPr>
        <w:rPr>
          <w:color w:val="000000" w:themeColor="text1"/>
        </w:rPr>
      </w:pPr>
      <w:r w:rsidRPr="0058432E">
        <w:rPr>
          <w:color w:val="000000" w:themeColor="text1"/>
        </w:rPr>
        <w:t>Après la mise sur le marché</w:t>
      </w:r>
      <w:r w:rsidR="00C46587" w:rsidRPr="0058432E">
        <w:rPr>
          <w:color w:val="000000" w:themeColor="text1"/>
        </w:rPr>
        <w:t xml:space="preserve">, de rares cas de lymphome hépatosplénique à lymphocytes T ont été rapportés chez des patients traités </w:t>
      </w:r>
      <w:r w:rsidR="008E7545" w:rsidRPr="0058432E">
        <w:rPr>
          <w:color w:val="000000" w:themeColor="text1"/>
        </w:rPr>
        <w:t>par adalimumab</w:t>
      </w:r>
      <w:r w:rsidR="00C46587" w:rsidRPr="0058432E">
        <w:rPr>
          <w:color w:val="000000" w:themeColor="text1"/>
        </w:rPr>
        <w:t xml:space="preserve"> (voir rubrique 4.4). </w:t>
      </w:r>
    </w:p>
    <w:p w14:paraId="471B0E5B" w14:textId="77777777" w:rsidR="00C46587" w:rsidRPr="0058432E" w:rsidRDefault="00C46587" w:rsidP="00982118">
      <w:pPr>
        <w:rPr>
          <w:color w:val="000000" w:themeColor="text1"/>
        </w:rPr>
      </w:pPr>
    </w:p>
    <w:p w14:paraId="7402907F" w14:textId="77777777" w:rsidR="00C46587" w:rsidRPr="0058432E" w:rsidRDefault="00C46587" w:rsidP="00DC3A99">
      <w:pPr>
        <w:keepNext/>
        <w:rPr>
          <w:i/>
          <w:color w:val="000000" w:themeColor="text1"/>
        </w:rPr>
      </w:pPr>
      <w:r w:rsidRPr="0058432E">
        <w:rPr>
          <w:i/>
          <w:color w:val="000000" w:themeColor="text1"/>
        </w:rPr>
        <w:t xml:space="preserve">Auto-anticorps </w:t>
      </w:r>
    </w:p>
    <w:p w14:paraId="216E575E" w14:textId="77777777" w:rsidR="00C46587" w:rsidRPr="0058432E" w:rsidRDefault="00C46587" w:rsidP="00DC3A99">
      <w:pPr>
        <w:keepNext/>
        <w:rPr>
          <w:color w:val="000000" w:themeColor="text1"/>
        </w:rPr>
      </w:pPr>
    </w:p>
    <w:p w14:paraId="211A751C" w14:textId="77777777" w:rsidR="00C46587" w:rsidRPr="0058432E" w:rsidRDefault="00C46587" w:rsidP="00982118">
      <w:pPr>
        <w:rPr>
          <w:color w:val="000000" w:themeColor="text1"/>
        </w:rPr>
      </w:pPr>
      <w:r w:rsidRPr="0058432E">
        <w:rPr>
          <w:color w:val="000000" w:themeColor="text1"/>
        </w:rPr>
        <w:t xml:space="preserve">Des recherches d’auto-anticorps répétées ont été effectuées sur des échantillons de sérum des patients des essais I–V dans la polyarthrite rhumatoïde. Dans ces essais, les titres d’anticorps antinucléaires initialement négatifs étaient positifs à la semaine 24 chez 11,9 % des patients traités par adalimumab et </w:t>
      </w:r>
      <w:r w:rsidRPr="0058432E">
        <w:rPr>
          <w:color w:val="000000" w:themeColor="text1"/>
        </w:rPr>
        <w:lastRenderedPageBreak/>
        <w:t>8,1 % des patients sous placebo et comparateur. Deux patients sur les 3 441 traités par adalimumab dans toutes les études dans la polyarthrite rhumatoïde et le rhumatisme psoriasique ont présenté des signes cliniques évoquant un syndrome pseudo</w:t>
      </w:r>
      <w:r w:rsidRPr="0058432E">
        <w:rPr>
          <w:color w:val="000000" w:themeColor="text1"/>
        </w:rPr>
        <w:noBreakHyphen/>
        <w:t xml:space="preserve">lupique d’apparition nouvelle. L’état des patients s’est amélioré après l’arrêt du traitement. Aucun patient n’a présenté de néphrite lupique ou de symptômes </w:t>
      </w:r>
      <w:r w:rsidR="00E41242" w:rsidRPr="0058432E">
        <w:rPr>
          <w:color w:val="000000" w:themeColor="text1"/>
        </w:rPr>
        <w:t xml:space="preserve">du système </w:t>
      </w:r>
      <w:r w:rsidRPr="0058432E">
        <w:rPr>
          <w:color w:val="000000" w:themeColor="text1"/>
        </w:rPr>
        <w:t>nerveux centra</w:t>
      </w:r>
      <w:r w:rsidR="00E41242" w:rsidRPr="0058432E">
        <w:rPr>
          <w:color w:val="000000" w:themeColor="text1"/>
        </w:rPr>
        <w:t>l</w:t>
      </w:r>
      <w:r w:rsidRPr="0058432E">
        <w:rPr>
          <w:color w:val="000000" w:themeColor="text1"/>
        </w:rPr>
        <w:t xml:space="preserve">. </w:t>
      </w:r>
    </w:p>
    <w:p w14:paraId="0F0B8359" w14:textId="77777777" w:rsidR="00C46587" w:rsidRPr="0058432E" w:rsidRDefault="00C46587" w:rsidP="00982118">
      <w:pPr>
        <w:rPr>
          <w:color w:val="000000" w:themeColor="text1"/>
        </w:rPr>
      </w:pPr>
    </w:p>
    <w:p w14:paraId="47BAAE72" w14:textId="77777777" w:rsidR="00C46587" w:rsidRPr="0058432E" w:rsidRDefault="00BA3C3F" w:rsidP="00982118">
      <w:pPr>
        <w:keepNext/>
        <w:rPr>
          <w:i/>
          <w:color w:val="000000" w:themeColor="text1"/>
        </w:rPr>
      </w:pPr>
      <w:r w:rsidRPr="0058432E">
        <w:rPr>
          <w:i/>
          <w:color w:val="000000" w:themeColor="text1"/>
        </w:rPr>
        <w:t>É</w:t>
      </w:r>
      <w:r w:rsidR="00C46587" w:rsidRPr="0058432E">
        <w:rPr>
          <w:i/>
          <w:color w:val="000000" w:themeColor="text1"/>
        </w:rPr>
        <w:t xml:space="preserve">vénements hépatobiliaires </w:t>
      </w:r>
    </w:p>
    <w:p w14:paraId="5FC31F55" w14:textId="77777777" w:rsidR="00C46587" w:rsidRPr="0058432E" w:rsidRDefault="00C46587" w:rsidP="00982118">
      <w:pPr>
        <w:keepNext/>
        <w:rPr>
          <w:color w:val="000000" w:themeColor="text1"/>
        </w:rPr>
      </w:pPr>
    </w:p>
    <w:p w14:paraId="5B95EA80" w14:textId="77777777" w:rsidR="00C46587" w:rsidRPr="0058432E" w:rsidRDefault="00C46587" w:rsidP="00982118">
      <w:pPr>
        <w:rPr>
          <w:color w:val="000000" w:themeColor="text1"/>
        </w:rPr>
      </w:pPr>
      <w:r w:rsidRPr="0058432E">
        <w:rPr>
          <w:color w:val="000000" w:themeColor="text1"/>
        </w:rPr>
        <w:t xml:space="preserve">Dans les essais contrôlés de phase III </w:t>
      </w:r>
      <w:r w:rsidR="007022A7" w:rsidRPr="0058432E">
        <w:rPr>
          <w:color w:val="000000" w:themeColor="text1"/>
        </w:rPr>
        <w:t>chez les patients de</w:t>
      </w:r>
      <w:r w:rsidRPr="0058432E">
        <w:rPr>
          <w:color w:val="000000" w:themeColor="text1"/>
        </w:rPr>
        <w:t xml:space="preserve"> polyarthrite rhumatoïde et le rhumatisme psoriasique avec une période de contrôle de 4 à 104 semaines, des élévations d’ALAT ≥ 3 x LSN sont survenues chez 3,7 % des patients traités par adalimumab et chez 1,6 % des patients du groupe contrôle. </w:t>
      </w:r>
    </w:p>
    <w:p w14:paraId="21521C8C" w14:textId="77777777" w:rsidR="00C46587" w:rsidRPr="0058432E" w:rsidRDefault="00C46587" w:rsidP="00982118">
      <w:pPr>
        <w:rPr>
          <w:color w:val="000000" w:themeColor="text1"/>
        </w:rPr>
      </w:pPr>
    </w:p>
    <w:p w14:paraId="661DFDD9" w14:textId="77777777" w:rsidR="00C46587" w:rsidRPr="0058432E" w:rsidRDefault="00C46587" w:rsidP="00982118">
      <w:pPr>
        <w:rPr>
          <w:color w:val="000000" w:themeColor="text1"/>
        </w:rPr>
      </w:pPr>
      <w:r w:rsidRPr="0058432E">
        <w:rPr>
          <w:color w:val="000000" w:themeColor="text1"/>
        </w:rPr>
        <w:t xml:space="preserve">Dans les essais contrôlés de phase III de l’adalimumab chez les patients atteints d’arthrite juvénile idiopathique polyarticulaire âgés de 4 à 17 ans et les patients atteints d’arthrite liée à l’enthésite âgés de 6 à 17 ans, des élévations d’ALAT ≥ 3 x LSN sont survenues chez 6,1 % des patients traités par adalimumab et chez 1,3 % des patients du groupe contrôle. La plupart des élévations d’ALAT sont survenues dans le cadre d’une utilisation concomitante de méthotrexate. Aucune élévation d’ALAT ≥ 3 x LSN n’est survenue au cours de l’essai de phase III de l’adalimumab chez des patients atteints d’arthrite juvénile idiopathique polyarticulaire âgés de 2 à &lt; 4 ans. </w:t>
      </w:r>
    </w:p>
    <w:p w14:paraId="27A0699E" w14:textId="77777777" w:rsidR="00C46587" w:rsidRPr="0058432E" w:rsidRDefault="00C46587" w:rsidP="00982118">
      <w:pPr>
        <w:rPr>
          <w:color w:val="000000" w:themeColor="text1"/>
        </w:rPr>
      </w:pPr>
    </w:p>
    <w:p w14:paraId="50008892" w14:textId="77777777" w:rsidR="00C46587" w:rsidRPr="0058432E" w:rsidRDefault="00C46587" w:rsidP="00982118">
      <w:pPr>
        <w:rPr>
          <w:color w:val="000000" w:themeColor="text1"/>
        </w:rPr>
      </w:pPr>
      <w:r w:rsidRPr="0058432E">
        <w:rPr>
          <w:color w:val="000000" w:themeColor="text1"/>
        </w:rPr>
        <w:t xml:space="preserve">Dans les essais contrôlés de phase III d’adalimumab chez les patients atteints de maladie de Crohn et de rectocolite hémorragique avec une période de contrôle de 4 à 52 semaines, des élévations d’ALAT ≥ 3 x LSN sont survenues chez 0,9 % des patients traités par adalimumab et chez 0,9 % des patients du groupe contrôle. </w:t>
      </w:r>
    </w:p>
    <w:p w14:paraId="3F842F64" w14:textId="77777777" w:rsidR="00C46587" w:rsidRPr="0058432E" w:rsidRDefault="00C46587" w:rsidP="00982118">
      <w:pPr>
        <w:rPr>
          <w:color w:val="000000" w:themeColor="text1"/>
        </w:rPr>
      </w:pPr>
    </w:p>
    <w:p w14:paraId="4D1AEDD0" w14:textId="77777777" w:rsidR="00C46587" w:rsidRPr="0058432E" w:rsidRDefault="00C46587" w:rsidP="00982118">
      <w:pPr>
        <w:rPr>
          <w:color w:val="000000" w:themeColor="text1"/>
        </w:rPr>
      </w:pPr>
      <w:r w:rsidRPr="0058432E">
        <w:rPr>
          <w:color w:val="000000" w:themeColor="text1"/>
        </w:rPr>
        <w:t xml:space="preserve">Dans l’essai de phase III de l’adalimumab chez les enfants et adolescents atteints de maladie de Crohn qui a évalué l’efficacité et le profil de </w:t>
      </w:r>
      <w:r w:rsidR="007022A7" w:rsidRPr="0058432E">
        <w:rPr>
          <w:color w:val="000000" w:themeColor="text1"/>
        </w:rPr>
        <w:t xml:space="preserve">tolérance </w:t>
      </w:r>
      <w:r w:rsidRPr="0058432E">
        <w:rPr>
          <w:color w:val="000000" w:themeColor="text1"/>
        </w:rPr>
        <w:t xml:space="preserve">de deux schémas posologiques d’entretien en fonction du poids </w:t>
      </w:r>
      <w:r w:rsidR="007022A7" w:rsidRPr="0058432E">
        <w:rPr>
          <w:color w:val="000000" w:themeColor="text1"/>
        </w:rPr>
        <w:t xml:space="preserve">corporel </w:t>
      </w:r>
      <w:r w:rsidRPr="0058432E">
        <w:rPr>
          <w:color w:val="000000" w:themeColor="text1"/>
        </w:rPr>
        <w:t xml:space="preserve">après un traitement d’induction ajusté au poids </w:t>
      </w:r>
      <w:r w:rsidR="007022A7" w:rsidRPr="0058432E">
        <w:rPr>
          <w:color w:val="000000" w:themeColor="text1"/>
        </w:rPr>
        <w:t xml:space="preserve">corporel </w:t>
      </w:r>
      <w:r w:rsidRPr="0058432E">
        <w:rPr>
          <w:color w:val="000000" w:themeColor="text1"/>
        </w:rPr>
        <w:t xml:space="preserve">jusqu’à 52 semaines de traitement, des élévations d’ALAT ≥ 3 x LSN sont survenues chez 2,6 % des patients (5/192), parmi lesquels 4 étaient traités en association avec des immunosuppresseurs </w:t>
      </w:r>
      <w:r w:rsidR="007022A7" w:rsidRPr="0058432E">
        <w:rPr>
          <w:color w:val="000000" w:themeColor="text1"/>
        </w:rPr>
        <w:t>à l’inclusion</w:t>
      </w:r>
      <w:r w:rsidRPr="0058432E">
        <w:rPr>
          <w:color w:val="000000" w:themeColor="text1"/>
        </w:rPr>
        <w:t xml:space="preserve">. </w:t>
      </w:r>
    </w:p>
    <w:p w14:paraId="1D222047" w14:textId="77777777" w:rsidR="00C46587" w:rsidRPr="0058432E" w:rsidRDefault="00C46587" w:rsidP="00982118">
      <w:pPr>
        <w:rPr>
          <w:color w:val="000000" w:themeColor="text1"/>
        </w:rPr>
      </w:pPr>
    </w:p>
    <w:p w14:paraId="413D03DB" w14:textId="77777777" w:rsidR="00C46587" w:rsidRPr="0058432E" w:rsidRDefault="00C46587" w:rsidP="00982118">
      <w:pPr>
        <w:rPr>
          <w:color w:val="000000" w:themeColor="text1"/>
        </w:rPr>
      </w:pPr>
      <w:r w:rsidRPr="0058432E">
        <w:rPr>
          <w:color w:val="000000" w:themeColor="text1"/>
        </w:rPr>
        <w:t xml:space="preserve">Dans les essais contrôlés de phase III dans le psoriasis en plaques avec une période de contrôle de 12 à 24 semaines, des élévations d’ALAT ≥ 3 x LSN sont survenues chez 1,8 % des patients traités par adalimumab et chez 1,8 % des patients du groupe contrôle. </w:t>
      </w:r>
    </w:p>
    <w:p w14:paraId="5CC9CE03" w14:textId="77777777" w:rsidR="00C46587" w:rsidRPr="0058432E" w:rsidRDefault="00C46587" w:rsidP="00982118">
      <w:pPr>
        <w:rPr>
          <w:color w:val="000000" w:themeColor="text1"/>
        </w:rPr>
      </w:pPr>
    </w:p>
    <w:p w14:paraId="44F120AE" w14:textId="77777777" w:rsidR="00C46587" w:rsidRPr="0058432E" w:rsidRDefault="00C46587" w:rsidP="00982118">
      <w:pPr>
        <w:rPr>
          <w:color w:val="000000" w:themeColor="text1"/>
        </w:rPr>
      </w:pPr>
      <w:r w:rsidRPr="0058432E">
        <w:rPr>
          <w:color w:val="000000" w:themeColor="text1"/>
        </w:rPr>
        <w:t xml:space="preserve">Il n’a pas été observé d’élévations de l’ALAT ≥ 3 x LSN dans </w:t>
      </w:r>
      <w:r w:rsidR="007022A7" w:rsidRPr="0058432E">
        <w:rPr>
          <w:color w:val="000000" w:themeColor="text1"/>
        </w:rPr>
        <w:t xml:space="preserve">l’essai </w:t>
      </w:r>
      <w:r w:rsidRPr="0058432E">
        <w:rPr>
          <w:color w:val="000000" w:themeColor="text1"/>
        </w:rPr>
        <w:t xml:space="preserve">de phase III d’adalimumab chez des patients pédiatriques atteints de psoriasis en plaques. </w:t>
      </w:r>
    </w:p>
    <w:p w14:paraId="717F9A03" w14:textId="77777777" w:rsidR="00C46587" w:rsidRPr="0058432E" w:rsidRDefault="00C46587" w:rsidP="00982118">
      <w:pPr>
        <w:rPr>
          <w:color w:val="000000" w:themeColor="text1"/>
        </w:rPr>
      </w:pPr>
    </w:p>
    <w:p w14:paraId="47444705" w14:textId="77777777" w:rsidR="00C46587" w:rsidRPr="0058432E" w:rsidRDefault="00C46587" w:rsidP="00982118">
      <w:pPr>
        <w:rPr>
          <w:color w:val="000000" w:themeColor="text1"/>
        </w:rPr>
      </w:pPr>
      <w:r w:rsidRPr="0058432E">
        <w:rPr>
          <w:color w:val="000000" w:themeColor="text1"/>
        </w:rPr>
        <w:t xml:space="preserve">Dans les essais cliniques contrôlés de l’adalimumab (doses initiales de 160 mg à la </w:t>
      </w:r>
      <w:r w:rsidR="0032337B" w:rsidRPr="0058432E">
        <w:rPr>
          <w:color w:val="000000" w:themeColor="text1"/>
        </w:rPr>
        <w:t>s</w:t>
      </w:r>
      <w:r w:rsidRPr="0058432E">
        <w:rPr>
          <w:color w:val="000000" w:themeColor="text1"/>
        </w:rPr>
        <w:t>emaine</w:t>
      </w:r>
      <w:r w:rsidR="0032337B" w:rsidRPr="0058432E">
        <w:rPr>
          <w:color w:val="000000" w:themeColor="text1"/>
        </w:rPr>
        <w:t> </w:t>
      </w:r>
      <w:r w:rsidRPr="0058432E">
        <w:rPr>
          <w:color w:val="000000" w:themeColor="text1"/>
        </w:rPr>
        <w:t xml:space="preserve">0 et 80 mg à la </w:t>
      </w:r>
      <w:r w:rsidR="0032337B" w:rsidRPr="0058432E">
        <w:rPr>
          <w:color w:val="000000" w:themeColor="text1"/>
        </w:rPr>
        <w:t>s</w:t>
      </w:r>
      <w:r w:rsidRPr="0058432E">
        <w:rPr>
          <w:color w:val="000000" w:themeColor="text1"/>
        </w:rPr>
        <w:t>emaine</w:t>
      </w:r>
      <w:r w:rsidR="0032337B" w:rsidRPr="0058432E">
        <w:rPr>
          <w:color w:val="000000" w:themeColor="text1"/>
        </w:rPr>
        <w:t> </w:t>
      </w:r>
      <w:r w:rsidRPr="0058432E">
        <w:rPr>
          <w:color w:val="000000" w:themeColor="text1"/>
        </w:rPr>
        <w:t xml:space="preserve">2 suivies de 40 mg chaque semaine à partir de la semaine 4), chez les patients atteints d’hidrosadénite suppurée avec une période de contrôle de 12 à 16 semaines, des élévations d’ALAT ≥ 3 x LSN sont survenues chez 0,3 % des patients traités par adalimumab et 0,6 % des patients du groupe contrôle. </w:t>
      </w:r>
    </w:p>
    <w:p w14:paraId="2165743E" w14:textId="77777777" w:rsidR="00C46587" w:rsidRPr="0058432E" w:rsidRDefault="00C46587" w:rsidP="00982118">
      <w:pPr>
        <w:rPr>
          <w:color w:val="000000" w:themeColor="text1"/>
        </w:rPr>
      </w:pPr>
    </w:p>
    <w:p w14:paraId="4C2937CE" w14:textId="77777777" w:rsidR="00C46587" w:rsidRPr="0058432E" w:rsidRDefault="00C46587" w:rsidP="00982118">
      <w:pPr>
        <w:rPr>
          <w:color w:val="000000" w:themeColor="text1"/>
        </w:rPr>
      </w:pPr>
      <w:r w:rsidRPr="0058432E">
        <w:rPr>
          <w:color w:val="000000" w:themeColor="text1"/>
        </w:rPr>
        <w:t xml:space="preserve">Dans les essais contrôlés de l’adalimumab (dose initiale de 80 mg à la semaine 0 suivie de 40 mg toutes les deux semaines à partir de la semaine 1) chez les patients adultes atteints d’uvéite pour une durée allant jusqu’à 80 semaines, avec une durée médiane d’exposition de respectivement 166,5 jours et 105,0 jours pour les patients traités par adalimumab et les patients du groupe contrôle, des élévations d’ALAT ≥ 3 x LSN sont survenues chez 2,4 % des patients traités par adalimumab et 2,4 % des patients du groupe contrôle. </w:t>
      </w:r>
    </w:p>
    <w:p w14:paraId="644EA609" w14:textId="77777777" w:rsidR="00C46587" w:rsidRPr="0058432E" w:rsidRDefault="00C46587" w:rsidP="00982118">
      <w:pPr>
        <w:rPr>
          <w:color w:val="000000" w:themeColor="text1"/>
        </w:rPr>
      </w:pPr>
    </w:p>
    <w:p w14:paraId="38449D0F" w14:textId="77777777" w:rsidR="001237B9" w:rsidRPr="0058432E" w:rsidRDefault="001237B9" w:rsidP="001237B9">
      <w:pPr>
        <w:rPr>
          <w:color w:val="000000" w:themeColor="text1"/>
        </w:rPr>
      </w:pPr>
      <w:r w:rsidRPr="0058432E">
        <w:rPr>
          <w:color w:val="000000" w:themeColor="text1"/>
        </w:rPr>
        <w:t xml:space="preserve">Dans l’essai clinique contrôlé de phase III de l’adalimumab mené chez des patients atteints de rectocolite hémorragique pédiatrique (N = 93) qui a évalué l’efficacité et la sécurité d’une dose d’entretien de 0,6 mg/kg (dose maximale de 40 mg) administrée une semaine sur deux (N = 31) et d’une dose d’entretien de 0,6 mg/kg (dose maximale de 40 mg) administrée chaque semaine (N = 32), à la suite d’une dose d’induction ajustée en fonction du poids corporel de 2,4 mg/kg (dose maximale </w:t>
      </w:r>
      <w:r w:rsidRPr="0058432E">
        <w:rPr>
          <w:color w:val="000000" w:themeColor="text1"/>
        </w:rPr>
        <w:lastRenderedPageBreak/>
        <w:t>de 160 mg) à la semaine 0 et à la semaine 1, et de 1,2 mg/kg (dose maximale de 80 mg) à la semaine 2 (N = 63), ou d’une dose d’induction de 2,4 mg/kg (dose maximale de 160 mg) à la semaine 0, d’un placebo à la semaine 1, et d’une dose de 1,2 mg/kg (dose maximale de 80 mg) à la semaine 2 (N = 30), des élévations de l’ALAT ≥ 3 x LSN sont survenues chez 1,1 % (1/93) des patients.</w:t>
      </w:r>
    </w:p>
    <w:p w14:paraId="3B4A109B" w14:textId="77777777" w:rsidR="00671B82" w:rsidRPr="0058432E" w:rsidRDefault="00671B82" w:rsidP="00982118">
      <w:pPr>
        <w:rPr>
          <w:color w:val="000000" w:themeColor="text1"/>
        </w:rPr>
      </w:pPr>
    </w:p>
    <w:p w14:paraId="236BE114" w14:textId="77777777" w:rsidR="00C46587" w:rsidRPr="0058432E" w:rsidRDefault="00C46587" w:rsidP="00982118">
      <w:pPr>
        <w:rPr>
          <w:color w:val="000000" w:themeColor="text1"/>
        </w:rPr>
      </w:pPr>
      <w:r w:rsidRPr="0058432E">
        <w:rPr>
          <w:color w:val="000000" w:themeColor="text1"/>
        </w:rPr>
        <w:t xml:space="preserve">Dans les essais, toutes indications confondues, les patients avec ALAT augmentées étaient asymptomatiques et dans la plupart des cas les élévations étaient transitoires et réversibles lors de la poursuite du traitement. Cependant, </w:t>
      </w:r>
      <w:r w:rsidR="007022A7" w:rsidRPr="0058432E">
        <w:rPr>
          <w:color w:val="000000" w:themeColor="text1"/>
        </w:rPr>
        <w:t>après la mise sur le marché</w:t>
      </w:r>
      <w:r w:rsidRPr="0058432E">
        <w:rPr>
          <w:color w:val="000000" w:themeColor="text1"/>
        </w:rPr>
        <w:t xml:space="preserve">, des insuffisances hépatiques ainsi que des </w:t>
      </w:r>
      <w:r w:rsidR="007022A7" w:rsidRPr="0058432E">
        <w:rPr>
          <w:color w:val="000000" w:themeColor="text1"/>
        </w:rPr>
        <w:t xml:space="preserve">affections </w:t>
      </w:r>
      <w:r w:rsidRPr="0058432E">
        <w:rPr>
          <w:color w:val="000000" w:themeColor="text1"/>
        </w:rPr>
        <w:t xml:space="preserve">hépatiques moins sévères, qui peuvent précéder une insuffisance hépatique, tels que des hépatites y compris des hépatites auto-immunes, ont été rapportées chez des patients recevant de l’adalimumab. </w:t>
      </w:r>
    </w:p>
    <w:p w14:paraId="7CA67CC7" w14:textId="77777777" w:rsidR="00C46587" w:rsidRPr="0058432E" w:rsidRDefault="00C46587" w:rsidP="00982118">
      <w:pPr>
        <w:rPr>
          <w:color w:val="000000" w:themeColor="text1"/>
        </w:rPr>
      </w:pPr>
    </w:p>
    <w:p w14:paraId="1A0DC732" w14:textId="77777777" w:rsidR="00C46587" w:rsidRPr="0058432E" w:rsidRDefault="00C46587" w:rsidP="00DC3A99">
      <w:pPr>
        <w:keepNext/>
        <w:rPr>
          <w:color w:val="000000" w:themeColor="text1"/>
          <w:u w:val="single"/>
        </w:rPr>
      </w:pPr>
      <w:r w:rsidRPr="0058432E">
        <w:rPr>
          <w:color w:val="000000" w:themeColor="text1"/>
          <w:u w:val="single"/>
        </w:rPr>
        <w:t>Administration concomitante d’azathioprine/6</w:t>
      </w:r>
      <w:r w:rsidRPr="0058432E">
        <w:rPr>
          <w:color w:val="000000" w:themeColor="text1"/>
          <w:u w:val="single"/>
        </w:rPr>
        <w:noBreakHyphen/>
        <w:t>mercaptopurine</w:t>
      </w:r>
    </w:p>
    <w:p w14:paraId="1D9F8808" w14:textId="77777777" w:rsidR="00C46587" w:rsidRPr="0058432E" w:rsidRDefault="00C46587" w:rsidP="00DC3A99">
      <w:pPr>
        <w:keepNext/>
        <w:rPr>
          <w:color w:val="000000" w:themeColor="text1"/>
        </w:rPr>
      </w:pPr>
    </w:p>
    <w:p w14:paraId="0C325D99" w14:textId="77777777" w:rsidR="00C46587" w:rsidRPr="0058432E" w:rsidRDefault="00C46587" w:rsidP="00982118">
      <w:pPr>
        <w:rPr>
          <w:color w:val="000000" w:themeColor="text1"/>
        </w:rPr>
      </w:pPr>
      <w:r w:rsidRPr="0058432E">
        <w:rPr>
          <w:color w:val="000000" w:themeColor="text1"/>
        </w:rPr>
        <w:t xml:space="preserve">Lors d’études dans la maladie de Crohn chez l’adulte, une incidence plus élevée </w:t>
      </w:r>
      <w:r w:rsidR="007022A7" w:rsidRPr="0058432E">
        <w:rPr>
          <w:color w:val="000000" w:themeColor="text1"/>
        </w:rPr>
        <w:t xml:space="preserve">d’événements indésirables tumoraux et liés à des </w:t>
      </w:r>
      <w:r w:rsidRPr="0058432E">
        <w:rPr>
          <w:color w:val="000000" w:themeColor="text1"/>
        </w:rPr>
        <w:t>infections graves a été observée avec l’association adalimumab et azathioprine/6</w:t>
      </w:r>
      <w:r w:rsidRPr="0058432E">
        <w:rPr>
          <w:color w:val="000000" w:themeColor="text1"/>
        </w:rPr>
        <w:noBreakHyphen/>
        <w:t xml:space="preserve">mercaptopurine comparativement à l’adalimumab utilisé seul. </w:t>
      </w:r>
    </w:p>
    <w:p w14:paraId="033D5D06" w14:textId="77777777" w:rsidR="00C46587" w:rsidRPr="0058432E" w:rsidRDefault="00C46587" w:rsidP="00982118">
      <w:pPr>
        <w:rPr>
          <w:color w:val="000000" w:themeColor="text1"/>
        </w:rPr>
      </w:pPr>
    </w:p>
    <w:p w14:paraId="6426699F" w14:textId="77777777" w:rsidR="00C46587" w:rsidRPr="0058432E" w:rsidRDefault="00C46587" w:rsidP="00982118">
      <w:pPr>
        <w:keepNext/>
        <w:rPr>
          <w:color w:val="000000" w:themeColor="text1"/>
          <w:u w:val="single"/>
        </w:rPr>
      </w:pPr>
      <w:r w:rsidRPr="0058432E">
        <w:rPr>
          <w:color w:val="000000" w:themeColor="text1"/>
          <w:u w:val="single"/>
        </w:rPr>
        <w:t>Déclaration des effets indésirables suspectés</w:t>
      </w:r>
    </w:p>
    <w:p w14:paraId="30AEECAE" w14:textId="77777777" w:rsidR="00C46587" w:rsidRPr="0058432E" w:rsidRDefault="00C46587" w:rsidP="00982118">
      <w:pPr>
        <w:keepNext/>
        <w:rPr>
          <w:color w:val="000000" w:themeColor="text1"/>
        </w:rPr>
      </w:pPr>
    </w:p>
    <w:p w14:paraId="41BA999D" w14:textId="79F2C67D" w:rsidR="00C46587" w:rsidRPr="0058432E" w:rsidRDefault="00C46587" w:rsidP="00982118">
      <w:pPr>
        <w:rPr>
          <w:color w:val="000000" w:themeColor="text1"/>
        </w:rPr>
      </w:pPr>
      <w:r w:rsidRPr="0058432E">
        <w:rPr>
          <w:color w:val="000000" w:themeColor="text1"/>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58432E">
        <w:rPr>
          <w:color w:val="000000" w:themeColor="text1"/>
          <w:highlight w:val="lightGray"/>
        </w:rPr>
        <w:t>le système national de déclaration</w:t>
      </w:r>
      <w:r w:rsidRPr="0058432E">
        <w:rPr>
          <w:color w:val="000000" w:themeColor="text1"/>
        </w:rPr>
        <w:t xml:space="preserve"> – </w:t>
      </w:r>
      <w:r w:rsidRPr="0058432E">
        <w:rPr>
          <w:rStyle w:val="Hyperlink"/>
          <w:color w:val="000000" w:themeColor="text1"/>
          <w:highlight w:val="lightGray"/>
        </w:rPr>
        <w:t xml:space="preserve">voir </w:t>
      </w:r>
      <w:hyperlink r:id="rId18" w:history="1">
        <w:r w:rsidRPr="0058432E">
          <w:rPr>
            <w:rStyle w:val="Hyperlink"/>
            <w:highlight w:val="lightGray"/>
          </w:rPr>
          <w:t>Annexe V</w:t>
        </w:r>
      </w:hyperlink>
      <w:r w:rsidRPr="0058432E">
        <w:rPr>
          <w:color w:val="000000" w:themeColor="text1"/>
        </w:rPr>
        <w:t xml:space="preserve">. </w:t>
      </w:r>
    </w:p>
    <w:p w14:paraId="2EA40409" w14:textId="77777777" w:rsidR="00C46587" w:rsidRPr="0058432E" w:rsidRDefault="00C46587" w:rsidP="00982118">
      <w:pPr>
        <w:rPr>
          <w:color w:val="000000" w:themeColor="text1"/>
        </w:rPr>
      </w:pPr>
    </w:p>
    <w:p w14:paraId="653BAB9A" w14:textId="77777777" w:rsidR="00C46587" w:rsidRPr="0058432E" w:rsidRDefault="00C46587" w:rsidP="00DC3A99">
      <w:pPr>
        <w:keepNext/>
        <w:tabs>
          <w:tab w:val="left" w:pos="562"/>
        </w:tabs>
        <w:rPr>
          <w:b/>
          <w:color w:val="000000" w:themeColor="text1"/>
        </w:rPr>
      </w:pPr>
      <w:r w:rsidRPr="0058432E">
        <w:rPr>
          <w:b/>
          <w:color w:val="000000" w:themeColor="text1"/>
        </w:rPr>
        <w:t>4.9</w:t>
      </w:r>
      <w:r w:rsidRPr="0058432E">
        <w:rPr>
          <w:b/>
          <w:color w:val="000000" w:themeColor="text1"/>
        </w:rPr>
        <w:tab/>
        <w:t xml:space="preserve">Surdosage </w:t>
      </w:r>
    </w:p>
    <w:p w14:paraId="3D332716" w14:textId="77777777" w:rsidR="00C46587" w:rsidRPr="0058432E" w:rsidRDefault="00C46587" w:rsidP="00DC3A99">
      <w:pPr>
        <w:keepNext/>
        <w:rPr>
          <w:color w:val="000000" w:themeColor="text1"/>
        </w:rPr>
      </w:pPr>
    </w:p>
    <w:p w14:paraId="6E6F3F4C" w14:textId="77777777" w:rsidR="00C46587" w:rsidRPr="0058432E" w:rsidRDefault="00C46587" w:rsidP="00982118">
      <w:pPr>
        <w:rPr>
          <w:color w:val="000000" w:themeColor="text1"/>
        </w:rPr>
      </w:pPr>
      <w:r w:rsidRPr="0058432E">
        <w:rPr>
          <w:color w:val="000000" w:themeColor="text1"/>
        </w:rPr>
        <w:t xml:space="preserve">Aucune toxicité </w:t>
      </w:r>
      <w:r w:rsidR="007022A7" w:rsidRPr="0058432E">
        <w:rPr>
          <w:color w:val="000000" w:themeColor="text1"/>
        </w:rPr>
        <w:t>limitant</w:t>
      </w:r>
      <w:r w:rsidRPr="0058432E">
        <w:rPr>
          <w:color w:val="000000" w:themeColor="text1"/>
        </w:rPr>
        <w:t xml:space="preserve"> la dose n’a été observée dans les essais cliniques. La plus forte dose évaluée était constituée de doses </w:t>
      </w:r>
      <w:r w:rsidR="007022A7" w:rsidRPr="0058432E">
        <w:rPr>
          <w:color w:val="000000" w:themeColor="text1"/>
        </w:rPr>
        <w:t xml:space="preserve">intraveineuses </w:t>
      </w:r>
      <w:r w:rsidRPr="0058432E">
        <w:rPr>
          <w:color w:val="000000" w:themeColor="text1"/>
        </w:rPr>
        <w:t xml:space="preserve">répétées de 10 mg/kg, ce qui représente </w:t>
      </w:r>
      <w:r w:rsidR="007022A7" w:rsidRPr="0058432E">
        <w:rPr>
          <w:color w:val="000000" w:themeColor="text1"/>
        </w:rPr>
        <w:t xml:space="preserve">environ </w:t>
      </w:r>
      <w:r w:rsidRPr="0058432E">
        <w:rPr>
          <w:color w:val="000000" w:themeColor="text1"/>
        </w:rPr>
        <w:t xml:space="preserve">15 fois la dose recommandée. </w:t>
      </w:r>
    </w:p>
    <w:p w14:paraId="3CDC2B50" w14:textId="77777777" w:rsidR="00C46587" w:rsidRPr="0058432E" w:rsidRDefault="00C46587" w:rsidP="00982118">
      <w:pPr>
        <w:rPr>
          <w:color w:val="000000" w:themeColor="text1"/>
        </w:rPr>
      </w:pPr>
    </w:p>
    <w:p w14:paraId="65767AB2" w14:textId="77777777" w:rsidR="00C46587" w:rsidRPr="0058432E" w:rsidRDefault="00C46587" w:rsidP="00982118">
      <w:pPr>
        <w:rPr>
          <w:color w:val="000000" w:themeColor="text1"/>
        </w:rPr>
      </w:pPr>
    </w:p>
    <w:p w14:paraId="0D4DE851" w14:textId="77777777" w:rsidR="00C46587" w:rsidRPr="0058432E" w:rsidRDefault="00C46587" w:rsidP="00DC3A99">
      <w:pPr>
        <w:keepNext/>
        <w:tabs>
          <w:tab w:val="left" w:pos="562"/>
        </w:tabs>
        <w:rPr>
          <w:b/>
          <w:color w:val="000000" w:themeColor="text1"/>
        </w:rPr>
      </w:pPr>
      <w:bookmarkStart w:id="5" w:name="_Hlk22718259"/>
      <w:r w:rsidRPr="0058432E">
        <w:rPr>
          <w:b/>
          <w:color w:val="000000" w:themeColor="text1"/>
        </w:rPr>
        <w:t>5.</w:t>
      </w:r>
      <w:r w:rsidRPr="0058432E">
        <w:rPr>
          <w:b/>
          <w:color w:val="000000" w:themeColor="text1"/>
        </w:rPr>
        <w:tab/>
        <w:t xml:space="preserve">PROPRIÉTÉS PHARMACOLOGIQUES </w:t>
      </w:r>
    </w:p>
    <w:p w14:paraId="00D62340" w14:textId="77777777" w:rsidR="00C46587" w:rsidRPr="0058432E" w:rsidRDefault="00C46587" w:rsidP="00DC3A99">
      <w:pPr>
        <w:keepNext/>
        <w:rPr>
          <w:color w:val="000000" w:themeColor="text1"/>
        </w:rPr>
      </w:pPr>
    </w:p>
    <w:p w14:paraId="32130E17" w14:textId="77777777" w:rsidR="00C46587" w:rsidRPr="0058432E" w:rsidRDefault="00C46587" w:rsidP="00DC3A99">
      <w:pPr>
        <w:keepNext/>
        <w:tabs>
          <w:tab w:val="left" w:pos="562"/>
        </w:tabs>
        <w:rPr>
          <w:b/>
          <w:color w:val="000000" w:themeColor="text1"/>
        </w:rPr>
      </w:pPr>
      <w:r w:rsidRPr="0058432E">
        <w:rPr>
          <w:b/>
          <w:color w:val="000000" w:themeColor="text1"/>
        </w:rPr>
        <w:t>5.1</w:t>
      </w:r>
      <w:r w:rsidRPr="0058432E">
        <w:rPr>
          <w:b/>
          <w:color w:val="000000" w:themeColor="text1"/>
        </w:rPr>
        <w:tab/>
        <w:t xml:space="preserve">Propriétés pharmacodynamiques </w:t>
      </w:r>
    </w:p>
    <w:p w14:paraId="201058E8" w14:textId="77777777" w:rsidR="00C46587" w:rsidRPr="0058432E" w:rsidRDefault="00C46587" w:rsidP="00982118">
      <w:pPr>
        <w:rPr>
          <w:color w:val="000000" w:themeColor="text1"/>
        </w:rPr>
      </w:pPr>
      <w:r w:rsidRPr="0058432E">
        <w:rPr>
          <w:color w:val="000000" w:themeColor="text1"/>
        </w:rPr>
        <w:br/>
        <w:t>Classe pharmacothérapeutique : Immunosuppresseurs, inhibiteurs du facteur de nécrose tumorale alpha (TNF-α). Code ATC : L04AB04 </w:t>
      </w:r>
    </w:p>
    <w:p w14:paraId="2E2F8560" w14:textId="77777777" w:rsidR="009A6F3F" w:rsidRPr="0058432E" w:rsidRDefault="009A6F3F" w:rsidP="00982118">
      <w:pPr>
        <w:rPr>
          <w:color w:val="000000" w:themeColor="text1"/>
        </w:rPr>
      </w:pPr>
    </w:p>
    <w:p w14:paraId="701C81D6" w14:textId="71B59441" w:rsidR="00C46587" w:rsidRPr="0058432E" w:rsidRDefault="006A1144" w:rsidP="00982118">
      <w:pPr>
        <w:rPr>
          <w:color w:val="000000" w:themeColor="text1"/>
        </w:rPr>
      </w:pPr>
      <w:r w:rsidRPr="0058432E">
        <w:rPr>
          <w:color w:val="000000" w:themeColor="text1"/>
        </w:rPr>
        <w:t xml:space="preserve">Amsparity est un médicament biosimilaire. Des informations détaillées sont disponibles sur le site internet de l’Agence européenne des médicaments </w:t>
      </w:r>
      <w:hyperlink r:id="rId19" w:history="1">
        <w:r w:rsidR="00B223FD" w:rsidRPr="0058432E">
          <w:rPr>
            <w:rStyle w:val="Hyperlink"/>
          </w:rPr>
          <w:t>https://www.ema.europa.eu</w:t>
        </w:r>
      </w:hyperlink>
      <w:r w:rsidRPr="0058432E">
        <w:rPr>
          <w:color w:val="000000" w:themeColor="text1"/>
        </w:rPr>
        <w:t>.</w:t>
      </w:r>
    </w:p>
    <w:p w14:paraId="10ADDBA7" w14:textId="77777777" w:rsidR="009A6F3F" w:rsidRPr="0058432E" w:rsidRDefault="009A6F3F" w:rsidP="00982118">
      <w:pPr>
        <w:rPr>
          <w:color w:val="000000" w:themeColor="text1"/>
        </w:rPr>
      </w:pPr>
    </w:p>
    <w:p w14:paraId="78D05CEC" w14:textId="77777777" w:rsidR="00C46587" w:rsidRPr="0058432E" w:rsidRDefault="00D337DC" w:rsidP="00DC3A99">
      <w:pPr>
        <w:keepNext/>
        <w:rPr>
          <w:color w:val="000000" w:themeColor="text1"/>
          <w:u w:val="single"/>
        </w:rPr>
      </w:pPr>
      <w:r w:rsidRPr="0058432E">
        <w:rPr>
          <w:color w:val="000000" w:themeColor="text1"/>
          <w:u w:val="single"/>
        </w:rPr>
        <w:t>Mécanisme d’action</w:t>
      </w:r>
    </w:p>
    <w:p w14:paraId="6C89BFF8" w14:textId="77777777" w:rsidR="00C46587" w:rsidRPr="0058432E" w:rsidRDefault="00C46587" w:rsidP="00DC3A99">
      <w:pPr>
        <w:keepNext/>
        <w:rPr>
          <w:color w:val="000000" w:themeColor="text1"/>
        </w:rPr>
      </w:pPr>
    </w:p>
    <w:p w14:paraId="7B967F35" w14:textId="77777777" w:rsidR="00C46587" w:rsidRPr="0058432E" w:rsidRDefault="00C46587" w:rsidP="00982118">
      <w:pPr>
        <w:rPr>
          <w:color w:val="000000" w:themeColor="text1"/>
        </w:rPr>
      </w:pPr>
      <w:r w:rsidRPr="0058432E">
        <w:rPr>
          <w:color w:val="000000" w:themeColor="text1"/>
        </w:rPr>
        <w:t xml:space="preserve">L’adalimumab se lie spécifiquement au TNF dont il neutralise la fonction biologique en bloquant son interaction avec les récepteurs du TNF p55 et p75 situés à la surface cellulaire. </w:t>
      </w:r>
    </w:p>
    <w:p w14:paraId="579B06AB" w14:textId="77777777" w:rsidR="00C46587" w:rsidRPr="0058432E" w:rsidRDefault="00C46587" w:rsidP="00982118">
      <w:pPr>
        <w:rPr>
          <w:color w:val="000000" w:themeColor="text1"/>
        </w:rPr>
      </w:pPr>
    </w:p>
    <w:p w14:paraId="715BB60B" w14:textId="77777777" w:rsidR="00C46587" w:rsidRPr="0058432E" w:rsidRDefault="00C46587" w:rsidP="00982118">
      <w:pPr>
        <w:rPr>
          <w:color w:val="000000" w:themeColor="text1"/>
        </w:rPr>
      </w:pPr>
      <w:r w:rsidRPr="0058432E">
        <w:rPr>
          <w:color w:val="000000" w:themeColor="text1"/>
        </w:rPr>
        <w:t>L’adalimumab module aussi les réponses biologiques induites ou régulées par le TNF, y compris les variations des taux des molécules d’adhésion responsables de la migration des leucocytes (ELAM</w:t>
      </w:r>
      <w:r w:rsidRPr="0058432E">
        <w:rPr>
          <w:color w:val="000000" w:themeColor="text1"/>
        </w:rPr>
        <w:noBreakHyphen/>
        <w:t>1, VCAM</w:t>
      </w:r>
      <w:r w:rsidRPr="0058432E">
        <w:rPr>
          <w:color w:val="000000" w:themeColor="text1"/>
        </w:rPr>
        <w:noBreakHyphen/>
        <w:t>1, et ICAM</w:t>
      </w:r>
      <w:r w:rsidRPr="0058432E">
        <w:rPr>
          <w:color w:val="000000" w:themeColor="text1"/>
        </w:rPr>
        <w:noBreakHyphen/>
        <w:t>1 avec une CI</w:t>
      </w:r>
      <w:r w:rsidRPr="0058432E">
        <w:rPr>
          <w:color w:val="000000" w:themeColor="text1"/>
          <w:vertAlign w:val="subscript"/>
        </w:rPr>
        <w:t>50</w:t>
      </w:r>
      <w:r w:rsidRPr="0058432E">
        <w:rPr>
          <w:color w:val="000000" w:themeColor="text1"/>
        </w:rPr>
        <w:t xml:space="preserve"> de 0,1</w:t>
      </w:r>
      <w:r w:rsidRPr="0058432E">
        <w:rPr>
          <w:color w:val="000000" w:themeColor="text1"/>
        </w:rPr>
        <w:noBreakHyphen/>
        <w:t xml:space="preserve">0,2 nM). </w:t>
      </w:r>
    </w:p>
    <w:p w14:paraId="6663C1B9" w14:textId="77777777" w:rsidR="00C46587" w:rsidRPr="0058432E" w:rsidRDefault="00C46587" w:rsidP="00982118">
      <w:pPr>
        <w:rPr>
          <w:color w:val="000000" w:themeColor="text1"/>
        </w:rPr>
      </w:pPr>
    </w:p>
    <w:p w14:paraId="1C0BCE9F" w14:textId="77777777" w:rsidR="00C46587" w:rsidRPr="0058432E" w:rsidRDefault="00D337DC" w:rsidP="00DC3A99">
      <w:pPr>
        <w:keepNext/>
        <w:rPr>
          <w:color w:val="000000" w:themeColor="text1"/>
          <w:u w:val="single"/>
        </w:rPr>
      </w:pPr>
      <w:r w:rsidRPr="0058432E">
        <w:rPr>
          <w:color w:val="000000" w:themeColor="text1"/>
          <w:u w:val="single"/>
        </w:rPr>
        <w:t>Effets pharmacodynamiques</w:t>
      </w:r>
    </w:p>
    <w:p w14:paraId="0C025945" w14:textId="77777777" w:rsidR="00C46587" w:rsidRPr="0058432E" w:rsidRDefault="00C46587" w:rsidP="00DC3A99">
      <w:pPr>
        <w:keepNext/>
        <w:rPr>
          <w:color w:val="000000" w:themeColor="text1"/>
        </w:rPr>
      </w:pPr>
    </w:p>
    <w:p w14:paraId="512765AF" w14:textId="77777777" w:rsidR="00C46587" w:rsidRPr="0058432E" w:rsidRDefault="00C46587" w:rsidP="00982118">
      <w:pPr>
        <w:rPr>
          <w:color w:val="000000" w:themeColor="text1"/>
        </w:rPr>
      </w:pPr>
      <w:r w:rsidRPr="0058432E">
        <w:rPr>
          <w:color w:val="000000" w:themeColor="text1"/>
        </w:rPr>
        <w:t xml:space="preserve">Après traitement par adalimumab chez des patients atteints de polyarthrite rhumatoïde, on a observé une diminution rapide du taux des </w:t>
      </w:r>
      <w:r w:rsidR="00C86A04" w:rsidRPr="0058432E">
        <w:rPr>
          <w:color w:val="000000" w:themeColor="text1"/>
        </w:rPr>
        <w:t xml:space="preserve">réactifs </w:t>
      </w:r>
      <w:r w:rsidRPr="0058432E">
        <w:rPr>
          <w:color w:val="000000" w:themeColor="text1"/>
        </w:rPr>
        <w:t>de la phase aiguë de l’inflammation (protéine réactive C (CRP)</w:t>
      </w:r>
      <w:r w:rsidR="00C86A04" w:rsidRPr="0058432E">
        <w:rPr>
          <w:color w:val="000000" w:themeColor="text1"/>
        </w:rPr>
        <w:t xml:space="preserve"> et</w:t>
      </w:r>
      <w:r w:rsidRPr="0058432E">
        <w:rPr>
          <w:color w:val="000000" w:themeColor="text1"/>
        </w:rPr>
        <w:t xml:space="preserve"> vitesse de sédimentation </w:t>
      </w:r>
      <w:r w:rsidR="00C86A04" w:rsidRPr="0058432E">
        <w:rPr>
          <w:color w:val="000000" w:themeColor="text1"/>
        </w:rPr>
        <w:t xml:space="preserve">des érythrocytes </w:t>
      </w:r>
      <w:r w:rsidRPr="0058432E">
        <w:rPr>
          <w:color w:val="000000" w:themeColor="text1"/>
        </w:rPr>
        <w:t>[VS</w:t>
      </w:r>
      <w:r w:rsidR="00C86A04" w:rsidRPr="0058432E">
        <w:rPr>
          <w:color w:val="000000" w:themeColor="text1"/>
        </w:rPr>
        <w:t>E</w:t>
      </w:r>
      <w:r w:rsidRPr="0058432E">
        <w:rPr>
          <w:color w:val="000000" w:themeColor="text1"/>
        </w:rPr>
        <w:t>]) et des cytokines sériques [IL</w:t>
      </w:r>
      <w:r w:rsidRPr="0058432E">
        <w:rPr>
          <w:color w:val="000000" w:themeColor="text1"/>
        </w:rPr>
        <w:noBreakHyphen/>
        <w:t>6] par rapport aux valeurs initialement observées. L’administration d’adalimumab est également associée à une diminution des taux sériques des métalloprotéinases matricielles (MMP</w:t>
      </w:r>
      <w:r w:rsidRPr="0058432E">
        <w:rPr>
          <w:color w:val="000000" w:themeColor="text1"/>
        </w:rPr>
        <w:noBreakHyphen/>
        <w:t>1 et MMP</w:t>
      </w:r>
      <w:r w:rsidRPr="0058432E">
        <w:rPr>
          <w:color w:val="000000" w:themeColor="text1"/>
        </w:rPr>
        <w:noBreakHyphen/>
        <w:t xml:space="preserve">3) qui permettent le </w:t>
      </w:r>
      <w:r w:rsidRPr="0058432E">
        <w:rPr>
          <w:color w:val="000000" w:themeColor="text1"/>
        </w:rPr>
        <w:lastRenderedPageBreak/>
        <w:t xml:space="preserve">remodelage tissulaire responsable de la destruction cartilagineuse. Les patients traités par adalimumab présentent généralement une amélioration des signes hématologiques de l’inflammation chronique. </w:t>
      </w:r>
    </w:p>
    <w:p w14:paraId="6F74DE90" w14:textId="77777777" w:rsidR="00C46587" w:rsidRPr="0058432E" w:rsidRDefault="00C46587" w:rsidP="00982118">
      <w:pPr>
        <w:rPr>
          <w:color w:val="000000" w:themeColor="text1"/>
        </w:rPr>
      </w:pPr>
    </w:p>
    <w:p w14:paraId="718B1B0B" w14:textId="77777777" w:rsidR="00C46587" w:rsidRPr="0058432E" w:rsidRDefault="00C46587" w:rsidP="00982118">
      <w:pPr>
        <w:rPr>
          <w:color w:val="000000" w:themeColor="text1"/>
        </w:rPr>
      </w:pPr>
      <w:r w:rsidRPr="0058432E">
        <w:rPr>
          <w:color w:val="000000" w:themeColor="text1"/>
        </w:rPr>
        <w:t>Une diminution rapide du taux de CRP a également été observée chez les patients atteints d’arthrite juvénile idiopathique polyarticulaire, de la maladie de Crohn, de rectocolite hémorragique et d’hidrosadénite suppurée après traitement par adalimumab. Chez les patients atteints de la maladie de Crohn, une réduction du nombre de cellules exprimant les marqueurs de l’inflammation dans le c</w:t>
      </w:r>
      <w:r w:rsidR="00E359A3" w:rsidRPr="0058432E">
        <w:rPr>
          <w:color w:val="000000" w:themeColor="text1"/>
        </w:rPr>
        <w:t>ô</w:t>
      </w:r>
      <w:r w:rsidRPr="0058432E">
        <w:rPr>
          <w:color w:val="000000" w:themeColor="text1"/>
        </w:rPr>
        <w:t xml:space="preserve">lon y compris une réduction significative de l’expression du TNFα a été observée. Des études endoscopiques sur la muqueuse intestinale ont mis en évidence une cicatrisation de la muqueuse chez les patients traités par adalimumab. </w:t>
      </w:r>
    </w:p>
    <w:p w14:paraId="00996205" w14:textId="77777777" w:rsidR="00C46587" w:rsidRPr="0058432E" w:rsidRDefault="00C46587" w:rsidP="00982118">
      <w:pPr>
        <w:rPr>
          <w:color w:val="000000" w:themeColor="text1"/>
        </w:rPr>
      </w:pPr>
    </w:p>
    <w:p w14:paraId="17521862" w14:textId="77777777" w:rsidR="00C46587" w:rsidRPr="0058432E" w:rsidRDefault="00150D33" w:rsidP="00DC3A99">
      <w:pPr>
        <w:keepNext/>
        <w:rPr>
          <w:color w:val="000000" w:themeColor="text1"/>
          <w:u w:val="single"/>
        </w:rPr>
      </w:pPr>
      <w:r w:rsidRPr="0058432E">
        <w:rPr>
          <w:color w:val="000000" w:themeColor="text1"/>
          <w:u w:val="single"/>
        </w:rPr>
        <w:t>Efficacité et sécurité cliniques</w:t>
      </w:r>
    </w:p>
    <w:p w14:paraId="437E34C7" w14:textId="77777777" w:rsidR="00C46587" w:rsidRPr="0058432E" w:rsidRDefault="00C46587" w:rsidP="00DC3A99">
      <w:pPr>
        <w:keepNext/>
        <w:rPr>
          <w:color w:val="000000" w:themeColor="text1"/>
        </w:rPr>
      </w:pPr>
    </w:p>
    <w:p w14:paraId="5BBB9F14" w14:textId="77777777" w:rsidR="00C46587" w:rsidRPr="0058432E" w:rsidRDefault="00C46587" w:rsidP="00DC3A99">
      <w:pPr>
        <w:keepNext/>
        <w:rPr>
          <w:i/>
          <w:color w:val="000000" w:themeColor="text1"/>
        </w:rPr>
      </w:pPr>
      <w:r w:rsidRPr="0058432E">
        <w:rPr>
          <w:i/>
          <w:color w:val="000000" w:themeColor="text1"/>
        </w:rPr>
        <w:t xml:space="preserve">Polyarthrite rhumatoïde </w:t>
      </w:r>
    </w:p>
    <w:p w14:paraId="47D2B043" w14:textId="77777777" w:rsidR="00C46587" w:rsidRPr="0058432E" w:rsidRDefault="00C46587" w:rsidP="00DC3A99">
      <w:pPr>
        <w:keepNext/>
        <w:rPr>
          <w:color w:val="000000" w:themeColor="text1"/>
        </w:rPr>
      </w:pPr>
    </w:p>
    <w:p w14:paraId="78C0C6B0" w14:textId="77777777" w:rsidR="00C46587" w:rsidRPr="0058432E" w:rsidRDefault="005A4709" w:rsidP="00982118">
      <w:pPr>
        <w:rPr>
          <w:color w:val="000000" w:themeColor="text1"/>
        </w:rPr>
      </w:pPr>
      <w:r w:rsidRPr="0058432E">
        <w:rPr>
          <w:color w:val="000000" w:themeColor="text1"/>
        </w:rPr>
        <w:t xml:space="preserve">L’adalimumab a fait l’objet d’études chez plus de 3 000 patients dans l’ensemble des essais cliniques dans la polyarthrite rhumatoïde. L’efficacité et le profil de </w:t>
      </w:r>
      <w:r w:rsidR="006B1768" w:rsidRPr="0058432E">
        <w:rPr>
          <w:color w:val="000000" w:themeColor="text1"/>
        </w:rPr>
        <w:t xml:space="preserve">tolérance </w:t>
      </w:r>
      <w:r w:rsidRPr="0058432E">
        <w:rPr>
          <w:color w:val="000000" w:themeColor="text1"/>
        </w:rPr>
        <w:t xml:space="preserve">de l’adalimumab ont été évalués dans cinq études contrôlées randomisées, en double aveugle. Certains patients ont été traités pendant 120 mois. </w:t>
      </w:r>
    </w:p>
    <w:p w14:paraId="169351AA" w14:textId="77777777" w:rsidR="00C46587" w:rsidRPr="0058432E" w:rsidRDefault="00C46587" w:rsidP="00982118">
      <w:pPr>
        <w:rPr>
          <w:color w:val="000000" w:themeColor="text1"/>
        </w:rPr>
      </w:pPr>
    </w:p>
    <w:p w14:paraId="2CB0A6D3" w14:textId="77777777" w:rsidR="00C46587" w:rsidRPr="0058432E" w:rsidRDefault="00C46587" w:rsidP="00982118">
      <w:pPr>
        <w:rPr>
          <w:color w:val="000000" w:themeColor="text1"/>
        </w:rPr>
      </w:pPr>
      <w:r w:rsidRPr="0058432E">
        <w:rPr>
          <w:color w:val="000000" w:themeColor="text1"/>
        </w:rPr>
        <w:t xml:space="preserve">L’étude I sur </w:t>
      </w:r>
      <w:proofErr w:type="gramStart"/>
      <w:r w:rsidRPr="0058432E">
        <w:rPr>
          <w:color w:val="000000" w:themeColor="text1"/>
        </w:rPr>
        <w:t>la PR</w:t>
      </w:r>
      <w:proofErr w:type="gramEnd"/>
      <w:r w:rsidRPr="0058432E">
        <w:rPr>
          <w:color w:val="000000" w:themeColor="text1"/>
        </w:rPr>
        <w:t xml:space="preserve"> a porté sur 271 patients atteints de polyarthrite rhumatoïde </w:t>
      </w:r>
      <w:r w:rsidR="007B1DF4"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Pr="0058432E">
        <w:rPr>
          <w:color w:val="000000" w:themeColor="text1"/>
        </w:rPr>
        <w:t xml:space="preserve"> avait échoué et chez qui le méthotrexate à la posologie de 12,5 à 25 mg/semaine (10 mg en cas d’intolérance au méthotrexate), s’était avéré insuffisamment efficace alors que la dose de méthotrexate était restée constante de 10 à 25 mg par semaine. Ces patients ont reçu 20, 40 ou 80 mg d’adalimumab ou un placebo toutes les deux semaines pendant 24 semaines. </w:t>
      </w:r>
    </w:p>
    <w:p w14:paraId="0FFCABBF" w14:textId="77777777" w:rsidR="00C46587" w:rsidRPr="0058432E" w:rsidRDefault="00C46587" w:rsidP="00982118">
      <w:pPr>
        <w:rPr>
          <w:color w:val="000000" w:themeColor="text1"/>
        </w:rPr>
      </w:pPr>
    </w:p>
    <w:p w14:paraId="6B556F9D" w14:textId="77777777" w:rsidR="00C46587" w:rsidRPr="0058432E" w:rsidRDefault="00C46587" w:rsidP="00982118">
      <w:pPr>
        <w:rPr>
          <w:color w:val="000000" w:themeColor="text1"/>
        </w:rPr>
      </w:pPr>
      <w:r w:rsidRPr="0058432E">
        <w:rPr>
          <w:color w:val="000000" w:themeColor="text1"/>
        </w:rPr>
        <w:t xml:space="preserve">L’étude II sur </w:t>
      </w:r>
      <w:proofErr w:type="gramStart"/>
      <w:r w:rsidRPr="0058432E">
        <w:rPr>
          <w:color w:val="000000" w:themeColor="text1"/>
        </w:rPr>
        <w:t>la PR</w:t>
      </w:r>
      <w:proofErr w:type="gramEnd"/>
      <w:r w:rsidRPr="0058432E">
        <w:rPr>
          <w:color w:val="000000" w:themeColor="text1"/>
        </w:rPr>
        <w:t xml:space="preserve"> a évalué 544 patients atteints de polyarthrite rhumatoïde </w:t>
      </w:r>
      <w:r w:rsidR="00FE50EF" w:rsidRPr="0058432E">
        <w:rPr>
          <w:color w:val="000000" w:themeColor="text1"/>
        </w:rPr>
        <w:t>active modérée à sévère</w:t>
      </w:r>
      <w:r w:rsidRPr="0058432E">
        <w:rPr>
          <w:color w:val="000000" w:themeColor="text1"/>
        </w:rPr>
        <w:t xml:space="preserve">, âgés de 18 ans et plus et chez qui le traitement par au moins un </w:t>
      </w:r>
      <w:r w:rsidR="00FE50EF" w:rsidRPr="0058432E">
        <w:rPr>
          <w:color w:val="000000" w:themeColor="text1"/>
        </w:rPr>
        <w:t>DMARD</w:t>
      </w:r>
      <w:r w:rsidRPr="0058432E">
        <w:rPr>
          <w:color w:val="000000" w:themeColor="text1"/>
        </w:rPr>
        <w:t xml:space="preserve"> avait échoué. Les patients ont été traités par 20 ou 40 mg d’adalimumab par voie sous-cutanée toutes les deux semaines en alternance avec un placebo, ou chaque semaine pendant 26</w:t>
      </w:r>
      <w:r w:rsidR="004C1D7E" w:rsidRPr="0058432E">
        <w:rPr>
          <w:color w:val="000000" w:themeColor="text1"/>
        </w:rPr>
        <w:t> </w:t>
      </w:r>
      <w:r w:rsidRPr="0058432E">
        <w:rPr>
          <w:color w:val="000000" w:themeColor="text1"/>
        </w:rPr>
        <w:t xml:space="preserve">semaines ; un placebo a été administré toutes les semaines pendant la même durée. Aucun autre </w:t>
      </w:r>
      <w:r w:rsidR="007B1DF4" w:rsidRPr="0058432E">
        <w:rPr>
          <w:color w:val="000000" w:themeColor="text1"/>
        </w:rPr>
        <w:t>DMARD</w:t>
      </w:r>
      <w:r w:rsidRPr="0058432E">
        <w:rPr>
          <w:color w:val="000000" w:themeColor="text1"/>
        </w:rPr>
        <w:t xml:space="preserve"> n’était autorisé. </w:t>
      </w:r>
    </w:p>
    <w:p w14:paraId="47A7C0D6" w14:textId="77777777" w:rsidR="00C46587" w:rsidRPr="0058432E" w:rsidRDefault="00C46587" w:rsidP="00982118">
      <w:pPr>
        <w:rPr>
          <w:color w:val="000000" w:themeColor="text1"/>
        </w:rPr>
      </w:pPr>
    </w:p>
    <w:p w14:paraId="099DB3AD" w14:textId="77777777" w:rsidR="00C46587" w:rsidRPr="0058432E" w:rsidRDefault="00C46587" w:rsidP="00982118">
      <w:pPr>
        <w:rPr>
          <w:color w:val="000000" w:themeColor="text1"/>
        </w:rPr>
      </w:pPr>
      <w:r w:rsidRPr="0058432E">
        <w:rPr>
          <w:color w:val="000000" w:themeColor="text1"/>
        </w:rPr>
        <w:t xml:space="preserve">L’étude III sur </w:t>
      </w:r>
      <w:proofErr w:type="gramStart"/>
      <w:r w:rsidRPr="0058432E">
        <w:rPr>
          <w:color w:val="000000" w:themeColor="text1"/>
        </w:rPr>
        <w:t>la PR</w:t>
      </w:r>
      <w:proofErr w:type="gramEnd"/>
      <w:r w:rsidRPr="0058432E">
        <w:rPr>
          <w:color w:val="000000" w:themeColor="text1"/>
        </w:rPr>
        <w:t xml:space="preserve"> a évalué 619 patients atteints de polyarthrite rhumatoïde </w:t>
      </w:r>
      <w:r w:rsidR="007B1DF4" w:rsidRPr="0058432E">
        <w:rPr>
          <w:color w:val="000000" w:themeColor="text1"/>
        </w:rPr>
        <w:t>active modérée à sévère</w:t>
      </w:r>
      <w:r w:rsidRPr="0058432E">
        <w:rPr>
          <w:color w:val="000000" w:themeColor="text1"/>
        </w:rPr>
        <w:t>, âgés de 18 ans et plus qui n’avaient pas présenté de réponse au méthotrexate aux doses de 12,5 à 25 mg ou qui ne toléraient pas une dose de 10 mg de méthotrexate une fois par semaine. L’étude a comporté trois groupes : le premier a reçu des injections hebdomadaires de placebo pendant 52 semaines, le deuxième a reçu 20 mg d’adalimumab toutes les semaines pendant 52</w:t>
      </w:r>
      <w:r w:rsidR="004C1D7E" w:rsidRPr="0058432E">
        <w:rPr>
          <w:color w:val="000000" w:themeColor="text1"/>
        </w:rPr>
        <w:t> </w:t>
      </w:r>
      <w:r w:rsidRPr="0058432E">
        <w:rPr>
          <w:color w:val="000000" w:themeColor="text1"/>
        </w:rPr>
        <w:t xml:space="preserve">semaines et le troisième a été traité par 40 mg d’adalimumab toutes les deux semaines en alternance avec le placebo. Après la fin de la première période de 52 semaines, 457 patients ont été inclus dans une phase d’extension en ouvert au cours de laquelle l’adalimumab a été administré à la dose de 40 mg toutes les deux semaines en association au méthotrexate pendant 10 ans. </w:t>
      </w:r>
    </w:p>
    <w:p w14:paraId="0202B6D6" w14:textId="77777777" w:rsidR="00C46587" w:rsidRPr="0058432E" w:rsidRDefault="00C46587" w:rsidP="00982118">
      <w:pPr>
        <w:rPr>
          <w:color w:val="000000" w:themeColor="text1"/>
        </w:rPr>
      </w:pPr>
    </w:p>
    <w:p w14:paraId="3D2CF20E" w14:textId="77777777" w:rsidR="00C46587" w:rsidRPr="0058432E" w:rsidRDefault="00C46587" w:rsidP="00982118">
      <w:pPr>
        <w:rPr>
          <w:color w:val="000000" w:themeColor="text1"/>
        </w:rPr>
      </w:pPr>
      <w:r w:rsidRPr="0058432E">
        <w:rPr>
          <w:color w:val="000000" w:themeColor="text1"/>
        </w:rPr>
        <w:t xml:space="preserve">L’étude IV sur </w:t>
      </w:r>
      <w:proofErr w:type="gramStart"/>
      <w:r w:rsidRPr="0058432E">
        <w:rPr>
          <w:color w:val="000000" w:themeColor="text1"/>
        </w:rPr>
        <w:t>la PR</w:t>
      </w:r>
      <w:proofErr w:type="gramEnd"/>
      <w:r w:rsidRPr="0058432E">
        <w:rPr>
          <w:color w:val="000000" w:themeColor="text1"/>
        </w:rPr>
        <w:t xml:space="preserve"> a évalué principalement la </w:t>
      </w:r>
      <w:r w:rsidR="00354DBF" w:rsidRPr="0058432E">
        <w:rPr>
          <w:color w:val="000000" w:themeColor="text1"/>
        </w:rPr>
        <w:t>tolérance</w:t>
      </w:r>
      <w:r w:rsidR="008A6605" w:rsidRPr="0058432E">
        <w:rPr>
          <w:color w:val="000000" w:themeColor="text1"/>
        </w:rPr>
        <w:t xml:space="preserve"> </w:t>
      </w:r>
      <w:r w:rsidRPr="0058432E">
        <w:rPr>
          <w:color w:val="000000" w:themeColor="text1"/>
        </w:rPr>
        <w:t xml:space="preserve">chez 636 patients atteints de polyarthrite rhumatoïde </w:t>
      </w:r>
      <w:r w:rsidR="007B1DF4" w:rsidRPr="0058432E">
        <w:rPr>
          <w:color w:val="000000" w:themeColor="text1"/>
        </w:rPr>
        <w:t>active modérée à sévère</w:t>
      </w:r>
      <w:r w:rsidRPr="0058432E">
        <w:rPr>
          <w:color w:val="000000" w:themeColor="text1"/>
        </w:rPr>
        <w:t xml:space="preserve"> et âgés de 18 ans et plus. Les patients pouvaient n’avoir jamais reçu </w:t>
      </w:r>
      <w:r w:rsidR="007B1DF4" w:rsidRPr="0058432E">
        <w:rPr>
          <w:color w:val="000000" w:themeColor="text1"/>
        </w:rPr>
        <w:t xml:space="preserve">de DMARD </w:t>
      </w:r>
      <w:r w:rsidRPr="0058432E">
        <w:rPr>
          <w:color w:val="000000" w:themeColor="text1"/>
        </w:rPr>
        <w:t xml:space="preserve">ou pouvaient poursuivre leur traitement rhumatologique préexistant pourvu que ce dernier soit stable depuis au moins 28 jours. Ces traitements comprenaient le méthotrexate, le léflunomide, l’hydroxychloroquine, la sulfasalazine et/ou les sels d’or. Les patients après randomisation ont reçu soit 40 mg d’adalimumab soit un placebo toutes les deux semaines pendant 24 semaines. </w:t>
      </w:r>
    </w:p>
    <w:p w14:paraId="004ED36A" w14:textId="77777777" w:rsidR="00C46587" w:rsidRPr="0058432E" w:rsidRDefault="00C46587" w:rsidP="00982118">
      <w:pPr>
        <w:rPr>
          <w:color w:val="000000" w:themeColor="text1"/>
        </w:rPr>
      </w:pPr>
    </w:p>
    <w:p w14:paraId="6B114932" w14:textId="77777777" w:rsidR="00C46587" w:rsidRPr="0058432E" w:rsidRDefault="00C46587" w:rsidP="00982118">
      <w:pPr>
        <w:rPr>
          <w:color w:val="000000" w:themeColor="text1"/>
        </w:rPr>
      </w:pPr>
      <w:r w:rsidRPr="0058432E">
        <w:rPr>
          <w:color w:val="000000" w:themeColor="text1"/>
        </w:rPr>
        <w:t xml:space="preserve">L’étude V sur </w:t>
      </w:r>
      <w:proofErr w:type="gramStart"/>
      <w:r w:rsidRPr="0058432E">
        <w:rPr>
          <w:color w:val="000000" w:themeColor="text1"/>
        </w:rPr>
        <w:t>la PR</w:t>
      </w:r>
      <w:proofErr w:type="gramEnd"/>
      <w:r w:rsidRPr="0058432E">
        <w:rPr>
          <w:color w:val="000000" w:themeColor="text1"/>
        </w:rPr>
        <w:t xml:space="preserve"> a évalué 799 patients adultes naïfs de méthotrexate ayant une polyarthrite rhumatoïde </w:t>
      </w:r>
      <w:r w:rsidR="007B1DF4" w:rsidRPr="0058432E">
        <w:rPr>
          <w:color w:val="000000" w:themeColor="text1"/>
        </w:rPr>
        <w:t>active modérée à sévère</w:t>
      </w:r>
      <w:r w:rsidRPr="0058432E">
        <w:rPr>
          <w:color w:val="000000" w:themeColor="text1"/>
        </w:rPr>
        <w:t xml:space="preserve">, récente (durée moyenne de la maladie inférieure à 9 mois). Cette étude a évalué l’efficacité de l’association adalimumab à la dose de 40 mg toutes les deux semaines/méthotrexate, adalimumab </w:t>
      </w:r>
      <w:r w:rsidR="006B1768" w:rsidRPr="0058432E">
        <w:rPr>
          <w:color w:val="000000" w:themeColor="text1"/>
        </w:rPr>
        <w:t xml:space="preserve">à la dose de </w:t>
      </w:r>
      <w:r w:rsidRPr="0058432E">
        <w:rPr>
          <w:color w:val="000000" w:themeColor="text1"/>
        </w:rPr>
        <w:t xml:space="preserve">40 mg toutes les deux semaines en monothérapie et une monothérapie de méthotrexate </w:t>
      </w:r>
      <w:r w:rsidR="006B1768" w:rsidRPr="0058432E">
        <w:rPr>
          <w:color w:val="000000" w:themeColor="text1"/>
        </w:rPr>
        <w:t xml:space="preserve">pour réduire </w:t>
      </w:r>
      <w:r w:rsidRPr="0058432E">
        <w:rPr>
          <w:color w:val="000000" w:themeColor="text1"/>
        </w:rPr>
        <w:t xml:space="preserve">les signes et symptômes et le taux de progression des dommages </w:t>
      </w:r>
      <w:r w:rsidR="006B1768" w:rsidRPr="0058432E">
        <w:rPr>
          <w:color w:val="000000" w:themeColor="text1"/>
        </w:rPr>
        <w:t xml:space="preserve">articulaires </w:t>
      </w:r>
      <w:r w:rsidRPr="0058432E">
        <w:rPr>
          <w:color w:val="000000" w:themeColor="text1"/>
        </w:rPr>
        <w:t xml:space="preserve">dans la polyarthrite rhumatoïde, pendant 104 semaines. Après la fin de la </w:t>
      </w:r>
      <w:r w:rsidRPr="0058432E">
        <w:rPr>
          <w:color w:val="000000" w:themeColor="text1"/>
        </w:rPr>
        <w:lastRenderedPageBreak/>
        <w:t xml:space="preserve">première période de 104 semaines, 497 patients ont été inclus dans une phase d’extension en ouvert au cours de laquelle l’adalimumab a été administré à la dose de 40 mg toutes les deux semaines jusqu’à 10 ans. </w:t>
      </w:r>
    </w:p>
    <w:p w14:paraId="1131EC25" w14:textId="77777777" w:rsidR="00C46587" w:rsidRPr="0058432E" w:rsidRDefault="00C46587" w:rsidP="00982118">
      <w:pPr>
        <w:rPr>
          <w:color w:val="000000" w:themeColor="text1"/>
        </w:rPr>
      </w:pPr>
    </w:p>
    <w:p w14:paraId="433CF55F" w14:textId="77777777" w:rsidR="00C46587" w:rsidRPr="0058432E" w:rsidRDefault="00C46587" w:rsidP="00982118">
      <w:pPr>
        <w:rPr>
          <w:color w:val="000000" w:themeColor="text1"/>
        </w:rPr>
      </w:pPr>
      <w:r w:rsidRPr="0058432E">
        <w:rPr>
          <w:color w:val="000000" w:themeColor="text1"/>
        </w:rPr>
        <w:t xml:space="preserve">Le </w:t>
      </w:r>
      <w:r w:rsidR="00C85E12" w:rsidRPr="0058432E">
        <w:rPr>
          <w:color w:val="000000" w:themeColor="text1"/>
        </w:rPr>
        <w:t>critère d’évaluation</w:t>
      </w:r>
      <w:r w:rsidR="006B1768" w:rsidRPr="0058432E">
        <w:rPr>
          <w:color w:val="000000" w:themeColor="text1"/>
        </w:rPr>
        <w:t xml:space="preserve"> </w:t>
      </w:r>
      <w:r w:rsidRPr="0058432E">
        <w:rPr>
          <w:color w:val="000000" w:themeColor="text1"/>
        </w:rPr>
        <w:t xml:space="preserve">principal des études I, II et III sur </w:t>
      </w:r>
      <w:proofErr w:type="gramStart"/>
      <w:r w:rsidRPr="0058432E">
        <w:rPr>
          <w:color w:val="000000" w:themeColor="text1"/>
        </w:rPr>
        <w:t>la PR</w:t>
      </w:r>
      <w:proofErr w:type="gramEnd"/>
      <w:r w:rsidRPr="0058432E">
        <w:rPr>
          <w:color w:val="000000" w:themeColor="text1"/>
        </w:rPr>
        <w:t xml:space="preserve"> et le </w:t>
      </w:r>
      <w:r w:rsidR="00C85E12" w:rsidRPr="0058432E">
        <w:rPr>
          <w:color w:val="000000" w:themeColor="text1"/>
        </w:rPr>
        <w:t>critère d’évaluation</w:t>
      </w:r>
      <w:r w:rsidR="006B1768" w:rsidRPr="0058432E">
        <w:rPr>
          <w:color w:val="000000" w:themeColor="text1"/>
        </w:rPr>
        <w:t xml:space="preserve"> </w:t>
      </w:r>
      <w:r w:rsidRPr="0058432E">
        <w:rPr>
          <w:color w:val="000000" w:themeColor="text1"/>
        </w:rPr>
        <w:t xml:space="preserve">secondaire de l’étude IV sur </w:t>
      </w:r>
      <w:proofErr w:type="gramStart"/>
      <w:r w:rsidRPr="0058432E">
        <w:rPr>
          <w:color w:val="000000" w:themeColor="text1"/>
        </w:rPr>
        <w:t>la PR</w:t>
      </w:r>
      <w:proofErr w:type="gramEnd"/>
      <w:r w:rsidRPr="0058432E">
        <w:rPr>
          <w:color w:val="000000" w:themeColor="text1"/>
        </w:rPr>
        <w:t xml:space="preserve"> étaient le pourcentage de patients ayant obtenu une réponse ACR 20 à la 24</w:t>
      </w:r>
      <w:r w:rsidRPr="0058432E">
        <w:rPr>
          <w:color w:val="000000" w:themeColor="text1"/>
          <w:vertAlign w:val="superscript"/>
        </w:rPr>
        <w:t>e</w:t>
      </w:r>
      <w:r w:rsidRPr="0058432E">
        <w:rPr>
          <w:color w:val="000000" w:themeColor="text1"/>
        </w:rPr>
        <w:t xml:space="preserve"> ou la 26e semaine. Le </w:t>
      </w:r>
      <w:r w:rsidR="00C85E12" w:rsidRPr="0058432E">
        <w:rPr>
          <w:color w:val="000000" w:themeColor="text1"/>
        </w:rPr>
        <w:t>critère d’évaluation</w:t>
      </w:r>
      <w:r w:rsidR="006B1768" w:rsidRPr="0058432E">
        <w:rPr>
          <w:color w:val="000000" w:themeColor="text1"/>
        </w:rPr>
        <w:t xml:space="preserve"> </w:t>
      </w:r>
      <w:r w:rsidRPr="0058432E">
        <w:rPr>
          <w:color w:val="000000" w:themeColor="text1"/>
        </w:rPr>
        <w:t xml:space="preserve">principal dans l’étude V sur </w:t>
      </w:r>
      <w:proofErr w:type="gramStart"/>
      <w:r w:rsidRPr="0058432E">
        <w:rPr>
          <w:color w:val="000000" w:themeColor="text1"/>
        </w:rPr>
        <w:t>la PR</w:t>
      </w:r>
      <w:proofErr w:type="gramEnd"/>
      <w:r w:rsidRPr="0058432E">
        <w:rPr>
          <w:color w:val="000000" w:themeColor="text1"/>
        </w:rPr>
        <w:t xml:space="preserve"> était le pourcentage de patients qui avaient obtenu une réponse ACR 50 à la semaine 52. Les études III et V sur </w:t>
      </w:r>
      <w:proofErr w:type="gramStart"/>
      <w:r w:rsidRPr="0058432E">
        <w:rPr>
          <w:color w:val="000000" w:themeColor="text1"/>
        </w:rPr>
        <w:t>la PR</w:t>
      </w:r>
      <w:proofErr w:type="gramEnd"/>
      <w:r w:rsidRPr="0058432E">
        <w:rPr>
          <w:color w:val="000000" w:themeColor="text1"/>
        </w:rPr>
        <w:t xml:space="preserve"> avaient un </w:t>
      </w:r>
      <w:r w:rsidR="00C85E12" w:rsidRPr="0058432E">
        <w:rPr>
          <w:color w:val="000000" w:themeColor="text1"/>
        </w:rPr>
        <w:t>critère d’évaluation</w:t>
      </w:r>
      <w:r w:rsidR="006B1768" w:rsidRPr="0058432E">
        <w:rPr>
          <w:color w:val="000000" w:themeColor="text1"/>
        </w:rPr>
        <w:t xml:space="preserve"> </w:t>
      </w:r>
      <w:r w:rsidRPr="0058432E">
        <w:rPr>
          <w:color w:val="000000" w:themeColor="text1"/>
        </w:rPr>
        <w:t xml:space="preserve">principal supplémentaire à 52 semaines à savoir le retard de progression de la maladie (attesté par les résultats radiologiques). L’étude III sur </w:t>
      </w:r>
      <w:proofErr w:type="gramStart"/>
      <w:r w:rsidRPr="0058432E">
        <w:rPr>
          <w:color w:val="000000" w:themeColor="text1"/>
        </w:rPr>
        <w:t>la PR</w:t>
      </w:r>
      <w:proofErr w:type="gramEnd"/>
      <w:r w:rsidRPr="0058432E">
        <w:rPr>
          <w:color w:val="000000" w:themeColor="text1"/>
        </w:rPr>
        <w:t xml:space="preserve"> avait aussi comme </w:t>
      </w:r>
      <w:r w:rsidR="00C85E12" w:rsidRPr="0058432E">
        <w:rPr>
          <w:color w:val="000000" w:themeColor="text1"/>
        </w:rPr>
        <w:t>critère d’évaluation</w:t>
      </w:r>
      <w:r w:rsidR="006B1768" w:rsidRPr="0058432E">
        <w:rPr>
          <w:color w:val="000000" w:themeColor="text1"/>
        </w:rPr>
        <w:t xml:space="preserve"> </w:t>
      </w:r>
      <w:r w:rsidRPr="0058432E">
        <w:rPr>
          <w:color w:val="000000" w:themeColor="text1"/>
        </w:rPr>
        <w:t xml:space="preserve">principal les modifications de la qualité de vie. </w:t>
      </w:r>
    </w:p>
    <w:p w14:paraId="149E249E" w14:textId="77777777" w:rsidR="00C46587" w:rsidRPr="0058432E" w:rsidRDefault="00C46587" w:rsidP="00982118">
      <w:pPr>
        <w:rPr>
          <w:color w:val="000000" w:themeColor="text1"/>
        </w:rPr>
      </w:pPr>
    </w:p>
    <w:p w14:paraId="11EF727B" w14:textId="77777777" w:rsidR="00C46587" w:rsidRPr="0058432E" w:rsidRDefault="00C46587" w:rsidP="00982118">
      <w:pPr>
        <w:keepNext/>
        <w:rPr>
          <w:i/>
          <w:color w:val="000000" w:themeColor="text1"/>
          <w:u w:val="single"/>
        </w:rPr>
      </w:pPr>
      <w:r w:rsidRPr="0058432E">
        <w:rPr>
          <w:i/>
          <w:color w:val="000000" w:themeColor="text1"/>
          <w:u w:val="single"/>
        </w:rPr>
        <w:t xml:space="preserve">Réponse ACR </w:t>
      </w:r>
    </w:p>
    <w:p w14:paraId="2A078B30" w14:textId="77777777" w:rsidR="00C46587" w:rsidRPr="0058432E" w:rsidRDefault="00C46587" w:rsidP="00982118">
      <w:pPr>
        <w:rPr>
          <w:color w:val="000000" w:themeColor="text1"/>
        </w:rPr>
      </w:pPr>
    </w:p>
    <w:p w14:paraId="7E73743E" w14:textId="77777777" w:rsidR="00C46587" w:rsidRPr="0058432E" w:rsidRDefault="00C46587" w:rsidP="00982118">
      <w:pPr>
        <w:rPr>
          <w:color w:val="000000" w:themeColor="text1"/>
        </w:rPr>
      </w:pPr>
      <w:r w:rsidRPr="0058432E">
        <w:rPr>
          <w:color w:val="000000" w:themeColor="text1"/>
        </w:rPr>
        <w:t xml:space="preserve">Le pourcentage de patients sous adalimumab qui ont obtenu une réponse ACR 20, 50 ou 70 a été cohérent dans les </w:t>
      </w:r>
      <w:r w:rsidR="006B1768" w:rsidRPr="0058432E">
        <w:rPr>
          <w:color w:val="000000" w:themeColor="text1"/>
        </w:rPr>
        <w:t xml:space="preserve">études </w:t>
      </w:r>
      <w:r w:rsidRPr="0058432E">
        <w:rPr>
          <w:color w:val="000000" w:themeColor="text1"/>
        </w:rPr>
        <w:t>I, II et III sur la PR. Le tableau </w:t>
      </w:r>
      <w:r w:rsidR="00671B82" w:rsidRPr="0058432E">
        <w:rPr>
          <w:color w:val="000000" w:themeColor="text1"/>
        </w:rPr>
        <w:t>8</w:t>
      </w:r>
      <w:r w:rsidRPr="0058432E">
        <w:rPr>
          <w:color w:val="000000" w:themeColor="text1"/>
        </w:rPr>
        <w:t xml:space="preserve"> résume les résultats obtenus à la posologie de 40 mg toutes les deux semaines. </w:t>
      </w:r>
    </w:p>
    <w:p w14:paraId="2E3F7D7D" w14:textId="77777777" w:rsidR="00F5197D" w:rsidRPr="0058432E" w:rsidRDefault="00F5197D" w:rsidP="00982118">
      <w:pPr>
        <w:rPr>
          <w:color w:val="000000" w:themeColor="text1"/>
        </w:rPr>
      </w:pPr>
    </w:p>
    <w:p w14:paraId="54BDEDC4" w14:textId="77777777" w:rsidR="002F6F9C" w:rsidRPr="0058432E" w:rsidRDefault="002F6F9C" w:rsidP="00B93DAC">
      <w:pPr>
        <w:keepNext/>
        <w:rPr>
          <w:b/>
          <w:color w:val="000000" w:themeColor="text1"/>
        </w:rPr>
      </w:pPr>
      <w:r w:rsidRPr="0058432E">
        <w:rPr>
          <w:b/>
          <w:color w:val="000000" w:themeColor="text1"/>
        </w:rPr>
        <w:t>Tableau </w:t>
      </w:r>
      <w:r w:rsidR="00671B82" w:rsidRPr="0058432E">
        <w:rPr>
          <w:b/>
          <w:color w:val="000000" w:themeColor="text1"/>
        </w:rPr>
        <w:t>8</w:t>
      </w:r>
      <w:r w:rsidR="00BA0AD5" w:rsidRPr="0058432E">
        <w:rPr>
          <w:b/>
          <w:color w:val="000000" w:themeColor="text1"/>
        </w:rPr>
        <w:t>.</w:t>
      </w:r>
    </w:p>
    <w:p w14:paraId="15574B60" w14:textId="77777777" w:rsidR="00155496" w:rsidRPr="0058432E" w:rsidRDefault="00155496" w:rsidP="00A53E17">
      <w:pPr>
        <w:keepNext/>
        <w:rPr>
          <w:b/>
          <w:color w:val="000000" w:themeColor="text1"/>
        </w:rPr>
      </w:pPr>
      <w:r w:rsidRPr="0058432E">
        <w:rPr>
          <w:b/>
          <w:color w:val="000000" w:themeColor="text1"/>
        </w:rPr>
        <w:t>Réponses ACR dans les essais contrôlés contre placebo (pourcentage de patients)</w:t>
      </w:r>
    </w:p>
    <w:p w14:paraId="50F36D2D" w14:textId="77777777" w:rsidR="00155496" w:rsidRPr="0058432E" w:rsidRDefault="00155496" w:rsidP="00155496">
      <w:pPr>
        <w:pStyle w:val="BodyText"/>
        <w:keepNext/>
        <w:widowControl/>
        <w:kinsoku w:val="0"/>
        <w:overflowPunct w:val="0"/>
        <w:ind w:left="0"/>
        <w:rPr>
          <w:bCs/>
          <w:color w:val="000000" w:themeColor="text1"/>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145"/>
        <w:gridCol w:w="1494"/>
        <w:gridCol w:w="1033"/>
        <w:gridCol w:w="1686"/>
        <w:gridCol w:w="1000"/>
        <w:gridCol w:w="1544"/>
      </w:tblGrid>
      <w:tr w:rsidR="00155496" w:rsidRPr="0058432E" w14:paraId="4D88ED50" w14:textId="77777777" w:rsidTr="00922261">
        <w:trPr>
          <w:tblHeader/>
        </w:trPr>
        <w:tc>
          <w:tcPr>
            <w:tcW w:w="1269" w:type="dxa"/>
            <w:vMerge w:val="restart"/>
            <w:shd w:val="clear" w:color="auto" w:fill="auto"/>
          </w:tcPr>
          <w:p w14:paraId="25B0463E" w14:textId="77777777" w:rsidR="00155496" w:rsidRPr="0058432E" w:rsidRDefault="00155496" w:rsidP="005A68B9">
            <w:pPr>
              <w:pStyle w:val="TableParagraph"/>
              <w:keepNext/>
              <w:keepLines/>
              <w:widowControl/>
              <w:kinsoku w:val="0"/>
              <w:overflowPunct w:val="0"/>
              <w:spacing w:before="7"/>
              <w:ind w:left="-2"/>
              <w:rPr>
                <w:rFonts w:ascii="Times New Roman" w:hAnsi="Times New Roman"/>
                <w:b/>
                <w:color w:val="000000" w:themeColor="text1"/>
              </w:rPr>
            </w:pPr>
            <w:r w:rsidRPr="0058432E">
              <w:rPr>
                <w:rFonts w:ascii="Times New Roman" w:hAnsi="Times New Roman"/>
                <w:b/>
                <w:color w:val="000000" w:themeColor="text1"/>
              </w:rPr>
              <w:t>Réponse</w:t>
            </w:r>
          </w:p>
        </w:tc>
        <w:tc>
          <w:tcPr>
            <w:tcW w:w="2708" w:type="dxa"/>
            <w:gridSpan w:val="2"/>
            <w:shd w:val="clear" w:color="auto" w:fill="auto"/>
            <w:vAlign w:val="center"/>
          </w:tcPr>
          <w:p w14:paraId="76838BC4" w14:textId="77777777" w:rsidR="00155496" w:rsidRPr="0058432E" w:rsidRDefault="00155496" w:rsidP="005A68B9">
            <w:pPr>
              <w:pStyle w:val="TableParagraph"/>
              <w:keepNext/>
              <w:keepLines/>
              <w:widowControl/>
              <w:kinsoku w:val="0"/>
              <w:overflowPunct w:val="0"/>
              <w:spacing w:line="260" w:lineRule="exact"/>
              <w:ind w:left="53"/>
              <w:jc w:val="center"/>
              <w:rPr>
                <w:rFonts w:ascii="Times New Roman" w:hAnsi="Times New Roman"/>
                <w:b/>
                <w:color w:val="000000" w:themeColor="text1"/>
              </w:rPr>
            </w:pPr>
            <w:r w:rsidRPr="0058432E">
              <w:rPr>
                <w:rFonts w:ascii="Times New Roman" w:hAnsi="Times New Roman"/>
                <w:b/>
                <w:color w:val="000000" w:themeColor="text1"/>
              </w:rPr>
              <w:t>Étude 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790" w:type="dxa"/>
            <w:gridSpan w:val="2"/>
            <w:shd w:val="clear" w:color="auto" w:fill="auto"/>
            <w:vAlign w:val="center"/>
          </w:tcPr>
          <w:p w14:paraId="2F95D6D7" w14:textId="77777777" w:rsidR="00155496" w:rsidRPr="0058432E" w:rsidRDefault="00155496" w:rsidP="005A68B9">
            <w:pPr>
              <w:pStyle w:val="TableParagraph"/>
              <w:keepNext/>
              <w:keepLines/>
              <w:widowControl/>
              <w:kinsoku w:val="0"/>
              <w:overflowPunct w:val="0"/>
              <w:spacing w:line="260" w:lineRule="exact"/>
              <w:ind w:left="69"/>
              <w:jc w:val="center"/>
              <w:rPr>
                <w:rFonts w:ascii="Times New Roman" w:hAnsi="Times New Roman"/>
                <w:b/>
                <w:color w:val="000000" w:themeColor="text1"/>
              </w:rPr>
            </w:pPr>
            <w:r w:rsidRPr="0058432E">
              <w:rPr>
                <w:rFonts w:ascii="Times New Roman" w:hAnsi="Times New Roman"/>
                <w:b/>
                <w:color w:val="000000" w:themeColor="text1"/>
              </w:rPr>
              <w:t>Étude 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c>
          <w:tcPr>
            <w:tcW w:w="2610" w:type="dxa"/>
            <w:gridSpan w:val="2"/>
            <w:shd w:val="clear" w:color="auto" w:fill="auto"/>
            <w:vAlign w:val="center"/>
          </w:tcPr>
          <w:p w14:paraId="225FBAAB" w14:textId="77777777" w:rsidR="00155496" w:rsidRPr="0058432E" w:rsidRDefault="00155496" w:rsidP="005A68B9">
            <w:pPr>
              <w:pStyle w:val="TableParagraph"/>
              <w:keepNext/>
              <w:keepLines/>
              <w:widowControl/>
              <w:kinsoku w:val="0"/>
              <w:overflowPunct w:val="0"/>
              <w:spacing w:line="260" w:lineRule="exact"/>
              <w:jc w:val="center"/>
              <w:rPr>
                <w:rFonts w:ascii="Times New Roman" w:hAnsi="Times New Roman"/>
                <w:b/>
                <w:color w:val="000000" w:themeColor="text1"/>
              </w:rPr>
            </w:pPr>
            <w:r w:rsidRPr="0058432E">
              <w:rPr>
                <w:rFonts w:ascii="Times New Roman" w:hAnsi="Times New Roman"/>
                <w:b/>
                <w:color w:val="000000" w:themeColor="text1"/>
              </w:rPr>
              <w:t>Étude III</w:t>
            </w:r>
            <w:r w:rsidRPr="0058432E">
              <w:rPr>
                <w:rFonts w:ascii="Times New Roman" w:hAnsi="Times New Roman"/>
                <w:b/>
                <w:color w:val="000000" w:themeColor="text1"/>
                <w:vertAlign w:val="superscript"/>
              </w:rPr>
              <w:t>a</w:t>
            </w:r>
            <w:r w:rsidRPr="0058432E">
              <w:rPr>
                <w:rFonts w:ascii="Times New Roman" w:hAnsi="Times New Roman"/>
                <w:b/>
                <w:color w:val="000000" w:themeColor="text1"/>
              </w:rPr>
              <w:t>** sur la PR</w:t>
            </w:r>
          </w:p>
        </w:tc>
      </w:tr>
      <w:tr w:rsidR="00155496" w:rsidRPr="0058432E" w14:paraId="6E1C88FA" w14:textId="77777777" w:rsidTr="00922261">
        <w:trPr>
          <w:tblHeader/>
        </w:trPr>
        <w:tc>
          <w:tcPr>
            <w:tcW w:w="1269" w:type="dxa"/>
            <w:vMerge/>
            <w:shd w:val="clear" w:color="auto" w:fill="auto"/>
          </w:tcPr>
          <w:p w14:paraId="190502F0" w14:textId="77777777" w:rsidR="00155496" w:rsidRPr="0058432E" w:rsidRDefault="00155496" w:rsidP="005A68B9">
            <w:pPr>
              <w:pStyle w:val="TableParagraph"/>
              <w:keepNext/>
              <w:keepLines/>
              <w:widowControl/>
              <w:kinsoku w:val="0"/>
              <w:overflowPunct w:val="0"/>
              <w:spacing w:line="260" w:lineRule="exact"/>
              <w:ind w:left="626"/>
              <w:rPr>
                <w:rFonts w:ascii="Times New Roman" w:hAnsi="Times New Roman"/>
                <w:b/>
                <w:color w:val="000000" w:themeColor="text1"/>
              </w:rPr>
            </w:pPr>
          </w:p>
        </w:tc>
        <w:tc>
          <w:tcPr>
            <w:tcW w:w="1174" w:type="dxa"/>
            <w:shd w:val="clear" w:color="auto" w:fill="auto"/>
          </w:tcPr>
          <w:p w14:paraId="704E61BD"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0A08847A"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60</w:t>
            </w:r>
          </w:p>
        </w:tc>
        <w:tc>
          <w:tcPr>
            <w:tcW w:w="1534" w:type="dxa"/>
            <w:shd w:val="clear" w:color="auto" w:fill="auto"/>
            <w:vAlign w:val="center"/>
          </w:tcPr>
          <w:p w14:paraId="03CEF6B2"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35DAAAE2"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63</w:t>
            </w:r>
          </w:p>
        </w:tc>
        <w:tc>
          <w:tcPr>
            <w:tcW w:w="1058" w:type="dxa"/>
            <w:shd w:val="clear" w:color="auto" w:fill="auto"/>
            <w:vAlign w:val="center"/>
          </w:tcPr>
          <w:p w14:paraId="20DA7DFD" w14:textId="77777777" w:rsidR="00155496" w:rsidRPr="0058432E" w:rsidRDefault="00155496" w:rsidP="005A68B9">
            <w:pPr>
              <w:pStyle w:val="TableParagraph"/>
              <w:keepNext/>
              <w:keepLines/>
              <w:widowControl/>
              <w:kinsoku w:val="0"/>
              <w:overflowPunct w:val="0"/>
              <w:ind w:hanging="66"/>
              <w:jc w:val="center"/>
              <w:rPr>
                <w:rFonts w:ascii="Times New Roman" w:hAnsi="Times New Roman"/>
                <w:b/>
                <w:color w:val="000000" w:themeColor="text1"/>
              </w:rPr>
            </w:pPr>
            <w:r w:rsidRPr="0058432E">
              <w:rPr>
                <w:rFonts w:ascii="Times New Roman" w:hAnsi="Times New Roman"/>
                <w:b/>
                <w:color w:val="000000" w:themeColor="text1"/>
              </w:rPr>
              <w:t>Placebo</w:t>
            </w:r>
          </w:p>
          <w:p w14:paraId="79201D3C"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110</w:t>
            </w:r>
          </w:p>
        </w:tc>
        <w:tc>
          <w:tcPr>
            <w:tcW w:w="1732" w:type="dxa"/>
            <w:shd w:val="clear" w:color="auto" w:fill="auto"/>
            <w:vAlign w:val="center"/>
          </w:tcPr>
          <w:p w14:paraId="600E8E31" w14:textId="77777777" w:rsidR="00155496" w:rsidRPr="0058432E" w:rsidRDefault="00155496" w:rsidP="005A68B9">
            <w:pPr>
              <w:pStyle w:val="TableParagraph"/>
              <w:keepNext/>
              <w:keepLines/>
              <w:widowControl/>
              <w:kinsoku w:val="0"/>
              <w:overflowPunct w:val="0"/>
              <w:ind w:left="59" w:right="9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p>
          <w:p w14:paraId="2971D055" w14:textId="77777777" w:rsidR="00155496" w:rsidRPr="0058432E" w:rsidRDefault="00155496" w:rsidP="005A68B9">
            <w:pPr>
              <w:pStyle w:val="TableParagraph"/>
              <w:keepNext/>
              <w:keepLines/>
              <w:widowControl/>
              <w:kinsoku w:val="0"/>
              <w:overflowPunct w:val="0"/>
              <w:ind w:left="59" w:right="9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113</w:t>
            </w:r>
          </w:p>
        </w:tc>
        <w:tc>
          <w:tcPr>
            <w:tcW w:w="1024" w:type="dxa"/>
            <w:shd w:val="clear" w:color="auto" w:fill="auto"/>
            <w:vAlign w:val="center"/>
          </w:tcPr>
          <w:p w14:paraId="0E522140" w14:textId="77777777" w:rsidR="00155496" w:rsidRPr="0058432E" w:rsidRDefault="00155496" w:rsidP="005A68B9">
            <w:pPr>
              <w:pStyle w:val="TableParagraph"/>
              <w:keepNext/>
              <w:keepLines/>
              <w:widowControl/>
              <w:kinsoku w:val="0"/>
              <w:overflowPunct w:val="0"/>
              <w:ind w:hanging="3"/>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c</w:t>
            </w:r>
          </w:p>
          <w:p w14:paraId="7FD25BF4" w14:textId="77777777" w:rsidR="00155496" w:rsidRPr="0058432E" w:rsidRDefault="00155496" w:rsidP="005A68B9">
            <w:pPr>
              <w:pStyle w:val="TableParagraph"/>
              <w:keepNext/>
              <w:keepLines/>
              <w:widowControl/>
              <w:kinsoku w:val="0"/>
              <w:overflowPunct w:val="0"/>
              <w:ind w:hanging="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200</w:t>
            </w:r>
          </w:p>
        </w:tc>
        <w:tc>
          <w:tcPr>
            <w:tcW w:w="1586" w:type="dxa"/>
            <w:shd w:val="clear" w:color="auto" w:fill="auto"/>
            <w:vAlign w:val="center"/>
          </w:tcPr>
          <w:p w14:paraId="441E9953"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r w:rsidRPr="0058432E">
              <w:rPr>
                <w:rFonts w:ascii="Times New Roman" w:hAnsi="Times New Roman"/>
                <w:b/>
                <w:color w:val="000000" w:themeColor="text1"/>
              </w:rPr>
              <w:t>Adalimumab</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/MTX</w:t>
            </w:r>
            <w:r w:rsidRPr="0058432E">
              <w:rPr>
                <w:rFonts w:ascii="Times New Roman" w:hAnsi="Times New Roman"/>
                <w:b/>
                <w:color w:val="000000" w:themeColor="text1"/>
                <w:vertAlign w:val="superscript"/>
              </w:rPr>
              <w:t>c</w:t>
            </w:r>
          </w:p>
          <w:p w14:paraId="64ECDE64" w14:textId="77777777" w:rsidR="00155496" w:rsidRPr="0058432E" w:rsidRDefault="00155496" w:rsidP="005A68B9">
            <w:pPr>
              <w:pStyle w:val="TableParagraph"/>
              <w:keepNext/>
              <w:keepLines/>
              <w:widowControl/>
              <w:kinsoku w:val="0"/>
              <w:overflowPunct w:val="0"/>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207</w:t>
            </w:r>
          </w:p>
        </w:tc>
      </w:tr>
      <w:tr w:rsidR="00155496" w:rsidRPr="0058432E" w14:paraId="345B36D5" w14:textId="77777777" w:rsidTr="00922261">
        <w:tc>
          <w:tcPr>
            <w:tcW w:w="1269" w:type="dxa"/>
            <w:shd w:val="clear" w:color="auto" w:fill="auto"/>
          </w:tcPr>
          <w:p w14:paraId="57BFD92D" w14:textId="77777777" w:rsidR="00155496" w:rsidRPr="0058432E" w:rsidRDefault="00155496" w:rsidP="005A68B9">
            <w:pPr>
              <w:pStyle w:val="TableParagraph"/>
              <w:keepNext/>
              <w:keepLines/>
              <w:widowControl/>
              <w:kinsoku w:val="0"/>
              <w:overflowPunct w:val="0"/>
              <w:spacing w:before="6"/>
              <w:ind w:left="-2"/>
              <w:rPr>
                <w:rFonts w:ascii="Times New Roman" w:hAnsi="Times New Roman"/>
                <w:color w:val="000000" w:themeColor="text1"/>
              </w:rPr>
            </w:pPr>
            <w:r w:rsidRPr="0058432E">
              <w:rPr>
                <w:rFonts w:ascii="Times New Roman" w:hAnsi="Times New Roman"/>
                <w:color w:val="000000" w:themeColor="text1"/>
              </w:rPr>
              <w:t>ACR 20</w:t>
            </w:r>
          </w:p>
        </w:tc>
        <w:tc>
          <w:tcPr>
            <w:tcW w:w="1174" w:type="dxa"/>
            <w:shd w:val="clear" w:color="auto" w:fill="auto"/>
          </w:tcPr>
          <w:p w14:paraId="75FB8503"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c>
          <w:tcPr>
            <w:tcW w:w="1534" w:type="dxa"/>
            <w:shd w:val="clear" w:color="auto" w:fill="auto"/>
          </w:tcPr>
          <w:p w14:paraId="4D2AB2FC"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c>
          <w:tcPr>
            <w:tcW w:w="1058" w:type="dxa"/>
            <w:shd w:val="clear" w:color="auto" w:fill="auto"/>
          </w:tcPr>
          <w:p w14:paraId="7A2140CA"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c>
          <w:tcPr>
            <w:tcW w:w="1732" w:type="dxa"/>
            <w:shd w:val="clear" w:color="auto" w:fill="auto"/>
          </w:tcPr>
          <w:p w14:paraId="68BF7E04"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c>
          <w:tcPr>
            <w:tcW w:w="1024" w:type="dxa"/>
            <w:shd w:val="clear" w:color="auto" w:fill="auto"/>
          </w:tcPr>
          <w:p w14:paraId="15524A61"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c>
          <w:tcPr>
            <w:tcW w:w="1586" w:type="dxa"/>
            <w:shd w:val="clear" w:color="auto" w:fill="auto"/>
          </w:tcPr>
          <w:p w14:paraId="10FC266F" w14:textId="77777777" w:rsidR="00155496" w:rsidRPr="0058432E" w:rsidRDefault="00155496" w:rsidP="005A68B9">
            <w:pPr>
              <w:pStyle w:val="TableParagraph"/>
              <w:keepNext/>
              <w:keepLines/>
              <w:widowControl/>
              <w:kinsoku w:val="0"/>
              <w:overflowPunct w:val="0"/>
              <w:jc w:val="center"/>
              <w:rPr>
                <w:rFonts w:ascii="Times New Roman" w:hAnsi="Times New Roman"/>
                <w:color w:val="000000" w:themeColor="text1"/>
              </w:rPr>
            </w:pPr>
          </w:p>
        </w:tc>
      </w:tr>
      <w:tr w:rsidR="00155496" w:rsidRPr="0058432E" w14:paraId="364E9134" w14:textId="77777777" w:rsidTr="00922261">
        <w:tc>
          <w:tcPr>
            <w:tcW w:w="1269" w:type="dxa"/>
            <w:shd w:val="clear" w:color="auto" w:fill="auto"/>
          </w:tcPr>
          <w:p w14:paraId="2A53604C" w14:textId="77777777" w:rsidR="00155496" w:rsidRPr="0058432E" w:rsidRDefault="00155496" w:rsidP="005A68B9">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5BA2120F"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13,3 %</w:t>
            </w:r>
          </w:p>
        </w:tc>
        <w:tc>
          <w:tcPr>
            <w:tcW w:w="1534" w:type="dxa"/>
            <w:shd w:val="clear" w:color="auto" w:fill="auto"/>
          </w:tcPr>
          <w:p w14:paraId="739BAA1B"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65,1 %</w:t>
            </w:r>
          </w:p>
        </w:tc>
        <w:tc>
          <w:tcPr>
            <w:tcW w:w="1058" w:type="dxa"/>
            <w:shd w:val="clear" w:color="auto" w:fill="auto"/>
          </w:tcPr>
          <w:p w14:paraId="35D9B3C9"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19,1 %</w:t>
            </w:r>
          </w:p>
        </w:tc>
        <w:tc>
          <w:tcPr>
            <w:tcW w:w="1732" w:type="dxa"/>
            <w:shd w:val="clear" w:color="auto" w:fill="auto"/>
          </w:tcPr>
          <w:p w14:paraId="7BD30819"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46,0 %</w:t>
            </w:r>
          </w:p>
        </w:tc>
        <w:tc>
          <w:tcPr>
            <w:tcW w:w="1024" w:type="dxa"/>
            <w:shd w:val="clear" w:color="auto" w:fill="auto"/>
          </w:tcPr>
          <w:p w14:paraId="69EA9E5E"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29,5 %</w:t>
            </w:r>
          </w:p>
        </w:tc>
        <w:tc>
          <w:tcPr>
            <w:tcW w:w="1586" w:type="dxa"/>
            <w:shd w:val="clear" w:color="auto" w:fill="auto"/>
          </w:tcPr>
          <w:p w14:paraId="68CA5C94" w14:textId="77777777" w:rsidR="00155496" w:rsidRPr="0058432E" w:rsidRDefault="00D337DC"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63,3 %</w:t>
            </w:r>
          </w:p>
        </w:tc>
      </w:tr>
      <w:tr w:rsidR="00155496" w:rsidRPr="0058432E" w14:paraId="5425D30C" w14:textId="77777777" w:rsidTr="00922261">
        <w:tc>
          <w:tcPr>
            <w:tcW w:w="1269" w:type="dxa"/>
            <w:shd w:val="clear" w:color="auto" w:fill="auto"/>
          </w:tcPr>
          <w:p w14:paraId="7F253FE5" w14:textId="77777777" w:rsidR="00155496" w:rsidRPr="0058432E" w:rsidRDefault="00155496" w:rsidP="005A68B9">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shd w:val="clear" w:color="auto" w:fill="auto"/>
          </w:tcPr>
          <w:p w14:paraId="53112362"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shd w:val="clear" w:color="auto" w:fill="auto"/>
          </w:tcPr>
          <w:p w14:paraId="538755B8"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58" w:type="dxa"/>
            <w:shd w:val="clear" w:color="auto" w:fill="auto"/>
          </w:tcPr>
          <w:p w14:paraId="09F05BFF"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32" w:type="dxa"/>
            <w:shd w:val="clear" w:color="auto" w:fill="auto"/>
          </w:tcPr>
          <w:p w14:paraId="65060B8B"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24" w:type="dxa"/>
            <w:shd w:val="clear" w:color="auto" w:fill="auto"/>
          </w:tcPr>
          <w:p w14:paraId="33F5BF65"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24,0 %</w:t>
            </w:r>
          </w:p>
        </w:tc>
        <w:tc>
          <w:tcPr>
            <w:tcW w:w="1586" w:type="dxa"/>
            <w:shd w:val="clear" w:color="auto" w:fill="auto"/>
          </w:tcPr>
          <w:p w14:paraId="75BC4EBE"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58,9 %</w:t>
            </w:r>
          </w:p>
        </w:tc>
      </w:tr>
      <w:tr w:rsidR="00155496" w:rsidRPr="0058432E" w14:paraId="42762970" w14:textId="77777777" w:rsidTr="00922261">
        <w:tc>
          <w:tcPr>
            <w:tcW w:w="1269" w:type="dxa"/>
            <w:shd w:val="clear" w:color="auto" w:fill="auto"/>
          </w:tcPr>
          <w:p w14:paraId="4A1E4F4C" w14:textId="77777777" w:rsidR="00155496" w:rsidRPr="0058432E" w:rsidRDefault="00155496" w:rsidP="005A68B9">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t>ACR 50</w:t>
            </w:r>
          </w:p>
        </w:tc>
        <w:tc>
          <w:tcPr>
            <w:tcW w:w="1174" w:type="dxa"/>
            <w:shd w:val="clear" w:color="auto" w:fill="auto"/>
          </w:tcPr>
          <w:p w14:paraId="07D4EB95" w14:textId="77777777" w:rsidR="00155496" w:rsidRPr="0058432E" w:rsidRDefault="00155496" w:rsidP="005A68B9">
            <w:pPr>
              <w:keepNext/>
              <w:keepLines/>
              <w:jc w:val="center"/>
              <w:rPr>
                <w:rFonts w:eastAsia="Calibri"/>
                <w:color w:val="000000" w:themeColor="text1"/>
              </w:rPr>
            </w:pPr>
          </w:p>
        </w:tc>
        <w:tc>
          <w:tcPr>
            <w:tcW w:w="1534" w:type="dxa"/>
            <w:shd w:val="clear" w:color="auto" w:fill="auto"/>
          </w:tcPr>
          <w:p w14:paraId="0E5E65DC" w14:textId="77777777" w:rsidR="00155496" w:rsidRPr="0058432E" w:rsidRDefault="00155496" w:rsidP="005A68B9">
            <w:pPr>
              <w:keepNext/>
              <w:keepLines/>
              <w:jc w:val="center"/>
              <w:rPr>
                <w:rFonts w:eastAsia="Calibri"/>
                <w:color w:val="000000" w:themeColor="text1"/>
              </w:rPr>
            </w:pPr>
          </w:p>
        </w:tc>
        <w:tc>
          <w:tcPr>
            <w:tcW w:w="1058" w:type="dxa"/>
            <w:shd w:val="clear" w:color="auto" w:fill="auto"/>
          </w:tcPr>
          <w:p w14:paraId="56765B46" w14:textId="77777777" w:rsidR="00155496" w:rsidRPr="0058432E" w:rsidRDefault="00155496" w:rsidP="005A68B9">
            <w:pPr>
              <w:keepNext/>
              <w:keepLines/>
              <w:jc w:val="center"/>
              <w:rPr>
                <w:rFonts w:eastAsia="Calibri"/>
                <w:color w:val="000000" w:themeColor="text1"/>
              </w:rPr>
            </w:pPr>
          </w:p>
        </w:tc>
        <w:tc>
          <w:tcPr>
            <w:tcW w:w="1732" w:type="dxa"/>
            <w:shd w:val="clear" w:color="auto" w:fill="auto"/>
          </w:tcPr>
          <w:p w14:paraId="159868AB" w14:textId="77777777" w:rsidR="00155496" w:rsidRPr="0058432E" w:rsidRDefault="00155496" w:rsidP="005A68B9">
            <w:pPr>
              <w:keepNext/>
              <w:keepLines/>
              <w:jc w:val="center"/>
              <w:rPr>
                <w:rFonts w:eastAsia="Calibri"/>
                <w:color w:val="000000" w:themeColor="text1"/>
              </w:rPr>
            </w:pPr>
          </w:p>
        </w:tc>
        <w:tc>
          <w:tcPr>
            <w:tcW w:w="1024" w:type="dxa"/>
            <w:shd w:val="clear" w:color="auto" w:fill="auto"/>
          </w:tcPr>
          <w:p w14:paraId="12F4329A" w14:textId="77777777" w:rsidR="00155496" w:rsidRPr="0058432E" w:rsidRDefault="00155496" w:rsidP="005A68B9">
            <w:pPr>
              <w:keepNext/>
              <w:keepLines/>
              <w:jc w:val="center"/>
              <w:rPr>
                <w:rFonts w:eastAsia="Calibri"/>
                <w:color w:val="000000" w:themeColor="text1"/>
              </w:rPr>
            </w:pPr>
          </w:p>
        </w:tc>
        <w:tc>
          <w:tcPr>
            <w:tcW w:w="1586" w:type="dxa"/>
            <w:shd w:val="clear" w:color="auto" w:fill="auto"/>
          </w:tcPr>
          <w:p w14:paraId="3D46068D" w14:textId="77777777" w:rsidR="00155496" w:rsidRPr="0058432E" w:rsidRDefault="00155496" w:rsidP="005A68B9">
            <w:pPr>
              <w:keepNext/>
              <w:keepLines/>
              <w:jc w:val="center"/>
              <w:rPr>
                <w:rFonts w:eastAsia="Calibri"/>
                <w:color w:val="000000" w:themeColor="text1"/>
              </w:rPr>
            </w:pPr>
          </w:p>
        </w:tc>
      </w:tr>
      <w:tr w:rsidR="00155496" w:rsidRPr="0058432E" w14:paraId="1D60947A" w14:textId="77777777" w:rsidTr="00922261">
        <w:tc>
          <w:tcPr>
            <w:tcW w:w="1269" w:type="dxa"/>
            <w:shd w:val="clear" w:color="auto" w:fill="auto"/>
          </w:tcPr>
          <w:p w14:paraId="4A207BD6" w14:textId="77777777" w:rsidR="00155496" w:rsidRPr="0058432E" w:rsidRDefault="00155496" w:rsidP="005A68B9">
            <w:pPr>
              <w:pStyle w:val="TableParagraph"/>
              <w:keepNext/>
              <w:keepLines/>
              <w:widowControl/>
              <w:kinsoku w:val="0"/>
              <w:overflowPunct w:val="0"/>
              <w:spacing w:line="251"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5B3BABE3"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6,7 %</w:t>
            </w:r>
          </w:p>
        </w:tc>
        <w:tc>
          <w:tcPr>
            <w:tcW w:w="1534" w:type="dxa"/>
            <w:shd w:val="clear" w:color="auto" w:fill="auto"/>
          </w:tcPr>
          <w:p w14:paraId="1B3E19EE"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52,4 %</w:t>
            </w:r>
          </w:p>
        </w:tc>
        <w:tc>
          <w:tcPr>
            <w:tcW w:w="1058" w:type="dxa"/>
            <w:shd w:val="clear" w:color="auto" w:fill="auto"/>
          </w:tcPr>
          <w:p w14:paraId="3875799B"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8,2 %</w:t>
            </w:r>
          </w:p>
        </w:tc>
        <w:tc>
          <w:tcPr>
            <w:tcW w:w="1732" w:type="dxa"/>
            <w:shd w:val="clear" w:color="auto" w:fill="auto"/>
          </w:tcPr>
          <w:p w14:paraId="0DC7075A"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22,1 %</w:t>
            </w:r>
          </w:p>
        </w:tc>
        <w:tc>
          <w:tcPr>
            <w:tcW w:w="1024" w:type="dxa"/>
            <w:shd w:val="clear" w:color="auto" w:fill="auto"/>
          </w:tcPr>
          <w:p w14:paraId="2771CB95"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86" w:type="dxa"/>
            <w:shd w:val="clear" w:color="auto" w:fill="auto"/>
          </w:tcPr>
          <w:p w14:paraId="539BDC55" w14:textId="77777777" w:rsidR="00155496" w:rsidRPr="0058432E" w:rsidRDefault="00155496" w:rsidP="005A68B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39,1 %</w:t>
            </w:r>
          </w:p>
        </w:tc>
      </w:tr>
      <w:tr w:rsidR="00155496" w:rsidRPr="0058432E" w14:paraId="1E00F84E" w14:textId="77777777" w:rsidTr="00922261">
        <w:tc>
          <w:tcPr>
            <w:tcW w:w="1269" w:type="dxa"/>
            <w:shd w:val="clear" w:color="auto" w:fill="auto"/>
          </w:tcPr>
          <w:p w14:paraId="1D2CDFDE" w14:textId="77777777" w:rsidR="00155496" w:rsidRPr="0058432E" w:rsidRDefault="00155496" w:rsidP="005A68B9">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shd w:val="clear" w:color="auto" w:fill="auto"/>
          </w:tcPr>
          <w:p w14:paraId="5D950F6E"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shd w:val="clear" w:color="auto" w:fill="auto"/>
          </w:tcPr>
          <w:p w14:paraId="3A7DC940"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58" w:type="dxa"/>
            <w:shd w:val="clear" w:color="auto" w:fill="auto"/>
          </w:tcPr>
          <w:p w14:paraId="069E715F"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32" w:type="dxa"/>
            <w:shd w:val="clear" w:color="auto" w:fill="auto"/>
          </w:tcPr>
          <w:p w14:paraId="07700A2E"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24" w:type="dxa"/>
            <w:shd w:val="clear" w:color="auto" w:fill="auto"/>
          </w:tcPr>
          <w:p w14:paraId="704330D1"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9,5 %</w:t>
            </w:r>
          </w:p>
        </w:tc>
        <w:tc>
          <w:tcPr>
            <w:tcW w:w="1586" w:type="dxa"/>
            <w:shd w:val="clear" w:color="auto" w:fill="auto"/>
          </w:tcPr>
          <w:p w14:paraId="5CB4C546"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41,5 %</w:t>
            </w:r>
          </w:p>
        </w:tc>
      </w:tr>
      <w:tr w:rsidR="00155496" w:rsidRPr="0058432E" w14:paraId="093C288F" w14:textId="77777777" w:rsidTr="00922261">
        <w:tc>
          <w:tcPr>
            <w:tcW w:w="1269" w:type="dxa"/>
            <w:shd w:val="clear" w:color="auto" w:fill="auto"/>
          </w:tcPr>
          <w:p w14:paraId="26429510" w14:textId="77777777" w:rsidR="00155496" w:rsidRPr="0058432E" w:rsidRDefault="00155496" w:rsidP="005A68B9">
            <w:pPr>
              <w:pStyle w:val="TableParagraph"/>
              <w:keepNext/>
              <w:keepLines/>
              <w:widowControl/>
              <w:kinsoku w:val="0"/>
              <w:overflowPunct w:val="0"/>
              <w:spacing w:line="252" w:lineRule="exact"/>
              <w:ind w:left="-2"/>
              <w:rPr>
                <w:rFonts w:ascii="Times New Roman" w:hAnsi="Times New Roman"/>
                <w:color w:val="000000" w:themeColor="text1"/>
              </w:rPr>
            </w:pPr>
            <w:r w:rsidRPr="0058432E">
              <w:rPr>
                <w:rFonts w:ascii="Times New Roman" w:hAnsi="Times New Roman"/>
                <w:color w:val="000000" w:themeColor="text1"/>
              </w:rPr>
              <w:t>ACR 70</w:t>
            </w:r>
          </w:p>
        </w:tc>
        <w:tc>
          <w:tcPr>
            <w:tcW w:w="1174" w:type="dxa"/>
            <w:shd w:val="clear" w:color="auto" w:fill="auto"/>
          </w:tcPr>
          <w:p w14:paraId="635D60A6" w14:textId="77777777" w:rsidR="00155496" w:rsidRPr="0058432E" w:rsidRDefault="00155496" w:rsidP="005A68B9">
            <w:pPr>
              <w:keepNext/>
              <w:keepLines/>
              <w:jc w:val="center"/>
              <w:rPr>
                <w:rFonts w:eastAsia="Calibri"/>
                <w:color w:val="000000" w:themeColor="text1"/>
              </w:rPr>
            </w:pPr>
          </w:p>
        </w:tc>
        <w:tc>
          <w:tcPr>
            <w:tcW w:w="1534" w:type="dxa"/>
            <w:shd w:val="clear" w:color="auto" w:fill="auto"/>
          </w:tcPr>
          <w:p w14:paraId="1051B858" w14:textId="77777777" w:rsidR="00155496" w:rsidRPr="0058432E" w:rsidRDefault="00155496" w:rsidP="005A68B9">
            <w:pPr>
              <w:keepNext/>
              <w:keepLines/>
              <w:jc w:val="center"/>
              <w:rPr>
                <w:rFonts w:eastAsia="Calibri"/>
                <w:color w:val="000000" w:themeColor="text1"/>
              </w:rPr>
            </w:pPr>
          </w:p>
        </w:tc>
        <w:tc>
          <w:tcPr>
            <w:tcW w:w="1058" w:type="dxa"/>
            <w:shd w:val="clear" w:color="auto" w:fill="auto"/>
          </w:tcPr>
          <w:p w14:paraId="2A19BAFF" w14:textId="77777777" w:rsidR="00155496" w:rsidRPr="0058432E" w:rsidRDefault="00155496" w:rsidP="005A68B9">
            <w:pPr>
              <w:keepNext/>
              <w:keepLines/>
              <w:jc w:val="center"/>
              <w:rPr>
                <w:rFonts w:eastAsia="Calibri"/>
                <w:color w:val="000000" w:themeColor="text1"/>
              </w:rPr>
            </w:pPr>
          </w:p>
        </w:tc>
        <w:tc>
          <w:tcPr>
            <w:tcW w:w="1732" w:type="dxa"/>
            <w:shd w:val="clear" w:color="auto" w:fill="auto"/>
          </w:tcPr>
          <w:p w14:paraId="382796DD" w14:textId="77777777" w:rsidR="00155496" w:rsidRPr="0058432E" w:rsidRDefault="00155496" w:rsidP="005A68B9">
            <w:pPr>
              <w:keepNext/>
              <w:keepLines/>
              <w:jc w:val="center"/>
              <w:rPr>
                <w:rFonts w:eastAsia="Calibri"/>
                <w:color w:val="000000" w:themeColor="text1"/>
              </w:rPr>
            </w:pPr>
          </w:p>
        </w:tc>
        <w:tc>
          <w:tcPr>
            <w:tcW w:w="1024" w:type="dxa"/>
            <w:shd w:val="clear" w:color="auto" w:fill="auto"/>
          </w:tcPr>
          <w:p w14:paraId="61D36809" w14:textId="77777777" w:rsidR="00155496" w:rsidRPr="0058432E" w:rsidRDefault="00155496" w:rsidP="005A68B9">
            <w:pPr>
              <w:keepNext/>
              <w:keepLines/>
              <w:jc w:val="center"/>
              <w:rPr>
                <w:rFonts w:eastAsia="Calibri"/>
                <w:color w:val="000000" w:themeColor="text1"/>
              </w:rPr>
            </w:pPr>
          </w:p>
        </w:tc>
        <w:tc>
          <w:tcPr>
            <w:tcW w:w="1586" w:type="dxa"/>
            <w:shd w:val="clear" w:color="auto" w:fill="auto"/>
          </w:tcPr>
          <w:p w14:paraId="064B139D" w14:textId="77777777" w:rsidR="00155496" w:rsidRPr="0058432E" w:rsidRDefault="00155496" w:rsidP="005A68B9">
            <w:pPr>
              <w:keepNext/>
              <w:keepLines/>
              <w:jc w:val="center"/>
              <w:rPr>
                <w:rFonts w:eastAsia="Calibri"/>
                <w:color w:val="000000" w:themeColor="text1"/>
              </w:rPr>
            </w:pPr>
          </w:p>
        </w:tc>
      </w:tr>
      <w:tr w:rsidR="00155496" w:rsidRPr="0058432E" w14:paraId="72161115" w14:textId="77777777" w:rsidTr="00922261">
        <w:tc>
          <w:tcPr>
            <w:tcW w:w="1269" w:type="dxa"/>
            <w:shd w:val="clear" w:color="auto" w:fill="auto"/>
          </w:tcPr>
          <w:p w14:paraId="63ECA41A" w14:textId="77777777" w:rsidR="00155496" w:rsidRPr="0058432E" w:rsidRDefault="00155496" w:rsidP="005A68B9">
            <w:pPr>
              <w:pStyle w:val="TableParagraph"/>
              <w:keepNext/>
              <w:keepLines/>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6 mois</w:t>
            </w:r>
          </w:p>
        </w:tc>
        <w:tc>
          <w:tcPr>
            <w:tcW w:w="1174" w:type="dxa"/>
            <w:shd w:val="clear" w:color="auto" w:fill="auto"/>
          </w:tcPr>
          <w:p w14:paraId="08607575"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3,3 %</w:t>
            </w:r>
          </w:p>
        </w:tc>
        <w:tc>
          <w:tcPr>
            <w:tcW w:w="1534" w:type="dxa"/>
            <w:shd w:val="clear" w:color="auto" w:fill="auto"/>
          </w:tcPr>
          <w:p w14:paraId="7786AE37"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23,8 %</w:t>
            </w:r>
          </w:p>
        </w:tc>
        <w:tc>
          <w:tcPr>
            <w:tcW w:w="1058" w:type="dxa"/>
            <w:shd w:val="clear" w:color="auto" w:fill="auto"/>
          </w:tcPr>
          <w:p w14:paraId="04D67456"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1,8 %</w:t>
            </w:r>
          </w:p>
        </w:tc>
        <w:tc>
          <w:tcPr>
            <w:tcW w:w="1732" w:type="dxa"/>
            <w:shd w:val="clear" w:color="auto" w:fill="auto"/>
          </w:tcPr>
          <w:p w14:paraId="3239C090"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12,4 %</w:t>
            </w:r>
          </w:p>
        </w:tc>
        <w:tc>
          <w:tcPr>
            <w:tcW w:w="1024" w:type="dxa"/>
            <w:shd w:val="clear" w:color="auto" w:fill="auto"/>
          </w:tcPr>
          <w:p w14:paraId="6C9D2C6D"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2,5 %</w:t>
            </w:r>
          </w:p>
        </w:tc>
        <w:tc>
          <w:tcPr>
            <w:tcW w:w="1586" w:type="dxa"/>
            <w:shd w:val="clear" w:color="auto" w:fill="auto"/>
          </w:tcPr>
          <w:p w14:paraId="64BE42D0" w14:textId="77777777" w:rsidR="00155496" w:rsidRPr="0058432E" w:rsidRDefault="00155496" w:rsidP="005A68B9">
            <w:pPr>
              <w:pStyle w:val="TableParagraph"/>
              <w:keepNext/>
              <w:keepLines/>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20,8 %</w:t>
            </w:r>
          </w:p>
        </w:tc>
      </w:tr>
      <w:tr w:rsidR="00155496" w:rsidRPr="0058432E" w14:paraId="6CFBA4F2" w14:textId="77777777" w:rsidTr="00922261">
        <w:tc>
          <w:tcPr>
            <w:tcW w:w="1269" w:type="dxa"/>
            <w:tcBorders>
              <w:bottom w:val="single" w:sz="4" w:space="0" w:color="auto"/>
            </w:tcBorders>
            <w:shd w:val="clear" w:color="auto" w:fill="auto"/>
          </w:tcPr>
          <w:p w14:paraId="539A4591" w14:textId="77777777" w:rsidR="00155496" w:rsidRPr="0058432E" w:rsidRDefault="00155496" w:rsidP="005A68B9">
            <w:pPr>
              <w:pStyle w:val="TableParagraph"/>
              <w:widowControl/>
              <w:kinsoku w:val="0"/>
              <w:overflowPunct w:val="0"/>
              <w:spacing w:line="252" w:lineRule="exact"/>
              <w:ind w:left="142"/>
              <w:rPr>
                <w:rFonts w:ascii="Times New Roman" w:hAnsi="Times New Roman"/>
                <w:color w:val="000000" w:themeColor="text1"/>
              </w:rPr>
            </w:pPr>
            <w:r w:rsidRPr="0058432E">
              <w:rPr>
                <w:rFonts w:ascii="Times New Roman" w:hAnsi="Times New Roman"/>
                <w:color w:val="000000" w:themeColor="text1"/>
              </w:rPr>
              <w:t>12 mois</w:t>
            </w:r>
          </w:p>
        </w:tc>
        <w:tc>
          <w:tcPr>
            <w:tcW w:w="1174" w:type="dxa"/>
            <w:tcBorders>
              <w:bottom w:val="single" w:sz="4" w:space="0" w:color="auto"/>
            </w:tcBorders>
            <w:shd w:val="clear" w:color="auto" w:fill="auto"/>
          </w:tcPr>
          <w:p w14:paraId="606BBE17"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534" w:type="dxa"/>
            <w:tcBorders>
              <w:bottom w:val="single" w:sz="4" w:space="0" w:color="auto"/>
            </w:tcBorders>
            <w:shd w:val="clear" w:color="auto" w:fill="auto"/>
          </w:tcPr>
          <w:p w14:paraId="20686035"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58" w:type="dxa"/>
            <w:tcBorders>
              <w:bottom w:val="single" w:sz="4" w:space="0" w:color="auto"/>
            </w:tcBorders>
            <w:shd w:val="clear" w:color="auto" w:fill="auto"/>
          </w:tcPr>
          <w:p w14:paraId="5F3FA1A6"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732" w:type="dxa"/>
            <w:tcBorders>
              <w:bottom w:val="single" w:sz="4" w:space="0" w:color="auto"/>
            </w:tcBorders>
            <w:shd w:val="clear" w:color="auto" w:fill="auto"/>
          </w:tcPr>
          <w:p w14:paraId="272959B0"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NA</w:t>
            </w:r>
          </w:p>
        </w:tc>
        <w:tc>
          <w:tcPr>
            <w:tcW w:w="1024" w:type="dxa"/>
            <w:tcBorders>
              <w:bottom w:val="single" w:sz="4" w:space="0" w:color="auto"/>
            </w:tcBorders>
            <w:shd w:val="clear" w:color="auto" w:fill="auto"/>
          </w:tcPr>
          <w:p w14:paraId="78627C7E"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4,5 %</w:t>
            </w:r>
          </w:p>
        </w:tc>
        <w:tc>
          <w:tcPr>
            <w:tcW w:w="1586" w:type="dxa"/>
            <w:tcBorders>
              <w:bottom w:val="single" w:sz="4" w:space="0" w:color="auto"/>
            </w:tcBorders>
            <w:shd w:val="clear" w:color="auto" w:fill="auto"/>
          </w:tcPr>
          <w:p w14:paraId="754ED984" w14:textId="77777777" w:rsidR="00155496" w:rsidRPr="0058432E" w:rsidRDefault="00155496" w:rsidP="005A68B9">
            <w:pPr>
              <w:pStyle w:val="TableParagraph"/>
              <w:widowControl/>
              <w:kinsoku w:val="0"/>
              <w:overflowPunct w:val="0"/>
              <w:spacing w:line="252" w:lineRule="exact"/>
              <w:jc w:val="center"/>
              <w:rPr>
                <w:rFonts w:ascii="Times New Roman" w:hAnsi="Times New Roman"/>
                <w:color w:val="000000" w:themeColor="text1"/>
              </w:rPr>
            </w:pPr>
            <w:r w:rsidRPr="0058432E">
              <w:rPr>
                <w:rFonts w:ascii="Times New Roman" w:hAnsi="Times New Roman"/>
                <w:color w:val="000000" w:themeColor="text1"/>
              </w:rPr>
              <w:t>23,2 %</w:t>
            </w:r>
          </w:p>
        </w:tc>
      </w:tr>
      <w:tr w:rsidR="00922261" w:rsidRPr="0058432E" w14:paraId="7663E89E" w14:textId="77777777" w:rsidTr="00922261">
        <w:tc>
          <w:tcPr>
            <w:tcW w:w="9377" w:type="dxa"/>
            <w:gridSpan w:val="7"/>
            <w:tcBorders>
              <w:left w:val="nil"/>
              <w:bottom w:val="nil"/>
              <w:right w:val="nil"/>
            </w:tcBorders>
            <w:shd w:val="clear" w:color="auto" w:fill="auto"/>
          </w:tcPr>
          <w:p w14:paraId="0CF3CBD5" w14:textId="77777777" w:rsidR="00922261" w:rsidRPr="0058432E" w:rsidRDefault="00922261" w:rsidP="00922261">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vertAlign w:val="superscript"/>
              </w:rPr>
              <w:t xml:space="preserve"> </w:t>
            </w:r>
            <w:r w:rsidRPr="0058432E">
              <w:rPr>
                <w:color w:val="000000" w:themeColor="text1"/>
                <w:sz w:val="20"/>
              </w:rPr>
              <w:tab/>
              <w:t xml:space="preserve">Étude I sur </w:t>
            </w:r>
            <w:proofErr w:type="gramStart"/>
            <w:r w:rsidRPr="0058432E">
              <w:rPr>
                <w:color w:val="000000" w:themeColor="text1"/>
                <w:sz w:val="20"/>
              </w:rPr>
              <w:t>la PR</w:t>
            </w:r>
            <w:proofErr w:type="gramEnd"/>
            <w:r w:rsidRPr="0058432E">
              <w:rPr>
                <w:color w:val="000000" w:themeColor="text1"/>
                <w:sz w:val="20"/>
              </w:rPr>
              <w:t xml:space="preserve"> à 24 semaines, étude II sur </w:t>
            </w:r>
            <w:proofErr w:type="gramStart"/>
            <w:r w:rsidRPr="0058432E">
              <w:rPr>
                <w:color w:val="000000" w:themeColor="text1"/>
                <w:sz w:val="20"/>
              </w:rPr>
              <w:t>la PR</w:t>
            </w:r>
            <w:proofErr w:type="gramEnd"/>
            <w:r w:rsidRPr="0058432E">
              <w:rPr>
                <w:color w:val="000000" w:themeColor="text1"/>
                <w:sz w:val="20"/>
              </w:rPr>
              <w:t xml:space="preserve"> à 26 semaines et étude III sur </w:t>
            </w:r>
            <w:proofErr w:type="gramStart"/>
            <w:r w:rsidRPr="0058432E">
              <w:rPr>
                <w:color w:val="000000" w:themeColor="text1"/>
                <w:sz w:val="20"/>
              </w:rPr>
              <w:t>la PR</w:t>
            </w:r>
            <w:proofErr w:type="gramEnd"/>
            <w:r w:rsidRPr="0058432E">
              <w:rPr>
                <w:color w:val="000000" w:themeColor="text1"/>
                <w:sz w:val="20"/>
              </w:rPr>
              <w:t xml:space="preserve"> à 24 et 52 semaines</w:t>
            </w:r>
          </w:p>
          <w:p w14:paraId="7FDF5DDA" w14:textId="77777777" w:rsidR="00922261" w:rsidRPr="0058432E" w:rsidRDefault="00922261" w:rsidP="00922261">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vertAlign w:val="superscript"/>
              </w:rPr>
              <w:t xml:space="preserve"> </w:t>
            </w:r>
            <w:r w:rsidRPr="0058432E">
              <w:rPr>
                <w:color w:val="000000" w:themeColor="text1"/>
                <w:sz w:val="20"/>
              </w:rPr>
              <w:tab/>
              <w:t>40 mg d’adalimumab administré toutes les deux semaines</w:t>
            </w:r>
          </w:p>
          <w:p w14:paraId="37206C3B" w14:textId="77777777" w:rsidR="00922261" w:rsidRPr="0058432E" w:rsidRDefault="00922261" w:rsidP="00922261">
            <w:pPr>
              <w:keepNext/>
              <w:tabs>
                <w:tab w:val="left" w:pos="288"/>
              </w:tabs>
              <w:ind w:left="274" w:hanging="274"/>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vertAlign w:val="superscript"/>
              </w:rPr>
              <w:t xml:space="preserve"> </w:t>
            </w:r>
            <w:r w:rsidRPr="0058432E">
              <w:rPr>
                <w:color w:val="000000" w:themeColor="text1"/>
                <w:sz w:val="20"/>
              </w:rPr>
              <w:tab/>
              <w:t>MTX = méthotrexate</w:t>
            </w:r>
          </w:p>
          <w:p w14:paraId="71E4ECF8" w14:textId="77777777" w:rsidR="00922261" w:rsidRPr="0058432E" w:rsidRDefault="00922261" w:rsidP="00922261">
            <w:pPr>
              <w:tabs>
                <w:tab w:val="left" w:pos="288"/>
              </w:tabs>
              <w:ind w:left="270" w:hanging="270"/>
              <w:rPr>
                <w:color w:val="000000" w:themeColor="text1"/>
                <w:sz w:val="20"/>
              </w:rPr>
            </w:pPr>
            <w:r w:rsidRPr="0058432E">
              <w:rPr>
                <w:color w:val="000000" w:themeColor="text1"/>
                <w:sz w:val="20"/>
              </w:rPr>
              <w:t>**</w:t>
            </w:r>
            <w:r w:rsidRPr="0058432E">
              <w:rPr>
                <w:color w:val="000000" w:themeColor="text1"/>
                <w:sz w:val="20"/>
                <w:vertAlign w:val="superscript"/>
              </w:rPr>
              <w:tab/>
            </w:r>
            <w:r w:rsidRPr="0058432E">
              <w:rPr>
                <w:color w:val="000000" w:themeColor="text1"/>
                <w:sz w:val="20"/>
              </w:rPr>
              <w:t xml:space="preserve">p &lt; 0,01, adalimumab </w:t>
            </w:r>
            <w:r w:rsidRPr="0058432E">
              <w:rPr>
                <w:i/>
                <w:color w:val="000000" w:themeColor="text1"/>
                <w:sz w:val="20"/>
              </w:rPr>
              <w:t>versus</w:t>
            </w:r>
            <w:r w:rsidRPr="0058432E">
              <w:rPr>
                <w:color w:val="000000" w:themeColor="text1"/>
                <w:sz w:val="20"/>
              </w:rPr>
              <w:t xml:space="preserve"> placebo</w:t>
            </w:r>
          </w:p>
        </w:tc>
      </w:tr>
    </w:tbl>
    <w:p w14:paraId="71DFDF6B" w14:textId="77777777" w:rsidR="00BC3084" w:rsidRPr="0058432E" w:rsidRDefault="00BC3084" w:rsidP="00982118">
      <w:pPr>
        <w:rPr>
          <w:color w:val="000000" w:themeColor="text1"/>
        </w:rPr>
      </w:pPr>
    </w:p>
    <w:p w14:paraId="348B0CF9" w14:textId="77777777" w:rsidR="00C46587" w:rsidRPr="0058432E" w:rsidRDefault="00C46587" w:rsidP="00982118">
      <w:pPr>
        <w:rPr>
          <w:color w:val="000000" w:themeColor="text1"/>
        </w:rPr>
      </w:pPr>
      <w:r w:rsidRPr="0058432E">
        <w:rPr>
          <w:color w:val="000000" w:themeColor="text1"/>
        </w:rPr>
        <w:t>Dans les études I</w:t>
      </w:r>
      <w:r w:rsidRPr="0058432E">
        <w:rPr>
          <w:color w:val="000000" w:themeColor="text1"/>
        </w:rPr>
        <w:noBreakHyphen/>
        <w:t xml:space="preserve">IV sur </w:t>
      </w:r>
      <w:proofErr w:type="gramStart"/>
      <w:r w:rsidRPr="0058432E">
        <w:rPr>
          <w:color w:val="000000" w:themeColor="text1"/>
        </w:rPr>
        <w:t>la PR</w:t>
      </w:r>
      <w:proofErr w:type="gramEnd"/>
      <w:r w:rsidRPr="0058432E">
        <w:rPr>
          <w:color w:val="000000" w:themeColor="text1"/>
        </w:rPr>
        <w:t xml:space="preserve">, les composantes individuelles des critères de réponse de l’ACR (nombre d’articulations sensibles et tuméfiées, évaluation par le médecin et le patient de l’activité de la maladie et de la douleur, indice d’invalidité (HAQ) et valeurs de la CRP [mg/dl]) ont été améliorées à 24 ou 26 semaines par rapport au placebo. Dans l’étude III sur </w:t>
      </w:r>
      <w:proofErr w:type="gramStart"/>
      <w:r w:rsidRPr="0058432E">
        <w:rPr>
          <w:color w:val="000000" w:themeColor="text1"/>
        </w:rPr>
        <w:t>la PR</w:t>
      </w:r>
      <w:proofErr w:type="gramEnd"/>
      <w:r w:rsidRPr="0058432E">
        <w:rPr>
          <w:color w:val="000000" w:themeColor="text1"/>
        </w:rPr>
        <w:t xml:space="preserve">, ces améliorations se sont maintenues tout au long des 52 semaines. </w:t>
      </w:r>
    </w:p>
    <w:p w14:paraId="557D8519" w14:textId="77777777" w:rsidR="00C46587" w:rsidRPr="0058432E" w:rsidRDefault="00C46587" w:rsidP="00982118">
      <w:pPr>
        <w:rPr>
          <w:color w:val="000000" w:themeColor="text1"/>
        </w:rPr>
      </w:pPr>
    </w:p>
    <w:p w14:paraId="4B67E55A" w14:textId="77777777" w:rsidR="00C46587" w:rsidRPr="0058432E" w:rsidRDefault="00C46587" w:rsidP="00982118">
      <w:pPr>
        <w:rPr>
          <w:color w:val="000000" w:themeColor="text1"/>
        </w:rPr>
      </w:pPr>
      <w:r w:rsidRPr="0058432E">
        <w:rPr>
          <w:color w:val="000000" w:themeColor="text1"/>
        </w:rPr>
        <w:t xml:space="preserve">Dans la phase d’extension en ouvert de l’étude III sur </w:t>
      </w:r>
      <w:proofErr w:type="gramStart"/>
      <w:r w:rsidRPr="0058432E">
        <w:rPr>
          <w:color w:val="000000" w:themeColor="text1"/>
        </w:rPr>
        <w:t>la PR</w:t>
      </w:r>
      <w:proofErr w:type="gramEnd"/>
      <w:r w:rsidRPr="0058432E">
        <w:rPr>
          <w:color w:val="000000" w:themeColor="text1"/>
        </w:rPr>
        <w:t>, les taux de réponse ACR ont été maintenus chez la plupart des patients suivis jusqu’à 10 ans. Sur 207 patients randomisés pour recevoir l’adalimumab 40 mg toutes les deux semaines, 114 patients ont poursuivi l’adalimumab à la dose de 40 mg toutes les deux semaines pendant 5 ans. Parmi ces patients, 86 patients (75,4 %) ont eu une réponse ACR 20 ; 72 patients (63,2 %) ont eu une réponse ACR 50 et 41 patients (36 %) ont eu une réponse ACR 70. Sur 207 patients, 81 patients ont poursuivi l’adalimumab à la dose de 40 mg toutes les deux semaines pendant 10 ans. Parmi ces patients, 64 patients (79,0</w:t>
      </w:r>
      <w:r w:rsidR="00E85F4B" w:rsidRPr="0058432E">
        <w:rPr>
          <w:color w:val="000000" w:themeColor="text1"/>
        </w:rPr>
        <w:t> </w:t>
      </w:r>
      <w:r w:rsidRPr="0058432E">
        <w:rPr>
          <w:color w:val="000000" w:themeColor="text1"/>
        </w:rPr>
        <w:t>%) ont eu une réponse ACR</w:t>
      </w:r>
      <w:r w:rsidR="002A7F87" w:rsidRPr="0058432E">
        <w:rPr>
          <w:color w:val="000000" w:themeColor="text1"/>
        </w:rPr>
        <w:t> </w:t>
      </w:r>
      <w:r w:rsidRPr="0058432E">
        <w:rPr>
          <w:color w:val="000000" w:themeColor="text1"/>
        </w:rPr>
        <w:t>20 ; 56 patients (69,1</w:t>
      </w:r>
      <w:r w:rsidR="00E85F4B" w:rsidRPr="0058432E">
        <w:rPr>
          <w:color w:val="000000" w:themeColor="text1"/>
        </w:rPr>
        <w:t> </w:t>
      </w:r>
      <w:r w:rsidRPr="0058432E">
        <w:rPr>
          <w:color w:val="000000" w:themeColor="text1"/>
        </w:rPr>
        <w:t>%) ont eu une réponse ACR 50 et 43 patients (53,1</w:t>
      </w:r>
      <w:r w:rsidR="00E85F4B" w:rsidRPr="0058432E">
        <w:rPr>
          <w:color w:val="000000" w:themeColor="text1"/>
        </w:rPr>
        <w:t> </w:t>
      </w:r>
      <w:r w:rsidRPr="0058432E">
        <w:rPr>
          <w:color w:val="000000" w:themeColor="text1"/>
        </w:rPr>
        <w:t xml:space="preserve">%) ont eu une réponse ACR 70. </w:t>
      </w:r>
    </w:p>
    <w:p w14:paraId="6BD67C4B" w14:textId="77777777" w:rsidR="00C46587" w:rsidRPr="0058432E" w:rsidRDefault="00C46587" w:rsidP="00982118">
      <w:pPr>
        <w:rPr>
          <w:color w:val="000000" w:themeColor="text1"/>
        </w:rPr>
      </w:pPr>
    </w:p>
    <w:p w14:paraId="1E6B37D8" w14:textId="77777777" w:rsidR="00BC3084" w:rsidRPr="0058432E" w:rsidRDefault="00C46587" w:rsidP="00982118">
      <w:pPr>
        <w:rPr>
          <w:color w:val="000000" w:themeColor="text1"/>
        </w:rPr>
      </w:pPr>
      <w:r w:rsidRPr="0058432E">
        <w:rPr>
          <w:color w:val="000000" w:themeColor="text1"/>
        </w:rPr>
        <w:lastRenderedPageBreak/>
        <w:t xml:space="preserve">Dans l’étude IV sur </w:t>
      </w:r>
      <w:proofErr w:type="gramStart"/>
      <w:r w:rsidRPr="0058432E">
        <w:rPr>
          <w:color w:val="000000" w:themeColor="text1"/>
        </w:rPr>
        <w:t>la PR</w:t>
      </w:r>
      <w:proofErr w:type="gramEnd"/>
      <w:r w:rsidRPr="0058432E">
        <w:rPr>
          <w:color w:val="000000" w:themeColor="text1"/>
        </w:rPr>
        <w:t xml:space="preserve">, la réponse ACR 20 des patients traités par adalimumab en plus des soins habituels a été significativement meilleure que chez les patients recevant le placebo plus les soins habituels (p &lt; 0,001). </w:t>
      </w:r>
    </w:p>
    <w:p w14:paraId="124A10D8" w14:textId="77777777" w:rsidR="00C46587" w:rsidRPr="0058432E" w:rsidRDefault="00A06906" w:rsidP="00982118">
      <w:pPr>
        <w:rPr>
          <w:color w:val="000000" w:themeColor="text1"/>
        </w:rPr>
      </w:pPr>
      <w:r w:rsidRPr="0058432E">
        <w:rPr>
          <w:color w:val="000000" w:themeColor="text1"/>
        </w:rPr>
        <w:t xml:space="preserve"> </w:t>
      </w:r>
    </w:p>
    <w:p w14:paraId="3E74EADD" w14:textId="77777777" w:rsidR="00C46587" w:rsidRPr="0058432E" w:rsidRDefault="00C46587" w:rsidP="00982118">
      <w:pPr>
        <w:rPr>
          <w:color w:val="000000" w:themeColor="text1"/>
        </w:rPr>
      </w:pPr>
      <w:r w:rsidRPr="0058432E">
        <w:rPr>
          <w:color w:val="000000" w:themeColor="text1"/>
        </w:rPr>
        <w:t>Dans les études I</w:t>
      </w:r>
      <w:r w:rsidRPr="0058432E">
        <w:rPr>
          <w:color w:val="000000" w:themeColor="text1"/>
        </w:rPr>
        <w:noBreakHyphen/>
        <w:t xml:space="preserve">IV sur </w:t>
      </w:r>
      <w:proofErr w:type="gramStart"/>
      <w:r w:rsidRPr="0058432E">
        <w:rPr>
          <w:color w:val="000000" w:themeColor="text1"/>
        </w:rPr>
        <w:t>la PR</w:t>
      </w:r>
      <w:proofErr w:type="gramEnd"/>
      <w:r w:rsidRPr="0058432E">
        <w:rPr>
          <w:color w:val="000000" w:themeColor="text1"/>
        </w:rPr>
        <w:t xml:space="preserve">, les réponses ACR 20 et 50 des patients traités par adalimumab ont été statistiquement significatives par rapport au placebo dès la première ou la deuxième semaine de traitement. </w:t>
      </w:r>
    </w:p>
    <w:p w14:paraId="2662E333" w14:textId="77777777" w:rsidR="00C46587" w:rsidRPr="0058432E" w:rsidRDefault="00C46587" w:rsidP="00982118">
      <w:pPr>
        <w:rPr>
          <w:color w:val="000000" w:themeColor="text1"/>
        </w:rPr>
      </w:pPr>
    </w:p>
    <w:p w14:paraId="3AB2D6DF" w14:textId="77777777" w:rsidR="00C46587" w:rsidRPr="0058432E" w:rsidRDefault="00C46587" w:rsidP="00982118">
      <w:pPr>
        <w:rPr>
          <w:color w:val="000000" w:themeColor="text1"/>
        </w:rPr>
      </w:pPr>
      <w:r w:rsidRPr="0058432E">
        <w:rPr>
          <w:color w:val="000000" w:themeColor="text1"/>
        </w:rPr>
        <w:t xml:space="preserve">Dans l’étude V sur </w:t>
      </w:r>
      <w:proofErr w:type="gramStart"/>
      <w:r w:rsidRPr="0058432E">
        <w:rPr>
          <w:color w:val="000000" w:themeColor="text1"/>
        </w:rPr>
        <w:t>la PR</w:t>
      </w:r>
      <w:proofErr w:type="gramEnd"/>
      <w:r w:rsidRPr="0058432E">
        <w:rPr>
          <w:color w:val="000000" w:themeColor="text1"/>
        </w:rPr>
        <w:t xml:space="preserve"> chez des patients ayant une polyarthrite rhumatoïde récente, naïfs de méthotrexate, un traitement associant de l’adalimumab et du méthotrexate a conduit à des réponses ACR plus rapides et significativement plus importantes qu’avec le méthotrexate seul et l’adalimumab seul, à la semaine 52 et les réponses étaient maintenues à la semaine 104 (voir tableau </w:t>
      </w:r>
      <w:r w:rsidR="00671B82" w:rsidRPr="0058432E">
        <w:rPr>
          <w:color w:val="000000" w:themeColor="text1"/>
        </w:rPr>
        <w:t>9</w:t>
      </w:r>
      <w:r w:rsidRPr="0058432E">
        <w:rPr>
          <w:color w:val="000000" w:themeColor="text1"/>
        </w:rPr>
        <w:t xml:space="preserve">). </w:t>
      </w:r>
    </w:p>
    <w:p w14:paraId="79E9FD74" w14:textId="77777777" w:rsidR="00BC3084" w:rsidRPr="0058432E" w:rsidRDefault="00BC3084" w:rsidP="00982118">
      <w:pPr>
        <w:keepNext/>
        <w:rPr>
          <w:color w:val="000000" w:themeColor="text1"/>
        </w:rPr>
      </w:pPr>
    </w:p>
    <w:p w14:paraId="20AD402E" w14:textId="77777777" w:rsidR="00C46587" w:rsidRPr="0058432E" w:rsidRDefault="00C46587" w:rsidP="00A53E17">
      <w:pPr>
        <w:keepNext/>
        <w:rPr>
          <w:b/>
          <w:color w:val="000000" w:themeColor="text1"/>
        </w:rPr>
      </w:pPr>
      <w:r w:rsidRPr="0058432E">
        <w:rPr>
          <w:b/>
          <w:color w:val="000000" w:themeColor="text1"/>
        </w:rPr>
        <w:t>Tableau </w:t>
      </w:r>
      <w:r w:rsidR="00671B82" w:rsidRPr="0058432E">
        <w:rPr>
          <w:b/>
          <w:color w:val="000000" w:themeColor="text1"/>
        </w:rPr>
        <w:t>9</w:t>
      </w:r>
      <w:r w:rsidR="00BA0AD5" w:rsidRPr="0058432E">
        <w:rPr>
          <w:b/>
          <w:color w:val="000000" w:themeColor="text1"/>
        </w:rPr>
        <w:t>.</w:t>
      </w:r>
    </w:p>
    <w:p w14:paraId="3183F410" w14:textId="77777777" w:rsidR="003716CB" w:rsidRPr="0058432E" w:rsidRDefault="003716CB" w:rsidP="00A53E17">
      <w:pPr>
        <w:keepNext/>
        <w:rPr>
          <w:b/>
          <w:color w:val="000000" w:themeColor="text1"/>
        </w:rPr>
      </w:pPr>
      <w:r w:rsidRPr="0058432E">
        <w:rPr>
          <w:b/>
          <w:color w:val="000000" w:themeColor="text1"/>
        </w:rPr>
        <w:t>Réponses ACR dans l’étude V sur la PR (pourcentage de patients)</w:t>
      </w:r>
    </w:p>
    <w:p w14:paraId="2E36CB00" w14:textId="77777777" w:rsidR="003716CB" w:rsidRPr="0058432E" w:rsidRDefault="003716CB" w:rsidP="003716CB">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935"/>
        <w:gridCol w:w="1519"/>
        <w:gridCol w:w="1986"/>
        <w:gridCol w:w="997"/>
        <w:gridCol w:w="1046"/>
        <w:gridCol w:w="1046"/>
      </w:tblGrid>
      <w:tr w:rsidR="003716CB" w:rsidRPr="0058432E" w14:paraId="50BF3E62" w14:textId="77777777" w:rsidTr="00DA48AB">
        <w:trPr>
          <w:tblHeader/>
        </w:trPr>
        <w:tc>
          <w:tcPr>
            <w:tcW w:w="1579" w:type="dxa"/>
            <w:tcBorders>
              <w:top w:val="single" w:sz="4" w:space="0" w:color="auto"/>
              <w:left w:val="single" w:sz="4" w:space="0" w:color="auto"/>
              <w:bottom w:val="single" w:sz="4" w:space="0" w:color="auto"/>
              <w:right w:val="single" w:sz="4" w:space="0" w:color="auto"/>
            </w:tcBorders>
            <w:vAlign w:val="center"/>
            <w:hideMark/>
          </w:tcPr>
          <w:p w14:paraId="071699E4" w14:textId="77777777" w:rsidR="003716CB" w:rsidRPr="0058432E" w:rsidRDefault="003716CB" w:rsidP="00E9681E">
            <w:pPr>
              <w:keepNext/>
              <w:jc w:val="center"/>
              <w:rPr>
                <w:b/>
                <w:color w:val="000000" w:themeColor="text1"/>
              </w:rPr>
            </w:pPr>
            <w:r w:rsidRPr="0058432E">
              <w:rPr>
                <w:b/>
                <w:color w:val="000000" w:themeColor="text1"/>
              </w:rPr>
              <w:t>Réponse</w:t>
            </w:r>
          </w:p>
        </w:tc>
        <w:tc>
          <w:tcPr>
            <w:tcW w:w="957" w:type="dxa"/>
            <w:tcBorders>
              <w:top w:val="single" w:sz="4" w:space="0" w:color="auto"/>
              <w:left w:val="single" w:sz="4" w:space="0" w:color="auto"/>
              <w:bottom w:val="single" w:sz="4" w:space="0" w:color="auto"/>
              <w:right w:val="single" w:sz="4" w:space="0" w:color="auto"/>
            </w:tcBorders>
            <w:hideMark/>
          </w:tcPr>
          <w:p w14:paraId="091A7FF8" w14:textId="77777777" w:rsidR="003716CB" w:rsidRPr="0058432E" w:rsidRDefault="003716CB" w:rsidP="00E9681E">
            <w:pPr>
              <w:keepNext/>
              <w:jc w:val="center"/>
              <w:rPr>
                <w:b/>
                <w:color w:val="000000" w:themeColor="text1"/>
              </w:rPr>
            </w:pPr>
            <w:r w:rsidRPr="0058432E">
              <w:rPr>
                <w:b/>
                <w:color w:val="000000" w:themeColor="text1"/>
              </w:rPr>
              <w:t>MTX</w:t>
            </w:r>
          </w:p>
          <w:p w14:paraId="58AC1327"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257</w:t>
            </w:r>
          </w:p>
        </w:tc>
        <w:tc>
          <w:tcPr>
            <w:tcW w:w="1560" w:type="dxa"/>
            <w:tcBorders>
              <w:top w:val="single" w:sz="4" w:space="0" w:color="auto"/>
              <w:left w:val="single" w:sz="4" w:space="0" w:color="auto"/>
              <w:bottom w:val="single" w:sz="4" w:space="0" w:color="auto"/>
              <w:right w:val="single" w:sz="4" w:space="0" w:color="auto"/>
            </w:tcBorders>
            <w:hideMark/>
          </w:tcPr>
          <w:p w14:paraId="5C6792A3" w14:textId="77777777" w:rsidR="003716CB" w:rsidRPr="0058432E" w:rsidRDefault="003716CB" w:rsidP="00E9681E">
            <w:pPr>
              <w:keepNext/>
              <w:jc w:val="center"/>
              <w:rPr>
                <w:b/>
                <w:color w:val="000000" w:themeColor="text1"/>
              </w:rPr>
            </w:pPr>
            <w:r w:rsidRPr="0058432E">
              <w:rPr>
                <w:b/>
                <w:color w:val="000000" w:themeColor="text1"/>
              </w:rPr>
              <w:t>Adalimumab</w:t>
            </w:r>
          </w:p>
          <w:p w14:paraId="0C715E65"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274</w:t>
            </w:r>
          </w:p>
        </w:tc>
        <w:tc>
          <w:tcPr>
            <w:tcW w:w="2042" w:type="dxa"/>
            <w:tcBorders>
              <w:top w:val="single" w:sz="4" w:space="0" w:color="auto"/>
              <w:left w:val="single" w:sz="4" w:space="0" w:color="auto"/>
              <w:bottom w:val="single" w:sz="4" w:space="0" w:color="auto"/>
              <w:right w:val="single" w:sz="4" w:space="0" w:color="auto"/>
            </w:tcBorders>
            <w:hideMark/>
          </w:tcPr>
          <w:p w14:paraId="743F00BC" w14:textId="77777777" w:rsidR="003716CB" w:rsidRPr="0058432E" w:rsidRDefault="003716CB" w:rsidP="00E9681E">
            <w:pPr>
              <w:keepNext/>
              <w:jc w:val="center"/>
              <w:rPr>
                <w:b/>
                <w:color w:val="000000" w:themeColor="text1"/>
              </w:rPr>
            </w:pPr>
            <w:r w:rsidRPr="0058432E">
              <w:rPr>
                <w:b/>
                <w:color w:val="000000" w:themeColor="text1"/>
              </w:rPr>
              <w:t>Adalimumab/MTX</w:t>
            </w:r>
          </w:p>
          <w:p w14:paraId="300C2768" w14:textId="77777777" w:rsidR="003716CB" w:rsidRPr="0058432E" w:rsidRDefault="003716CB" w:rsidP="00E9681E">
            <w:pPr>
              <w:keepNext/>
              <w:jc w:val="center"/>
              <w:rPr>
                <w:b/>
                <w:color w:val="000000" w:themeColor="text1"/>
              </w:rPr>
            </w:pPr>
            <w:proofErr w:type="gramStart"/>
            <w:r w:rsidRPr="0058432E">
              <w:rPr>
                <w:b/>
                <w:color w:val="000000" w:themeColor="text1"/>
              </w:rPr>
              <w:t>n</w:t>
            </w:r>
            <w:proofErr w:type="gramEnd"/>
            <w:r w:rsidRPr="0058432E">
              <w:rPr>
                <w:b/>
                <w:color w:val="000000" w:themeColor="text1"/>
              </w:rPr>
              <w:t> = 268</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D50850A"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a</w:t>
            </w:r>
          </w:p>
        </w:tc>
        <w:tc>
          <w:tcPr>
            <w:tcW w:w="1072" w:type="dxa"/>
            <w:tcBorders>
              <w:top w:val="single" w:sz="4" w:space="0" w:color="auto"/>
              <w:left w:val="single" w:sz="4" w:space="0" w:color="auto"/>
              <w:bottom w:val="single" w:sz="4" w:space="0" w:color="auto"/>
              <w:right w:val="single" w:sz="4" w:space="0" w:color="auto"/>
            </w:tcBorders>
            <w:vAlign w:val="center"/>
            <w:hideMark/>
          </w:tcPr>
          <w:p w14:paraId="750CBCAD"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b</w:t>
            </w:r>
          </w:p>
        </w:tc>
        <w:tc>
          <w:tcPr>
            <w:tcW w:w="1072" w:type="dxa"/>
            <w:tcBorders>
              <w:top w:val="single" w:sz="4" w:space="0" w:color="auto"/>
              <w:left w:val="single" w:sz="4" w:space="0" w:color="auto"/>
              <w:bottom w:val="single" w:sz="4" w:space="0" w:color="auto"/>
              <w:right w:val="single" w:sz="4" w:space="0" w:color="auto"/>
            </w:tcBorders>
            <w:vAlign w:val="center"/>
            <w:hideMark/>
          </w:tcPr>
          <w:p w14:paraId="04AF3635" w14:textId="77777777" w:rsidR="003716CB" w:rsidRPr="0058432E" w:rsidRDefault="003716CB" w:rsidP="00E9681E">
            <w:pPr>
              <w:keepNext/>
              <w:jc w:val="center"/>
              <w:rPr>
                <w:b/>
                <w:color w:val="000000" w:themeColor="text1"/>
              </w:rPr>
            </w:pPr>
            <w:r w:rsidRPr="0058432E">
              <w:rPr>
                <w:b/>
                <w:color w:val="000000" w:themeColor="text1"/>
              </w:rPr>
              <w:t xml:space="preserve">Valeur de </w:t>
            </w:r>
            <w:r w:rsidRPr="0058432E">
              <w:rPr>
                <w:b/>
                <w:i/>
                <w:iCs/>
                <w:color w:val="000000" w:themeColor="text1"/>
              </w:rPr>
              <w:t>p</w:t>
            </w:r>
            <w:r w:rsidRPr="0058432E">
              <w:rPr>
                <w:b/>
                <w:color w:val="000000" w:themeColor="text1"/>
                <w:vertAlign w:val="superscript"/>
              </w:rPr>
              <w:t>c</w:t>
            </w:r>
          </w:p>
        </w:tc>
      </w:tr>
      <w:tr w:rsidR="003716CB" w:rsidRPr="0058432E" w14:paraId="69988AC2"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53C9191B" w14:textId="77777777" w:rsidR="003716CB" w:rsidRPr="0058432E" w:rsidRDefault="003716CB" w:rsidP="00E9681E">
            <w:pPr>
              <w:keepNext/>
              <w:rPr>
                <w:color w:val="000000" w:themeColor="text1"/>
              </w:rPr>
            </w:pPr>
            <w:r w:rsidRPr="0058432E">
              <w:rPr>
                <w:color w:val="000000" w:themeColor="text1"/>
              </w:rPr>
              <w:t>ACR 20</w:t>
            </w:r>
          </w:p>
        </w:tc>
        <w:tc>
          <w:tcPr>
            <w:tcW w:w="957" w:type="dxa"/>
            <w:tcBorders>
              <w:top w:val="single" w:sz="4" w:space="0" w:color="auto"/>
              <w:left w:val="single" w:sz="4" w:space="0" w:color="auto"/>
              <w:bottom w:val="single" w:sz="4" w:space="0" w:color="auto"/>
              <w:right w:val="single" w:sz="4" w:space="0" w:color="auto"/>
            </w:tcBorders>
          </w:tcPr>
          <w:p w14:paraId="64D5030A" w14:textId="77777777" w:rsidR="003716CB" w:rsidRPr="0058432E" w:rsidRDefault="003716CB" w:rsidP="00E9681E">
            <w:pPr>
              <w:keepNext/>
              <w:jc w:val="center"/>
              <w:rPr>
                <w:color w:val="000000" w:themeColor="text1"/>
              </w:rPr>
            </w:pPr>
          </w:p>
        </w:tc>
        <w:tc>
          <w:tcPr>
            <w:tcW w:w="1560" w:type="dxa"/>
            <w:tcBorders>
              <w:top w:val="single" w:sz="4" w:space="0" w:color="auto"/>
              <w:left w:val="single" w:sz="4" w:space="0" w:color="auto"/>
              <w:bottom w:val="single" w:sz="4" w:space="0" w:color="auto"/>
              <w:right w:val="single" w:sz="4" w:space="0" w:color="auto"/>
            </w:tcBorders>
          </w:tcPr>
          <w:p w14:paraId="5AE2757E" w14:textId="77777777" w:rsidR="003716CB" w:rsidRPr="0058432E" w:rsidRDefault="003716CB" w:rsidP="00E9681E">
            <w:pPr>
              <w:keepNext/>
              <w:jc w:val="center"/>
              <w:rPr>
                <w:color w:val="000000" w:themeColor="text1"/>
              </w:rPr>
            </w:pPr>
          </w:p>
        </w:tc>
        <w:tc>
          <w:tcPr>
            <w:tcW w:w="2042" w:type="dxa"/>
            <w:tcBorders>
              <w:top w:val="single" w:sz="4" w:space="0" w:color="auto"/>
              <w:left w:val="single" w:sz="4" w:space="0" w:color="auto"/>
              <w:bottom w:val="single" w:sz="4" w:space="0" w:color="auto"/>
              <w:right w:val="single" w:sz="4" w:space="0" w:color="auto"/>
            </w:tcBorders>
          </w:tcPr>
          <w:p w14:paraId="3CC23AF7" w14:textId="77777777" w:rsidR="003716CB" w:rsidRPr="0058432E" w:rsidRDefault="003716CB" w:rsidP="00E9681E">
            <w:pPr>
              <w:keepNext/>
              <w:jc w:val="center"/>
              <w:rPr>
                <w:color w:val="000000" w:themeColor="text1"/>
              </w:rPr>
            </w:pPr>
          </w:p>
        </w:tc>
        <w:tc>
          <w:tcPr>
            <w:tcW w:w="1021" w:type="dxa"/>
            <w:tcBorders>
              <w:top w:val="single" w:sz="4" w:space="0" w:color="auto"/>
              <w:left w:val="single" w:sz="4" w:space="0" w:color="auto"/>
              <w:bottom w:val="single" w:sz="4" w:space="0" w:color="auto"/>
              <w:right w:val="single" w:sz="4" w:space="0" w:color="auto"/>
            </w:tcBorders>
          </w:tcPr>
          <w:p w14:paraId="025CE78E" w14:textId="77777777" w:rsidR="003716CB" w:rsidRPr="0058432E" w:rsidRDefault="003716CB" w:rsidP="00E9681E">
            <w:pPr>
              <w:keepNext/>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12BF38D" w14:textId="77777777" w:rsidR="003716CB" w:rsidRPr="0058432E" w:rsidRDefault="003716CB" w:rsidP="00E9681E">
            <w:pPr>
              <w:keepNext/>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E2B2E35" w14:textId="77777777" w:rsidR="003716CB" w:rsidRPr="0058432E" w:rsidRDefault="003716CB" w:rsidP="00E9681E">
            <w:pPr>
              <w:keepNext/>
              <w:jc w:val="center"/>
              <w:rPr>
                <w:color w:val="000000" w:themeColor="text1"/>
              </w:rPr>
            </w:pPr>
          </w:p>
        </w:tc>
      </w:tr>
      <w:tr w:rsidR="003716CB" w:rsidRPr="0058432E" w14:paraId="02514A34"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1C1016B6" w14:textId="77777777" w:rsidR="003716CB" w:rsidRPr="0058432E" w:rsidRDefault="003716CB" w:rsidP="00E9681E">
            <w:pPr>
              <w:keepNext/>
              <w:ind w:left="270"/>
              <w:rPr>
                <w:color w:val="000000" w:themeColor="text1"/>
              </w:rPr>
            </w:pPr>
            <w:r w:rsidRPr="0058432E">
              <w:rPr>
                <w:color w:val="000000" w:themeColor="text1"/>
              </w:rPr>
              <w:t>Semaine 52</w:t>
            </w:r>
          </w:p>
        </w:tc>
        <w:tc>
          <w:tcPr>
            <w:tcW w:w="957" w:type="dxa"/>
            <w:tcBorders>
              <w:top w:val="single" w:sz="4" w:space="0" w:color="auto"/>
              <w:left w:val="single" w:sz="4" w:space="0" w:color="auto"/>
              <w:bottom w:val="single" w:sz="4" w:space="0" w:color="auto"/>
              <w:right w:val="single" w:sz="4" w:space="0" w:color="auto"/>
            </w:tcBorders>
            <w:hideMark/>
          </w:tcPr>
          <w:p w14:paraId="3043FC9D" w14:textId="77777777" w:rsidR="003716CB" w:rsidRPr="0058432E" w:rsidRDefault="003716CB" w:rsidP="00E9681E">
            <w:pPr>
              <w:keepNext/>
              <w:jc w:val="center"/>
              <w:rPr>
                <w:color w:val="000000" w:themeColor="text1"/>
              </w:rPr>
            </w:pPr>
            <w:r w:rsidRPr="0058432E">
              <w:rPr>
                <w:color w:val="000000" w:themeColor="text1"/>
              </w:rPr>
              <w:t>62,6 %</w:t>
            </w:r>
          </w:p>
        </w:tc>
        <w:tc>
          <w:tcPr>
            <w:tcW w:w="1560" w:type="dxa"/>
            <w:tcBorders>
              <w:top w:val="single" w:sz="4" w:space="0" w:color="auto"/>
              <w:left w:val="single" w:sz="4" w:space="0" w:color="auto"/>
              <w:bottom w:val="single" w:sz="4" w:space="0" w:color="auto"/>
              <w:right w:val="single" w:sz="4" w:space="0" w:color="auto"/>
            </w:tcBorders>
            <w:hideMark/>
          </w:tcPr>
          <w:p w14:paraId="3B3EEB3A" w14:textId="77777777" w:rsidR="003716CB" w:rsidRPr="0058432E" w:rsidRDefault="003716CB" w:rsidP="00E9681E">
            <w:pPr>
              <w:keepNext/>
              <w:jc w:val="center"/>
              <w:rPr>
                <w:color w:val="000000" w:themeColor="text1"/>
              </w:rPr>
            </w:pPr>
            <w:r w:rsidRPr="0058432E">
              <w:rPr>
                <w:color w:val="000000" w:themeColor="text1"/>
              </w:rPr>
              <w:t>54,4 %</w:t>
            </w:r>
          </w:p>
        </w:tc>
        <w:tc>
          <w:tcPr>
            <w:tcW w:w="2042" w:type="dxa"/>
            <w:tcBorders>
              <w:top w:val="single" w:sz="4" w:space="0" w:color="auto"/>
              <w:left w:val="single" w:sz="4" w:space="0" w:color="auto"/>
              <w:bottom w:val="single" w:sz="4" w:space="0" w:color="auto"/>
              <w:right w:val="single" w:sz="4" w:space="0" w:color="auto"/>
            </w:tcBorders>
            <w:hideMark/>
          </w:tcPr>
          <w:p w14:paraId="77D2E1E4" w14:textId="77777777" w:rsidR="003716CB" w:rsidRPr="0058432E" w:rsidRDefault="003716CB" w:rsidP="00E9681E">
            <w:pPr>
              <w:keepNext/>
              <w:jc w:val="center"/>
              <w:rPr>
                <w:color w:val="000000" w:themeColor="text1"/>
              </w:rPr>
            </w:pPr>
            <w:r w:rsidRPr="0058432E">
              <w:rPr>
                <w:color w:val="000000" w:themeColor="text1"/>
              </w:rPr>
              <w:t>72,8 %</w:t>
            </w:r>
          </w:p>
        </w:tc>
        <w:tc>
          <w:tcPr>
            <w:tcW w:w="1021" w:type="dxa"/>
            <w:tcBorders>
              <w:top w:val="single" w:sz="4" w:space="0" w:color="auto"/>
              <w:left w:val="single" w:sz="4" w:space="0" w:color="auto"/>
              <w:bottom w:val="single" w:sz="4" w:space="0" w:color="auto"/>
              <w:right w:val="single" w:sz="4" w:space="0" w:color="auto"/>
            </w:tcBorders>
            <w:hideMark/>
          </w:tcPr>
          <w:p w14:paraId="7030CF27" w14:textId="77777777" w:rsidR="003716CB" w:rsidRPr="0058432E" w:rsidRDefault="003716CB" w:rsidP="00E9681E">
            <w:pPr>
              <w:keepNext/>
              <w:jc w:val="center"/>
              <w:rPr>
                <w:color w:val="000000" w:themeColor="text1"/>
              </w:rPr>
            </w:pPr>
            <w:r w:rsidRPr="0058432E">
              <w:rPr>
                <w:color w:val="000000" w:themeColor="text1"/>
              </w:rPr>
              <w:t>0,013</w:t>
            </w:r>
          </w:p>
        </w:tc>
        <w:tc>
          <w:tcPr>
            <w:tcW w:w="1072" w:type="dxa"/>
            <w:tcBorders>
              <w:top w:val="single" w:sz="4" w:space="0" w:color="auto"/>
              <w:left w:val="single" w:sz="4" w:space="0" w:color="auto"/>
              <w:bottom w:val="single" w:sz="4" w:space="0" w:color="auto"/>
              <w:right w:val="single" w:sz="4" w:space="0" w:color="auto"/>
            </w:tcBorders>
            <w:hideMark/>
          </w:tcPr>
          <w:p w14:paraId="1B87F797" w14:textId="77777777" w:rsidR="003716CB" w:rsidRPr="0058432E" w:rsidRDefault="003716CB" w:rsidP="00E9681E">
            <w:pPr>
              <w:keepNext/>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4A322F66" w14:textId="77777777" w:rsidR="003716CB" w:rsidRPr="0058432E" w:rsidRDefault="003716CB" w:rsidP="00E9681E">
            <w:pPr>
              <w:keepNext/>
              <w:jc w:val="center"/>
              <w:rPr>
                <w:color w:val="000000" w:themeColor="text1"/>
              </w:rPr>
            </w:pPr>
            <w:r w:rsidRPr="0058432E">
              <w:rPr>
                <w:color w:val="000000" w:themeColor="text1"/>
              </w:rPr>
              <w:t>0,043</w:t>
            </w:r>
          </w:p>
        </w:tc>
      </w:tr>
      <w:tr w:rsidR="003716CB" w:rsidRPr="0058432E" w14:paraId="248A2299"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039860D2" w14:textId="77777777" w:rsidR="003716CB" w:rsidRPr="0058432E" w:rsidRDefault="003716CB" w:rsidP="00E9681E">
            <w:pPr>
              <w:ind w:left="270"/>
              <w:rPr>
                <w:color w:val="000000" w:themeColor="text1"/>
              </w:rPr>
            </w:pPr>
            <w:r w:rsidRPr="0058432E">
              <w:rPr>
                <w:color w:val="000000" w:themeColor="text1"/>
              </w:rPr>
              <w:t>Semaine 104</w:t>
            </w:r>
          </w:p>
        </w:tc>
        <w:tc>
          <w:tcPr>
            <w:tcW w:w="957" w:type="dxa"/>
            <w:tcBorders>
              <w:top w:val="single" w:sz="4" w:space="0" w:color="auto"/>
              <w:left w:val="single" w:sz="4" w:space="0" w:color="auto"/>
              <w:bottom w:val="single" w:sz="4" w:space="0" w:color="auto"/>
              <w:right w:val="single" w:sz="4" w:space="0" w:color="auto"/>
            </w:tcBorders>
            <w:hideMark/>
          </w:tcPr>
          <w:p w14:paraId="07C7070D" w14:textId="77777777" w:rsidR="003716CB" w:rsidRPr="0058432E" w:rsidRDefault="003716CB" w:rsidP="00E9681E">
            <w:pPr>
              <w:jc w:val="center"/>
              <w:rPr>
                <w:color w:val="000000" w:themeColor="text1"/>
              </w:rPr>
            </w:pPr>
            <w:r w:rsidRPr="0058432E">
              <w:rPr>
                <w:color w:val="000000" w:themeColor="text1"/>
              </w:rPr>
              <w:t>56,0 %</w:t>
            </w:r>
          </w:p>
        </w:tc>
        <w:tc>
          <w:tcPr>
            <w:tcW w:w="1560" w:type="dxa"/>
            <w:tcBorders>
              <w:top w:val="single" w:sz="4" w:space="0" w:color="auto"/>
              <w:left w:val="single" w:sz="4" w:space="0" w:color="auto"/>
              <w:bottom w:val="single" w:sz="4" w:space="0" w:color="auto"/>
              <w:right w:val="single" w:sz="4" w:space="0" w:color="auto"/>
            </w:tcBorders>
            <w:hideMark/>
          </w:tcPr>
          <w:p w14:paraId="79662F03" w14:textId="77777777" w:rsidR="003716CB" w:rsidRPr="0058432E" w:rsidRDefault="003716CB" w:rsidP="00E9681E">
            <w:pPr>
              <w:jc w:val="center"/>
              <w:rPr>
                <w:color w:val="000000" w:themeColor="text1"/>
              </w:rPr>
            </w:pPr>
            <w:r w:rsidRPr="0058432E">
              <w:rPr>
                <w:color w:val="000000" w:themeColor="text1"/>
              </w:rPr>
              <w:t>49,3 %</w:t>
            </w:r>
          </w:p>
        </w:tc>
        <w:tc>
          <w:tcPr>
            <w:tcW w:w="2042" w:type="dxa"/>
            <w:tcBorders>
              <w:top w:val="single" w:sz="4" w:space="0" w:color="auto"/>
              <w:left w:val="single" w:sz="4" w:space="0" w:color="auto"/>
              <w:bottom w:val="single" w:sz="4" w:space="0" w:color="auto"/>
              <w:right w:val="single" w:sz="4" w:space="0" w:color="auto"/>
            </w:tcBorders>
            <w:hideMark/>
          </w:tcPr>
          <w:p w14:paraId="60268AF7" w14:textId="77777777" w:rsidR="003716CB" w:rsidRPr="0058432E" w:rsidRDefault="003716CB" w:rsidP="00E9681E">
            <w:pPr>
              <w:jc w:val="center"/>
              <w:rPr>
                <w:color w:val="000000" w:themeColor="text1"/>
              </w:rPr>
            </w:pPr>
            <w:r w:rsidRPr="0058432E">
              <w:rPr>
                <w:color w:val="000000" w:themeColor="text1"/>
              </w:rPr>
              <w:t>69,4 %</w:t>
            </w:r>
          </w:p>
        </w:tc>
        <w:tc>
          <w:tcPr>
            <w:tcW w:w="1021" w:type="dxa"/>
            <w:tcBorders>
              <w:top w:val="single" w:sz="4" w:space="0" w:color="auto"/>
              <w:left w:val="single" w:sz="4" w:space="0" w:color="auto"/>
              <w:bottom w:val="single" w:sz="4" w:space="0" w:color="auto"/>
              <w:right w:val="single" w:sz="4" w:space="0" w:color="auto"/>
            </w:tcBorders>
            <w:hideMark/>
          </w:tcPr>
          <w:p w14:paraId="41AE08DC" w14:textId="77777777" w:rsidR="003716CB" w:rsidRPr="0058432E" w:rsidRDefault="003716CB" w:rsidP="00E9681E">
            <w:pPr>
              <w:jc w:val="center"/>
              <w:rPr>
                <w:color w:val="000000" w:themeColor="text1"/>
              </w:rPr>
            </w:pPr>
            <w:r w:rsidRPr="0058432E">
              <w:rPr>
                <w:color w:val="000000" w:themeColor="text1"/>
              </w:rPr>
              <w:t>0,002</w:t>
            </w:r>
          </w:p>
        </w:tc>
        <w:tc>
          <w:tcPr>
            <w:tcW w:w="1072" w:type="dxa"/>
            <w:tcBorders>
              <w:top w:val="single" w:sz="4" w:space="0" w:color="auto"/>
              <w:left w:val="single" w:sz="4" w:space="0" w:color="auto"/>
              <w:bottom w:val="single" w:sz="4" w:space="0" w:color="auto"/>
              <w:right w:val="single" w:sz="4" w:space="0" w:color="auto"/>
            </w:tcBorders>
            <w:hideMark/>
          </w:tcPr>
          <w:p w14:paraId="4C96C5AD"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4F2A4AF3" w14:textId="77777777" w:rsidR="003716CB" w:rsidRPr="0058432E" w:rsidRDefault="003716CB" w:rsidP="00E9681E">
            <w:pPr>
              <w:jc w:val="center"/>
              <w:rPr>
                <w:color w:val="000000" w:themeColor="text1"/>
              </w:rPr>
            </w:pPr>
            <w:r w:rsidRPr="0058432E">
              <w:rPr>
                <w:color w:val="000000" w:themeColor="text1"/>
              </w:rPr>
              <w:t>0,140</w:t>
            </w:r>
          </w:p>
        </w:tc>
      </w:tr>
      <w:tr w:rsidR="003716CB" w:rsidRPr="0058432E" w14:paraId="50BC46AF"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625E04A6" w14:textId="77777777" w:rsidR="003716CB" w:rsidRPr="0058432E" w:rsidRDefault="003716CB" w:rsidP="00E9681E">
            <w:pPr>
              <w:rPr>
                <w:color w:val="000000" w:themeColor="text1"/>
              </w:rPr>
            </w:pPr>
            <w:r w:rsidRPr="0058432E">
              <w:rPr>
                <w:color w:val="000000" w:themeColor="text1"/>
              </w:rPr>
              <w:t>ACR 50</w:t>
            </w:r>
          </w:p>
        </w:tc>
        <w:tc>
          <w:tcPr>
            <w:tcW w:w="957" w:type="dxa"/>
            <w:tcBorders>
              <w:top w:val="single" w:sz="4" w:space="0" w:color="auto"/>
              <w:left w:val="single" w:sz="4" w:space="0" w:color="auto"/>
              <w:bottom w:val="single" w:sz="4" w:space="0" w:color="auto"/>
              <w:right w:val="single" w:sz="4" w:space="0" w:color="auto"/>
            </w:tcBorders>
          </w:tcPr>
          <w:p w14:paraId="4BE52F91" w14:textId="77777777" w:rsidR="003716CB" w:rsidRPr="0058432E" w:rsidRDefault="003716CB" w:rsidP="00E9681E">
            <w:pPr>
              <w:jc w:val="center"/>
              <w:rPr>
                <w:color w:val="000000" w:themeColor="text1"/>
              </w:rPr>
            </w:pPr>
          </w:p>
        </w:tc>
        <w:tc>
          <w:tcPr>
            <w:tcW w:w="1560" w:type="dxa"/>
            <w:tcBorders>
              <w:top w:val="single" w:sz="4" w:space="0" w:color="auto"/>
              <w:left w:val="single" w:sz="4" w:space="0" w:color="auto"/>
              <w:bottom w:val="single" w:sz="4" w:space="0" w:color="auto"/>
              <w:right w:val="single" w:sz="4" w:space="0" w:color="auto"/>
            </w:tcBorders>
          </w:tcPr>
          <w:p w14:paraId="325EB0A8" w14:textId="77777777" w:rsidR="003716CB" w:rsidRPr="0058432E" w:rsidRDefault="003716CB" w:rsidP="00E9681E">
            <w:pPr>
              <w:jc w:val="center"/>
              <w:rPr>
                <w:color w:val="000000" w:themeColor="text1"/>
              </w:rPr>
            </w:pPr>
          </w:p>
        </w:tc>
        <w:tc>
          <w:tcPr>
            <w:tcW w:w="2042" w:type="dxa"/>
            <w:tcBorders>
              <w:top w:val="single" w:sz="4" w:space="0" w:color="auto"/>
              <w:left w:val="single" w:sz="4" w:space="0" w:color="auto"/>
              <w:bottom w:val="single" w:sz="4" w:space="0" w:color="auto"/>
              <w:right w:val="single" w:sz="4" w:space="0" w:color="auto"/>
            </w:tcBorders>
          </w:tcPr>
          <w:p w14:paraId="75ABF4D8" w14:textId="77777777" w:rsidR="003716CB" w:rsidRPr="0058432E" w:rsidRDefault="003716CB" w:rsidP="00E9681E">
            <w:pPr>
              <w:jc w:val="center"/>
              <w:rPr>
                <w:color w:val="000000" w:themeColor="text1"/>
              </w:rPr>
            </w:pPr>
          </w:p>
        </w:tc>
        <w:tc>
          <w:tcPr>
            <w:tcW w:w="1021" w:type="dxa"/>
            <w:tcBorders>
              <w:top w:val="single" w:sz="4" w:space="0" w:color="auto"/>
              <w:left w:val="single" w:sz="4" w:space="0" w:color="auto"/>
              <w:bottom w:val="single" w:sz="4" w:space="0" w:color="auto"/>
              <w:right w:val="single" w:sz="4" w:space="0" w:color="auto"/>
            </w:tcBorders>
          </w:tcPr>
          <w:p w14:paraId="60DCFE2C" w14:textId="77777777" w:rsidR="003716CB" w:rsidRPr="0058432E" w:rsidRDefault="003716CB" w:rsidP="00E9681E">
            <w:pPr>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90FD9FE" w14:textId="77777777" w:rsidR="003716CB" w:rsidRPr="0058432E" w:rsidRDefault="003716CB" w:rsidP="00E9681E">
            <w:pPr>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02AB05B" w14:textId="77777777" w:rsidR="003716CB" w:rsidRPr="0058432E" w:rsidRDefault="003716CB" w:rsidP="00E9681E">
            <w:pPr>
              <w:jc w:val="center"/>
              <w:rPr>
                <w:color w:val="000000" w:themeColor="text1"/>
              </w:rPr>
            </w:pPr>
          </w:p>
        </w:tc>
      </w:tr>
      <w:tr w:rsidR="003716CB" w:rsidRPr="0058432E" w14:paraId="5D51842E"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61F0872E" w14:textId="77777777" w:rsidR="003716CB" w:rsidRPr="0058432E" w:rsidRDefault="003716CB" w:rsidP="00E9681E">
            <w:pPr>
              <w:ind w:left="270"/>
              <w:rPr>
                <w:color w:val="000000" w:themeColor="text1"/>
              </w:rPr>
            </w:pPr>
            <w:r w:rsidRPr="0058432E">
              <w:rPr>
                <w:color w:val="000000" w:themeColor="text1"/>
              </w:rPr>
              <w:t>Semaine 52</w:t>
            </w:r>
          </w:p>
        </w:tc>
        <w:tc>
          <w:tcPr>
            <w:tcW w:w="957" w:type="dxa"/>
            <w:tcBorders>
              <w:top w:val="single" w:sz="4" w:space="0" w:color="auto"/>
              <w:left w:val="single" w:sz="4" w:space="0" w:color="auto"/>
              <w:bottom w:val="single" w:sz="4" w:space="0" w:color="auto"/>
              <w:right w:val="single" w:sz="4" w:space="0" w:color="auto"/>
            </w:tcBorders>
            <w:hideMark/>
          </w:tcPr>
          <w:p w14:paraId="637EE738" w14:textId="77777777" w:rsidR="003716CB" w:rsidRPr="0058432E" w:rsidRDefault="003716CB" w:rsidP="00E9681E">
            <w:pPr>
              <w:jc w:val="center"/>
              <w:rPr>
                <w:color w:val="000000" w:themeColor="text1"/>
              </w:rPr>
            </w:pPr>
            <w:r w:rsidRPr="0058432E">
              <w:rPr>
                <w:color w:val="000000" w:themeColor="text1"/>
              </w:rPr>
              <w:t>45,9 %</w:t>
            </w:r>
          </w:p>
        </w:tc>
        <w:tc>
          <w:tcPr>
            <w:tcW w:w="1560" w:type="dxa"/>
            <w:tcBorders>
              <w:top w:val="single" w:sz="4" w:space="0" w:color="auto"/>
              <w:left w:val="single" w:sz="4" w:space="0" w:color="auto"/>
              <w:bottom w:val="single" w:sz="4" w:space="0" w:color="auto"/>
              <w:right w:val="single" w:sz="4" w:space="0" w:color="auto"/>
            </w:tcBorders>
            <w:hideMark/>
          </w:tcPr>
          <w:p w14:paraId="167944AF" w14:textId="77777777" w:rsidR="003716CB" w:rsidRPr="0058432E" w:rsidRDefault="003716CB" w:rsidP="00E9681E">
            <w:pPr>
              <w:jc w:val="center"/>
              <w:rPr>
                <w:color w:val="000000" w:themeColor="text1"/>
              </w:rPr>
            </w:pPr>
            <w:r w:rsidRPr="0058432E">
              <w:rPr>
                <w:color w:val="000000" w:themeColor="text1"/>
              </w:rPr>
              <w:t>41,2 %</w:t>
            </w:r>
          </w:p>
        </w:tc>
        <w:tc>
          <w:tcPr>
            <w:tcW w:w="2042" w:type="dxa"/>
            <w:tcBorders>
              <w:top w:val="single" w:sz="4" w:space="0" w:color="auto"/>
              <w:left w:val="single" w:sz="4" w:space="0" w:color="auto"/>
              <w:bottom w:val="single" w:sz="4" w:space="0" w:color="auto"/>
              <w:right w:val="single" w:sz="4" w:space="0" w:color="auto"/>
            </w:tcBorders>
            <w:hideMark/>
          </w:tcPr>
          <w:p w14:paraId="454CB249" w14:textId="77777777" w:rsidR="003716CB" w:rsidRPr="0058432E" w:rsidRDefault="003716CB" w:rsidP="00E9681E">
            <w:pPr>
              <w:jc w:val="center"/>
              <w:rPr>
                <w:color w:val="000000" w:themeColor="text1"/>
              </w:rPr>
            </w:pPr>
            <w:r w:rsidRPr="0058432E">
              <w:rPr>
                <w:color w:val="000000" w:themeColor="text1"/>
              </w:rPr>
              <w:t>61,6 %</w:t>
            </w:r>
          </w:p>
        </w:tc>
        <w:tc>
          <w:tcPr>
            <w:tcW w:w="1021" w:type="dxa"/>
            <w:tcBorders>
              <w:top w:val="single" w:sz="4" w:space="0" w:color="auto"/>
              <w:left w:val="single" w:sz="4" w:space="0" w:color="auto"/>
              <w:bottom w:val="single" w:sz="4" w:space="0" w:color="auto"/>
              <w:right w:val="single" w:sz="4" w:space="0" w:color="auto"/>
            </w:tcBorders>
            <w:hideMark/>
          </w:tcPr>
          <w:p w14:paraId="2A6063A7"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4EDBBBEF"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5EC5977D" w14:textId="77777777" w:rsidR="003716CB" w:rsidRPr="0058432E" w:rsidRDefault="003716CB" w:rsidP="00E9681E">
            <w:pPr>
              <w:jc w:val="center"/>
              <w:rPr>
                <w:color w:val="000000" w:themeColor="text1"/>
              </w:rPr>
            </w:pPr>
            <w:r w:rsidRPr="0058432E">
              <w:rPr>
                <w:color w:val="000000" w:themeColor="text1"/>
              </w:rPr>
              <w:t>0,317</w:t>
            </w:r>
          </w:p>
        </w:tc>
      </w:tr>
      <w:tr w:rsidR="003716CB" w:rsidRPr="0058432E" w14:paraId="6BBF22E5"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1B48B686" w14:textId="77777777" w:rsidR="003716CB" w:rsidRPr="0058432E" w:rsidRDefault="003716CB" w:rsidP="00E9681E">
            <w:pPr>
              <w:ind w:left="270"/>
              <w:rPr>
                <w:color w:val="000000" w:themeColor="text1"/>
              </w:rPr>
            </w:pPr>
            <w:r w:rsidRPr="0058432E">
              <w:rPr>
                <w:color w:val="000000" w:themeColor="text1"/>
              </w:rPr>
              <w:t>Semaine 104</w:t>
            </w:r>
          </w:p>
        </w:tc>
        <w:tc>
          <w:tcPr>
            <w:tcW w:w="957" w:type="dxa"/>
            <w:tcBorders>
              <w:top w:val="single" w:sz="4" w:space="0" w:color="auto"/>
              <w:left w:val="single" w:sz="4" w:space="0" w:color="auto"/>
              <w:bottom w:val="single" w:sz="4" w:space="0" w:color="auto"/>
              <w:right w:val="single" w:sz="4" w:space="0" w:color="auto"/>
            </w:tcBorders>
            <w:hideMark/>
          </w:tcPr>
          <w:p w14:paraId="4F8EF60A" w14:textId="77777777" w:rsidR="003716CB" w:rsidRPr="0058432E" w:rsidRDefault="003716CB" w:rsidP="00E9681E">
            <w:pPr>
              <w:jc w:val="center"/>
              <w:rPr>
                <w:color w:val="000000" w:themeColor="text1"/>
              </w:rPr>
            </w:pPr>
            <w:r w:rsidRPr="0058432E">
              <w:rPr>
                <w:color w:val="000000" w:themeColor="text1"/>
              </w:rPr>
              <w:t>42,8 %</w:t>
            </w:r>
          </w:p>
        </w:tc>
        <w:tc>
          <w:tcPr>
            <w:tcW w:w="1560" w:type="dxa"/>
            <w:tcBorders>
              <w:top w:val="single" w:sz="4" w:space="0" w:color="auto"/>
              <w:left w:val="single" w:sz="4" w:space="0" w:color="auto"/>
              <w:bottom w:val="single" w:sz="4" w:space="0" w:color="auto"/>
              <w:right w:val="single" w:sz="4" w:space="0" w:color="auto"/>
            </w:tcBorders>
            <w:hideMark/>
          </w:tcPr>
          <w:p w14:paraId="3A81C2C9" w14:textId="77777777" w:rsidR="003716CB" w:rsidRPr="0058432E" w:rsidRDefault="003716CB" w:rsidP="00E9681E">
            <w:pPr>
              <w:jc w:val="center"/>
              <w:rPr>
                <w:color w:val="000000" w:themeColor="text1"/>
              </w:rPr>
            </w:pPr>
            <w:r w:rsidRPr="0058432E">
              <w:rPr>
                <w:color w:val="000000" w:themeColor="text1"/>
              </w:rPr>
              <w:t>36,9 %</w:t>
            </w:r>
          </w:p>
        </w:tc>
        <w:tc>
          <w:tcPr>
            <w:tcW w:w="2042" w:type="dxa"/>
            <w:tcBorders>
              <w:top w:val="single" w:sz="4" w:space="0" w:color="auto"/>
              <w:left w:val="single" w:sz="4" w:space="0" w:color="auto"/>
              <w:bottom w:val="single" w:sz="4" w:space="0" w:color="auto"/>
              <w:right w:val="single" w:sz="4" w:space="0" w:color="auto"/>
            </w:tcBorders>
            <w:hideMark/>
          </w:tcPr>
          <w:p w14:paraId="1F1A7B1A" w14:textId="77777777" w:rsidR="003716CB" w:rsidRPr="0058432E" w:rsidRDefault="003716CB" w:rsidP="00E9681E">
            <w:pPr>
              <w:jc w:val="center"/>
              <w:rPr>
                <w:color w:val="000000" w:themeColor="text1"/>
              </w:rPr>
            </w:pPr>
            <w:r w:rsidRPr="0058432E">
              <w:rPr>
                <w:color w:val="000000" w:themeColor="text1"/>
              </w:rPr>
              <w:t>59,0 %</w:t>
            </w:r>
          </w:p>
        </w:tc>
        <w:tc>
          <w:tcPr>
            <w:tcW w:w="1021" w:type="dxa"/>
            <w:tcBorders>
              <w:top w:val="single" w:sz="4" w:space="0" w:color="auto"/>
              <w:left w:val="single" w:sz="4" w:space="0" w:color="auto"/>
              <w:bottom w:val="single" w:sz="4" w:space="0" w:color="auto"/>
              <w:right w:val="single" w:sz="4" w:space="0" w:color="auto"/>
            </w:tcBorders>
            <w:hideMark/>
          </w:tcPr>
          <w:p w14:paraId="55F1655E"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28CAA795"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018BD035" w14:textId="77777777" w:rsidR="003716CB" w:rsidRPr="0058432E" w:rsidRDefault="003716CB" w:rsidP="00E9681E">
            <w:pPr>
              <w:jc w:val="center"/>
              <w:rPr>
                <w:color w:val="000000" w:themeColor="text1"/>
              </w:rPr>
            </w:pPr>
            <w:r w:rsidRPr="0058432E">
              <w:rPr>
                <w:color w:val="000000" w:themeColor="text1"/>
              </w:rPr>
              <w:t>0,162</w:t>
            </w:r>
          </w:p>
        </w:tc>
      </w:tr>
      <w:tr w:rsidR="003716CB" w:rsidRPr="0058432E" w14:paraId="6735FA22"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1EAA9A63" w14:textId="77777777" w:rsidR="003716CB" w:rsidRPr="0058432E" w:rsidRDefault="003716CB" w:rsidP="00E9681E">
            <w:pPr>
              <w:rPr>
                <w:color w:val="000000" w:themeColor="text1"/>
              </w:rPr>
            </w:pPr>
            <w:r w:rsidRPr="0058432E">
              <w:rPr>
                <w:color w:val="000000" w:themeColor="text1"/>
              </w:rPr>
              <w:t>ACR 70</w:t>
            </w:r>
          </w:p>
        </w:tc>
        <w:tc>
          <w:tcPr>
            <w:tcW w:w="957" w:type="dxa"/>
            <w:tcBorders>
              <w:top w:val="single" w:sz="4" w:space="0" w:color="auto"/>
              <w:left w:val="single" w:sz="4" w:space="0" w:color="auto"/>
              <w:bottom w:val="single" w:sz="4" w:space="0" w:color="auto"/>
              <w:right w:val="single" w:sz="4" w:space="0" w:color="auto"/>
            </w:tcBorders>
          </w:tcPr>
          <w:p w14:paraId="11F19C43" w14:textId="77777777" w:rsidR="003716CB" w:rsidRPr="0058432E" w:rsidRDefault="003716CB" w:rsidP="00E9681E">
            <w:pPr>
              <w:jc w:val="center"/>
              <w:rPr>
                <w:color w:val="000000" w:themeColor="text1"/>
              </w:rPr>
            </w:pPr>
          </w:p>
        </w:tc>
        <w:tc>
          <w:tcPr>
            <w:tcW w:w="1560" w:type="dxa"/>
            <w:tcBorders>
              <w:top w:val="single" w:sz="4" w:space="0" w:color="auto"/>
              <w:left w:val="single" w:sz="4" w:space="0" w:color="auto"/>
              <w:bottom w:val="single" w:sz="4" w:space="0" w:color="auto"/>
              <w:right w:val="single" w:sz="4" w:space="0" w:color="auto"/>
            </w:tcBorders>
          </w:tcPr>
          <w:p w14:paraId="7D047713" w14:textId="77777777" w:rsidR="003716CB" w:rsidRPr="0058432E" w:rsidRDefault="003716CB" w:rsidP="00E9681E">
            <w:pPr>
              <w:jc w:val="center"/>
              <w:rPr>
                <w:color w:val="000000" w:themeColor="text1"/>
              </w:rPr>
            </w:pPr>
          </w:p>
        </w:tc>
        <w:tc>
          <w:tcPr>
            <w:tcW w:w="2042" w:type="dxa"/>
            <w:tcBorders>
              <w:top w:val="single" w:sz="4" w:space="0" w:color="auto"/>
              <w:left w:val="single" w:sz="4" w:space="0" w:color="auto"/>
              <w:bottom w:val="single" w:sz="4" w:space="0" w:color="auto"/>
              <w:right w:val="single" w:sz="4" w:space="0" w:color="auto"/>
            </w:tcBorders>
          </w:tcPr>
          <w:p w14:paraId="2F5911B5" w14:textId="77777777" w:rsidR="003716CB" w:rsidRPr="0058432E" w:rsidRDefault="003716CB" w:rsidP="00E9681E">
            <w:pPr>
              <w:jc w:val="center"/>
              <w:rPr>
                <w:color w:val="000000" w:themeColor="text1"/>
              </w:rPr>
            </w:pPr>
          </w:p>
        </w:tc>
        <w:tc>
          <w:tcPr>
            <w:tcW w:w="1021" w:type="dxa"/>
            <w:tcBorders>
              <w:top w:val="single" w:sz="4" w:space="0" w:color="auto"/>
              <w:left w:val="single" w:sz="4" w:space="0" w:color="auto"/>
              <w:bottom w:val="single" w:sz="4" w:space="0" w:color="auto"/>
              <w:right w:val="single" w:sz="4" w:space="0" w:color="auto"/>
            </w:tcBorders>
          </w:tcPr>
          <w:p w14:paraId="070925B3" w14:textId="77777777" w:rsidR="003716CB" w:rsidRPr="0058432E" w:rsidRDefault="003716CB" w:rsidP="00E9681E">
            <w:pPr>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4F7E872" w14:textId="77777777" w:rsidR="003716CB" w:rsidRPr="0058432E" w:rsidRDefault="003716CB" w:rsidP="00E9681E">
            <w:pPr>
              <w:jc w:val="center"/>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59D1B88" w14:textId="77777777" w:rsidR="003716CB" w:rsidRPr="0058432E" w:rsidRDefault="003716CB" w:rsidP="00E9681E">
            <w:pPr>
              <w:jc w:val="center"/>
              <w:rPr>
                <w:color w:val="000000" w:themeColor="text1"/>
              </w:rPr>
            </w:pPr>
          </w:p>
        </w:tc>
      </w:tr>
      <w:tr w:rsidR="003716CB" w:rsidRPr="0058432E" w14:paraId="2A8E5F84"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1CC9E05E" w14:textId="77777777" w:rsidR="003716CB" w:rsidRPr="0058432E" w:rsidRDefault="003716CB" w:rsidP="00E9681E">
            <w:pPr>
              <w:ind w:left="270"/>
              <w:rPr>
                <w:color w:val="000000" w:themeColor="text1"/>
              </w:rPr>
            </w:pPr>
            <w:r w:rsidRPr="0058432E">
              <w:rPr>
                <w:color w:val="000000" w:themeColor="text1"/>
              </w:rPr>
              <w:t>Semaine 52</w:t>
            </w:r>
          </w:p>
        </w:tc>
        <w:tc>
          <w:tcPr>
            <w:tcW w:w="957" w:type="dxa"/>
            <w:tcBorders>
              <w:top w:val="single" w:sz="4" w:space="0" w:color="auto"/>
              <w:left w:val="single" w:sz="4" w:space="0" w:color="auto"/>
              <w:bottom w:val="single" w:sz="4" w:space="0" w:color="auto"/>
              <w:right w:val="single" w:sz="4" w:space="0" w:color="auto"/>
            </w:tcBorders>
            <w:hideMark/>
          </w:tcPr>
          <w:p w14:paraId="07B12CDA" w14:textId="77777777" w:rsidR="003716CB" w:rsidRPr="0058432E" w:rsidRDefault="003716CB" w:rsidP="00E9681E">
            <w:pPr>
              <w:jc w:val="center"/>
              <w:rPr>
                <w:color w:val="000000" w:themeColor="text1"/>
              </w:rPr>
            </w:pPr>
            <w:r w:rsidRPr="0058432E">
              <w:rPr>
                <w:color w:val="000000" w:themeColor="text1"/>
              </w:rPr>
              <w:t>27,2 %</w:t>
            </w:r>
          </w:p>
        </w:tc>
        <w:tc>
          <w:tcPr>
            <w:tcW w:w="1560" w:type="dxa"/>
            <w:tcBorders>
              <w:top w:val="single" w:sz="4" w:space="0" w:color="auto"/>
              <w:left w:val="single" w:sz="4" w:space="0" w:color="auto"/>
              <w:bottom w:val="single" w:sz="4" w:space="0" w:color="auto"/>
              <w:right w:val="single" w:sz="4" w:space="0" w:color="auto"/>
            </w:tcBorders>
            <w:hideMark/>
          </w:tcPr>
          <w:p w14:paraId="33124B3D" w14:textId="77777777" w:rsidR="003716CB" w:rsidRPr="0058432E" w:rsidRDefault="003716CB" w:rsidP="00E9681E">
            <w:pPr>
              <w:jc w:val="center"/>
              <w:rPr>
                <w:color w:val="000000" w:themeColor="text1"/>
              </w:rPr>
            </w:pPr>
            <w:r w:rsidRPr="0058432E">
              <w:rPr>
                <w:color w:val="000000" w:themeColor="text1"/>
              </w:rPr>
              <w:t>25,9 %</w:t>
            </w:r>
          </w:p>
        </w:tc>
        <w:tc>
          <w:tcPr>
            <w:tcW w:w="2042" w:type="dxa"/>
            <w:tcBorders>
              <w:top w:val="single" w:sz="4" w:space="0" w:color="auto"/>
              <w:left w:val="single" w:sz="4" w:space="0" w:color="auto"/>
              <w:bottom w:val="single" w:sz="4" w:space="0" w:color="auto"/>
              <w:right w:val="single" w:sz="4" w:space="0" w:color="auto"/>
            </w:tcBorders>
            <w:hideMark/>
          </w:tcPr>
          <w:p w14:paraId="5FDD24CC" w14:textId="77777777" w:rsidR="003716CB" w:rsidRPr="0058432E" w:rsidRDefault="003716CB" w:rsidP="00E9681E">
            <w:pPr>
              <w:jc w:val="center"/>
              <w:rPr>
                <w:color w:val="000000" w:themeColor="text1"/>
              </w:rPr>
            </w:pPr>
            <w:r w:rsidRPr="0058432E">
              <w:rPr>
                <w:color w:val="000000" w:themeColor="text1"/>
              </w:rPr>
              <w:t>45,5 %</w:t>
            </w:r>
          </w:p>
        </w:tc>
        <w:tc>
          <w:tcPr>
            <w:tcW w:w="1021" w:type="dxa"/>
            <w:tcBorders>
              <w:top w:val="single" w:sz="4" w:space="0" w:color="auto"/>
              <w:left w:val="single" w:sz="4" w:space="0" w:color="auto"/>
              <w:bottom w:val="single" w:sz="4" w:space="0" w:color="auto"/>
              <w:right w:val="single" w:sz="4" w:space="0" w:color="auto"/>
            </w:tcBorders>
            <w:hideMark/>
          </w:tcPr>
          <w:p w14:paraId="41D98472"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50BAD730"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2ADE3B1C" w14:textId="77777777" w:rsidR="003716CB" w:rsidRPr="0058432E" w:rsidRDefault="003716CB" w:rsidP="00E9681E">
            <w:pPr>
              <w:jc w:val="center"/>
              <w:rPr>
                <w:color w:val="000000" w:themeColor="text1"/>
              </w:rPr>
            </w:pPr>
            <w:r w:rsidRPr="0058432E">
              <w:rPr>
                <w:color w:val="000000" w:themeColor="text1"/>
              </w:rPr>
              <w:t>0,656</w:t>
            </w:r>
          </w:p>
        </w:tc>
      </w:tr>
      <w:tr w:rsidR="003716CB" w:rsidRPr="0058432E" w14:paraId="1D53F954" w14:textId="77777777" w:rsidTr="00922261">
        <w:tc>
          <w:tcPr>
            <w:tcW w:w="1579" w:type="dxa"/>
            <w:tcBorders>
              <w:top w:val="single" w:sz="4" w:space="0" w:color="auto"/>
              <w:left w:val="single" w:sz="4" w:space="0" w:color="auto"/>
              <w:bottom w:val="single" w:sz="4" w:space="0" w:color="auto"/>
              <w:right w:val="single" w:sz="4" w:space="0" w:color="auto"/>
            </w:tcBorders>
            <w:hideMark/>
          </w:tcPr>
          <w:p w14:paraId="32F3033A" w14:textId="77777777" w:rsidR="003716CB" w:rsidRPr="0058432E" w:rsidRDefault="003716CB" w:rsidP="00E9681E">
            <w:pPr>
              <w:ind w:left="270"/>
              <w:rPr>
                <w:color w:val="000000" w:themeColor="text1"/>
              </w:rPr>
            </w:pPr>
            <w:r w:rsidRPr="0058432E">
              <w:rPr>
                <w:color w:val="000000" w:themeColor="text1"/>
              </w:rPr>
              <w:t>Semaine 104</w:t>
            </w:r>
          </w:p>
        </w:tc>
        <w:tc>
          <w:tcPr>
            <w:tcW w:w="957" w:type="dxa"/>
            <w:tcBorders>
              <w:top w:val="single" w:sz="4" w:space="0" w:color="auto"/>
              <w:left w:val="single" w:sz="4" w:space="0" w:color="auto"/>
              <w:bottom w:val="single" w:sz="4" w:space="0" w:color="auto"/>
              <w:right w:val="single" w:sz="4" w:space="0" w:color="auto"/>
            </w:tcBorders>
            <w:hideMark/>
          </w:tcPr>
          <w:p w14:paraId="2FCF8B5B" w14:textId="77777777" w:rsidR="003716CB" w:rsidRPr="0058432E" w:rsidRDefault="003716CB" w:rsidP="00E9681E">
            <w:pPr>
              <w:jc w:val="center"/>
              <w:rPr>
                <w:color w:val="000000" w:themeColor="text1"/>
              </w:rPr>
            </w:pPr>
            <w:r w:rsidRPr="0058432E">
              <w:rPr>
                <w:color w:val="000000" w:themeColor="text1"/>
              </w:rPr>
              <w:t>28,4 %</w:t>
            </w:r>
          </w:p>
        </w:tc>
        <w:tc>
          <w:tcPr>
            <w:tcW w:w="1560" w:type="dxa"/>
            <w:tcBorders>
              <w:top w:val="single" w:sz="4" w:space="0" w:color="auto"/>
              <w:left w:val="single" w:sz="4" w:space="0" w:color="auto"/>
              <w:bottom w:val="single" w:sz="4" w:space="0" w:color="auto"/>
              <w:right w:val="single" w:sz="4" w:space="0" w:color="auto"/>
            </w:tcBorders>
            <w:hideMark/>
          </w:tcPr>
          <w:p w14:paraId="4822003E" w14:textId="77777777" w:rsidR="003716CB" w:rsidRPr="0058432E" w:rsidRDefault="003716CB" w:rsidP="00E9681E">
            <w:pPr>
              <w:jc w:val="center"/>
              <w:rPr>
                <w:color w:val="000000" w:themeColor="text1"/>
              </w:rPr>
            </w:pPr>
            <w:r w:rsidRPr="0058432E">
              <w:rPr>
                <w:color w:val="000000" w:themeColor="text1"/>
              </w:rPr>
              <w:t>28,1 %</w:t>
            </w:r>
          </w:p>
        </w:tc>
        <w:tc>
          <w:tcPr>
            <w:tcW w:w="2042" w:type="dxa"/>
            <w:tcBorders>
              <w:top w:val="single" w:sz="4" w:space="0" w:color="auto"/>
              <w:left w:val="single" w:sz="4" w:space="0" w:color="auto"/>
              <w:bottom w:val="single" w:sz="4" w:space="0" w:color="auto"/>
              <w:right w:val="single" w:sz="4" w:space="0" w:color="auto"/>
            </w:tcBorders>
            <w:hideMark/>
          </w:tcPr>
          <w:p w14:paraId="5B7030B9" w14:textId="77777777" w:rsidR="003716CB" w:rsidRPr="0058432E" w:rsidRDefault="003716CB" w:rsidP="00E9681E">
            <w:pPr>
              <w:jc w:val="center"/>
              <w:rPr>
                <w:color w:val="000000" w:themeColor="text1"/>
              </w:rPr>
            </w:pPr>
            <w:r w:rsidRPr="0058432E">
              <w:rPr>
                <w:color w:val="000000" w:themeColor="text1"/>
              </w:rPr>
              <w:t>46,6 %</w:t>
            </w:r>
          </w:p>
        </w:tc>
        <w:tc>
          <w:tcPr>
            <w:tcW w:w="1021" w:type="dxa"/>
            <w:tcBorders>
              <w:top w:val="single" w:sz="4" w:space="0" w:color="auto"/>
              <w:left w:val="single" w:sz="4" w:space="0" w:color="auto"/>
              <w:bottom w:val="single" w:sz="4" w:space="0" w:color="auto"/>
              <w:right w:val="single" w:sz="4" w:space="0" w:color="auto"/>
            </w:tcBorders>
            <w:hideMark/>
          </w:tcPr>
          <w:p w14:paraId="7A0A201D"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717F02DA" w14:textId="77777777" w:rsidR="003716CB" w:rsidRPr="0058432E" w:rsidRDefault="003716CB" w:rsidP="00E9681E">
            <w:pPr>
              <w:jc w:val="center"/>
              <w:rPr>
                <w:color w:val="000000" w:themeColor="text1"/>
              </w:rPr>
            </w:pPr>
            <w:r w:rsidRPr="0058432E">
              <w:rPr>
                <w:color w:val="000000" w:themeColor="text1"/>
              </w:rPr>
              <w:t>&lt; 0,001</w:t>
            </w:r>
          </w:p>
        </w:tc>
        <w:tc>
          <w:tcPr>
            <w:tcW w:w="1072" w:type="dxa"/>
            <w:tcBorders>
              <w:top w:val="single" w:sz="4" w:space="0" w:color="auto"/>
              <w:left w:val="single" w:sz="4" w:space="0" w:color="auto"/>
              <w:bottom w:val="single" w:sz="4" w:space="0" w:color="auto"/>
              <w:right w:val="single" w:sz="4" w:space="0" w:color="auto"/>
            </w:tcBorders>
            <w:hideMark/>
          </w:tcPr>
          <w:p w14:paraId="309D4B06" w14:textId="77777777" w:rsidR="003716CB" w:rsidRPr="0058432E" w:rsidRDefault="003716CB" w:rsidP="00E9681E">
            <w:pPr>
              <w:jc w:val="center"/>
              <w:rPr>
                <w:color w:val="000000" w:themeColor="text1"/>
              </w:rPr>
            </w:pPr>
            <w:r w:rsidRPr="0058432E">
              <w:rPr>
                <w:color w:val="000000" w:themeColor="text1"/>
              </w:rPr>
              <w:t>0,864</w:t>
            </w:r>
          </w:p>
        </w:tc>
      </w:tr>
      <w:tr w:rsidR="00922261" w:rsidRPr="0058432E" w14:paraId="40E294BD" w14:textId="77777777" w:rsidTr="00922261">
        <w:tc>
          <w:tcPr>
            <w:tcW w:w="9303" w:type="dxa"/>
            <w:gridSpan w:val="7"/>
            <w:tcBorders>
              <w:top w:val="single" w:sz="4" w:space="0" w:color="auto"/>
              <w:left w:val="nil"/>
              <w:bottom w:val="nil"/>
              <w:right w:val="nil"/>
            </w:tcBorders>
          </w:tcPr>
          <w:p w14:paraId="3990BE51" w14:textId="77777777" w:rsidR="00922261" w:rsidRPr="0058432E" w:rsidRDefault="00922261" w:rsidP="00922261">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 </w:t>
            </w:r>
          </w:p>
          <w:p w14:paraId="00E2091D" w14:textId="77777777" w:rsidR="00922261" w:rsidRPr="0058432E" w:rsidRDefault="00922261" w:rsidP="00922261">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7A844F49" w14:textId="77777777" w:rsidR="00922261" w:rsidRPr="0058432E" w:rsidRDefault="00922261" w:rsidP="00922261">
            <w:pPr>
              <w:tabs>
                <w:tab w:val="left" w:pos="288"/>
              </w:tabs>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w:t>
            </w:r>
            <w:r w:rsidR="00381A02" w:rsidRPr="0058432E">
              <w:rPr>
                <w:color w:val="000000" w:themeColor="text1"/>
                <w:sz w:val="20"/>
              </w:rPr>
              <w:t>comparaison appariée des traitements</w:t>
            </w:r>
            <w:r w:rsidR="0032337B" w:rsidRPr="0058432E">
              <w:rPr>
                <w:color w:val="000000" w:themeColor="text1"/>
                <w:sz w:val="20"/>
              </w:rPr>
              <w:t xml:space="preserve"> </w:t>
            </w:r>
            <w:r w:rsidRPr="0058432E">
              <w:rPr>
                <w:color w:val="000000" w:themeColor="text1"/>
                <w:sz w:val="20"/>
              </w:rPr>
              <w:t xml:space="preserve">par adalimumab </w:t>
            </w:r>
            <w:r w:rsidR="00381A02" w:rsidRPr="0058432E">
              <w:rPr>
                <w:color w:val="000000" w:themeColor="text1"/>
                <w:sz w:val="20"/>
              </w:rPr>
              <w:t xml:space="preserve">seul </w:t>
            </w:r>
            <w:r w:rsidRPr="0058432E">
              <w:rPr>
                <w:color w:val="000000" w:themeColor="text1"/>
                <w:sz w:val="20"/>
              </w:rPr>
              <w:t xml:space="preserve">et par méthotrexate </w:t>
            </w:r>
            <w:r w:rsidR="00381A02" w:rsidRPr="0058432E">
              <w:rPr>
                <w:color w:val="000000" w:themeColor="text1"/>
                <w:sz w:val="20"/>
              </w:rPr>
              <w:t xml:space="preserve">seul </w:t>
            </w:r>
            <w:r w:rsidRPr="0058432E">
              <w:rPr>
                <w:color w:val="000000" w:themeColor="text1"/>
                <w:sz w:val="20"/>
              </w:rPr>
              <w:t>par le test U de Mann-Whitney.</w:t>
            </w:r>
          </w:p>
        </w:tc>
      </w:tr>
    </w:tbl>
    <w:p w14:paraId="4F70E75B" w14:textId="77777777" w:rsidR="00C46587" w:rsidRPr="0058432E" w:rsidRDefault="00C46587" w:rsidP="00982118">
      <w:pPr>
        <w:rPr>
          <w:color w:val="000000" w:themeColor="text1"/>
        </w:rPr>
      </w:pPr>
    </w:p>
    <w:p w14:paraId="39687FF3" w14:textId="77777777" w:rsidR="00C46587" w:rsidRPr="0058432E" w:rsidRDefault="00C46587" w:rsidP="00982118">
      <w:pPr>
        <w:rPr>
          <w:color w:val="000000" w:themeColor="text1"/>
        </w:rPr>
      </w:pPr>
      <w:r w:rsidRPr="0058432E">
        <w:rPr>
          <w:color w:val="000000" w:themeColor="text1"/>
        </w:rPr>
        <w:t xml:space="preserve">Dans la phase d’extension en ouvert de l’étude V sur </w:t>
      </w:r>
      <w:proofErr w:type="gramStart"/>
      <w:r w:rsidRPr="0058432E">
        <w:rPr>
          <w:color w:val="000000" w:themeColor="text1"/>
        </w:rPr>
        <w:t>la PR</w:t>
      </w:r>
      <w:proofErr w:type="gramEnd"/>
      <w:r w:rsidRPr="0058432E">
        <w:rPr>
          <w:color w:val="000000" w:themeColor="text1"/>
        </w:rPr>
        <w:t>, les taux de réponse ACR ont été maintenus chez les patients suivis jusqu’à 10 ans. Sur 542 patients randomisés pour recevoir l’adalimumab 40 mg toutes les deux semaines, 170 patients ont poursuivi l’adalimumab à la dose de 40 mg toutes les deux semaines pendant 10 ans. Parmi ces patients, 154 patients (90,6</w:t>
      </w:r>
      <w:r w:rsidR="009D0D34" w:rsidRPr="0058432E">
        <w:rPr>
          <w:color w:val="000000" w:themeColor="text1"/>
        </w:rPr>
        <w:t> </w:t>
      </w:r>
      <w:r w:rsidRPr="0058432E">
        <w:rPr>
          <w:color w:val="000000" w:themeColor="text1"/>
        </w:rPr>
        <w:t>%) ont eu une réponse ACR 20 ; 127 patients (74,7</w:t>
      </w:r>
      <w:r w:rsidR="009D0D34" w:rsidRPr="0058432E">
        <w:rPr>
          <w:color w:val="000000" w:themeColor="text1"/>
        </w:rPr>
        <w:t> </w:t>
      </w:r>
      <w:r w:rsidRPr="0058432E">
        <w:rPr>
          <w:color w:val="000000" w:themeColor="text1"/>
        </w:rPr>
        <w:t>%) ont eu une réponse ACR 50 et 102 patients (60,0</w:t>
      </w:r>
      <w:r w:rsidR="009D0D34" w:rsidRPr="0058432E">
        <w:rPr>
          <w:color w:val="000000" w:themeColor="text1"/>
        </w:rPr>
        <w:t> </w:t>
      </w:r>
      <w:r w:rsidRPr="0058432E">
        <w:rPr>
          <w:color w:val="000000" w:themeColor="text1"/>
        </w:rPr>
        <w:t xml:space="preserve">%) ont eu une réponse ACR 70. </w:t>
      </w:r>
    </w:p>
    <w:p w14:paraId="79016AB6" w14:textId="77777777" w:rsidR="00C46587" w:rsidRPr="0058432E" w:rsidRDefault="00C46587" w:rsidP="00982118">
      <w:pPr>
        <w:rPr>
          <w:color w:val="000000" w:themeColor="text1"/>
        </w:rPr>
      </w:pPr>
    </w:p>
    <w:p w14:paraId="4667B55D" w14:textId="77777777" w:rsidR="00C46587" w:rsidRPr="0058432E" w:rsidRDefault="009D0D34" w:rsidP="00982118">
      <w:pPr>
        <w:rPr>
          <w:color w:val="000000" w:themeColor="text1"/>
        </w:rPr>
      </w:pPr>
      <w:r w:rsidRPr="0058432E">
        <w:rPr>
          <w:color w:val="000000" w:themeColor="text1"/>
        </w:rPr>
        <w:t>À</w:t>
      </w:r>
      <w:r w:rsidR="00C46587" w:rsidRPr="0058432E">
        <w:rPr>
          <w:color w:val="000000" w:themeColor="text1"/>
        </w:rPr>
        <w:t xml:space="preserve"> la semaine 52, 42,9 % des patients qui avaient reçu l’association adalimumab/méthotrexate étaient en rémission clinique (DAS 28 (CRP) &lt; 2,6) comparativement à 20,6 % des patients ayant reçu le méthotrexate seul et 23,4 % des patients ayant reçu l’adalimumab seul. Le traitement par l’association adalimumab/méthotrexate était cliniquement et statistiquement supérieur au méthotrexate (p &lt; 0,001) et à l’adalimumab en monothérapie (p &lt; 0,001) dans l’obtention d’un état d’activité basse de la maladie pour les patients chez qui une polyarthrite rhumatoïde modérée à sévère avait été récemment diagnostiquée. La réponse pour les deux bras de monothérapie était similaire (p = 0,447). Sur 342</w:t>
      </w:r>
      <w:r w:rsidR="002A7F87" w:rsidRPr="0058432E">
        <w:rPr>
          <w:color w:val="000000" w:themeColor="text1"/>
        </w:rPr>
        <w:t> </w:t>
      </w:r>
      <w:r w:rsidR="00C46587" w:rsidRPr="0058432E">
        <w:rPr>
          <w:color w:val="000000" w:themeColor="text1"/>
        </w:rPr>
        <w:t xml:space="preserve">patients initialement randomisés pour recevoir l’adalimumab seul ou l’association adalimumab/méthotrexate qui ont été inclus dans l’étude d’extension en ouvert, 171 patients ont terminé 10 ans de traitement par adalimumab. Parmi ces patients, 109 patients (63,7 %) étaient en rémission à 10 ans. </w:t>
      </w:r>
    </w:p>
    <w:p w14:paraId="13A58455" w14:textId="77777777" w:rsidR="00C46587" w:rsidRPr="0058432E" w:rsidRDefault="00C46587" w:rsidP="00982118">
      <w:pPr>
        <w:rPr>
          <w:color w:val="000000" w:themeColor="text1"/>
        </w:rPr>
      </w:pPr>
    </w:p>
    <w:p w14:paraId="4FD278A9" w14:textId="77777777" w:rsidR="00C46587" w:rsidRPr="0058432E" w:rsidRDefault="00C46587" w:rsidP="00DC3A99">
      <w:pPr>
        <w:keepNext/>
        <w:rPr>
          <w:i/>
          <w:color w:val="000000" w:themeColor="text1"/>
          <w:u w:val="single"/>
        </w:rPr>
      </w:pPr>
      <w:r w:rsidRPr="0058432E">
        <w:rPr>
          <w:i/>
          <w:color w:val="000000" w:themeColor="text1"/>
          <w:u w:val="single"/>
        </w:rPr>
        <w:lastRenderedPageBreak/>
        <w:t xml:space="preserve">Réponse radiographique </w:t>
      </w:r>
    </w:p>
    <w:p w14:paraId="586BC5AF" w14:textId="77777777" w:rsidR="00C46587" w:rsidRPr="0058432E" w:rsidRDefault="00C46587" w:rsidP="00DC3A99">
      <w:pPr>
        <w:keepNext/>
        <w:rPr>
          <w:color w:val="000000" w:themeColor="text1"/>
        </w:rPr>
      </w:pPr>
    </w:p>
    <w:p w14:paraId="398B9FB2" w14:textId="77777777" w:rsidR="00C46587" w:rsidRPr="0058432E" w:rsidRDefault="00C46587" w:rsidP="00982118">
      <w:pPr>
        <w:rPr>
          <w:color w:val="000000" w:themeColor="text1"/>
        </w:rPr>
      </w:pPr>
      <w:r w:rsidRPr="0058432E">
        <w:rPr>
          <w:color w:val="000000" w:themeColor="text1"/>
        </w:rPr>
        <w:t xml:space="preserve">Dans l’étude III sur </w:t>
      </w:r>
      <w:proofErr w:type="gramStart"/>
      <w:r w:rsidRPr="0058432E">
        <w:rPr>
          <w:color w:val="000000" w:themeColor="text1"/>
        </w:rPr>
        <w:t>la PR</w:t>
      </w:r>
      <w:proofErr w:type="gramEnd"/>
      <w:r w:rsidRPr="0058432E">
        <w:rPr>
          <w:color w:val="000000" w:themeColor="text1"/>
        </w:rPr>
        <w:t>, dans laquelle les patients traités par adalimumab avaient une polyarthrite rhumatoïde d’une durée moyenne de 11 ans environ, les dommages structuraux articulaires ont été évalués par radiographie et exprimés en termes de modification du score total de Sharp (STS) et de ses composants, le score d’érosion et le score de pincement articulaire. Les patients traités par adalimumab associé au méthotrexate ont présenté une progression significativement moindre que les patients recevant seulement du méthotrexate à 6 et 12 mois (voir tableau </w:t>
      </w:r>
      <w:r w:rsidR="00671B82" w:rsidRPr="0058432E">
        <w:rPr>
          <w:color w:val="000000" w:themeColor="text1"/>
        </w:rPr>
        <w:t>10</w:t>
      </w:r>
      <w:r w:rsidRPr="0058432E">
        <w:rPr>
          <w:color w:val="000000" w:themeColor="text1"/>
        </w:rPr>
        <w:t xml:space="preserve">). </w:t>
      </w:r>
    </w:p>
    <w:p w14:paraId="3C7A3054" w14:textId="77777777" w:rsidR="00C46587" w:rsidRPr="0058432E" w:rsidRDefault="00C46587" w:rsidP="00982118">
      <w:pPr>
        <w:rPr>
          <w:color w:val="000000" w:themeColor="text1"/>
        </w:rPr>
      </w:pPr>
    </w:p>
    <w:p w14:paraId="369CD6FD" w14:textId="77777777" w:rsidR="00C46587" w:rsidRPr="0058432E" w:rsidRDefault="00C46587" w:rsidP="00982118">
      <w:pPr>
        <w:rPr>
          <w:color w:val="000000" w:themeColor="text1"/>
        </w:rPr>
      </w:pPr>
      <w:r w:rsidRPr="0058432E">
        <w:rPr>
          <w:color w:val="000000" w:themeColor="text1"/>
        </w:rPr>
        <w:t xml:space="preserve">Dans l’extension en ouvert de l’étude III dans </w:t>
      </w:r>
      <w:proofErr w:type="gramStart"/>
      <w:r w:rsidRPr="0058432E">
        <w:rPr>
          <w:color w:val="000000" w:themeColor="text1"/>
        </w:rPr>
        <w:t>la PR</w:t>
      </w:r>
      <w:proofErr w:type="gramEnd"/>
      <w:r w:rsidRPr="0058432E">
        <w:rPr>
          <w:color w:val="000000" w:themeColor="text1"/>
        </w:rPr>
        <w:t xml:space="preserve">, le ralentissement de la progression des dommages structuraux est maintenu à 8 et 10 ans pour une partie des patients. À 8 ans, 81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48 patients n’ont pas présenté de progression des dommages structuraux définie par une modification du score total de Sharp modifié de 0,5 ou moins par rapport à la valeur de base. À 10 ans, 79 des 207 patients traités dès le début par 40 mg d’adalimumab </w:t>
      </w:r>
      <w:r w:rsidR="001B430D" w:rsidRPr="0058432E">
        <w:rPr>
          <w:color w:val="000000" w:themeColor="text1"/>
        </w:rPr>
        <w:t>toutes les deux semaines</w:t>
      </w:r>
      <w:r w:rsidRPr="0058432E">
        <w:rPr>
          <w:color w:val="000000" w:themeColor="text1"/>
        </w:rPr>
        <w:t xml:space="preserve"> ont été évalués par radiographie. Parmi ces patients, 40 patients n’ont pas présenté de progression des dommages structuraux définie par une modification du score total de Sharp modifié de 0,5 ou moins par rapport à la valeur de base. </w:t>
      </w:r>
    </w:p>
    <w:p w14:paraId="39F084E6" w14:textId="77777777" w:rsidR="00C46587" w:rsidRPr="0058432E" w:rsidRDefault="00C46587" w:rsidP="00982118">
      <w:pPr>
        <w:rPr>
          <w:color w:val="000000" w:themeColor="text1"/>
        </w:rPr>
      </w:pPr>
    </w:p>
    <w:p w14:paraId="5B272EFD" w14:textId="77777777" w:rsidR="00C46587" w:rsidRPr="0058432E" w:rsidRDefault="00C46587" w:rsidP="00A53E17">
      <w:pPr>
        <w:keepNext/>
        <w:rPr>
          <w:b/>
          <w:color w:val="000000" w:themeColor="text1"/>
        </w:rPr>
      </w:pPr>
      <w:r w:rsidRPr="0058432E">
        <w:rPr>
          <w:b/>
          <w:color w:val="000000" w:themeColor="text1"/>
        </w:rPr>
        <w:t>Tableau </w:t>
      </w:r>
      <w:r w:rsidR="00671B82" w:rsidRPr="0058432E">
        <w:rPr>
          <w:b/>
          <w:color w:val="000000" w:themeColor="text1"/>
        </w:rPr>
        <w:t>10</w:t>
      </w:r>
      <w:r w:rsidR="00BA0AD5" w:rsidRPr="0058432E">
        <w:rPr>
          <w:b/>
          <w:color w:val="000000" w:themeColor="text1"/>
        </w:rPr>
        <w:t>.</w:t>
      </w:r>
    </w:p>
    <w:p w14:paraId="09428C09" w14:textId="77777777" w:rsidR="00E9681E" w:rsidRPr="0058432E" w:rsidRDefault="00366ECC" w:rsidP="00A53E17">
      <w:pPr>
        <w:pStyle w:val="BodyText"/>
        <w:keepNext/>
        <w:widowControl/>
        <w:kinsoku w:val="0"/>
        <w:overflowPunct w:val="0"/>
        <w:ind w:left="0"/>
        <w:rPr>
          <w:color w:val="000000" w:themeColor="text1"/>
        </w:rPr>
      </w:pPr>
      <w:r w:rsidRPr="0058432E">
        <w:rPr>
          <w:b/>
          <w:bCs/>
          <w:color w:val="000000" w:themeColor="text1"/>
        </w:rPr>
        <w:t>M</w:t>
      </w:r>
      <w:r w:rsidR="00E9681E" w:rsidRPr="0058432E">
        <w:rPr>
          <w:b/>
          <w:bCs/>
          <w:color w:val="000000" w:themeColor="text1"/>
        </w:rPr>
        <w:t xml:space="preserve">odifications radiographiques </w:t>
      </w:r>
      <w:r w:rsidRPr="0058432E">
        <w:rPr>
          <w:b/>
          <w:bCs/>
          <w:color w:val="000000" w:themeColor="text1"/>
        </w:rPr>
        <w:t xml:space="preserve">moyennes </w:t>
      </w:r>
      <w:r w:rsidR="00E9681E" w:rsidRPr="0058432E">
        <w:rPr>
          <w:b/>
          <w:bCs/>
          <w:color w:val="000000" w:themeColor="text1"/>
        </w:rPr>
        <w:t xml:space="preserve">sur 12 mois dans l’étude III sur </w:t>
      </w:r>
      <w:proofErr w:type="gramStart"/>
      <w:r w:rsidR="00E9681E" w:rsidRPr="0058432E">
        <w:rPr>
          <w:b/>
          <w:bCs/>
          <w:color w:val="000000" w:themeColor="text1"/>
        </w:rPr>
        <w:t>la PR</w:t>
      </w:r>
      <w:proofErr w:type="gramEnd"/>
    </w:p>
    <w:p w14:paraId="5902ECDD" w14:textId="77777777" w:rsidR="00E9681E" w:rsidRPr="0058432E" w:rsidRDefault="00E9681E" w:rsidP="00E9681E">
      <w:pPr>
        <w:pStyle w:val="BodyText"/>
        <w:keepNext/>
        <w:widowControl/>
        <w:kinsoku w:val="0"/>
        <w:overflowPunct w:val="0"/>
        <w:ind w:left="0"/>
        <w:rPr>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191"/>
        <w:gridCol w:w="2169"/>
        <w:gridCol w:w="2351"/>
        <w:gridCol w:w="1456"/>
      </w:tblGrid>
      <w:tr w:rsidR="00E9681E" w:rsidRPr="0058432E" w14:paraId="392DA549" w14:textId="77777777" w:rsidTr="00DA48AB">
        <w:trPr>
          <w:cantSplit/>
        </w:trPr>
        <w:tc>
          <w:tcPr>
            <w:tcW w:w="1948" w:type="dxa"/>
            <w:shd w:val="clear" w:color="auto" w:fill="auto"/>
          </w:tcPr>
          <w:p w14:paraId="6045D1F2" w14:textId="77777777" w:rsidR="00E9681E" w:rsidRPr="0058432E" w:rsidRDefault="00E9681E" w:rsidP="00E9681E">
            <w:pPr>
              <w:rPr>
                <w:b/>
                <w:color w:val="000000" w:themeColor="text1"/>
              </w:rPr>
            </w:pPr>
          </w:p>
        </w:tc>
        <w:tc>
          <w:tcPr>
            <w:tcW w:w="1220" w:type="dxa"/>
            <w:shd w:val="clear" w:color="auto" w:fill="auto"/>
          </w:tcPr>
          <w:p w14:paraId="71940DD3" w14:textId="77777777" w:rsidR="00E9681E" w:rsidRPr="0058432E" w:rsidRDefault="00E9681E" w:rsidP="005A68B9">
            <w:pPr>
              <w:pStyle w:val="TableParagraph"/>
              <w:widowControl/>
              <w:kinsoku w:val="0"/>
              <w:overflowPunct w:val="0"/>
              <w:spacing w:before="12" w:line="252" w:lineRule="exact"/>
              <w:ind w:left="102" w:right="90"/>
              <w:jc w:val="center"/>
              <w:rPr>
                <w:rFonts w:ascii="Times New Roman" w:hAnsi="Times New Roman"/>
                <w:b/>
                <w:color w:val="000000" w:themeColor="text1"/>
              </w:rPr>
            </w:pPr>
            <w:r w:rsidRPr="0058432E">
              <w:rPr>
                <w:rFonts w:ascii="Times New Roman" w:hAnsi="Times New Roman"/>
                <w:b/>
                <w:color w:val="000000" w:themeColor="text1"/>
              </w:rPr>
              <w:t>Placebo/MTX</w:t>
            </w:r>
            <w:r w:rsidRPr="0058432E">
              <w:rPr>
                <w:rFonts w:ascii="Times New Roman" w:hAnsi="Times New Roman"/>
                <w:b/>
                <w:color w:val="000000" w:themeColor="text1"/>
                <w:vertAlign w:val="superscript"/>
              </w:rPr>
              <w:t>a</w:t>
            </w:r>
          </w:p>
        </w:tc>
        <w:tc>
          <w:tcPr>
            <w:tcW w:w="2227" w:type="dxa"/>
            <w:shd w:val="clear" w:color="auto" w:fill="auto"/>
          </w:tcPr>
          <w:p w14:paraId="57E33A7B" w14:textId="77777777" w:rsidR="00E9681E" w:rsidRPr="0058432E" w:rsidRDefault="00E9681E" w:rsidP="005A68B9">
            <w:pPr>
              <w:pStyle w:val="TableParagraph"/>
              <w:widowControl/>
              <w:kinsoku w:val="0"/>
              <w:overflowPunct w:val="0"/>
              <w:spacing w:before="8"/>
              <w:ind w:left="337" w:right="277" w:hanging="60"/>
              <w:jc w:val="center"/>
              <w:rPr>
                <w:rFonts w:ascii="Times New Roman" w:hAnsi="Times New Roman"/>
                <w:b/>
                <w:color w:val="000000" w:themeColor="text1"/>
              </w:rPr>
            </w:pPr>
            <w:r w:rsidRPr="0058432E">
              <w:rPr>
                <w:rFonts w:ascii="Times New Roman" w:hAnsi="Times New Roman"/>
                <w:b/>
                <w:color w:val="000000" w:themeColor="text1"/>
              </w:rPr>
              <w:t xml:space="preserve">Adalimumab/MTX 40 mg toutes les </w:t>
            </w:r>
            <w:r w:rsidR="00BA7A54" w:rsidRPr="0058432E">
              <w:rPr>
                <w:rFonts w:ascii="Times New Roman" w:hAnsi="Times New Roman"/>
                <w:b/>
                <w:color w:val="000000" w:themeColor="text1"/>
              </w:rPr>
              <w:t xml:space="preserve">deux </w:t>
            </w:r>
            <w:r w:rsidRPr="0058432E">
              <w:rPr>
                <w:rFonts w:ascii="Times New Roman" w:hAnsi="Times New Roman"/>
                <w:b/>
                <w:color w:val="000000" w:themeColor="text1"/>
              </w:rPr>
              <w:t>semaines</w:t>
            </w:r>
          </w:p>
        </w:tc>
        <w:tc>
          <w:tcPr>
            <w:tcW w:w="2415" w:type="dxa"/>
            <w:shd w:val="clear" w:color="auto" w:fill="auto"/>
          </w:tcPr>
          <w:p w14:paraId="43477100" w14:textId="77777777" w:rsidR="00E9681E" w:rsidRPr="0058432E" w:rsidRDefault="00E9681E" w:rsidP="005A68B9">
            <w:pPr>
              <w:pStyle w:val="TableParagraph"/>
              <w:widowControl/>
              <w:kinsoku w:val="0"/>
              <w:overflowPunct w:val="0"/>
              <w:spacing w:before="15" w:line="231" w:lineRule="auto"/>
              <w:ind w:left="117" w:right="115" w:hanging="1"/>
              <w:jc w:val="center"/>
              <w:rPr>
                <w:rFonts w:ascii="Times New Roman" w:hAnsi="Times New Roman"/>
                <w:b/>
                <w:color w:val="000000" w:themeColor="text1"/>
              </w:rPr>
            </w:pPr>
            <w:r w:rsidRPr="0058432E">
              <w:rPr>
                <w:rFonts w:ascii="Times New Roman" w:hAnsi="Times New Roman"/>
                <w:b/>
                <w:color w:val="000000" w:themeColor="text1"/>
              </w:rPr>
              <w:t>Placebo/MTX-Adalimumab/MTX (intervalle de confiance à 95 %</w:t>
            </w:r>
            <w:r w:rsidRPr="0058432E">
              <w:rPr>
                <w:rFonts w:ascii="Times New Roman" w:hAnsi="Times New Roman"/>
                <w:b/>
                <w:color w:val="000000" w:themeColor="text1"/>
                <w:vertAlign w:val="superscript"/>
              </w:rPr>
              <w:t>b</w:t>
            </w:r>
            <w:r w:rsidRPr="0058432E">
              <w:rPr>
                <w:rFonts w:ascii="Times New Roman" w:hAnsi="Times New Roman"/>
                <w:b/>
                <w:color w:val="000000" w:themeColor="text1"/>
              </w:rPr>
              <w:t>)</w:t>
            </w:r>
          </w:p>
        </w:tc>
        <w:tc>
          <w:tcPr>
            <w:tcW w:w="1493" w:type="dxa"/>
            <w:shd w:val="clear" w:color="auto" w:fill="auto"/>
          </w:tcPr>
          <w:p w14:paraId="26C6F18E" w14:textId="77777777" w:rsidR="00E9681E" w:rsidRPr="0058432E" w:rsidRDefault="00E9681E" w:rsidP="005A68B9">
            <w:pPr>
              <w:pStyle w:val="TableParagraph"/>
              <w:widowControl/>
              <w:kinsoku w:val="0"/>
              <w:overflowPunct w:val="0"/>
              <w:spacing w:before="8"/>
              <w:ind w:left="438" w:hanging="43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p>
        </w:tc>
      </w:tr>
      <w:tr w:rsidR="00E9681E" w:rsidRPr="0058432E" w14:paraId="31C1EDEB" w14:textId="77777777" w:rsidTr="00DA48AB">
        <w:trPr>
          <w:cantSplit/>
        </w:trPr>
        <w:tc>
          <w:tcPr>
            <w:tcW w:w="1948" w:type="dxa"/>
            <w:shd w:val="clear" w:color="auto" w:fill="auto"/>
          </w:tcPr>
          <w:p w14:paraId="272AAD0D" w14:textId="77777777" w:rsidR="00E9681E" w:rsidRPr="0058432E" w:rsidRDefault="00E9681E"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total de Sharp</w:t>
            </w:r>
          </w:p>
        </w:tc>
        <w:tc>
          <w:tcPr>
            <w:tcW w:w="1220" w:type="dxa"/>
            <w:shd w:val="clear" w:color="auto" w:fill="auto"/>
          </w:tcPr>
          <w:p w14:paraId="2B3D82CC"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2,7</w:t>
            </w:r>
          </w:p>
        </w:tc>
        <w:tc>
          <w:tcPr>
            <w:tcW w:w="2227" w:type="dxa"/>
            <w:shd w:val="clear" w:color="auto" w:fill="auto"/>
          </w:tcPr>
          <w:p w14:paraId="71CF92FD"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15" w:type="dxa"/>
            <w:shd w:val="clear" w:color="auto" w:fill="auto"/>
          </w:tcPr>
          <w:p w14:paraId="4346EDAB" w14:textId="77777777" w:rsidR="00E9681E" w:rsidRPr="0058432E" w:rsidRDefault="00E9681E" w:rsidP="005A68B9">
            <w:pPr>
              <w:pStyle w:val="TableParagraph"/>
              <w:widowControl/>
              <w:kinsoku w:val="0"/>
              <w:overflowPunct w:val="0"/>
              <w:spacing w:before="7"/>
              <w:ind w:left="424"/>
              <w:rPr>
                <w:rFonts w:ascii="Times New Roman" w:hAnsi="Times New Roman"/>
                <w:color w:val="000000" w:themeColor="text1"/>
              </w:rPr>
            </w:pPr>
            <w:r w:rsidRPr="0058432E">
              <w:rPr>
                <w:rFonts w:ascii="Times New Roman" w:hAnsi="Times New Roman"/>
                <w:color w:val="000000" w:themeColor="text1"/>
              </w:rPr>
              <w:t>2,6 (1,4 ; 3,8)</w:t>
            </w:r>
          </w:p>
        </w:tc>
        <w:tc>
          <w:tcPr>
            <w:tcW w:w="1493" w:type="dxa"/>
            <w:shd w:val="clear" w:color="auto" w:fill="auto"/>
          </w:tcPr>
          <w:p w14:paraId="13189968" w14:textId="77777777" w:rsidR="00E9681E" w:rsidRPr="0058432E" w:rsidRDefault="00E9681E" w:rsidP="005A68B9">
            <w:pPr>
              <w:pStyle w:val="TableParagraph"/>
              <w:widowControl/>
              <w:kinsoku w:val="0"/>
              <w:overflowPunct w:val="0"/>
              <w:spacing w:line="260" w:lineRule="exact"/>
              <w:ind w:left="399"/>
              <w:rPr>
                <w:rFonts w:ascii="Times New Roman" w:hAnsi="Times New Roman"/>
                <w:color w:val="000000" w:themeColor="text1"/>
              </w:rPr>
            </w:pPr>
            <w:r w:rsidRPr="0058432E">
              <w:rPr>
                <w:rFonts w:ascii="Times New Roman" w:hAnsi="Times New Roman"/>
                <w:color w:val="000000" w:themeColor="text1"/>
              </w:rPr>
              <w:t>&lt; 0,001</w:t>
            </w:r>
            <w:r w:rsidRPr="0058432E">
              <w:rPr>
                <w:rFonts w:ascii="Times New Roman" w:hAnsi="Times New Roman"/>
                <w:color w:val="000000" w:themeColor="text1"/>
                <w:vertAlign w:val="superscript"/>
              </w:rPr>
              <w:t>c</w:t>
            </w:r>
          </w:p>
        </w:tc>
      </w:tr>
      <w:tr w:rsidR="00E9681E" w:rsidRPr="0058432E" w14:paraId="1F2ADD61" w14:textId="77777777" w:rsidTr="00DA48AB">
        <w:trPr>
          <w:cantSplit/>
        </w:trPr>
        <w:tc>
          <w:tcPr>
            <w:tcW w:w="1948" w:type="dxa"/>
            <w:shd w:val="clear" w:color="auto" w:fill="auto"/>
          </w:tcPr>
          <w:p w14:paraId="77D1209E" w14:textId="77777777" w:rsidR="00E9681E" w:rsidRPr="0058432E" w:rsidRDefault="00E9681E" w:rsidP="005A68B9">
            <w:pPr>
              <w:pStyle w:val="TableParagraph"/>
              <w:widowControl/>
              <w:kinsoku w:val="0"/>
              <w:overflowPunct w:val="0"/>
              <w:spacing w:before="7"/>
              <w:rPr>
                <w:rFonts w:ascii="Times New Roman" w:hAnsi="Times New Roman"/>
                <w:color w:val="000000" w:themeColor="text1"/>
              </w:rPr>
            </w:pPr>
            <w:r w:rsidRPr="0058432E">
              <w:rPr>
                <w:rFonts w:ascii="Times New Roman" w:hAnsi="Times New Roman"/>
                <w:color w:val="000000" w:themeColor="text1"/>
              </w:rPr>
              <w:t>Score d'érosion</w:t>
            </w:r>
          </w:p>
        </w:tc>
        <w:tc>
          <w:tcPr>
            <w:tcW w:w="1220" w:type="dxa"/>
            <w:shd w:val="clear" w:color="auto" w:fill="auto"/>
          </w:tcPr>
          <w:p w14:paraId="2CDD3BD8"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1,6</w:t>
            </w:r>
          </w:p>
        </w:tc>
        <w:tc>
          <w:tcPr>
            <w:tcW w:w="2227" w:type="dxa"/>
            <w:shd w:val="clear" w:color="auto" w:fill="auto"/>
          </w:tcPr>
          <w:p w14:paraId="3E4D9D6B"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0,0</w:t>
            </w:r>
          </w:p>
        </w:tc>
        <w:tc>
          <w:tcPr>
            <w:tcW w:w="2415" w:type="dxa"/>
            <w:shd w:val="clear" w:color="auto" w:fill="auto"/>
          </w:tcPr>
          <w:p w14:paraId="429CE471" w14:textId="77777777" w:rsidR="00E9681E" w:rsidRPr="0058432E" w:rsidRDefault="00E9681E"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1,6 (0,9 ; 2,2)</w:t>
            </w:r>
          </w:p>
        </w:tc>
        <w:tc>
          <w:tcPr>
            <w:tcW w:w="1493" w:type="dxa"/>
            <w:shd w:val="clear" w:color="auto" w:fill="auto"/>
          </w:tcPr>
          <w:p w14:paraId="17F4A356" w14:textId="77777777" w:rsidR="00E9681E" w:rsidRPr="0058432E" w:rsidRDefault="00E9681E" w:rsidP="005A68B9">
            <w:pPr>
              <w:pStyle w:val="TableParagraph"/>
              <w:widowControl/>
              <w:kinsoku w:val="0"/>
              <w:overflowPunct w:val="0"/>
              <w:spacing w:before="7"/>
              <w:ind w:left="430"/>
              <w:rPr>
                <w:rFonts w:ascii="Times New Roman" w:hAnsi="Times New Roman"/>
                <w:color w:val="000000" w:themeColor="text1"/>
              </w:rPr>
            </w:pPr>
            <w:r w:rsidRPr="0058432E">
              <w:rPr>
                <w:rFonts w:ascii="Times New Roman" w:hAnsi="Times New Roman"/>
                <w:color w:val="000000" w:themeColor="text1"/>
              </w:rPr>
              <w:t>&lt; 0,001</w:t>
            </w:r>
          </w:p>
        </w:tc>
      </w:tr>
      <w:tr w:rsidR="00E9681E" w:rsidRPr="0058432E" w14:paraId="7AAF7F7E" w14:textId="77777777" w:rsidTr="00BB089F">
        <w:trPr>
          <w:cantSplit/>
        </w:trPr>
        <w:tc>
          <w:tcPr>
            <w:tcW w:w="1948" w:type="dxa"/>
            <w:tcBorders>
              <w:bottom w:val="single" w:sz="4" w:space="0" w:color="auto"/>
            </w:tcBorders>
            <w:shd w:val="clear" w:color="auto" w:fill="auto"/>
          </w:tcPr>
          <w:p w14:paraId="4A7BA27C" w14:textId="77777777" w:rsidR="00E9681E" w:rsidRPr="0058432E" w:rsidRDefault="00E9681E" w:rsidP="005A68B9">
            <w:pPr>
              <w:pStyle w:val="TableParagraph"/>
              <w:widowControl/>
              <w:kinsoku w:val="0"/>
              <w:overflowPunct w:val="0"/>
              <w:spacing w:line="260" w:lineRule="exact"/>
              <w:rPr>
                <w:rFonts w:ascii="Times New Roman" w:hAnsi="Times New Roman"/>
                <w:color w:val="000000" w:themeColor="text1"/>
              </w:rPr>
            </w:pPr>
            <w:r w:rsidRPr="0058432E">
              <w:rPr>
                <w:rFonts w:ascii="Times New Roman" w:hAnsi="Times New Roman"/>
                <w:color w:val="000000" w:themeColor="text1"/>
              </w:rPr>
              <w:t>Score de pincement articulaire (JSN)</w:t>
            </w:r>
            <w:r w:rsidRPr="0058432E">
              <w:rPr>
                <w:rFonts w:ascii="Times New Roman" w:hAnsi="Times New Roman"/>
                <w:color w:val="000000" w:themeColor="text1"/>
                <w:vertAlign w:val="superscript"/>
              </w:rPr>
              <w:t>d</w:t>
            </w:r>
          </w:p>
        </w:tc>
        <w:tc>
          <w:tcPr>
            <w:tcW w:w="1220" w:type="dxa"/>
            <w:tcBorders>
              <w:bottom w:val="single" w:sz="4" w:space="0" w:color="auto"/>
            </w:tcBorders>
            <w:shd w:val="clear" w:color="auto" w:fill="auto"/>
          </w:tcPr>
          <w:p w14:paraId="04155D7F" w14:textId="77777777" w:rsidR="00E9681E" w:rsidRPr="0058432E" w:rsidRDefault="00E9681E" w:rsidP="005A68B9">
            <w:pPr>
              <w:pStyle w:val="TableParagraph"/>
              <w:widowControl/>
              <w:kinsoku w:val="0"/>
              <w:overflowPunct w:val="0"/>
              <w:spacing w:before="7"/>
              <w:jc w:val="center"/>
              <w:rPr>
                <w:rFonts w:ascii="Times New Roman" w:hAnsi="Times New Roman"/>
                <w:color w:val="000000" w:themeColor="text1"/>
              </w:rPr>
            </w:pPr>
            <w:r w:rsidRPr="0058432E">
              <w:rPr>
                <w:rFonts w:ascii="Times New Roman" w:hAnsi="Times New Roman"/>
                <w:color w:val="000000" w:themeColor="text1"/>
              </w:rPr>
              <w:t>1,0</w:t>
            </w:r>
          </w:p>
        </w:tc>
        <w:tc>
          <w:tcPr>
            <w:tcW w:w="2227" w:type="dxa"/>
            <w:tcBorders>
              <w:bottom w:val="single" w:sz="4" w:space="0" w:color="auto"/>
            </w:tcBorders>
            <w:shd w:val="clear" w:color="auto" w:fill="auto"/>
          </w:tcPr>
          <w:p w14:paraId="42B07A92" w14:textId="77777777" w:rsidR="00E9681E" w:rsidRPr="0058432E" w:rsidRDefault="00E9681E" w:rsidP="005A68B9">
            <w:pPr>
              <w:pStyle w:val="TableParagraph"/>
              <w:widowControl/>
              <w:kinsoku w:val="0"/>
              <w:overflowPunct w:val="0"/>
              <w:spacing w:before="7"/>
              <w:ind w:right="1"/>
              <w:jc w:val="center"/>
              <w:rPr>
                <w:rFonts w:ascii="Times New Roman" w:hAnsi="Times New Roman"/>
                <w:color w:val="000000" w:themeColor="text1"/>
              </w:rPr>
            </w:pPr>
            <w:r w:rsidRPr="0058432E">
              <w:rPr>
                <w:rFonts w:ascii="Times New Roman" w:hAnsi="Times New Roman"/>
                <w:color w:val="000000" w:themeColor="text1"/>
              </w:rPr>
              <w:t>0,1</w:t>
            </w:r>
          </w:p>
        </w:tc>
        <w:tc>
          <w:tcPr>
            <w:tcW w:w="2415" w:type="dxa"/>
            <w:tcBorders>
              <w:bottom w:val="single" w:sz="4" w:space="0" w:color="auto"/>
            </w:tcBorders>
            <w:shd w:val="clear" w:color="auto" w:fill="auto"/>
          </w:tcPr>
          <w:p w14:paraId="075B1E0A" w14:textId="77777777" w:rsidR="00E9681E" w:rsidRPr="0058432E" w:rsidRDefault="00E9681E" w:rsidP="005A68B9">
            <w:pPr>
              <w:pStyle w:val="TableParagraph"/>
              <w:widowControl/>
              <w:kinsoku w:val="0"/>
              <w:overflowPunct w:val="0"/>
              <w:spacing w:before="7"/>
              <w:ind w:left="426"/>
              <w:rPr>
                <w:rFonts w:ascii="Times New Roman" w:hAnsi="Times New Roman"/>
                <w:color w:val="000000" w:themeColor="text1"/>
              </w:rPr>
            </w:pPr>
            <w:r w:rsidRPr="0058432E">
              <w:rPr>
                <w:rFonts w:ascii="Times New Roman" w:hAnsi="Times New Roman"/>
                <w:color w:val="000000" w:themeColor="text1"/>
              </w:rPr>
              <w:t>0,9 (0,3 ; 1,4)</w:t>
            </w:r>
          </w:p>
        </w:tc>
        <w:tc>
          <w:tcPr>
            <w:tcW w:w="1493" w:type="dxa"/>
            <w:tcBorders>
              <w:bottom w:val="single" w:sz="4" w:space="0" w:color="auto"/>
            </w:tcBorders>
            <w:shd w:val="clear" w:color="auto" w:fill="auto"/>
          </w:tcPr>
          <w:p w14:paraId="4D9C27CB" w14:textId="77777777" w:rsidR="00E9681E" w:rsidRPr="0058432E" w:rsidRDefault="00E9681E" w:rsidP="005A68B9">
            <w:pPr>
              <w:pStyle w:val="TableParagraph"/>
              <w:widowControl/>
              <w:kinsoku w:val="0"/>
              <w:overflowPunct w:val="0"/>
              <w:spacing w:before="7"/>
              <w:ind w:left="576"/>
              <w:rPr>
                <w:rFonts w:ascii="Times New Roman" w:hAnsi="Times New Roman"/>
                <w:color w:val="000000" w:themeColor="text1"/>
              </w:rPr>
            </w:pPr>
            <w:r w:rsidRPr="0058432E">
              <w:rPr>
                <w:rFonts w:ascii="Times New Roman" w:hAnsi="Times New Roman"/>
                <w:color w:val="000000" w:themeColor="text1"/>
              </w:rPr>
              <w:t>0,002</w:t>
            </w:r>
          </w:p>
        </w:tc>
      </w:tr>
      <w:tr w:rsidR="00922261" w:rsidRPr="00B03C37" w14:paraId="2F33AA75" w14:textId="77777777" w:rsidTr="00BB089F">
        <w:trPr>
          <w:cantSplit/>
        </w:trPr>
        <w:tc>
          <w:tcPr>
            <w:tcW w:w="9303" w:type="dxa"/>
            <w:gridSpan w:val="5"/>
            <w:tcBorders>
              <w:left w:val="nil"/>
              <w:bottom w:val="nil"/>
              <w:right w:val="nil"/>
            </w:tcBorders>
            <w:shd w:val="clear" w:color="auto" w:fill="auto"/>
          </w:tcPr>
          <w:p w14:paraId="39BB026E" w14:textId="77777777" w:rsidR="00922261" w:rsidRPr="0058432E" w:rsidRDefault="00922261" w:rsidP="00922261">
            <w:pPr>
              <w:pStyle w:val="BodyText"/>
              <w:widowControl/>
              <w:kinsoku w:val="0"/>
              <w:overflowPunct w:val="0"/>
              <w:ind w:left="270" w:hanging="270"/>
              <w:rPr>
                <w:color w:val="000000" w:themeColor="text1"/>
                <w:sz w:val="20"/>
              </w:rPr>
            </w:pPr>
            <w:proofErr w:type="gramStart"/>
            <w:r w:rsidRPr="0058432E">
              <w:rPr>
                <w:bCs/>
                <w:color w:val="000000" w:themeColor="text1"/>
                <w:sz w:val="20"/>
                <w:szCs w:val="14"/>
                <w:vertAlign w:val="superscript"/>
              </w:rPr>
              <w:t>a</w:t>
            </w:r>
            <w:proofErr w:type="gramEnd"/>
            <w:r w:rsidRPr="0058432E">
              <w:rPr>
                <w:bCs/>
                <w:color w:val="000000" w:themeColor="text1"/>
                <w:sz w:val="20"/>
                <w:szCs w:val="14"/>
              </w:rPr>
              <w:t xml:space="preserve"> </w:t>
            </w:r>
            <w:r w:rsidRPr="0058432E">
              <w:rPr>
                <w:bCs/>
                <w:color w:val="000000" w:themeColor="text1"/>
                <w:sz w:val="20"/>
                <w:szCs w:val="14"/>
              </w:rPr>
              <w:tab/>
            </w:r>
            <w:r w:rsidRPr="0058432E">
              <w:rPr>
                <w:color w:val="000000" w:themeColor="text1"/>
                <w:sz w:val="20"/>
              </w:rPr>
              <w:t>méthotrexate</w:t>
            </w:r>
          </w:p>
          <w:p w14:paraId="565900F7" w14:textId="77777777" w:rsidR="00922261" w:rsidRPr="0058432E" w:rsidRDefault="00922261" w:rsidP="00922261">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b</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intervalle de confiance à 95 % des différences de variations des scores entre méthotrexate et adalimumab.</w:t>
            </w:r>
          </w:p>
          <w:p w14:paraId="2F86D6C1" w14:textId="77777777" w:rsidR="00922261" w:rsidRPr="0058432E" w:rsidRDefault="00922261" w:rsidP="00922261">
            <w:pPr>
              <w:pStyle w:val="BodyText"/>
              <w:widowControl/>
              <w:kinsoku w:val="0"/>
              <w:overflowPunct w:val="0"/>
              <w:ind w:left="270" w:hanging="270"/>
              <w:rPr>
                <w:color w:val="000000" w:themeColor="text1"/>
                <w:sz w:val="20"/>
              </w:rPr>
            </w:pPr>
            <w:proofErr w:type="gramStart"/>
            <w:r w:rsidRPr="0058432E">
              <w:rPr>
                <w:color w:val="000000" w:themeColor="text1"/>
                <w:sz w:val="20"/>
                <w:szCs w:val="14"/>
                <w:vertAlign w:val="superscript"/>
              </w:rPr>
              <w:t>c</w:t>
            </w:r>
            <w:proofErr w:type="gramEnd"/>
            <w:r w:rsidRPr="0058432E">
              <w:rPr>
                <w:color w:val="000000" w:themeColor="text1"/>
                <w:sz w:val="20"/>
                <w:szCs w:val="14"/>
              </w:rPr>
              <w:t xml:space="preserve"> </w:t>
            </w:r>
            <w:r w:rsidRPr="0058432E">
              <w:rPr>
                <w:color w:val="000000" w:themeColor="text1"/>
                <w:sz w:val="20"/>
                <w:szCs w:val="14"/>
              </w:rPr>
              <w:tab/>
            </w:r>
            <w:r w:rsidRPr="0058432E">
              <w:rPr>
                <w:color w:val="000000" w:themeColor="text1"/>
                <w:sz w:val="20"/>
              </w:rPr>
              <w:t>d’après les analyses de rang</w:t>
            </w:r>
          </w:p>
          <w:p w14:paraId="62E9677A" w14:textId="77777777" w:rsidR="00922261" w:rsidRPr="008444F9" w:rsidRDefault="00922261" w:rsidP="00922261">
            <w:pPr>
              <w:pStyle w:val="BodyText"/>
              <w:widowControl/>
              <w:kinsoku w:val="0"/>
              <w:overflowPunct w:val="0"/>
              <w:ind w:left="270" w:hanging="270"/>
              <w:rPr>
                <w:color w:val="000000" w:themeColor="text1"/>
                <w:sz w:val="20"/>
                <w:lang w:val="en-US"/>
              </w:rPr>
            </w:pPr>
            <w:r w:rsidRPr="008444F9">
              <w:rPr>
                <w:color w:val="000000" w:themeColor="text1"/>
                <w:sz w:val="20"/>
                <w:szCs w:val="14"/>
                <w:vertAlign w:val="superscript"/>
                <w:lang w:val="en-US"/>
              </w:rPr>
              <w:t>d</w:t>
            </w:r>
            <w:r w:rsidRPr="008444F9">
              <w:rPr>
                <w:color w:val="000000" w:themeColor="text1"/>
                <w:sz w:val="20"/>
                <w:szCs w:val="14"/>
                <w:lang w:val="en-US"/>
              </w:rPr>
              <w:t xml:space="preserve"> </w:t>
            </w:r>
            <w:r w:rsidRPr="008444F9">
              <w:rPr>
                <w:color w:val="000000" w:themeColor="text1"/>
                <w:sz w:val="20"/>
                <w:szCs w:val="14"/>
                <w:lang w:val="en-US"/>
              </w:rPr>
              <w:tab/>
            </w:r>
            <w:r w:rsidRPr="008444F9">
              <w:rPr>
                <w:color w:val="000000" w:themeColor="text1"/>
                <w:sz w:val="20"/>
                <w:lang w:val="en-US"/>
              </w:rPr>
              <w:t>JSN</w:t>
            </w:r>
            <w:r w:rsidR="000B6E7C" w:rsidRPr="008444F9">
              <w:rPr>
                <w:color w:val="000000" w:themeColor="text1"/>
                <w:sz w:val="20"/>
                <w:lang w:val="en-US"/>
              </w:rPr>
              <w:t> </w:t>
            </w:r>
            <w:r w:rsidR="00416676" w:rsidRPr="008444F9">
              <w:rPr>
                <w:color w:val="000000" w:themeColor="text1"/>
                <w:sz w:val="20"/>
                <w:lang w:val="en-US"/>
              </w:rPr>
              <w:t>= </w:t>
            </w:r>
            <w:r w:rsidRPr="008444F9">
              <w:rPr>
                <w:color w:val="000000" w:themeColor="text1"/>
                <w:sz w:val="20"/>
                <w:lang w:val="en-US"/>
              </w:rPr>
              <w:t>Joint Space Narrowing</w:t>
            </w:r>
          </w:p>
        </w:tc>
      </w:tr>
    </w:tbl>
    <w:p w14:paraId="6C1F1CFF" w14:textId="77777777" w:rsidR="00C46587" w:rsidRPr="008444F9" w:rsidRDefault="00C46587" w:rsidP="00982118">
      <w:pPr>
        <w:rPr>
          <w:color w:val="000000" w:themeColor="text1"/>
          <w:lang w:val="en-US"/>
        </w:rPr>
      </w:pPr>
    </w:p>
    <w:p w14:paraId="00A86252" w14:textId="77777777" w:rsidR="00C46587" w:rsidRPr="0058432E" w:rsidRDefault="00C46587" w:rsidP="00982118">
      <w:pPr>
        <w:rPr>
          <w:color w:val="000000" w:themeColor="text1"/>
        </w:rPr>
      </w:pPr>
      <w:r w:rsidRPr="0058432E">
        <w:rPr>
          <w:color w:val="000000" w:themeColor="text1"/>
        </w:rPr>
        <w:t xml:space="preserve">Dans l’étude V sur </w:t>
      </w:r>
      <w:proofErr w:type="gramStart"/>
      <w:r w:rsidRPr="0058432E">
        <w:rPr>
          <w:color w:val="000000" w:themeColor="text1"/>
        </w:rPr>
        <w:t>la PR</w:t>
      </w:r>
      <w:proofErr w:type="gramEnd"/>
      <w:r w:rsidRPr="0058432E">
        <w:rPr>
          <w:color w:val="000000" w:themeColor="text1"/>
        </w:rPr>
        <w:t xml:space="preserve">, les dommages structuraux articulaires ont été évalués par radiographie et exprimés en termes de </w:t>
      </w:r>
      <w:r w:rsidR="00366ECC" w:rsidRPr="0058432E">
        <w:rPr>
          <w:color w:val="000000" w:themeColor="text1"/>
        </w:rPr>
        <w:t xml:space="preserve">modification </w:t>
      </w:r>
      <w:r w:rsidRPr="0058432E">
        <w:rPr>
          <w:color w:val="000000" w:themeColor="text1"/>
        </w:rPr>
        <w:t>du score total de Sharp (voir tableau </w:t>
      </w:r>
      <w:r w:rsidR="00671B82" w:rsidRPr="0058432E">
        <w:rPr>
          <w:color w:val="000000" w:themeColor="text1"/>
        </w:rPr>
        <w:t>11</w:t>
      </w:r>
      <w:r w:rsidRPr="0058432E">
        <w:rPr>
          <w:color w:val="000000" w:themeColor="text1"/>
        </w:rPr>
        <w:t xml:space="preserve">). </w:t>
      </w:r>
    </w:p>
    <w:p w14:paraId="56D084AE" w14:textId="77777777" w:rsidR="002803DB" w:rsidRPr="0058432E" w:rsidRDefault="002803DB" w:rsidP="00982118">
      <w:pPr>
        <w:rPr>
          <w:color w:val="000000" w:themeColor="text1"/>
        </w:rPr>
      </w:pPr>
    </w:p>
    <w:p w14:paraId="187EFD74" w14:textId="77777777" w:rsidR="00C46587" w:rsidRPr="0058432E" w:rsidRDefault="00C46587" w:rsidP="00A53E17">
      <w:pPr>
        <w:keepNext/>
        <w:rPr>
          <w:b/>
          <w:color w:val="000000" w:themeColor="text1"/>
        </w:rPr>
      </w:pPr>
      <w:r w:rsidRPr="0058432E">
        <w:rPr>
          <w:b/>
          <w:color w:val="000000" w:themeColor="text1"/>
        </w:rPr>
        <w:t>Tableau </w:t>
      </w:r>
      <w:r w:rsidR="00671B82" w:rsidRPr="0058432E">
        <w:rPr>
          <w:b/>
          <w:color w:val="000000" w:themeColor="text1"/>
        </w:rPr>
        <w:t>11</w:t>
      </w:r>
      <w:r w:rsidR="002A7CDF" w:rsidRPr="0058432E">
        <w:rPr>
          <w:b/>
          <w:color w:val="000000" w:themeColor="text1"/>
        </w:rPr>
        <w:t>.</w:t>
      </w:r>
    </w:p>
    <w:p w14:paraId="5ACDFBD8" w14:textId="77777777" w:rsidR="00271CDD" w:rsidRPr="0058432E" w:rsidRDefault="00271CDD" w:rsidP="00A53E17">
      <w:pPr>
        <w:pStyle w:val="BodyText"/>
        <w:keepNext/>
        <w:widowControl/>
        <w:kinsoku w:val="0"/>
        <w:overflowPunct w:val="0"/>
        <w:ind w:left="0"/>
        <w:rPr>
          <w:color w:val="000000" w:themeColor="text1"/>
        </w:rPr>
      </w:pPr>
      <w:r w:rsidRPr="0058432E">
        <w:rPr>
          <w:b/>
          <w:bCs/>
          <w:color w:val="000000" w:themeColor="text1"/>
        </w:rPr>
        <w:t xml:space="preserve">Valeurs moyennes des modifications radiographiques à la semaine 52 dans l’étude V sur </w:t>
      </w:r>
      <w:proofErr w:type="gramStart"/>
      <w:r w:rsidRPr="0058432E">
        <w:rPr>
          <w:b/>
          <w:bCs/>
          <w:color w:val="000000" w:themeColor="text1"/>
        </w:rPr>
        <w:t>la PR</w:t>
      </w:r>
      <w:proofErr w:type="gramEnd"/>
    </w:p>
    <w:p w14:paraId="2B4369DB" w14:textId="77777777" w:rsidR="00271CDD" w:rsidRPr="0058432E" w:rsidRDefault="00271CDD" w:rsidP="00271CDD">
      <w:pPr>
        <w:pStyle w:val="BodyText"/>
        <w:keepNext/>
        <w:widowControl/>
        <w:kinsoku w:val="0"/>
        <w:overflowPunct w:val="0"/>
        <w:ind w:left="0"/>
        <w:rPr>
          <w:b/>
          <w:bCs/>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13"/>
        <w:gridCol w:w="1619"/>
        <w:gridCol w:w="1622"/>
        <w:gridCol w:w="1014"/>
        <w:gridCol w:w="1015"/>
        <w:gridCol w:w="1015"/>
      </w:tblGrid>
      <w:tr w:rsidR="00271CDD" w:rsidRPr="0058432E" w14:paraId="72202AD5" w14:textId="77777777" w:rsidTr="003D2782">
        <w:trPr>
          <w:trHeight w:hRule="exact" w:val="1274"/>
        </w:trPr>
        <w:tc>
          <w:tcPr>
            <w:tcW w:w="1404" w:type="dxa"/>
            <w:shd w:val="clear" w:color="auto" w:fill="auto"/>
          </w:tcPr>
          <w:p w14:paraId="5440CEF9" w14:textId="77777777" w:rsidR="00271CDD" w:rsidRPr="0058432E" w:rsidRDefault="00271CDD" w:rsidP="005A68B9">
            <w:pPr>
              <w:keepNext/>
              <w:keepLines/>
              <w:rPr>
                <w:b/>
                <w:color w:val="000000" w:themeColor="text1"/>
              </w:rPr>
            </w:pPr>
          </w:p>
        </w:tc>
        <w:tc>
          <w:tcPr>
            <w:tcW w:w="1451" w:type="dxa"/>
            <w:shd w:val="clear" w:color="auto" w:fill="auto"/>
            <w:vAlign w:val="center"/>
          </w:tcPr>
          <w:p w14:paraId="55510D2F"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MTX</w:t>
            </w:r>
          </w:p>
          <w:p w14:paraId="21739F0A"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257</w:t>
            </w:r>
          </w:p>
          <w:p w14:paraId="6BA909BD" w14:textId="77777777" w:rsidR="00271CDD" w:rsidRPr="0058432E" w:rsidRDefault="00271CDD" w:rsidP="005A68B9">
            <w:pPr>
              <w:pStyle w:val="TableParagraph"/>
              <w:keepNext/>
              <w:keepLines/>
              <w:widowControl/>
              <w:kinsoku w:val="0"/>
              <w:overflowPunct w:val="0"/>
              <w:spacing w:before="6"/>
              <w:ind w:left="3"/>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663" w:type="dxa"/>
            <w:shd w:val="clear" w:color="auto" w:fill="auto"/>
            <w:vAlign w:val="center"/>
          </w:tcPr>
          <w:p w14:paraId="4EE77FF6"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Adalimumab</w:t>
            </w:r>
          </w:p>
          <w:p w14:paraId="2224D437"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274</w:t>
            </w:r>
          </w:p>
          <w:p w14:paraId="79EDFF45" w14:textId="77777777" w:rsidR="00271CDD" w:rsidRPr="0058432E" w:rsidRDefault="00271CDD" w:rsidP="005A68B9">
            <w:pPr>
              <w:pStyle w:val="TableParagraph"/>
              <w:keepNext/>
              <w:keepLines/>
              <w:widowControl/>
              <w:kinsoku w:val="0"/>
              <w:overflowPunct w:val="0"/>
              <w:spacing w:before="6"/>
              <w:ind w:left="-17"/>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666" w:type="dxa"/>
            <w:shd w:val="clear" w:color="auto" w:fill="auto"/>
            <w:vAlign w:val="center"/>
          </w:tcPr>
          <w:p w14:paraId="3A66EA3C"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Adalimumab/MTX</w:t>
            </w:r>
          </w:p>
          <w:p w14:paraId="1934D67E"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 268</w:t>
            </w:r>
          </w:p>
          <w:p w14:paraId="1B155952" w14:textId="77777777" w:rsidR="00271CDD" w:rsidRPr="0058432E" w:rsidRDefault="00271CDD" w:rsidP="005A68B9">
            <w:pPr>
              <w:pStyle w:val="TableParagraph"/>
              <w:keepNext/>
              <w:keepLines/>
              <w:widowControl/>
              <w:kinsoku w:val="0"/>
              <w:overflowPunct w:val="0"/>
              <w:spacing w:before="6"/>
              <w:jc w:val="center"/>
              <w:rPr>
                <w:rFonts w:ascii="Times New Roman" w:hAnsi="Times New Roman"/>
                <w:b/>
                <w:color w:val="000000" w:themeColor="text1"/>
              </w:rPr>
            </w:pPr>
            <w:r w:rsidRPr="0058432E">
              <w:rPr>
                <w:rFonts w:ascii="Times New Roman" w:hAnsi="Times New Roman"/>
                <w:b/>
                <w:color w:val="000000" w:themeColor="text1"/>
              </w:rPr>
              <w:t>(</w:t>
            </w:r>
            <w:proofErr w:type="gramStart"/>
            <w:r w:rsidRPr="0058432E">
              <w:rPr>
                <w:rFonts w:ascii="Times New Roman" w:hAnsi="Times New Roman"/>
                <w:b/>
                <w:color w:val="000000" w:themeColor="text1"/>
              </w:rPr>
              <w:t>intervalle</w:t>
            </w:r>
            <w:proofErr w:type="gramEnd"/>
            <w:r w:rsidRPr="0058432E">
              <w:rPr>
                <w:rFonts w:ascii="Times New Roman" w:hAnsi="Times New Roman"/>
                <w:b/>
                <w:color w:val="000000" w:themeColor="text1"/>
              </w:rPr>
              <w:t xml:space="preserve"> de confiance à 95 %)</w:t>
            </w:r>
          </w:p>
        </w:tc>
        <w:tc>
          <w:tcPr>
            <w:tcW w:w="1039" w:type="dxa"/>
            <w:shd w:val="clear" w:color="auto" w:fill="auto"/>
            <w:vAlign w:val="center"/>
          </w:tcPr>
          <w:p w14:paraId="1D106573" w14:textId="77777777" w:rsidR="00271CDD" w:rsidRPr="0058432E" w:rsidRDefault="00271CDD" w:rsidP="005A68B9">
            <w:pPr>
              <w:pStyle w:val="TableParagraph"/>
              <w:keepNext/>
              <w:keepLines/>
              <w:widowControl/>
              <w:kinsoku w:val="0"/>
              <w:overflowPunct w:val="0"/>
              <w:spacing w:before="188"/>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a</w:t>
            </w:r>
          </w:p>
        </w:tc>
        <w:tc>
          <w:tcPr>
            <w:tcW w:w="1040" w:type="dxa"/>
            <w:shd w:val="clear" w:color="auto" w:fill="auto"/>
            <w:vAlign w:val="center"/>
          </w:tcPr>
          <w:p w14:paraId="1910AB45" w14:textId="77777777" w:rsidR="00271CDD" w:rsidRPr="0058432E" w:rsidRDefault="00271CDD" w:rsidP="005A68B9">
            <w:pPr>
              <w:pStyle w:val="TableParagraph"/>
              <w:keepNext/>
              <w:keepLines/>
              <w:widowControl/>
              <w:kinsoku w:val="0"/>
              <w:overflowPunct w:val="0"/>
              <w:spacing w:before="188"/>
              <w:ind w:left="2"/>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b</w:t>
            </w:r>
          </w:p>
        </w:tc>
        <w:tc>
          <w:tcPr>
            <w:tcW w:w="1040" w:type="dxa"/>
            <w:shd w:val="clear" w:color="auto" w:fill="auto"/>
            <w:vAlign w:val="center"/>
          </w:tcPr>
          <w:p w14:paraId="2F873C47" w14:textId="77777777" w:rsidR="00271CDD" w:rsidRPr="0058432E" w:rsidRDefault="00271CDD" w:rsidP="005A68B9">
            <w:pPr>
              <w:pStyle w:val="TableParagraph"/>
              <w:keepNext/>
              <w:keepLines/>
              <w:widowControl/>
              <w:kinsoku w:val="0"/>
              <w:overflowPunct w:val="0"/>
              <w:spacing w:before="188"/>
              <w:ind w:left="31"/>
              <w:jc w:val="center"/>
              <w:rPr>
                <w:rFonts w:ascii="Times New Roman" w:hAnsi="Times New Roman"/>
                <w:b/>
                <w:color w:val="000000" w:themeColor="text1"/>
              </w:rPr>
            </w:pPr>
            <w:r w:rsidRPr="0058432E">
              <w:rPr>
                <w:rFonts w:ascii="Times New Roman" w:hAnsi="Times New Roman"/>
                <w:b/>
                <w:color w:val="000000" w:themeColor="text1"/>
              </w:rPr>
              <w:t xml:space="preserve">Valeur de </w:t>
            </w:r>
            <w:r w:rsidRPr="0058432E">
              <w:rPr>
                <w:rFonts w:ascii="Times New Roman" w:hAnsi="Times New Roman"/>
                <w:b/>
                <w:i/>
                <w:iCs/>
                <w:color w:val="000000" w:themeColor="text1"/>
              </w:rPr>
              <w:t>p</w:t>
            </w:r>
            <w:r w:rsidRPr="0058432E">
              <w:rPr>
                <w:rFonts w:ascii="Times New Roman" w:hAnsi="Times New Roman"/>
                <w:b/>
                <w:color w:val="000000" w:themeColor="text1"/>
                <w:vertAlign w:val="superscript"/>
              </w:rPr>
              <w:t>c</w:t>
            </w:r>
          </w:p>
        </w:tc>
      </w:tr>
      <w:tr w:rsidR="00271CDD" w:rsidRPr="0058432E" w14:paraId="07BB948F" w14:textId="77777777" w:rsidTr="003D2782">
        <w:trPr>
          <w:trHeight w:hRule="exact" w:val="516"/>
        </w:trPr>
        <w:tc>
          <w:tcPr>
            <w:tcW w:w="1404" w:type="dxa"/>
            <w:shd w:val="clear" w:color="auto" w:fill="auto"/>
          </w:tcPr>
          <w:p w14:paraId="571832AD"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total de Sharp</w:t>
            </w:r>
          </w:p>
        </w:tc>
        <w:tc>
          <w:tcPr>
            <w:tcW w:w="1451" w:type="dxa"/>
            <w:shd w:val="clear" w:color="auto" w:fill="auto"/>
            <w:vAlign w:val="center"/>
          </w:tcPr>
          <w:p w14:paraId="565CF615"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5,7 (4,2</w:t>
            </w:r>
            <w:r w:rsidR="00F76D54" w:rsidRPr="0058432E">
              <w:rPr>
                <w:rFonts w:ascii="Times New Roman" w:hAnsi="Times New Roman"/>
                <w:color w:val="000000" w:themeColor="text1"/>
              </w:rPr>
              <w:t> – </w:t>
            </w:r>
            <w:r w:rsidRPr="0058432E">
              <w:rPr>
                <w:rFonts w:ascii="Times New Roman" w:hAnsi="Times New Roman"/>
                <w:color w:val="000000" w:themeColor="text1"/>
              </w:rPr>
              <w:t>7,3)</w:t>
            </w:r>
          </w:p>
        </w:tc>
        <w:tc>
          <w:tcPr>
            <w:tcW w:w="1663" w:type="dxa"/>
            <w:shd w:val="clear" w:color="auto" w:fill="auto"/>
            <w:vAlign w:val="center"/>
          </w:tcPr>
          <w:p w14:paraId="4759584C"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3,0 (1,7</w:t>
            </w:r>
            <w:r w:rsidR="00F76D54" w:rsidRPr="0058432E">
              <w:rPr>
                <w:rFonts w:ascii="Times New Roman" w:hAnsi="Times New Roman"/>
                <w:color w:val="000000" w:themeColor="text1"/>
              </w:rPr>
              <w:t> – </w:t>
            </w:r>
            <w:r w:rsidRPr="0058432E">
              <w:rPr>
                <w:rFonts w:ascii="Times New Roman" w:hAnsi="Times New Roman"/>
                <w:color w:val="000000" w:themeColor="text1"/>
              </w:rPr>
              <w:t>4,3)</w:t>
            </w:r>
          </w:p>
        </w:tc>
        <w:tc>
          <w:tcPr>
            <w:tcW w:w="1666" w:type="dxa"/>
            <w:shd w:val="clear" w:color="auto" w:fill="auto"/>
            <w:vAlign w:val="center"/>
          </w:tcPr>
          <w:p w14:paraId="499D3F30"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1,3 (0,5</w:t>
            </w:r>
            <w:r w:rsidR="00F76D54" w:rsidRPr="0058432E">
              <w:rPr>
                <w:rFonts w:ascii="Times New Roman" w:hAnsi="Times New Roman"/>
                <w:color w:val="000000" w:themeColor="text1"/>
              </w:rPr>
              <w:t> – </w:t>
            </w:r>
            <w:r w:rsidRPr="0058432E">
              <w:rPr>
                <w:rFonts w:ascii="Times New Roman" w:hAnsi="Times New Roman"/>
                <w:color w:val="000000" w:themeColor="text1"/>
              </w:rPr>
              <w:t>2,1)</w:t>
            </w:r>
          </w:p>
        </w:tc>
        <w:tc>
          <w:tcPr>
            <w:tcW w:w="1039" w:type="dxa"/>
            <w:shd w:val="clear" w:color="auto" w:fill="auto"/>
            <w:vAlign w:val="center"/>
          </w:tcPr>
          <w:p w14:paraId="308DFDA3"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shd w:val="clear" w:color="auto" w:fill="auto"/>
            <w:vAlign w:val="center"/>
          </w:tcPr>
          <w:p w14:paraId="524830F4"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0,0020</w:t>
            </w:r>
          </w:p>
        </w:tc>
        <w:tc>
          <w:tcPr>
            <w:tcW w:w="1040" w:type="dxa"/>
            <w:shd w:val="clear" w:color="auto" w:fill="auto"/>
            <w:vAlign w:val="center"/>
          </w:tcPr>
          <w:p w14:paraId="368AD935"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271CDD" w:rsidRPr="0058432E" w14:paraId="05B358D6" w14:textId="77777777" w:rsidTr="003D2782">
        <w:trPr>
          <w:trHeight w:hRule="exact" w:val="263"/>
        </w:trPr>
        <w:tc>
          <w:tcPr>
            <w:tcW w:w="1404" w:type="dxa"/>
            <w:shd w:val="clear" w:color="auto" w:fill="auto"/>
          </w:tcPr>
          <w:p w14:paraId="423EDE4F"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d'érosion</w:t>
            </w:r>
          </w:p>
        </w:tc>
        <w:tc>
          <w:tcPr>
            <w:tcW w:w="1451" w:type="dxa"/>
            <w:shd w:val="clear" w:color="auto" w:fill="auto"/>
            <w:vAlign w:val="center"/>
          </w:tcPr>
          <w:p w14:paraId="00E3448F"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3,7 (2,7</w:t>
            </w:r>
            <w:r w:rsidR="00F76D54" w:rsidRPr="0058432E">
              <w:rPr>
                <w:rFonts w:ascii="Times New Roman" w:hAnsi="Times New Roman"/>
                <w:color w:val="000000" w:themeColor="text1"/>
              </w:rPr>
              <w:t> – </w:t>
            </w:r>
            <w:r w:rsidRPr="0058432E">
              <w:rPr>
                <w:rFonts w:ascii="Times New Roman" w:hAnsi="Times New Roman"/>
                <w:color w:val="000000" w:themeColor="text1"/>
              </w:rPr>
              <w:t>4,7)</w:t>
            </w:r>
          </w:p>
        </w:tc>
        <w:tc>
          <w:tcPr>
            <w:tcW w:w="1663" w:type="dxa"/>
            <w:shd w:val="clear" w:color="auto" w:fill="auto"/>
            <w:vAlign w:val="center"/>
          </w:tcPr>
          <w:p w14:paraId="29C9DCD8"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1,7 (1,0</w:t>
            </w:r>
            <w:r w:rsidR="00F76D54" w:rsidRPr="0058432E">
              <w:rPr>
                <w:rFonts w:ascii="Times New Roman" w:hAnsi="Times New Roman"/>
                <w:color w:val="000000" w:themeColor="text1"/>
              </w:rPr>
              <w:t> – </w:t>
            </w:r>
            <w:r w:rsidRPr="0058432E">
              <w:rPr>
                <w:rFonts w:ascii="Times New Roman" w:hAnsi="Times New Roman"/>
                <w:color w:val="000000" w:themeColor="text1"/>
              </w:rPr>
              <w:t>2,4)</w:t>
            </w:r>
          </w:p>
        </w:tc>
        <w:tc>
          <w:tcPr>
            <w:tcW w:w="1666" w:type="dxa"/>
            <w:shd w:val="clear" w:color="auto" w:fill="auto"/>
            <w:vAlign w:val="center"/>
          </w:tcPr>
          <w:p w14:paraId="402A1B78"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0,8 (0,4</w:t>
            </w:r>
            <w:r w:rsidR="00F76D54" w:rsidRPr="0058432E">
              <w:rPr>
                <w:rFonts w:ascii="Times New Roman" w:hAnsi="Times New Roman"/>
                <w:color w:val="000000" w:themeColor="text1"/>
              </w:rPr>
              <w:t> – </w:t>
            </w:r>
            <w:r w:rsidRPr="0058432E">
              <w:rPr>
                <w:rFonts w:ascii="Times New Roman" w:hAnsi="Times New Roman"/>
                <w:color w:val="000000" w:themeColor="text1"/>
              </w:rPr>
              <w:t>1,2)</w:t>
            </w:r>
          </w:p>
        </w:tc>
        <w:tc>
          <w:tcPr>
            <w:tcW w:w="1039" w:type="dxa"/>
            <w:shd w:val="clear" w:color="auto" w:fill="auto"/>
            <w:vAlign w:val="center"/>
          </w:tcPr>
          <w:p w14:paraId="2A6C9722"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shd w:val="clear" w:color="auto" w:fill="auto"/>
            <w:vAlign w:val="center"/>
          </w:tcPr>
          <w:p w14:paraId="22EECEEB"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0,0082</w:t>
            </w:r>
          </w:p>
        </w:tc>
        <w:tc>
          <w:tcPr>
            <w:tcW w:w="1040" w:type="dxa"/>
            <w:shd w:val="clear" w:color="auto" w:fill="auto"/>
            <w:vAlign w:val="center"/>
          </w:tcPr>
          <w:p w14:paraId="3E84BF80"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&lt; 0,001</w:t>
            </w:r>
          </w:p>
        </w:tc>
      </w:tr>
      <w:tr w:rsidR="00271CDD" w:rsidRPr="0058432E" w14:paraId="3F0FF613" w14:textId="77777777" w:rsidTr="003D2782">
        <w:trPr>
          <w:trHeight w:hRule="exact" w:val="263"/>
        </w:trPr>
        <w:tc>
          <w:tcPr>
            <w:tcW w:w="1404" w:type="dxa"/>
            <w:tcBorders>
              <w:bottom w:val="single" w:sz="4" w:space="0" w:color="auto"/>
            </w:tcBorders>
            <w:shd w:val="clear" w:color="auto" w:fill="auto"/>
          </w:tcPr>
          <w:p w14:paraId="4C63BA38" w14:textId="77777777" w:rsidR="00271CDD" w:rsidRPr="0058432E" w:rsidRDefault="00271CDD" w:rsidP="005A68B9">
            <w:pPr>
              <w:pStyle w:val="TableParagraph"/>
              <w:widowControl/>
              <w:kinsoku w:val="0"/>
              <w:overflowPunct w:val="0"/>
              <w:spacing w:before="6"/>
              <w:ind w:right="36" w:hanging="3"/>
              <w:rPr>
                <w:rFonts w:ascii="Times New Roman" w:hAnsi="Times New Roman"/>
                <w:color w:val="000000" w:themeColor="text1"/>
              </w:rPr>
            </w:pPr>
            <w:r w:rsidRPr="0058432E">
              <w:rPr>
                <w:rFonts w:ascii="Times New Roman" w:hAnsi="Times New Roman"/>
                <w:color w:val="000000" w:themeColor="text1"/>
              </w:rPr>
              <w:t>Score de pincement articulaire (JSN)</w:t>
            </w:r>
          </w:p>
        </w:tc>
        <w:tc>
          <w:tcPr>
            <w:tcW w:w="1451" w:type="dxa"/>
            <w:tcBorders>
              <w:bottom w:val="single" w:sz="4" w:space="0" w:color="auto"/>
            </w:tcBorders>
            <w:shd w:val="clear" w:color="auto" w:fill="auto"/>
            <w:vAlign w:val="center"/>
          </w:tcPr>
          <w:p w14:paraId="28EBE431" w14:textId="77777777" w:rsidR="00271CDD" w:rsidRPr="0058432E" w:rsidRDefault="00271CDD" w:rsidP="005A68B9">
            <w:pPr>
              <w:pStyle w:val="TableParagraph"/>
              <w:widowControl/>
              <w:kinsoku w:val="0"/>
              <w:overflowPunct w:val="0"/>
              <w:spacing w:before="6"/>
              <w:ind w:left="3"/>
              <w:jc w:val="center"/>
              <w:rPr>
                <w:rFonts w:ascii="Times New Roman" w:hAnsi="Times New Roman"/>
                <w:color w:val="000000" w:themeColor="text1"/>
              </w:rPr>
            </w:pPr>
            <w:r w:rsidRPr="0058432E">
              <w:rPr>
                <w:rFonts w:ascii="Times New Roman" w:hAnsi="Times New Roman"/>
                <w:color w:val="000000" w:themeColor="text1"/>
              </w:rPr>
              <w:t>2,0 (1,2</w:t>
            </w:r>
            <w:r w:rsidR="00F76D54" w:rsidRPr="0058432E">
              <w:rPr>
                <w:rFonts w:ascii="Times New Roman" w:hAnsi="Times New Roman"/>
                <w:color w:val="000000" w:themeColor="text1"/>
              </w:rPr>
              <w:t> – </w:t>
            </w:r>
            <w:r w:rsidRPr="0058432E">
              <w:rPr>
                <w:rFonts w:ascii="Times New Roman" w:hAnsi="Times New Roman"/>
                <w:color w:val="000000" w:themeColor="text1"/>
              </w:rPr>
              <w:t>2,8)</w:t>
            </w:r>
          </w:p>
        </w:tc>
        <w:tc>
          <w:tcPr>
            <w:tcW w:w="1663" w:type="dxa"/>
            <w:tcBorders>
              <w:bottom w:val="single" w:sz="4" w:space="0" w:color="auto"/>
            </w:tcBorders>
            <w:shd w:val="clear" w:color="auto" w:fill="auto"/>
            <w:vAlign w:val="center"/>
          </w:tcPr>
          <w:p w14:paraId="7C9DEA36" w14:textId="77777777" w:rsidR="00271CDD" w:rsidRPr="0058432E" w:rsidRDefault="00271CDD" w:rsidP="005A68B9">
            <w:pPr>
              <w:pStyle w:val="TableParagraph"/>
              <w:widowControl/>
              <w:kinsoku w:val="0"/>
              <w:overflowPunct w:val="0"/>
              <w:spacing w:before="6"/>
              <w:ind w:left="-17"/>
              <w:jc w:val="center"/>
              <w:rPr>
                <w:rFonts w:ascii="Times New Roman" w:hAnsi="Times New Roman"/>
                <w:color w:val="000000" w:themeColor="text1"/>
              </w:rPr>
            </w:pPr>
            <w:r w:rsidRPr="0058432E">
              <w:rPr>
                <w:rFonts w:ascii="Times New Roman" w:hAnsi="Times New Roman"/>
                <w:color w:val="000000" w:themeColor="text1"/>
              </w:rPr>
              <w:t>1,3 (0,5</w:t>
            </w:r>
            <w:r w:rsidR="00F76D54" w:rsidRPr="0058432E">
              <w:rPr>
                <w:rFonts w:ascii="Times New Roman" w:hAnsi="Times New Roman"/>
                <w:color w:val="000000" w:themeColor="text1"/>
              </w:rPr>
              <w:t> – </w:t>
            </w:r>
            <w:r w:rsidRPr="0058432E">
              <w:rPr>
                <w:rFonts w:ascii="Times New Roman" w:hAnsi="Times New Roman"/>
                <w:color w:val="000000" w:themeColor="text1"/>
              </w:rPr>
              <w:t>2,1)</w:t>
            </w:r>
          </w:p>
        </w:tc>
        <w:tc>
          <w:tcPr>
            <w:tcW w:w="1666" w:type="dxa"/>
            <w:tcBorders>
              <w:bottom w:val="single" w:sz="4" w:space="0" w:color="auto"/>
            </w:tcBorders>
            <w:shd w:val="clear" w:color="auto" w:fill="auto"/>
            <w:vAlign w:val="center"/>
          </w:tcPr>
          <w:p w14:paraId="512F2595"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0,5 (0</w:t>
            </w:r>
            <w:r w:rsidR="00F76D54" w:rsidRPr="0058432E">
              <w:rPr>
                <w:rFonts w:ascii="Times New Roman" w:hAnsi="Times New Roman"/>
                <w:color w:val="000000" w:themeColor="text1"/>
              </w:rPr>
              <w:t> – </w:t>
            </w:r>
            <w:r w:rsidRPr="0058432E">
              <w:rPr>
                <w:rFonts w:ascii="Times New Roman" w:hAnsi="Times New Roman"/>
                <w:color w:val="000000" w:themeColor="text1"/>
              </w:rPr>
              <w:t>1,0)</w:t>
            </w:r>
          </w:p>
        </w:tc>
        <w:tc>
          <w:tcPr>
            <w:tcW w:w="1039" w:type="dxa"/>
            <w:tcBorders>
              <w:bottom w:val="single" w:sz="4" w:space="0" w:color="auto"/>
            </w:tcBorders>
            <w:shd w:val="clear" w:color="auto" w:fill="auto"/>
            <w:vAlign w:val="center"/>
          </w:tcPr>
          <w:p w14:paraId="18C1AAA9" w14:textId="77777777" w:rsidR="00271CDD" w:rsidRPr="0058432E" w:rsidRDefault="00271CDD" w:rsidP="005A68B9">
            <w:pPr>
              <w:pStyle w:val="TableParagraph"/>
              <w:widowControl/>
              <w:kinsoku w:val="0"/>
              <w:overflowPunct w:val="0"/>
              <w:spacing w:before="6"/>
              <w:jc w:val="center"/>
              <w:rPr>
                <w:rFonts w:ascii="Times New Roman" w:hAnsi="Times New Roman"/>
                <w:color w:val="000000" w:themeColor="text1"/>
              </w:rPr>
            </w:pPr>
            <w:r w:rsidRPr="0058432E">
              <w:rPr>
                <w:rFonts w:ascii="Times New Roman" w:hAnsi="Times New Roman"/>
                <w:color w:val="000000" w:themeColor="text1"/>
              </w:rPr>
              <w:t>&lt; 0,001</w:t>
            </w:r>
          </w:p>
        </w:tc>
        <w:tc>
          <w:tcPr>
            <w:tcW w:w="1040" w:type="dxa"/>
            <w:tcBorders>
              <w:bottom w:val="single" w:sz="4" w:space="0" w:color="auto"/>
            </w:tcBorders>
            <w:shd w:val="clear" w:color="auto" w:fill="auto"/>
            <w:vAlign w:val="center"/>
          </w:tcPr>
          <w:p w14:paraId="58BCCD97" w14:textId="77777777" w:rsidR="00271CDD" w:rsidRPr="0058432E" w:rsidRDefault="00271CDD" w:rsidP="005A68B9">
            <w:pPr>
              <w:pStyle w:val="TableParagraph"/>
              <w:widowControl/>
              <w:kinsoku w:val="0"/>
              <w:overflowPunct w:val="0"/>
              <w:spacing w:before="6"/>
              <w:ind w:left="2"/>
              <w:jc w:val="center"/>
              <w:rPr>
                <w:rFonts w:ascii="Times New Roman" w:hAnsi="Times New Roman"/>
                <w:color w:val="000000" w:themeColor="text1"/>
              </w:rPr>
            </w:pPr>
            <w:r w:rsidRPr="0058432E">
              <w:rPr>
                <w:rFonts w:ascii="Times New Roman" w:hAnsi="Times New Roman"/>
                <w:color w:val="000000" w:themeColor="text1"/>
              </w:rPr>
              <w:t>0,0037</w:t>
            </w:r>
          </w:p>
        </w:tc>
        <w:tc>
          <w:tcPr>
            <w:tcW w:w="1040" w:type="dxa"/>
            <w:tcBorders>
              <w:bottom w:val="single" w:sz="4" w:space="0" w:color="auto"/>
            </w:tcBorders>
            <w:shd w:val="clear" w:color="auto" w:fill="auto"/>
            <w:vAlign w:val="center"/>
          </w:tcPr>
          <w:p w14:paraId="5E27FC89" w14:textId="77777777" w:rsidR="00271CDD" w:rsidRPr="0058432E" w:rsidRDefault="00271CDD" w:rsidP="005A68B9">
            <w:pPr>
              <w:pStyle w:val="TableParagraph"/>
              <w:widowControl/>
              <w:kinsoku w:val="0"/>
              <w:overflowPunct w:val="0"/>
              <w:spacing w:before="6"/>
              <w:ind w:left="31"/>
              <w:jc w:val="center"/>
              <w:rPr>
                <w:rFonts w:ascii="Times New Roman" w:hAnsi="Times New Roman"/>
                <w:color w:val="000000" w:themeColor="text1"/>
              </w:rPr>
            </w:pPr>
            <w:r w:rsidRPr="0058432E">
              <w:rPr>
                <w:rFonts w:ascii="Times New Roman" w:hAnsi="Times New Roman"/>
                <w:color w:val="000000" w:themeColor="text1"/>
              </w:rPr>
              <w:t>0,151</w:t>
            </w:r>
          </w:p>
        </w:tc>
      </w:tr>
      <w:tr w:rsidR="00922261" w:rsidRPr="0058432E" w14:paraId="136E1FC2" w14:textId="77777777" w:rsidTr="003D2782">
        <w:tc>
          <w:tcPr>
            <w:tcW w:w="9303" w:type="dxa"/>
            <w:gridSpan w:val="7"/>
            <w:tcBorders>
              <w:left w:val="nil"/>
              <w:bottom w:val="nil"/>
              <w:right w:val="nil"/>
            </w:tcBorders>
            <w:shd w:val="clear" w:color="auto" w:fill="auto"/>
          </w:tcPr>
          <w:p w14:paraId="62601CBA" w14:textId="77777777" w:rsidR="00922261" w:rsidRPr="0058432E" w:rsidRDefault="00922261" w:rsidP="00A13AE4">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méthotrexate seul et par l’association adalimumab/méthotrexate par le test U de Mann-Whitney.</w:t>
            </w:r>
          </w:p>
          <w:p w14:paraId="1C3B0601" w14:textId="77777777" w:rsidR="00922261" w:rsidRPr="0058432E" w:rsidRDefault="00922261" w:rsidP="00A13AE4">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comparaison appariée des traitements par adalimumab seul et par l’association adalimumab/méthotrexate par le test U de Mann-Whitney</w:t>
            </w:r>
          </w:p>
          <w:p w14:paraId="1F622690" w14:textId="77777777" w:rsidR="00922261" w:rsidRPr="0058432E" w:rsidRDefault="00922261" w:rsidP="00A13AE4">
            <w:pPr>
              <w:pStyle w:val="BodyText"/>
              <w:widowControl/>
              <w:kinsoku w:val="0"/>
              <w:overflowPunct w:val="0"/>
              <w:ind w:left="274" w:hanging="274"/>
              <w:rPr>
                <w:color w:val="000000" w:themeColor="text1"/>
                <w:sz w:val="20"/>
              </w:rPr>
            </w:pPr>
            <w:proofErr w:type="gramStart"/>
            <w:r w:rsidRPr="0058432E">
              <w:rPr>
                <w:color w:val="000000" w:themeColor="text1"/>
                <w:sz w:val="20"/>
                <w:vertAlign w:val="superscript"/>
              </w:rPr>
              <w:lastRenderedPageBreak/>
              <w:t>c</w:t>
            </w:r>
            <w:proofErr w:type="gramEnd"/>
            <w:r w:rsidRPr="0058432E">
              <w:rPr>
                <w:color w:val="000000" w:themeColor="text1"/>
                <w:sz w:val="20"/>
              </w:rPr>
              <w:t xml:space="preserve"> </w:t>
            </w:r>
            <w:r w:rsidRPr="0058432E">
              <w:rPr>
                <w:color w:val="000000" w:themeColor="text1"/>
                <w:sz w:val="20"/>
              </w:rPr>
              <w:tab/>
              <w:t xml:space="preserve">La valeur de </w:t>
            </w:r>
            <w:r w:rsidRPr="0058432E">
              <w:rPr>
                <w:i/>
                <w:iCs/>
                <w:color w:val="000000" w:themeColor="text1"/>
                <w:sz w:val="20"/>
              </w:rPr>
              <w:t>p</w:t>
            </w:r>
            <w:r w:rsidRPr="0058432E">
              <w:rPr>
                <w:color w:val="000000" w:themeColor="text1"/>
                <w:sz w:val="20"/>
              </w:rPr>
              <w:t xml:space="preserve"> résulte de la </w:t>
            </w:r>
            <w:r w:rsidR="00381A02" w:rsidRPr="0058432E">
              <w:rPr>
                <w:color w:val="000000" w:themeColor="text1"/>
                <w:sz w:val="20"/>
              </w:rPr>
              <w:t xml:space="preserve">comparaison appariée des traitements </w:t>
            </w:r>
            <w:r w:rsidRPr="0058432E">
              <w:rPr>
                <w:color w:val="000000" w:themeColor="text1"/>
                <w:sz w:val="20"/>
              </w:rPr>
              <w:t xml:space="preserve">par adalimumab </w:t>
            </w:r>
            <w:r w:rsidR="00381A02" w:rsidRPr="0058432E">
              <w:rPr>
                <w:color w:val="000000" w:themeColor="text1"/>
                <w:sz w:val="20"/>
              </w:rPr>
              <w:t xml:space="preserve">seul </w:t>
            </w:r>
            <w:r w:rsidRPr="0058432E">
              <w:rPr>
                <w:color w:val="000000" w:themeColor="text1"/>
                <w:sz w:val="20"/>
              </w:rPr>
              <w:t xml:space="preserve">et par méthotrexate </w:t>
            </w:r>
            <w:r w:rsidR="00381A02" w:rsidRPr="0058432E">
              <w:rPr>
                <w:color w:val="000000" w:themeColor="text1"/>
                <w:sz w:val="20"/>
              </w:rPr>
              <w:t xml:space="preserve">seul </w:t>
            </w:r>
            <w:r w:rsidRPr="0058432E">
              <w:rPr>
                <w:color w:val="000000" w:themeColor="text1"/>
                <w:sz w:val="20"/>
              </w:rPr>
              <w:t>par le test U de Mann-Whitney</w:t>
            </w:r>
          </w:p>
        </w:tc>
      </w:tr>
    </w:tbl>
    <w:p w14:paraId="02C506DC" w14:textId="77777777" w:rsidR="00C46587" w:rsidRPr="0058432E" w:rsidRDefault="00C46587" w:rsidP="00982118">
      <w:pPr>
        <w:rPr>
          <w:color w:val="000000" w:themeColor="text1"/>
        </w:rPr>
      </w:pPr>
    </w:p>
    <w:p w14:paraId="5BA4CDEF" w14:textId="77777777" w:rsidR="00C46587" w:rsidRPr="0058432E" w:rsidRDefault="007E19E1" w:rsidP="00982118">
      <w:pPr>
        <w:rPr>
          <w:color w:val="000000" w:themeColor="text1"/>
        </w:rPr>
      </w:pPr>
      <w:r w:rsidRPr="0058432E">
        <w:rPr>
          <w:color w:val="000000" w:themeColor="text1"/>
        </w:rPr>
        <w:t>À</w:t>
      </w:r>
      <w:r w:rsidR="00C46587" w:rsidRPr="0058432E">
        <w:rPr>
          <w:color w:val="000000" w:themeColor="text1"/>
        </w:rPr>
        <w:t xml:space="preserve"> la suite de 52 et 104 semaines de traitement, le pourcentage de patients sans progression (</w:t>
      </w:r>
      <w:r w:rsidR="00214F2A" w:rsidRPr="0058432E">
        <w:rPr>
          <w:color w:val="000000" w:themeColor="text1"/>
        </w:rPr>
        <w:t xml:space="preserve">modification </w:t>
      </w:r>
      <w:r w:rsidR="00C46587" w:rsidRPr="0058432E">
        <w:rPr>
          <w:color w:val="000000" w:themeColor="text1"/>
        </w:rPr>
        <w:t xml:space="preserve">du score total de Sharp modifié par rapport à la valeur de base ≤ 0,5) était significativement supérieur avec le traitement par l’association adalimumab/méthotrexate (respectivement 63,8 % et 61,2 %) comparativement au méthotrexate en monothérapie (respectivement 37,4 % et 33,5 %, </w:t>
      </w:r>
      <w:r w:rsidR="00C46587" w:rsidRPr="0058432E">
        <w:rPr>
          <w:i/>
          <w:iCs/>
          <w:color w:val="000000" w:themeColor="text1"/>
        </w:rPr>
        <w:t>p</w:t>
      </w:r>
      <w:r w:rsidR="00C46587" w:rsidRPr="0058432E">
        <w:rPr>
          <w:color w:val="000000" w:themeColor="text1"/>
        </w:rPr>
        <w:t xml:space="preserve"> &lt; 0,001) et à l’adalimumab en monothérapie (respectivement 50,7 %, </w:t>
      </w:r>
      <w:r w:rsidR="00C46587" w:rsidRPr="0058432E">
        <w:rPr>
          <w:i/>
          <w:iCs/>
          <w:color w:val="000000" w:themeColor="text1"/>
        </w:rPr>
        <w:t>p</w:t>
      </w:r>
      <w:r w:rsidR="00C46587" w:rsidRPr="0058432E">
        <w:rPr>
          <w:color w:val="000000" w:themeColor="text1"/>
        </w:rPr>
        <w:t xml:space="preserve"> &lt; 0,002 et 44,5 %, </w:t>
      </w:r>
      <w:r w:rsidR="00C46587" w:rsidRPr="0058432E">
        <w:rPr>
          <w:i/>
          <w:iCs/>
          <w:color w:val="000000" w:themeColor="text1"/>
        </w:rPr>
        <w:t>p</w:t>
      </w:r>
      <w:r w:rsidR="00C46587" w:rsidRPr="0058432E">
        <w:rPr>
          <w:color w:val="000000" w:themeColor="text1"/>
        </w:rPr>
        <w:t xml:space="preserve"> &lt; 0,001). </w:t>
      </w:r>
    </w:p>
    <w:p w14:paraId="5C7D2384" w14:textId="77777777" w:rsidR="00C46587" w:rsidRPr="0058432E" w:rsidRDefault="00C46587" w:rsidP="00982118">
      <w:pPr>
        <w:rPr>
          <w:color w:val="000000" w:themeColor="text1"/>
        </w:rPr>
      </w:pPr>
    </w:p>
    <w:p w14:paraId="47C859B1" w14:textId="77777777" w:rsidR="00C46587" w:rsidRPr="0058432E" w:rsidRDefault="00C46587" w:rsidP="00982118">
      <w:pPr>
        <w:rPr>
          <w:color w:val="000000" w:themeColor="text1"/>
        </w:rPr>
      </w:pPr>
      <w:r w:rsidRPr="0058432E">
        <w:rPr>
          <w:color w:val="000000" w:themeColor="text1"/>
        </w:rPr>
        <w:t xml:space="preserve">Dans la phase d’extension en ouvert de l’étude V sur </w:t>
      </w:r>
      <w:proofErr w:type="gramStart"/>
      <w:r w:rsidRPr="0058432E">
        <w:rPr>
          <w:color w:val="000000" w:themeColor="text1"/>
        </w:rPr>
        <w:t>la PR</w:t>
      </w:r>
      <w:proofErr w:type="gramEnd"/>
      <w:r w:rsidRPr="0058432E">
        <w:rPr>
          <w:color w:val="000000" w:themeColor="text1"/>
        </w:rPr>
        <w:t xml:space="preserve">, la </w:t>
      </w:r>
      <w:r w:rsidR="00214F2A" w:rsidRPr="0058432E">
        <w:rPr>
          <w:color w:val="000000" w:themeColor="text1"/>
        </w:rPr>
        <w:t xml:space="preserve">modification </w:t>
      </w:r>
      <w:r w:rsidRPr="0058432E">
        <w:rPr>
          <w:color w:val="000000" w:themeColor="text1"/>
        </w:rPr>
        <w:t xml:space="preserve">moyenne du score total de Sharp modifié à 10 ans par rapport à la valeur de base a été de 10,8 chez les patients randomisés initialement pour recevoir le méthotrexate en monothérapie, 9,2 chez les patients randomisés initialement pour recevoir l’adalimumab en monothérapie et 3,9 chez les patients randomisés initialement pour recevoir l’association adalimumab/méthotrexate. Les proportions correspondantes de patients ne présentant pas de progression radiographique ont été respectivement de 31,3 %, 23,7 % et 36,7 %. </w:t>
      </w:r>
    </w:p>
    <w:p w14:paraId="6C25B3DD" w14:textId="77777777" w:rsidR="00C46587" w:rsidRPr="0058432E" w:rsidRDefault="00C46587" w:rsidP="00982118">
      <w:pPr>
        <w:rPr>
          <w:color w:val="000000" w:themeColor="text1"/>
        </w:rPr>
      </w:pPr>
    </w:p>
    <w:p w14:paraId="7D7219F2" w14:textId="77777777" w:rsidR="00C46587" w:rsidRPr="0058432E" w:rsidRDefault="00C46587" w:rsidP="00DC3A99">
      <w:pPr>
        <w:keepNext/>
        <w:rPr>
          <w:i/>
          <w:color w:val="000000" w:themeColor="text1"/>
          <w:u w:val="single"/>
        </w:rPr>
      </w:pPr>
      <w:r w:rsidRPr="0058432E">
        <w:rPr>
          <w:i/>
          <w:color w:val="000000" w:themeColor="text1"/>
          <w:u w:val="single"/>
        </w:rPr>
        <w:t xml:space="preserve">Qualité de vie et capacités fonctionnelles </w:t>
      </w:r>
    </w:p>
    <w:p w14:paraId="1D5A5213" w14:textId="77777777" w:rsidR="00C46587" w:rsidRPr="0058432E" w:rsidRDefault="00C46587" w:rsidP="00DC3A99">
      <w:pPr>
        <w:keepNext/>
        <w:rPr>
          <w:color w:val="000000" w:themeColor="text1"/>
        </w:rPr>
      </w:pPr>
    </w:p>
    <w:p w14:paraId="2D0B71CE" w14:textId="77777777" w:rsidR="00C46587" w:rsidRPr="0058432E" w:rsidRDefault="00C46587" w:rsidP="00982118">
      <w:pPr>
        <w:rPr>
          <w:color w:val="000000" w:themeColor="text1"/>
        </w:rPr>
      </w:pPr>
      <w:r w:rsidRPr="0058432E">
        <w:rPr>
          <w:color w:val="000000" w:themeColor="text1"/>
        </w:rPr>
        <w:t>La qualité de vie en rapport avec la santé et la fonction physique ont été évaluées au moyen de l’indice d’invalidité du Questionnaire d’Evaluation de l’état de Santé (</w:t>
      </w:r>
      <w:r w:rsidRPr="0058432E">
        <w:rPr>
          <w:i/>
          <w:iCs/>
          <w:color w:val="000000" w:themeColor="text1"/>
        </w:rPr>
        <w:t>Health Assessment Questionnaire</w:t>
      </w:r>
      <w:r w:rsidRPr="0058432E">
        <w:rPr>
          <w:color w:val="000000" w:themeColor="text1"/>
        </w:rPr>
        <w:t xml:space="preserve">, HAQ) dans les quatre essais originels adéquats et correctement contrôlés et constituait un critère principal </w:t>
      </w:r>
      <w:r w:rsidR="00214F2A" w:rsidRPr="0058432E">
        <w:rPr>
          <w:color w:val="000000" w:themeColor="text1"/>
        </w:rPr>
        <w:t>d’évaluation</w:t>
      </w:r>
      <w:r w:rsidRPr="0058432E">
        <w:rPr>
          <w:color w:val="000000" w:themeColor="text1"/>
        </w:rPr>
        <w:t xml:space="preserve"> pré-spécifié à la 52</w:t>
      </w:r>
      <w:r w:rsidRPr="0058432E">
        <w:rPr>
          <w:color w:val="000000" w:themeColor="text1"/>
          <w:vertAlign w:val="superscript"/>
        </w:rPr>
        <w:t>e</w:t>
      </w:r>
      <w:r w:rsidRPr="0058432E">
        <w:rPr>
          <w:color w:val="000000" w:themeColor="text1"/>
        </w:rPr>
        <w:t xml:space="preserve"> semaine dans l’étude III sur la PR. Comparativement au placebo, toutes les doses/schémas posologiques d’administration de l’adalimumab ont entraîné une amélioration statistiquement significative plus importante de l’indice d’invalidité du HAQ entre l’examen initial et le 6e mois dans les quatre études et il en a été de même à la semaine 52 dans l’étude III sur la PR. Dans les quatre études, les résultats des scores de la </w:t>
      </w:r>
      <w:r w:rsidRPr="0058432E">
        <w:rPr>
          <w:i/>
          <w:iCs/>
          <w:color w:val="000000" w:themeColor="text1"/>
        </w:rPr>
        <w:t>Short Form Health Survey</w:t>
      </w:r>
      <w:r w:rsidRPr="0058432E">
        <w:rPr>
          <w:color w:val="000000" w:themeColor="text1"/>
        </w:rPr>
        <w:t xml:space="preserve"> (SF</w:t>
      </w:r>
      <w:r w:rsidR="00D86A3A" w:rsidRPr="0058432E">
        <w:rPr>
          <w:color w:val="000000" w:themeColor="text1"/>
        </w:rPr>
        <w:t>-</w:t>
      </w:r>
      <w:r w:rsidRPr="0058432E">
        <w:rPr>
          <w:color w:val="000000" w:themeColor="text1"/>
        </w:rPr>
        <w:t xml:space="preserve">36) confirment ces observations pour toutes les doses/schémas posologiques d’administration de l’adalimumab, avec des valeurs des composantes physiques (PCS) statistiquement significatives, ainsi que des scores de douleur et de vitalité statistiquement significatifs pour la dose de 40 mg toutes les deux semaines. Dans les trois études dans lesquelles elle a été prise en compte (études I, III et IV sur la PR), on a observé une diminution statistiquement significative de la fatigue mesurée à l’aide des scores d’évaluation fonctionnelle de traitement pour maladie chronique (FACIT). </w:t>
      </w:r>
    </w:p>
    <w:p w14:paraId="2B19A994" w14:textId="77777777" w:rsidR="00C46587" w:rsidRPr="0058432E" w:rsidRDefault="00C46587" w:rsidP="00982118">
      <w:pPr>
        <w:rPr>
          <w:color w:val="000000" w:themeColor="text1"/>
        </w:rPr>
      </w:pPr>
    </w:p>
    <w:p w14:paraId="128B6005" w14:textId="77777777" w:rsidR="00C46587" w:rsidRPr="0058432E" w:rsidRDefault="00C46587" w:rsidP="00982118">
      <w:pPr>
        <w:rPr>
          <w:color w:val="000000" w:themeColor="text1"/>
        </w:rPr>
      </w:pPr>
      <w:r w:rsidRPr="0058432E">
        <w:rPr>
          <w:color w:val="000000" w:themeColor="text1"/>
        </w:rPr>
        <w:t xml:space="preserve">Dans l’étude III sur </w:t>
      </w:r>
      <w:proofErr w:type="gramStart"/>
      <w:r w:rsidRPr="0058432E">
        <w:rPr>
          <w:color w:val="000000" w:themeColor="text1"/>
        </w:rPr>
        <w:t>la PR</w:t>
      </w:r>
      <w:proofErr w:type="gramEnd"/>
      <w:r w:rsidRPr="0058432E">
        <w:rPr>
          <w:color w:val="000000" w:themeColor="text1"/>
        </w:rPr>
        <w:t xml:space="preserve">, la plupart des patients ayant obtenu une amélioration des capacités fonctionnelles et ayant poursuivi le traitement ont maintenu cette amélioration jusqu’à la semaine 520 (120 mois) du traitement en ouvert. L’amélioration de la qualité de vie a été mesurée jusqu’à la semaine 156 (36 mois) et l’amélioration a été maintenue au cours de cette période. </w:t>
      </w:r>
    </w:p>
    <w:p w14:paraId="07EF5DB6" w14:textId="77777777" w:rsidR="00C46587" w:rsidRPr="0058432E" w:rsidRDefault="00C46587" w:rsidP="00982118">
      <w:pPr>
        <w:rPr>
          <w:color w:val="000000" w:themeColor="text1"/>
        </w:rPr>
      </w:pPr>
    </w:p>
    <w:p w14:paraId="04EAC3F2" w14:textId="77777777" w:rsidR="00C46587" w:rsidRPr="0058432E" w:rsidRDefault="00C46587" w:rsidP="00982118">
      <w:pPr>
        <w:rPr>
          <w:color w:val="000000" w:themeColor="text1"/>
        </w:rPr>
      </w:pPr>
      <w:r w:rsidRPr="0058432E">
        <w:rPr>
          <w:color w:val="000000" w:themeColor="text1"/>
        </w:rPr>
        <w:t>Dans l’étude V sur la PR, l’amélioration de l’indice d’invalidité HAQ et la composante physique du SF</w:t>
      </w:r>
      <w:r w:rsidR="00D86A3A" w:rsidRPr="0058432E">
        <w:rPr>
          <w:color w:val="000000" w:themeColor="text1"/>
        </w:rPr>
        <w:t>-</w:t>
      </w:r>
      <w:r w:rsidRPr="0058432E">
        <w:rPr>
          <w:color w:val="000000" w:themeColor="text1"/>
        </w:rPr>
        <w:t>36 s’est montrée beaucoup plus importante (</w:t>
      </w:r>
      <w:r w:rsidRPr="0058432E">
        <w:rPr>
          <w:i/>
          <w:iCs/>
          <w:color w:val="000000" w:themeColor="text1"/>
        </w:rPr>
        <w:t>p</w:t>
      </w:r>
      <w:r w:rsidRPr="0058432E">
        <w:rPr>
          <w:color w:val="000000" w:themeColor="text1"/>
        </w:rPr>
        <w:t xml:space="preserve"> &lt; 0,001) pour l’association adalimumab/méthotrexate par rapport à la monothérapie de méthotrexate et la monothérapie d’adalimumab à la semaine 52, et s’est maintenue jusqu’à la semaine 104. Parmi les 250 patients ayant terminé l’étude d’extension en ouvert, l’amélioration des capacités fonctionnelles s’est maintenue au cours des 10 ans de traitement. </w:t>
      </w:r>
    </w:p>
    <w:p w14:paraId="3D6BD090" w14:textId="77777777" w:rsidR="00C46587" w:rsidRPr="0058432E" w:rsidRDefault="00C46587" w:rsidP="00982118">
      <w:pPr>
        <w:rPr>
          <w:color w:val="000000" w:themeColor="text1"/>
        </w:rPr>
      </w:pPr>
    </w:p>
    <w:p w14:paraId="6C2D003F" w14:textId="77777777" w:rsidR="00C46587" w:rsidRPr="0058432E" w:rsidRDefault="00C46587" w:rsidP="00982118">
      <w:pPr>
        <w:rPr>
          <w:i/>
          <w:color w:val="000000" w:themeColor="text1"/>
        </w:rPr>
      </w:pPr>
      <w:r w:rsidRPr="0058432E">
        <w:rPr>
          <w:i/>
          <w:color w:val="000000" w:themeColor="text1"/>
        </w:rPr>
        <w:t>Spondyl</w:t>
      </w:r>
      <w:r w:rsidR="00B412CF" w:rsidRPr="0058432E">
        <w:rPr>
          <w:i/>
          <w:color w:val="000000" w:themeColor="text1"/>
        </w:rPr>
        <w:t>o</w:t>
      </w:r>
      <w:r w:rsidRPr="0058432E">
        <w:rPr>
          <w:i/>
          <w:color w:val="000000" w:themeColor="text1"/>
        </w:rPr>
        <w:t xml:space="preserve">arthrite axiale </w:t>
      </w:r>
    </w:p>
    <w:p w14:paraId="156F6C39" w14:textId="77777777" w:rsidR="00C46587" w:rsidRPr="0058432E" w:rsidRDefault="00C46587" w:rsidP="00982118">
      <w:pPr>
        <w:rPr>
          <w:color w:val="000000" w:themeColor="text1"/>
        </w:rPr>
      </w:pPr>
    </w:p>
    <w:p w14:paraId="6E977995" w14:textId="77777777" w:rsidR="00C46587" w:rsidRPr="0058432E" w:rsidRDefault="00C46587" w:rsidP="00982118">
      <w:pPr>
        <w:rPr>
          <w:i/>
          <w:color w:val="000000" w:themeColor="text1"/>
          <w:u w:val="single"/>
        </w:rPr>
      </w:pPr>
      <w:r w:rsidRPr="0058432E">
        <w:rPr>
          <w:i/>
          <w:color w:val="000000" w:themeColor="text1"/>
          <w:u w:val="single"/>
        </w:rPr>
        <w:t xml:space="preserve">Spondylarthrite ankylosante (SA) </w:t>
      </w:r>
    </w:p>
    <w:p w14:paraId="44202FC8" w14:textId="77777777" w:rsidR="00C46587" w:rsidRPr="0058432E" w:rsidRDefault="00C46587" w:rsidP="00982118">
      <w:pPr>
        <w:rPr>
          <w:color w:val="000000" w:themeColor="text1"/>
        </w:rPr>
      </w:pPr>
    </w:p>
    <w:p w14:paraId="21D5DFCE" w14:textId="77777777" w:rsidR="00C46587" w:rsidRPr="0058432E" w:rsidRDefault="005A4709" w:rsidP="00982118">
      <w:pPr>
        <w:rPr>
          <w:color w:val="000000" w:themeColor="text1"/>
        </w:rPr>
      </w:pPr>
      <w:r w:rsidRPr="0058432E">
        <w:rPr>
          <w:color w:val="000000" w:themeColor="text1"/>
        </w:rPr>
        <w:t xml:space="preserve">L’adalimumab à la dose de 40 mg toutes les </w:t>
      </w:r>
      <w:r w:rsidR="00BA7A54" w:rsidRPr="0058432E">
        <w:rPr>
          <w:color w:val="000000" w:themeColor="text1"/>
        </w:rPr>
        <w:t>deux</w:t>
      </w:r>
      <w:r w:rsidRPr="0058432E">
        <w:rPr>
          <w:color w:val="000000" w:themeColor="text1"/>
        </w:rPr>
        <w:t xml:space="preserve"> semaines, a été évalué dans deux études randomisées, en double</w:t>
      </w:r>
      <w:r w:rsidR="001E5F97" w:rsidRPr="0058432E">
        <w:rPr>
          <w:color w:val="000000" w:themeColor="text1"/>
        </w:rPr>
        <w:t xml:space="preserve"> </w:t>
      </w:r>
      <w:r w:rsidRPr="0058432E">
        <w:rPr>
          <w:color w:val="000000" w:themeColor="text1"/>
        </w:rPr>
        <w:t>aveugle, contrôlées contre placebo, d’une durée de 24 semaines chez 393</w:t>
      </w:r>
      <w:r w:rsidR="002A7F87" w:rsidRPr="0058432E">
        <w:rPr>
          <w:color w:val="000000" w:themeColor="text1"/>
        </w:rPr>
        <w:t> </w:t>
      </w:r>
      <w:r w:rsidRPr="0058432E">
        <w:rPr>
          <w:color w:val="000000" w:themeColor="text1"/>
        </w:rPr>
        <w:t>patients atteints de spondylarthrite ankylosante active (la valeur moyenne initiale du score d’activité de la maladie [</w:t>
      </w:r>
      <w:r w:rsidRPr="0058432E">
        <w:rPr>
          <w:i/>
          <w:iCs/>
          <w:color w:val="000000" w:themeColor="text1"/>
        </w:rPr>
        <w:t>Bath Ankylosing Spondylitis Disease Activity Index</w:t>
      </w:r>
      <w:r w:rsidRPr="0058432E">
        <w:rPr>
          <w:color w:val="000000" w:themeColor="text1"/>
        </w:rPr>
        <w:t xml:space="preserve"> (BASDAI)] était de 6,3 dans tous les groupes) qui n’avaient pas répondu de manière adéquate à un traitement conventionnel. Soixante-dix-neuf (20,1 %) patients étaient traités de manière concomitante par DMARD</w:t>
      </w:r>
      <w:r w:rsidR="00FE50EF" w:rsidRPr="0058432E">
        <w:rPr>
          <w:color w:val="000000" w:themeColor="text1"/>
        </w:rPr>
        <w:t>s</w:t>
      </w:r>
      <w:r w:rsidRPr="0058432E">
        <w:rPr>
          <w:color w:val="000000" w:themeColor="text1"/>
        </w:rPr>
        <w:t xml:space="preserve"> et 37 </w:t>
      </w:r>
      <w:r w:rsidRPr="0058432E">
        <w:rPr>
          <w:color w:val="000000" w:themeColor="text1"/>
        </w:rPr>
        <w:lastRenderedPageBreak/>
        <w:t xml:space="preserve">(9,4 %) patients par des glucocorticoïdes. La période en aveugle a été suivie d’une période en ouvert pendant laquelle les patients recevaient 40 mg d’adalimumab toutes les </w:t>
      </w:r>
      <w:r w:rsidR="00BA7A54" w:rsidRPr="0058432E">
        <w:rPr>
          <w:color w:val="000000" w:themeColor="text1"/>
        </w:rPr>
        <w:t>deux</w:t>
      </w:r>
      <w:r w:rsidRPr="0058432E">
        <w:rPr>
          <w:color w:val="000000" w:themeColor="text1"/>
        </w:rPr>
        <w:t xml:space="preserve"> semaines </w:t>
      </w:r>
      <w:r w:rsidR="00037957" w:rsidRPr="0058432E">
        <w:rPr>
          <w:color w:val="000000" w:themeColor="text1"/>
        </w:rPr>
        <w:t>par voie sous-cutanée</w:t>
      </w:r>
      <w:r w:rsidRPr="0058432E">
        <w:rPr>
          <w:color w:val="000000" w:themeColor="text1"/>
        </w:rPr>
        <w:t xml:space="preserve"> pendant 28 semaines supplémentaires. Les sujets (n = 215, 54,7 %) qui n’étaient pas répondeurs à l’ASAS 20 aux semaines 12, 16 ou 20</w:t>
      </w:r>
      <w:r w:rsidR="00D06BF9" w:rsidRPr="0058432E">
        <w:rPr>
          <w:color w:val="000000" w:themeColor="text1"/>
        </w:rPr>
        <w:t>,</w:t>
      </w:r>
      <w:r w:rsidRPr="0058432E">
        <w:rPr>
          <w:color w:val="000000" w:themeColor="text1"/>
        </w:rPr>
        <w:t xml:space="preserve"> ont été traités prématurément en ouvert par 40 mg d’adalimumab toutes les </w:t>
      </w:r>
      <w:r w:rsidR="00BA7A54" w:rsidRPr="0058432E">
        <w:rPr>
          <w:color w:val="000000" w:themeColor="text1"/>
        </w:rPr>
        <w:t>deux</w:t>
      </w:r>
      <w:r w:rsidRPr="0058432E">
        <w:rPr>
          <w:color w:val="000000" w:themeColor="text1"/>
        </w:rPr>
        <w:t xml:space="preserve"> semaines </w:t>
      </w:r>
      <w:r w:rsidR="00037957" w:rsidRPr="0058432E">
        <w:rPr>
          <w:color w:val="000000" w:themeColor="text1"/>
        </w:rPr>
        <w:t>par voie sous-cutanée</w:t>
      </w:r>
      <w:r w:rsidRPr="0058432E">
        <w:rPr>
          <w:color w:val="000000" w:themeColor="text1"/>
        </w:rPr>
        <w:t>, et ont été ultérieurement considérés comme non</w:t>
      </w:r>
      <w:r w:rsidRPr="0058432E">
        <w:rPr>
          <w:color w:val="000000" w:themeColor="text1"/>
        </w:rPr>
        <w:noBreakHyphen/>
        <w:t xml:space="preserve">répondeurs dans les analyses statistiques de la phase </w:t>
      </w:r>
      <w:r w:rsidR="00D06BF9" w:rsidRPr="0058432E">
        <w:rPr>
          <w:color w:val="000000" w:themeColor="text1"/>
        </w:rPr>
        <w:t xml:space="preserve">en </w:t>
      </w:r>
      <w:r w:rsidRPr="0058432E">
        <w:rPr>
          <w:color w:val="000000" w:themeColor="text1"/>
        </w:rPr>
        <w:t>double</w:t>
      </w:r>
      <w:r w:rsidR="00D06BF9" w:rsidRPr="0058432E">
        <w:rPr>
          <w:color w:val="000000" w:themeColor="text1"/>
        </w:rPr>
        <w:t xml:space="preserve"> </w:t>
      </w:r>
      <w:r w:rsidRPr="0058432E">
        <w:rPr>
          <w:color w:val="000000" w:themeColor="text1"/>
        </w:rPr>
        <w:t xml:space="preserve">aveugle. </w:t>
      </w:r>
    </w:p>
    <w:p w14:paraId="24F794A4" w14:textId="77777777" w:rsidR="00C46587" w:rsidRPr="0058432E" w:rsidRDefault="00C46587" w:rsidP="00982118">
      <w:pPr>
        <w:rPr>
          <w:color w:val="000000" w:themeColor="text1"/>
        </w:rPr>
      </w:pPr>
    </w:p>
    <w:p w14:paraId="490E10E6" w14:textId="77777777" w:rsidR="00C46587" w:rsidRPr="0058432E" w:rsidRDefault="00C46587" w:rsidP="00982118">
      <w:pPr>
        <w:rPr>
          <w:color w:val="000000" w:themeColor="text1"/>
        </w:rPr>
      </w:pPr>
      <w:r w:rsidRPr="0058432E">
        <w:rPr>
          <w:color w:val="000000" w:themeColor="text1"/>
        </w:rPr>
        <w:t>Dans l’étude la plus importante (I) sur la SA comprenant 315 patients, les résultats ont montré une amélioration statistiquement significative des signes et symptômes de spondylarthrite ankylosante avec l’adalimumab comparé au placebo. La première réponse significative a été observée à la semaine 2 et s’est maintenue pendant 24 semaines (tableau </w:t>
      </w:r>
      <w:r w:rsidR="00AA1D55" w:rsidRPr="0058432E">
        <w:rPr>
          <w:color w:val="000000" w:themeColor="text1"/>
        </w:rPr>
        <w:t>12</w:t>
      </w:r>
      <w:r w:rsidRPr="0058432E">
        <w:rPr>
          <w:color w:val="000000" w:themeColor="text1"/>
        </w:rPr>
        <w:t xml:space="preserve">). </w:t>
      </w:r>
    </w:p>
    <w:p w14:paraId="3BAB1FAC" w14:textId="77777777" w:rsidR="00C46587" w:rsidRPr="0058432E" w:rsidRDefault="00C46587" w:rsidP="00922261">
      <w:pPr>
        <w:rPr>
          <w:color w:val="000000" w:themeColor="text1"/>
        </w:rPr>
      </w:pPr>
    </w:p>
    <w:p w14:paraId="2EEAD457" w14:textId="77777777" w:rsidR="00C46587" w:rsidRPr="0058432E" w:rsidRDefault="00C46587" w:rsidP="000D3575">
      <w:pPr>
        <w:keepNext/>
        <w:keepLines/>
        <w:rPr>
          <w:b/>
          <w:color w:val="000000" w:themeColor="text1"/>
        </w:rPr>
      </w:pPr>
      <w:r w:rsidRPr="0058432E">
        <w:rPr>
          <w:b/>
          <w:color w:val="000000" w:themeColor="text1"/>
        </w:rPr>
        <w:t>Tableau </w:t>
      </w:r>
      <w:r w:rsidR="00AA1D55" w:rsidRPr="0058432E">
        <w:rPr>
          <w:b/>
          <w:color w:val="000000" w:themeColor="text1"/>
        </w:rPr>
        <w:t>12</w:t>
      </w:r>
      <w:r w:rsidR="002A7CDF" w:rsidRPr="0058432E">
        <w:rPr>
          <w:b/>
          <w:color w:val="000000" w:themeColor="text1"/>
        </w:rPr>
        <w:t>.</w:t>
      </w:r>
    </w:p>
    <w:p w14:paraId="01E0D2B2" w14:textId="77777777" w:rsidR="00C46587" w:rsidRPr="0058432E" w:rsidRDefault="00C46587" w:rsidP="000D3575">
      <w:pPr>
        <w:keepNext/>
        <w:keepLines/>
        <w:rPr>
          <w:b/>
          <w:color w:val="000000" w:themeColor="text1"/>
        </w:rPr>
      </w:pPr>
      <w:r w:rsidRPr="0058432E">
        <w:rPr>
          <w:b/>
          <w:color w:val="000000" w:themeColor="text1"/>
        </w:rPr>
        <w:t>Réponses d'efficacité de l'étude SA contrôlée contre placebo – Étude I</w:t>
      </w:r>
    </w:p>
    <w:p w14:paraId="28FF95E9" w14:textId="77777777" w:rsidR="00C46587" w:rsidRPr="0058432E" w:rsidRDefault="00C46587" w:rsidP="000D3575">
      <w:pPr>
        <w:keepNext/>
        <w:keepLines/>
        <w:rPr>
          <w:b/>
          <w:color w:val="000000" w:themeColor="text1"/>
        </w:rPr>
      </w:pPr>
      <w:r w:rsidRPr="0058432E">
        <w:rPr>
          <w:b/>
          <w:color w:val="000000" w:themeColor="text1"/>
        </w:rPr>
        <w:t>Réduction des signes et symptômes</w:t>
      </w:r>
    </w:p>
    <w:p w14:paraId="7026DBAB" w14:textId="77777777" w:rsidR="00C46587" w:rsidRPr="0058432E" w:rsidRDefault="00C46587" w:rsidP="000D3575">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3000"/>
        <w:gridCol w:w="3024"/>
      </w:tblGrid>
      <w:tr w:rsidR="00C46587" w:rsidRPr="0058432E" w14:paraId="27C8A802" w14:textId="77777777" w:rsidTr="00D67346">
        <w:trPr>
          <w:tblHeader/>
        </w:trPr>
        <w:tc>
          <w:tcPr>
            <w:tcW w:w="3101" w:type="dxa"/>
            <w:tcBorders>
              <w:top w:val="single" w:sz="4" w:space="0" w:color="auto"/>
              <w:left w:val="single" w:sz="4" w:space="0" w:color="auto"/>
              <w:bottom w:val="single" w:sz="4" w:space="0" w:color="auto"/>
              <w:right w:val="single" w:sz="4" w:space="0" w:color="auto"/>
            </w:tcBorders>
            <w:hideMark/>
          </w:tcPr>
          <w:p w14:paraId="1DC61FAA" w14:textId="77777777" w:rsidR="00C46587" w:rsidRPr="0058432E" w:rsidRDefault="00C46587" w:rsidP="000D3575">
            <w:pPr>
              <w:keepNext/>
              <w:keepLines/>
              <w:rPr>
                <w:b/>
                <w:color w:val="000000" w:themeColor="text1"/>
              </w:rPr>
            </w:pPr>
            <w:r w:rsidRPr="0058432E">
              <w:rPr>
                <w:b/>
                <w:color w:val="000000" w:themeColor="text1"/>
              </w:rPr>
              <w:t>Réponse</w:t>
            </w:r>
          </w:p>
        </w:tc>
        <w:tc>
          <w:tcPr>
            <w:tcW w:w="3101" w:type="dxa"/>
            <w:tcBorders>
              <w:top w:val="single" w:sz="4" w:space="0" w:color="auto"/>
              <w:left w:val="single" w:sz="4" w:space="0" w:color="auto"/>
              <w:bottom w:val="single" w:sz="4" w:space="0" w:color="auto"/>
              <w:right w:val="single" w:sz="4" w:space="0" w:color="auto"/>
            </w:tcBorders>
            <w:hideMark/>
          </w:tcPr>
          <w:p w14:paraId="54B99001" w14:textId="77777777" w:rsidR="00C46587" w:rsidRPr="0058432E" w:rsidRDefault="00C46587" w:rsidP="000D3575">
            <w:pPr>
              <w:keepNext/>
              <w:keepLines/>
              <w:jc w:val="center"/>
              <w:rPr>
                <w:b/>
                <w:color w:val="000000" w:themeColor="text1"/>
              </w:rPr>
            </w:pPr>
            <w:r w:rsidRPr="0058432E">
              <w:rPr>
                <w:b/>
                <w:color w:val="000000" w:themeColor="text1"/>
              </w:rPr>
              <w:t>Placebo</w:t>
            </w:r>
          </w:p>
          <w:p w14:paraId="6DD648A2" w14:textId="77777777" w:rsidR="00C46587" w:rsidRPr="0058432E" w:rsidRDefault="00C46587" w:rsidP="000D3575">
            <w:pPr>
              <w:keepNext/>
              <w:keepLines/>
              <w:jc w:val="center"/>
              <w:rPr>
                <w:b/>
                <w:color w:val="000000" w:themeColor="text1"/>
              </w:rPr>
            </w:pPr>
            <w:r w:rsidRPr="0058432E">
              <w:rPr>
                <w:b/>
                <w:color w:val="000000" w:themeColor="text1"/>
              </w:rPr>
              <w:t>N = 107</w:t>
            </w:r>
          </w:p>
        </w:tc>
        <w:tc>
          <w:tcPr>
            <w:tcW w:w="3101" w:type="dxa"/>
            <w:tcBorders>
              <w:top w:val="single" w:sz="4" w:space="0" w:color="auto"/>
              <w:left w:val="single" w:sz="4" w:space="0" w:color="auto"/>
              <w:bottom w:val="single" w:sz="4" w:space="0" w:color="auto"/>
              <w:right w:val="single" w:sz="4" w:space="0" w:color="auto"/>
            </w:tcBorders>
            <w:hideMark/>
          </w:tcPr>
          <w:p w14:paraId="50AD59A0" w14:textId="77777777" w:rsidR="00C46587" w:rsidRPr="0058432E" w:rsidRDefault="005A4709" w:rsidP="000D3575">
            <w:pPr>
              <w:keepNext/>
              <w:keepLines/>
              <w:jc w:val="center"/>
              <w:rPr>
                <w:b/>
                <w:color w:val="000000" w:themeColor="text1"/>
              </w:rPr>
            </w:pPr>
            <w:r w:rsidRPr="0058432E">
              <w:rPr>
                <w:b/>
                <w:color w:val="000000" w:themeColor="text1"/>
              </w:rPr>
              <w:t>Adalimumab</w:t>
            </w:r>
          </w:p>
          <w:p w14:paraId="255422D2" w14:textId="77777777" w:rsidR="00C46587" w:rsidRPr="0058432E" w:rsidRDefault="00C46587" w:rsidP="000D3575">
            <w:pPr>
              <w:keepNext/>
              <w:keepLines/>
              <w:jc w:val="center"/>
              <w:rPr>
                <w:b/>
                <w:color w:val="000000" w:themeColor="text1"/>
              </w:rPr>
            </w:pPr>
            <w:r w:rsidRPr="0058432E">
              <w:rPr>
                <w:b/>
                <w:color w:val="000000" w:themeColor="text1"/>
              </w:rPr>
              <w:t>N = 208</w:t>
            </w:r>
          </w:p>
        </w:tc>
      </w:tr>
      <w:tr w:rsidR="00C46587" w:rsidRPr="0058432E" w14:paraId="187BD759"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7E226C6" w14:textId="77777777" w:rsidR="00C46587" w:rsidRPr="0058432E" w:rsidRDefault="00C46587" w:rsidP="000D3575">
            <w:pPr>
              <w:keepNext/>
              <w:keepLines/>
              <w:rPr>
                <w:color w:val="000000" w:themeColor="text1"/>
              </w:rPr>
            </w:pPr>
            <w:r w:rsidRPr="0058432E">
              <w:rPr>
                <w:color w:val="000000" w:themeColor="text1"/>
              </w:rPr>
              <w:t>ASAS</w:t>
            </w:r>
            <w:r w:rsidRPr="0058432E">
              <w:rPr>
                <w:color w:val="000000" w:themeColor="text1"/>
                <w:vertAlign w:val="superscript"/>
              </w:rPr>
              <w:t>a</w:t>
            </w:r>
            <w:r w:rsidRPr="0058432E">
              <w:rPr>
                <w:color w:val="000000" w:themeColor="text1"/>
              </w:rPr>
              <w:t xml:space="preserve"> 20</w:t>
            </w:r>
          </w:p>
        </w:tc>
        <w:tc>
          <w:tcPr>
            <w:tcW w:w="3101" w:type="dxa"/>
            <w:tcBorders>
              <w:top w:val="single" w:sz="4" w:space="0" w:color="auto"/>
              <w:left w:val="single" w:sz="4" w:space="0" w:color="auto"/>
              <w:bottom w:val="single" w:sz="4" w:space="0" w:color="auto"/>
              <w:right w:val="single" w:sz="4" w:space="0" w:color="auto"/>
            </w:tcBorders>
          </w:tcPr>
          <w:p w14:paraId="19F64FCD" w14:textId="77777777" w:rsidR="00C46587" w:rsidRPr="0058432E" w:rsidRDefault="00C46587" w:rsidP="000D3575">
            <w:pPr>
              <w:keepNext/>
              <w:keepLines/>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19602518" w14:textId="77777777" w:rsidR="00C46587" w:rsidRPr="0058432E" w:rsidRDefault="00C46587" w:rsidP="000D3575">
            <w:pPr>
              <w:keepNext/>
              <w:keepLines/>
              <w:jc w:val="center"/>
              <w:rPr>
                <w:color w:val="000000" w:themeColor="text1"/>
              </w:rPr>
            </w:pPr>
          </w:p>
        </w:tc>
      </w:tr>
      <w:tr w:rsidR="00C46587" w:rsidRPr="0058432E" w14:paraId="5EFE7E4C"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2012BB3" w14:textId="77777777" w:rsidR="00C46587" w:rsidRPr="0058432E" w:rsidRDefault="00C46587" w:rsidP="000D3575">
            <w:pPr>
              <w:keepNext/>
              <w:keepLines/>
              <w:rPr>
                <w:color w:val="000000" w:themeColor="text1"/>
              </w:rPr>
            </w:pPr>
            <w:r w:rsidRPr="0058432E">
              <w:rPr>
                <w:color w:val="000000" w:themeColor="text1"/>
              </w:rPr>
              <w:tab/>
              <w:t>Semaine 2</w:t>
            </w:r>
          </w:p>
        </w:tc>
        <w:tc>
          <w:tcPr>
            <w:tcW w:w="3101" w:type="dxa"/>
            <w:tcBorders>
              <w:top w:val="single" w:sz="4" w:space="0" w:color="auto"/>
              <w:left w:val="single" w:sz="4" w:space="0" w:color="auto"/>
              <w:bottom w:val="single" w:sz="4" w:space="0" w:color="auto"/>
              <w:right w:val="single" w:sz="4" w:space="0" w:color="auto"/>
            </w:tcBorders>
            <w:hideMark/>
          </w:tcPr>
          <w:p w14:paraId="61F65EF9" w14:textId="77777777" w:rsidR="00C46587" w:rsidRPr="0058432E" w:rsidRDefault="00C46587" w:rsidP="000D3575">
            <w:pPr>
              <w:keepNext/>
              <w:keepLines/>
              <w:jc w:val="center"/>
              <w:rPr>
                <w:color w:val="000000" w:themeColor="text1"/>
              </w:rPr>
            </w:pPr>
            <w:r w:rsidRPr="0058432E">
              <w:rPr>
                <w:color w:val="000000" w:themeColor="text1"/>
              </w:rPr>
              <w:t>16 %</w:t>
            </w:r>
          </w:p>
        </w:tc>
        <w:tc>
          <w:tcPr>
            <w:tcW w:w="3101" w:type="dxa"/>
            <w:tcBorders>
              <w:top w:val="single" w:sz="4" w:space="0" w:color="auto"/>
              <w:left w:val="single" w:sz="4" w:space="0" w:color="auto"/>
              <w:bottom w:val="single" w:sz="4" w:space="0" w:color="auto"/>
              <w:right w:val="single" w:sz="4" w:space="0" w:color="auto"/>
            </w:tcBorders>
            <w:hideMark/>
          </w:tcPr>
          <w:p w14:paraId="43A65458" w14:textId="77777777" w:rsidR="00C46587" w:rsidRPr="0058432E" w:rsidRDefault="00C46587" w:rsidP="000D3575">
            <w:pPr>
              <w:keepNext/>
              <w:keepLines/>
              <w:jc w:val="center"/>
              <w:rPr>
                <w:color w:val="000000" w:themeColor="text1"/>
              </w:rPr>
            </w:pPr>
            <w:r w:rsidRPr="0058432E">
              <w:rPr>
                <w:color w:val="000000" w:themeColor="text1"/>
              </w:rPr>
              <w:t>42 %***</w:t>
            </w:r>
          </w:p>
        </w:tc>
      </w:tr>
      <w:tr w:rsidR="00C46587" w:rsidRPr="0058432E" w14:paraId="46863850"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4400AA4" w14:textId="77777777" w:rsidR="00C46587" w:rsidRPr="0058432E" w:rsidRDefault="00C46587" w:rsidP="000D3575">
            <w:pPr>
              <w:keepNext/>
              <w:keepLines/>
              <w:rPr>
                <w:color w:val="000000" w:themeColor="text1"/>
              </w:rPr>
            </w:pPr>
            <w:r w:rsidRPr="0058432E">
              <w:rPr>
                <w:color w:val="000000" w:themeColor="text1"/>
              </w:rPr>
              <w:tab/>
              <w:t>Semaine 12</w:t>
            </w:r>
          </w:p>
        </w:tc>
        <w:tc>
          <w:tcPr>
            <w:tcW w:w="3101" w:type="dxa"/>
            <w:tcBorders>
              <w:top w:val="single" w:sz="4" w:space="0" w:color="auto"/>
              <w:left w:val="single" w:sz="4" w:space="0" w:color="auto"/>
              <w:bottom w:val="single" w:sz="4" w:space="0" w:color="auto"/>
              <w:right w:val="single" w:sz="4" w:space="0" w:color="auto"/>
            </w:tcBorders>
            <w:hideMark/>
          </w:tcPr>
          <w:p w14:paraId="07E5180A" w14:textId="77777777" w:rsidR="00C46587" w:rsidRPr="0058432E" w:rsidRDefault="00C46587" w:rsidP="000D3575">
            <w:pPr>
              <w:keepNext/>
              <w:keepLines/>
              <w:jc w:val="center"/>
              <w:rPr>
                <w:color w:val="000000" w:themeColor="text1"/>
              </w:rPr>
            </w:pPr>
            <w:r w:rsidRPr="0058432E">
              <w:rPr>
                <w:color w:val="000000" w:themeColor="text1"/>
              </w:rPr>
              <w:t>21 %</w:t>
            </w:r>
          </w:p>
        </w:tc>
        <w:tc>
          <w:tcPr>
            <w:tcW w:w="3101" w:type="dxa"/>
            <w:tcBorders>
              <w:top w:val="single" w:sz="4" w:space="0" w:color="auto"/>
              <w:left w:val="single" w:sz="4" w:space="0" w:color="auto"/>
              <w:bottom w:val="single" w:sz="4" w:space="0" w:color="auto"/>
              <w:right w:val="single" w:sz="4" w:space="0" w:color="auto"/>
            </w:tcBorders>
            <w:hideMark/>
          </w:tcPr>
          <w:p w14:paraId="7AD7DEAB" w14:textId="77777777" w:rsidR="00C46587" w:rsidRPr="0058432E" w:rsidRDefault="00C46587" w:rsidP="000D3575">
            <w:pPr>
              <w:keepNext/>
              <w:keepLines/>
              <w:jc w:val="center"/>
              <w:rPr>
                <w:color w:val="000000" w:themeColor="text1"/>
              </w:rPr>
            </w:pPr>
            <w:r w:rsidRPr="0058432E">
              <w:rPr>
                <w:color w:val="000000" w:themeColor="text1"/>
              </w:rPr>
              <w:t>58 %***</w:t>
            </w:r>
          </w:p>
        </w:tc>
      </w:tr>
      <w:tr w:rsidR="00C46587" w:rsidRPr="0058432E" w14:paraId="1EA1CB76"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62B2803" w14:textId="77777777" w:rsidR="00C46587" w:rsidRPr="0058432E" w:rsidRDefault="00C46587" w:rsidP="000D3575">
            <w:pPr>
              <w:keepNext/>
              <w:keepLines/>
              <w:rPr>
                <w:color w:val="000000" w:themeColor="text1"/>
              </w:rPr>
            </w:pPr>
            <w:r w:rsidRPr="0058432E">
              <w:rPr>
                <w:color w:val="000000" w:themeColor="text1"/>
              </w:rPr>
              <w:tab/>
              <w:t>Semaine 24</w:t>
            </w:r>
          </w:p>
        </w:tc>
        <w:tc>
          <w:tcPr>
            <w:tcW w:w="3101" w:type="dxa"/>
            <w:tcBorders>
              <w:top w:val="single" w:sz="4" w:space="0" w:color="auto"/>
              <w:left w:val="single" w:sz="4" w:space="0" w:color="auto"/>
              <w:bottom w:val="single" w:sz="4" w:space="0" w:color="auto"/>
              <w:right w:val="single" w:sz="4" w:space="0" w:color="auto"/>
            </w:tcBorders>
            <w:hideMark/>
          </w:tcPr>
          <w:p w14:paraId="60AAB17C" w14:textId="77777777" w:rsidR="00C46587" w:rsidRPr="0058432E" w:rsidRDefault="00C46587" w:rsidP="000D3575">
            <w:pPr>
              <w:keepNext/>
              <w:keepLines/>
              <w:jc w:val="center"/>
              <w:rPr>
                <w:color w:val="000000" w:themeColor="text1"/>
              </w:rPr>
            </w:pPr>
            <w:r w:rsidRPr="0058432E">
              <w:rPr>
                <w:color w:val="000000" w:themeColor="text1"/>
              </w:rPr>
              <w:t>19 %</w:t>
            </w:r>
          </w:p>
        </w:tc>
        <w:tc>
          <w:tcPr>
            <w:tcW w:w="3101" w:type="dxa"/>
            <w:tcBorders>
              <w:top w:val="single" w:sz="4" w:space="0" w:color="auto"/>
              <w:left w:val="single" w:sz="4" w:space="0" w:color="auto"/>
              <w:bottom w:val="single" w:sz="4" w:space="0" w:color="auto"/>
              <w:right w:val="single" w:sz="4" w:space="0" w:color="auto"/>
            </w:tcBorders>
            <w:hideMark/>
          </w:tcPr>
          <w:p w14:paraId="0F67DD4F" w14:textId="77777777" w:rsidR="00C46587" w:rsidRPr="0058432E" w:rsidRDefault="00C46587" w:rsidP="000D3575">
            <w:pPr>
              <w:keepNext/>
              <w:keepLines/>
              <w:jc w:val="center"/>
              <w:rPr>
                <w:color w:val="000000" w:themeColor="text1"/>
              </w:rPr>
            </w:pPr>
            <w:r w:rsidRPr="0058432E">
              <w:rPr>
                <w:color w:val="000000" w:themeColor="text1"/>
              </w:rPr>
              <w:t>51 %***</w:t>
            </w:r>
          </w:p>
        </w:tc>
      </w:tr>
      <w:tr w:rsidR="00C46587" w:rsidRPr="0058432E" w14:paraId="47D22A81"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0072457" w14:textId="77777777" w:rsidR="00C46587" w:rsidRPr="0058432E" w:rsidRDefault="00C46587" w:rsidP="000D3575">
            <w:pPr>
              <w:keepNext/>
              <w:keepLines/>
              <w:rPr>
                <w:color w:val="000000" w:themeColor="text1"/>
              </w:rPr>
            </w:pPr>
            <w:r w:rsidRPr="0058432E">
              <w:rPr>
                <w:color w:val="000000" w:themeColor="text1"/>
              </w:rPr>
              <w:t>ASAS 50</w:t>
            </w:r>
          </w:p>
        </w:tc>
        <w:tc>
          <w:tcPr>
            <w:tcW w:w="3101" w:type="dxa"/>
            <w:tcBorders>
              <w:top w:val="single" w:sz="4" w:space="0" w:color="auto"/>
              <w:left w:val="single" w:sz="4" w:space="0" w:color="auto"/>
              <w:bottom w:val="single" w:sz="4" w:space="0" w:color="auto"/>
              <w:right w:val="single" w:sz="4" w:space="0" w:color="auto"/>
            </w:tcBorders>
          </w:tcPr>
          <w:p w14:paraId="6D09F977" w14:textId="77777777" w:rsidR="00C46587" w:rsidRPr="0058432E" w:rsidRDefault="00C46587" w:rsidP="000D3575">
            <w:pPr>
              <w:keepNext/>
              <w:keepLines/>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32B43E98" w14:textId="77777777" w:rsidR="00C46587" w:rsidRPr="0058432E" w:rsidRDefault="00C46587" w:rsidP="000D3575">
            <w:pPr>
              <w:keepNext/>
              <w:keepLines/>
              <w:jc w:val="center"/>
              <w:rPr>
                <w:color w:val="000000" w:themeColor="text1"/>
              </w:rPr>
            </w:pPr>
          </w:p>
        </w:tc>
      </w:tr>
      <w:tr w:rsidR="00C46587" w:rsidRPr="0058432E" w14:paraId="52E3EDEB"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4B5762C" w14:textId="77777777" w:rsidR="00C46587" w:rsidRPr="0058432E" w:rsidRDefault="00C46587" w:rsidP="000D3575">
            <w:pPr>
              <w:keepNext/>
              <w:keepLines/>
              <w:rPr>
                <w:color w:val="000000" w:themeColor="text1"/>
              </w:rPr>
            </w:pPr>
            <w:r w:rsidRPr="0058432E">
              <w:rPr>
                <w:color w:val="000000" w:themeColor="text1"/>
              </w:rPr>
              <w:tab/>
              <w:t>Semaine 2</w:t>
            </w:r>
          </w:p>
        </w:tc>
        <w:tc>
          <w:tcPr>
            <w:tcW w:w="3101" w:type="dxa"/>
            <w:tcBorders>
              <w:top w:val="single" w:sz="4" w:space="0" w:color="auto"/>
              <w:left w:val="single" w:sz="4" w:space="0" w:color="auto"/>
              <w:bottom w:val="single" w:sz="4" w:space="0" w:color="auto"/>
              <w:right w:val="single" w:sz="4" w:space="0" w:color="auto"/>
            </w:tcBorders>
            <w:hideMark/>
          </w:tcPr>
          <w:p w14:paraId="208351A0" w14:textId="77777777" w:rsidR="00C46587" w:rsidRPr="0058432E" w:rsidRDefault="00C46587" w:rsidP="000D3575">
            <w:pPr>
              <w:keepNext/>
              <w:keepLines/>
              <w:jc w:val="center"/>
              <w:rPr>
                <w:color w:val="000000" w:themeColor="text1"/>
              </w:rPr>
            </w:pPr>
            <w:r w:rsidRPr="0058432E">
              <w:rPr>
                <w:color w:val="000000" w:themeColor="text1"/>
              </w:rPr>
              <w:t>3 %</w:t>
            </w:r>
          </w:p>
        </w:tc>
        <w:tc>
          <w:tcPr>
            <w:tcW w:w="3101" w:type="dxa"/>
            <w:tcBorders>
              <w:top w:val="single" w:sz="4" w:space="0" w:color="auto"/>
              <w:left w:val="single" w:sz="4" w:space="0" w:color="auto"/>
              <w:bottom w:val="single" w:sz="4" w:space="0" w:color="auto"/>
              <w:right w:val="single" w:sz="4" w:space="0" w:color="auto"/>
            </w:tcBorders>
            <w:hideMark/>
          </w:tcPr>
          <w:p w14:paraId="68DF2038" w14:textId="77777777" w:rsidR="00C46587" w:rsidRPr="0058432E" w:rsidRDefault="00C46587" w:rsidP="000D3575">
            <w:pPr>
              <w:keepNext/>
              <w:keepLines/>
              <w:jc w:val="center"/>
              <w:rPr>
                <w:color w:val="000000" w:themeColor="text1"/>
              </w:rPr>
            </w:pPr>
            <w:r w:rsidRPr="0058432E">
              <w:rPr>
                <w:color w:val="000000" w:themeColor="text1"/>
              </w:rPr>
              <w:t>16 %***</w:t>
            </w:r>
          </w:p>
        </w:tc>
      </w:tr>
      <w:tr w:rsidR="00C46587" w:rsidRPr="0058432E" w14:paraId="3012478F"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D2B2797" w14:textId="77777777" w:rsidR="00C46587" w:rsidRPr="0058432E" w:rsidRDefault="00C46587" w:rsidP="000D3575">
            <w:pPr>
              <w:keepNext/>
              <w:keepLines/>
              <w:rPr>
                <w:color w:val="000000" w:themeColor="text1"/>
              </w:rPr>
            </w:pPr>
            <w:r w:rsidRPr="0058432E">
              <w:rPr>
                <w:color w:val="000000" w:themeColor="text1"/>
              </w:rPr>
              <w:tab/>
              <w:t>Semaine 12</w:t>
            </w:r>
          </w:p>
        </w:tc>
        <w:tc>
          <w:tcPr>
            <w:tcW w:w="3101" w:type="dxa"/>
            <w:tcBorders>
              <w:top w:val="single" w:sz="4" w:space="0" w:color="auto"/>
              <w:left w:val="single" w:sz="4" w:space="0" w:color="auto"/>
              <w:bottom w:val="single" w:sz="4" w:space="0" w:color="auto"/>
              <w:right w:val="single" w:sz="4" w:space="0" w:color="auto"/>
            </w:tcBorders>
            <w:hideMark/>
          </w:tcPr>
          <w:p w14:paraId="4B9A8FD1" w14:textId="77777777" w:rsidR="00C46587" w:rsidRPr="0058432E" w:rsidRDefault="00C46587" w:rsidP="000D3575">
            <w:pPr>
              <w:keepNext/>
              <w:keepLines/>
              <w:jc w:val="center"/>
              <w:rPr>
                <w:color w:val="000000" w:themeColor="text1"/>
              </w:rPr>
            </w:pPr>
            <w:r w:rsidRPr="0058432E">
              <w:rPr>
                <w:color w:val="000000" w:themeColor="text1"/>
              </w:rPr>
              <w:t>10 %</w:t>
            </w:r>
          </w:p>
        </w:tc>
        <w:tc>
          <w:tcPr>
            <w:tcW w:w="3101" w:type="dxa"/>
            <w:tcBorders>
              <w:top w:val="single" w:sz="4" w:space="0" w:color="auto"/>
              <w:left w:val="single" w:sz="4" w:space="0" w:color="auto"/>
              <w:bottom w:val="single" w:sz="4" w:space="0" w:color="auto"/>
              <w:right w:val="single" w:sz="4" w:space="0" w:color="auto"/>
            </w:tcBorders>
            <w:hideMark/>
          </w:tcPr>
          <w:p w14:paraId="038C151A" w14:textId="77777777" w:rsidR="00C46587" w:rsidRPr="0058432E" w:rsidRDefault="00C46587" w:rsidP="000D3575">
            <w:pPr>
              <w:keepNext/>
              <w:keepLines/>
              <w:jc w:val="center"/>
              <w:rPr>
                <w:color w:val="000000" w:themeColor="text1"/>
              </w:rPr>
            </w:pPr>
            <w:r w:rsidRPr="0058432E">
              <w:rPr>
                <w:color w:val="000000" w:themeColor="text1"/>
              </w:rPr>
              <w:t>38 %***</w:t>
            </w:r>
          </w:p>
        </w:tc>
      </w:tr>
      <w:tr w:rsidR="00C46587" w:rsidRPr="0058432E" w14:paraId="3E5CA987"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8500CDE" w14:textId="77777777" w:rsidR="00C46587" w:rsidRPr="0058432E" w:rsidRDefault="00C46587" w:rsidP="000D3575">
            <w:pPr>
              <w:keepNext/>
              <w:keepLines/>
              <w:rPr>
                <w:color w:val="000000" w:themeColor="text1"/>
              </w:rPr>
            </w:pPr>
            <w:r w:rsidRPr="0058432E">
              <w:rPr>
                <w:color w:val="000000" w:themeColor="text1"/>
              </w:rPr>
              <w:tab/>
              <w:t>Semaine 24</w:t>
            </w:r>
          </w:p>
        </w:tc>
        <w:tc>
          <w:tcPr>
            <w:tcW w:w="3101" w:type="dxa"/>
            <w:tcBorders>
              <w:top w:val="single" w:sz="4" w:space="0" w:color="auto"/>
              <w:left w:val="single" w:sz="4" w:space="0" w:color="auto"/>
              <w:bottom w:val="single" w:sz="4" w:space="0" w:color="auto"/>
              <w:right w:val="single" w:sz="4" w:space="0" w:color="auto"/>
            </w:tcBorders>
            <w:hideMark/>
          </w:tcPr>
          <w:p w14:paraId="420A8B46" w14:textId="77777777" w:rsidR="00C46587" w:rsidRPr="0058432E" w:rsidRDefault="00C46587" w:rsidP="000D3575">
            <w:pPr>
              <w:keepNext/>
              <w:keepLines/>
              <w:jc w:val="center"/>
              <w:rPr>
                <w:color w:val="000000" w:themeColor="text1"/>
              </w:rPr>
            </w:pPr>
            <w:r w:rsidRPr="0058432E">
              <w:rPr>
                <w:color w:val="000000" w:themeColor="text1"/>
              </w:rPr>
              <w:t>11 %</w:t>
            </w:r>
          </w:p>
        </w:tc>
        <w:tc>
          <w:tcPr>
            <w:tcW w:w="3101" w:type="dxa"/>
            <w:tcBorders>
              <w:top w:val="single" w:sz="4" w:space="0" w:color="auto"/>
              <w:left w:val="single" w:sz="4" w:space="0" w:color="auto"/>
              <w:bottom w:val="single" w:sz="4" w:space="0" w:color="auto"/>
              <w:right w:val="single" w:sz="4" w:space="0" w:color="auto"/>
            </w:tcBorders>
            <w:hideMark/>
          </w:tcPr>
          <w:p w14:paraId="298DC21D" w14:textId="77777777" w:rsidR="00C46587" w:rsidRPr="0058432E" w:rsidRDefault="00C46587" w:rsidP="000D3575">
            <w:pPr>
              <w:keepNext/>
              <w:keepLines/>
              <w:jc w:val="center"/>
              <w:rPr>
                <w:color w:val="000000" w:themeColor="text1"/>
              </w:rPr>
            </w:pPr>
            <w:r w:rsidRPr="0058432E">
              <w:rPr>
                <w:color w:val="000000" w:themeColor="text1"/>
              </w:rPr>
              <w:t>35 %***</w:t>
            </w:r>
          </w:p>
        </w:tc>
      </w:tr>
      <w:tr w:rsidR="00C46587" w:rsidRPr="0058432E" w14:paraId="1377B10E"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3E07577" w14:textId="77777777" w:rsidR="00C46587" w:rsidRPr="0058432E" w:rsidRDefault="00C46587" w:rsidP="000D3575">
            <w:pPr>
              <w:keepNext/>
              <w:keepLines/>
              <w:rPr>
                <w:color w:val="000000" w:themeColor="text1"/>
              </w:rPr>
            </w:pPr>
            <w:r w:rsidRPr="0058432E">
              <w:rPr>
                <w:color w:val="000000" w:themeColor="text1"/>
              </w:rPr>
              <w:t>ASAS 70</w:t>
            </w:r>
          </w:p>
        </w:tc>
        <w:tc>
          <w:tcPr>
            <w:tcW w:w="3101" w:type="dxa"/>
            <w:tcBorders>
              <w:top w:val="single" w:sz="4" w:space="0" w:color="auto"/>
              <w:left w:val="single" w:sz="4" w:space="0" w:color="auto"/>
              <w:bottom w:val="single" w:sz="4" w:space="0" w:color="auto"/>
              <w:right w:val="single" w:sz="4" w:space="0" w:color="auto"/>
            </w:tcBorders>
          </w:tcPr>
          <w:p w14:paraId="55070C67" w14:textId="77777777" w:rsidR="00C46587" w:rsidRPr="0058432E" w:rsidRDefault="00C46587" w:rsidP="000D3575">
            <w:pPr>
              <w:keepNext/>
              <w:keepLines/>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0A73B1C6" w14:textId="77777777" w:rsidR="00C46587" w:rsidRPr="0058432E" w:rsidRDefault="00C46587" w:rsidP="000D3575">
            <w:pPr>
              <w:keepNext/>
              <w:keepLines/>
              <w:jc w:val="center"/>
              <w:rPr>
                <w:color w:val="000000" w:themeColor="text1"/>
              </w:rPr>
            </w:pPr>
          </w:p>
        </w:tc>
      </w:tr>
      <w:tr w:rsidR="00C46587" w:rsidRPr="0058432E" w14:paraId="475CF05A"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71D01B6F" w14:textId="77777777" w:rsidR="00C46587" w:rsidRPr="0058432E" w:rsidRDefault="00C46587" w:rsidP="000D3575">
            <w:pPr>
              <w:keepNext/>
              <w:keepLines/>
              <w:rPr>
                <w:color w:val="000000" w:themeColor="text1"/>
              </w:rPr>
            </w:pPr>
            <w:r w:rsidRPr="0058432E">
              <w:rPr>
                <w:color w:val="000000" w:themeColor="text1"/>
              </w:rPr>
              <w:tab/>
              <w:t>Semaine 2</w:t>
            </w:r>
          </w:p>
        </w:tc>
        <w:tc>
          <w:tcPr>
            <w:tcW w:w="3101" w:type="dxa"/>
            <w:tcBorders>
              <w:top w:val="single" w:sz="4" w:space="0" w:color="auto"/>
              <w:left w:val="single" w:sz="4" w:space="0" w:color="auto"/>
              <w:bottom w:val="single" w:sz="4" w:space="0" w:color="auto"/>
              <w:right w:val="single" w:sz="4" w:space="0" w:color="auto"/>
            </w:tcBorders>
            <w:hideMark/>
          </w:tcPr>
          <w:p w14:paraId="57B957C0" w14:textId="77777777" w:rsidR="00C46587" w:rsidRPr="0058432E" w:rsidRDefault="00C46587" w:rsidP="000D3575">
            <w:pPr>
              <w:keepNext/>
              <w:keepLines/>
              <w:jc w:val="center"/>
              <w:rPr>
                <w:color w:val="000000" w:themeColor="text1"/>
              </w:rPr>
            </w:pPr>
            <w:r w:rsidRPr="0058432E">
              <w:rPr>
                <w:color w:val="000000" w:themeColor="text1"/>
              </w:rPr>
              <w:t>0 %</w:t>
            </w:r>
          </w:p>
        </w:tc>
        <w:tc>
          <w:tcPr>
            <w:tcW w:w="3101" w:type="dxa"/>
            <w:tcBorders>
              <w:top w:val="single" w:sz="4" w:space="0" w:color="auto"/>
              <w:left w:val="single" w:sz="4" w:space="0" w:color="auto"/>
              <w:bottom w:val="single" w:sz="4" w:space="0" w:color="auto"/>
              <w:right w:val="single" w:sz="4" w:space="0" w:color="auto"/>
            </w:tcBorders>
            <w:hideMark/>
          </w:tcPr>
          <w:p w14:paraId="7C684646" w14:textId="77777777" w:rsidR="00C46587" w:rsidRPr="0058432E" w:rsidRDefault="00C46587" w:rsidP="000D3575">
            <w:pPr>
              <w:keepNext/>
              <w:keepLines/>
              <w:jc w:val="center"/>
              <w:rPr>
                <w:color w:val="000000" w:themeColor="text1"/>
              </w:rPr>
            </w:pPr>
            <w:r w:rsidRPr="0058432E">
              <w:rPr>
                <w:color w:val="000000" w:themeColor="text1"/>
              </w:rPr>
              <w:t>7 %**</w:t>
            </w:r>
          </w:p>
        </w:tc>
      </w:tr>
      <w:tr w:rsidR="00C46587" w:rsidRPr="0058432E" w14:paraId="636C7C9B"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37D8F86" w14:textId="77777777" w:rsidR="00C46587" w:rsidRPr="0058432E" w:rsidRDefault="00C46587" w:rsidP="000D3575">
            <w:pPr>
              <w:keepNext/>
              <w:keepLines/>
              <w:rPr>
                <w:color w:val="000000" w:themeColor="text1"/>
              </w:rPr>
            </w:pPr>
            <w:r w:rsidRPr="0058432E">
              <w:rPr>
                <w:color w:val="000000" w:themeColor="text1"/>
              </w:rPr>
              <w:tab/>
              <w:t>Semaine 12</w:t>
            </w:r>
          </w:p>
        </w:tc>
        <w:tc>
          <w:tcPr>
            <w:tcW w:w="3101" w:type="dxa"/>
            <w:tcBorders>
              <w:top w:val="single" w:sz="4" w:space="0" w:color="auto"/>
              <w:left w:val="single" w:sz="4" w:space="0" w:color="auto"/>
              <w:bottom w:val="single" w:sz="4" w:space="0" w:color="auto"/>
              <w:right w:val="single" w:sz="4" w:space="0" w:color="auto"/>
            </w:tcBorders>
            <w:hideMark/>
          </w:tcPr>
          <w:p w14:paraId="12F7F7ED" w14:textId="77777777" w:rsidR="00C46587" w:rsidRPr="0058432E" w:rsidRDefault="00C46587" w:rsidP="000D3575">
            <w:pPr>
              <w:keepNext/>
              <w:keepLines/>
              <w:jc w:val="center"/>
              <w:rPr>
                <w:color w:val="000000" w:themeColor="text1"/>
              </w:rPr>
            </w:pPr>
            <w:r w:rsidRPr="0058432E">
              <w:rPr>
                <w:color w:val="000000" w:themeColor="text1"/>
              </w:rPr>
              <w:t>5 %</w:t>
            </w:r>
          </w:p>
        </w:tc>
        <w:tc>
          <w:tcPr>
            <w:tcW w:w="3101" w:type="dxa"/>
            <w:tcBorders>
              <w:top w:val="single" w:sz="4" w:space="0" w:color="auto"/>
              <w:left w:val="single" w:sz="4" w:space="0" w:color="auto"/>
              <w:bottom w:val="single" w:sz="4" w:space="0" w:color="auto"/>
              <w:right w:val="single" w:sz="4" w:space="0" w:color="auto"/>
            </w:tcBorders>
            <w:hideMark/>
          </w:tcPr>
          <w:p w14:paraId="4DEEF652" w14:textId="77777777" w:rsidR="00C46587" w:rsidRPr="0058432E" w:rsidRDefault="00C46587" w:rsidP="000D3575">
            <w:pPr>
              <w:keepNext/>
              <w:keepLines/>
              <w:jc w:val="center"/>
              <w:rPr>
                <w:color w:val="000000" w:themeColor="text1"/>
              </w:rPr>
            </w:pPr>
            <w:r w:rsidRPr="0058432E">
              <w:rPr>
                <w:color w:val="000000" w:themeColor="text1"/>
              </w:rPr>
              <w:t>23 %***</w:t>
            </w:r>
          </w:p>
        </w:tc>
      </w:tr>
      <w:tr w:rsidR="00C46587" w:rsidRPr="0058432E" w14:paraId="54998C6B"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3F537D3" w14:textId="77777777" w:rsidR="00C46587" w:rsidRPr="0058432E" w:rsidRDefault="00C46587" w:rsidP="000D3575">
            <w:pPr>
              <w:keepNext/>
              <w:keepLines/>
              <w:rPr>
                <w:color w:val="000000" w:themeColor="text1"/>
              </w:rPr>
            </w:pPr>
            <w:r w:rsidRPr="0058432E">
              <w:rPr>
                <w:color w:val="000000" w:themeColor="text1"/>
              </w:rPr>
              <w:tab/>
              <w:t>Semaine 24</w:t>
            </w:r>
          </w:p>
        </w:tc>
        <w:tc>
          <w:tcPr>
            <w:tcW w:w="3101" w:type="dxa"/>
            <w:tcBorders>
              <w:top w:val="single" w:sz="4" w:space="0" w:color="auto"/>
              <w:left w:val="single" w:sz="4" w:space="0" w:color="auto"/>
              <w:bottom w:val="single" w:sz="4" w:space="0" w:color="auto"/>
              <w:right w:val="single" w:sz="4" w:space="0" w:color="auto"/>
            </w:tcBorders>
            <w:hideMark/>
          </w:tcPr>
          <w:p w14:paraId="016B7A9D" w14:textId="77777777" w:rsidR="00C46587" w:rsidRPr="0058432E" w:rsidRDefault="00C46587" w:rsidP="000D3575">
            <w:pPr>
              <w:keepNext/>
              <w:keepLines/>
              <w:jc w:val="center"/>
              <w:rPr>
                <w:color w:val="000000" w:themeColor="text1"/>
              </w:rPr>
            </w:pPr>
            <w:r w:rsidRPr="0058432E">
              <w:rPr>
                <w:color w:val="000000" w:themeColor="text1"/>
              </w:rPr>
              <w:t>8 %</w:t>
            </w:r>
          </w:p>
        </w:tc>
        <w:tc>
          <w:tcPr>
            <w:tcW w:w="3101" w:type="dxa"/>
            <w:tcBorders>
              <w:top w:val="single" w:sz="4" w:space="0" w:color="auto"/>
              <w:left w:val="single" w:sz="4" w:space="0" w:color="auto"/>
              <w:bottom w:val="single" w:sz="4" w:space="0" w:color="auto"/>
              <w:right w:val="single" w:sz="4" w:space="0" w:color="auto"/>
            </w:tcBorders>
            <w:hideMark/>
          </w:tcPr>
          <w:p w14:paraId="134B8E2A" w14:textId="77777777" w:rsidR="00C46587" w:rsidRPr="0058432E" w:rsidRDefault="00C46587" w:rsidP="000D3575">
            <w:pPr>
              <w:keepNext/>
              <w:keepLines/>
              <w:jc w:val="center"/>
              <w:rPr>
                <w:color w:val="000000" w:themeColor="text1"/>
              </w:rPr>
            </w:pPr>
            <w:r w:rsidRPr="0058432E">
              <w:rPr>
                <w:color w:val="000000" w:themeColor="text1"/>
              </w:rPr>
              <w:t>24 %***</w:t>
            </w:r>
          </w:p>
        </w:tc>
      </w:tr>
      <w:tr w:rsidR="00C46587" w:rsidRPr="0058432E" w14:paraId="23B64A5F"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1ACBBD4" w14:textId="77777777" w:rsidR="00C46587" w:rsidRPr="0058432E" w:rsidRDefault="00C46587" w:rsidP="000D3575">
            <w:pPr>
              <w:keepNext/>
              <w:keepLines/>
              <w:rPr>
                <w:color w:val="000000" w:themeColor="text1"/>
              </w:rPr>
            </w:pPr>
            <w:r w:rsidRPr="0058432E">
              <w:rPr>
                <w:color w:val="000000" w:themeColor="text1"/>
              </w:rPr>
              <w:t>BASDAI</w:t>
            </w:r>
            <w:r w:rsidRPr="0058432E">
              <w:rPr>
                <w:color w:val="000000" w:themeColor="text1"/>
                <w:vertAlign w:val="superscript"/>
              </w:rPr>
              <w:t>b</w:t>
            </w:r>
            <w:r w:rsidRPr="0058432E">
              <w:rPr>
                <w:color w:val="000000" w:themeColor="text1"/>
              </w:rPr>
              <w:t xml:space="preserve"> 50</w:t>
            </w:r>
          </w:p>
        </w:tc>
        <w:tc>
          <w:tcPr>
            <w:tcW w:w="3101" w:type="dxa"/>
            <w:tcBorders>
              <w:top w:val="single" w:sz="4" w:space="0" w:color="auto"/>
              <w:left w:val="single" w:sz="4" w:space="0" w:color="auto"/>
              <w:bottom w:val="single" w:sz="4" w:space="0" w:color="auto"/>
              <w:right w:val="single" w:sz="4" w:space="0" w:color="auto"/>
            </w:tcBorders>
          </w:tcPr>
          <w:p w14:paraId="7AAE72CD" w14:textId="77777777" w:rsidR="00C46587" w:rsidRPr="0058432E" w:rsidRDefault="00C46587" w:rsidP="000D3575">
            <w:pPr>
              <w:keepNext/>
              <w:keepLines/>
              <w:jc w:val="center"/>
              <w:rPr>
                <w:color w:val="000000" w:themeColor="text1"/>
              </w:rPr>
            </w:pPr>
          </w:p>
        </w:tc>
        <w:tc>
          <w:tcPr>
            <w:tcW w:w="3101" w:type="dxa"/>
            <w:tcBorders>
              <w:top w:val="single" w:sz="4" w:space="0" w:color="auto"/>
              <w:left w:val="single" w:sz="4" w:space="0" w:color="auto"/>
              <w:bottom w:val="single" w:sz="4" w:space="0" w:color="auto"/>
              <w:right w:val="single" w:sz="4" w:space="0" w:color="auto"/>
            </w:tcBorders>
          </w:tcPr>
          <w:p w14:paraId="11772AEC" w14:textId="77777777" w:rsidR="00C46587" w:rsidRPr="0058432E" w:rsidRDefault="00C46587" w:rsidP="000D3575">
            <w:pPr>
              <w:keepNext/>
              <w:keepLines/>
              <w:jc w:val="center"/>
              <w:rPr>
                <w:color w:val="000000" w:themeColor="text1"/>
              </w:rPr>
            </w:pPr>
          </w:p>
        </w:tc>
      </w:tr>
      <w:tr w:rsidR="00C46587" w:rsidRPr="0058432E" w14:paraId="2745B23E"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34FDF8D" w14:textId="77777777" w:rsidR="00C46587" w:rsidRPr="0058432E" w:rsidRDefault="00C46587" w:rsidP="00922261">
            <w:pPr>
              <w:rPr>
                <w:color w:val="000000" w:themeColor="text1"/>
              </w:rPr>
            </w:pPr>
            <w:r w:rsidRPr="0058432E">
              <w:rPr>
                <w:color w:val="000000" w:themeColor="text1"/>
              </w:rPr>
              <w:tab/>
              <w:t>Semaine 2</w:t>
            </w:r>
          </w:p>
        </w:tc>
        <w:tc>
          <w:tcPr>
            <w:tcW w:w="3101" w:type="dxa"/>
            <w:tcBorders>
              <w:top w:val="single" w:sz="4" w:space="0" w:color="auto"/>
              <w:left w:val="single" w:sz="4" w:space="0" w:color="auto"/>
              <w:bottom w:val="single" w:sz="4" w:space="0" w:color="auto"/>
              <w:right w:val="single" w:sz="4" w:space="0" w:color="auto"/>
            </w:tcBorders>
            <w:hideMark/>
          </w:tcPr>
          <w:p w14:paraId="4A3FF12C" w14:textId="77777777" w:rsidR="00C46587" w:rsidRPr="0058432E" w:rsidRDefault="00C46587" w:rsidP="00922261">
            <w:pPr>
              <w:jc w:val="center"/>
              <w:rPr>
                <w:color w:val="000000" w:themeColor="text1"/>
              </w:rPr>
            </w:pPr>
            <w:r w:rsidRPr="0058432E">
              <w:rPr>
                <w:color w:val="000000" w:themeColor="text1"/>
              </w:rPr>
              <w:t>4 %</w:t>
            </w:r>
          </w:p>
        </w:tc>
        <w:tc>
          <w:tcPr>
            <w:tcW w:w="3101" w:type="dxa"/>
            <w:tcBorders>
              <w:top w:val="single" w:sz="4" w:space="0" w:color="auto"/>
              <w:left w:val="single" w:sz="4" w:space="0" w:color="auto"/>
              <w:bottom w:val="single" w:sz="4" w:space="0" w:color="auto"/>
              <w:right w:val="single" w:sz="4" w:space="0" w:color="auto"/>
            </w:tcBorders>
            <w:hideMark/>
          </w:tcPr>
          <w:p w14:paraId="121413BB" w14:textId="77777777" w:rsidR="00C46587" w:rsidRPr="0058432E" w:rsidRDefault="00C46587" w:rsidP="00922261">
            <w:pPr>
              <w:jc w:val="center"/>
              <w:rPr>
                <w:color w:val="000000" w:themeColor="text1"/>
              </w:rPr>
            </w:pPr>
            <w:r w:rsidRPr="0058432E">
              <w:rPr>
                <w:color w:val="000000" w:themeColor="text1"/>
              </w:rPr>
              <w:t>20 %***</w:t>
            </w:r>
          </w:p>
        </w:tc>
      </w:tr>
      <w:tr w:rsidR="00C46587" w:rsidRPr="0058432E" w14:paraId="76DEBD3D"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37D3CF0A" w14:textId="77777777" w:rsidR="00C46587" w:rsidRPr="0058432E" w:rsidRDefault="00C46587" w:rsidP="00922261">
            <w:pPr>
              <w:rPr>
                <w:color w:val="000000" w:themeColor="text1"/>
              </w:rPr>
            </w:pPr>
            <w:r w:rsidRPr="0058432E">
              <w:rPr>
                <w:color w:val="000000" w:themeColor="text1"/>
              </w:rPr>
              <w:tab/>
              <w:t>Semaine 12</w:t>
            </w:r>
          </w:p>
        </w:tc>
        <w:tc>
          <w:tcPr>
            <w:tcW w:w="3101" w:type="dxa"/>
            <w:tcBorders>
              <w:top w:val="single" w:sz="4" w:space="0" w:color="auto"/>
              <w:left w:val="single" w:sz="4" w:space="0" w:color="auto"/>
              <w:bottom w:val="single" w:sz="4" w:space="0" w:color="auto"/>
              <w:right w:val="single" w:sz="4" w:space="0" w:color="auto"/>
            </w:tcBorders>
            <w:hideMark/>
          </w:tcPr>
          <w:p w14:paraId="53BA764B" w14:textId="77777777" w:rsidR="00C46587" w:rsidRPr="0058432E" w:rsidRDefault="00C46587" w:rsidP="00922261">
            <w:pPr>
              <w:jc w:val="center"/>
              <w:rPr>
                <w:color w:val="000000" w:themeColor="text1"/>
              </w:rPr>
            </w:pPr>
            <w:r w:rsidRPr="0058432E">
              <w:rPr>
                <w:color w:val="000000" w:themeColor="text1"/>
              </w:rPr>
              <w:t>16 %</w:t>
            </w:r>
          </w:p>
        </w:tc>
        <w:tc>
          <w:tcPr>
            <w:tcW w:w="3101" w:type="dxa"/>
            <w:tcBorders>
              <w:top w:val="single" w:sz="4" w:space="0" w:color="auto"/>
              <w:left w:val="single" w:sz="4" w:space="0" w:color="auto"/>
              <w:bottom w:val="single" w:sz="4" w:space="0" w:color="auto"/>
              <w:right w:val="single" w:sz="4" w:space="0" w:color="auto"/>
            </w:tcBorders>
            <w:hideMark/>
          </w:tcPr>
          <w:p w14:paraId="3358F5E9" w14:textId="77777777" w:rsidR="00C46587" w:rsidRPr="0058432E" w:rsidRDefault="00C46587" w:rsidP="00922261">
            <w:pPr>
              <w:jc w:val="center"/>
              <w:rPr>
                <w:color w:val="000000" w:themeColor="text1"/>
              </w:rPr>
            </w:pPr>
            <w:r w:rsidRPr="0058432E">
              <w:rPr>
                <w:color w:val="000000" w:themeColor="text1"/>
              </w:rPr>
              <w:t>45 %***</w:t>
            </w:r>
          </w:p>
        </w:tc>
      </w:tr>
      <w:tr w:rsidR="00C46587" w:rsidRPr="0058432E" w14:paraId="020BE259" w14:textId="77777777" w:rsidTr="00922261">
        <w:tc>
          <w:tcPr>
            <w:tcW w:w="3101" w:type="dxa"/>
            <w:tcBorders>
              <w:top w:val="single" w:sz="4" w:space="0" w:color="auto"/>
              <w:left w:val="single" w:sz="4" w:space="0" w:color="auto"/>
              <w:bottom w:val="single" w:sz="4" w:space="0" w:color="auto"/>
              <w:right w:val="single" w:sz="4" w:space="0" w:color="auto"/>
            </w:tcBorders>
            <w:hideMark/>
          </w:tcPr>
          <w:p w14:paraId="5A0EC5F1" w14:textId="77777777" w:rsidR="00C46587" w:rsidRPr="0058432E" w:rsidRDefault="00C46587" w:rsidP="00922261">
            <w:pPr>
              <w:rPr>
                <w:color w:val="000000" w:themeColor="text1"/>
              </w:rPr>
            </w:pPr>
            <w:r w:rsidRPr="0058432E">
              <w:rPr>
                <w:color w:val="000000" w:themeColor="text1"/>
              </w:rPr>
              <w:tab/>
              <w:t>Semaine 24</w:t>
            </w:r>
          </w:p>
        </w:tc>
        <w:tc>
          <w:tcPr>
            <w:tcW w:w="3101" w:type="dxa"/>
            <w:tcBorders>
              <w:top w:val="single" w:sz="4" w:space="0" w:color="auto"/>
              <w:left w:val="single" w:sz="4" w:space="0" w:color="auto"/>
              <w:bottom w:val="single" w:sz="4" w:space="0" w:color="auto"/>
              <w:right w:val="single" w:sz="4" w:space="0" w:color="auto"/>
            </w:tcBorders>
            <w:hideMark/>
          </w:tcPr>
          <w:p w14:paraId="03CCA744" w14:textId="77777777" w:rsidR="00C46587" w:rsidRPr="0058432E" w:rsidRDefault="00C46587" w:rsidP="00922261">
            <w:pPr>
              <w:jc w:val="center"/>
              <w:rPr>
                <w:color w:val="000000" w:themeColor="text1"/>
              </w:rPr>
            </w:pPr>
            <w:r w:rsidRPr="0058432E">
              <w:rPr>
                <w:color w:val="000000" w:themeColor="text1"/>
              </w:rPr>
              <w:t>15 %</w:t>
            </w:r>
          </w:p>
        </w:tc>
        <w:tc>
          <w:tcPr>
            <w:tcW w:w="3101" w:type="dxa"/>
            <w:tcBorders>
              <w:top w:val="single" w:sz="4" w:space="0" w:color="auto"/>
              <w:left w:val="single" w:sz="4" w:space="0" w:color="auto"/>
              <w:bottom w:val="single" w:sz="4" w:space="0" w:color="auto"/>
              <w:right w:val="single" w:sz="4" w:space="0" w:color="auto"/>
            </w:tcBorders>
            <w:hideMark/>
          </w:tcPr>
          <w:p w14:paraId="5D3980B7" w14:textId="77777777" w:rsidR="00C46587" w:rsidRPr="0058432E" w:rsidRDefault="00C46587" w:rsidP="00922261">
            <w:pPr>
              <w:jc w:val="center"/>
              <w:rPr>
                <w:color w:val="000000" w:themeColor="text1"/>
              </w:rPr>
            </w:pPr>
            <w:r w:rsidRPr="0058432E">
              <w:rPr>
                <w:color w:val="000000" w:themeColor="text1"/>
              </w:rPr>
              <w:t>42 %***</w:t>
            </w:r>
          </w:p>
        </w:tc>
      </w:tr>
      <w:tr w:rsidR="00922261" w:rsidRPr="00B03C37" w14:paraId="5E6951F1" w14:textId="77777777" w:rsidTr="00922261">
        <w:tc>
          <w:tcPr>
            <w:tcW w:w="9303" w:type="dxa"/>
            <w:gridSpan w:val="3"/>
            <w:tcBorders>
              <w:top w:val="single" w:sz="4" w:space="0" w:color="auto"/>
              <w:left w:val="nil"/>
              <w:bottom w:val="nil"/>
              <w:right w:val="nil"/>
            </w:tcBorders>
          </w:tcPr>
          <w:p w14:paraId="1CF71918" w14:textId="77777777" w:rsidR="00922261" w:rsidRPr="0058432E" w:rsidRDefault="00922261" w:rsidP="00922261">
            <w:pPr>
              <w:rPr>
                <w:color w:val="000000" w:themeColor="text1"/>
                <w:sz w:val="20"/>
              </w:rPr>
            </w:pPr>
            <w:r w:rsidRPr="0058432E">
              <w:rPr>
                <w:color w:val="000000" w:themeColor="text1"/>
                <w:sz w:val="20"/>
              </w:rPr>
              <w:t>**</w:t>
            </w:r>
            <w:proofErr w:type="gramStart"/>
            <w:r w:rsidRPr="0058432E">
              <w:rPr>
                <w:color w:val="000000" w:themeColor="text1"/>
                <w:sz w:val="20"/>
              </w:rPr>
              <w:t>*,*</w:t>
            </w:r>
            <w:proofErr w:type="gramEnd"/>
            <w:r w:rsidRPr="0058432E">
              <w:rPr>
                <w:color w:val="000000" w:themeColor="text1"/>
                <w:sz w:val="20"/>
              </w:rPr>
              <w:t xml:space="preserve">* Statistiquement significatif à </w:t>
            </w:r>
            <w:r w:rsidRPr="0058432E">
              <w:rPr>
                <w:i/>
                <w:iCs/>
                <w:color w:val="000000" w:themeColor="text1"/>
                <w:sz w:val="20"/>
              </w:rPr>
              <w:t>p</w:t>
            </w:r>
            <w:r w:rsidRPr="0058432E">
              <w:rPr>
                <w:color w:val="000000" w:themeColor="text1"/>
                <w:sz w:val="20"/>
              </w:rPr>
              <w:t xml:space="preserve"> &lt; 0,001, &lt; 0,01 pour toutes les comparaisons entre l’adalimumab et le placebo aux semaines 2, 12 et 24 </w:t>
            </w:r>
          </w:p>
          <w:p w14:paraId="4E8A805E" w14:textId="77777777" w:rsidR="00922261" w:rsidRPr="0000463E" w:rsidRDefault="00922261" w:rsidP="00922261">
            <w:pPr>
              <w:ind w:left="270" w:hanging="270"/>
              <w:rPr>
                <w:color w:val="000000" w:themeColor="text1"/>
                <w:sz w:val="20"/>
                <w:lang w:val="en-US"/>
              </w:rPr>
            </w:pPr>
            <w:proofErr w:type="gramStart"/>
            <w:r w:rsidRPr="0000463E">
              <w:rPr>
                <w:color w:val="000000" w:themeColor="text1"/>
                <w:sz w:val="20"/>
                <w:vertAlign w:val="superscript"/>
                <w:lang w:val="en-US"/>
              </w:rPr>
              <w:t>a</w:t>
            </w:r>
            <w:proofErr w:type="gramEnd"/>
            <w:r w:rsidRPr="0000463E">
              <w:rPr>
                <w:color w:val="000000" w:themeColor="text1"/>
                <w:sz w:val="20"/>
                <w:lang w:val="en-US"/>
              </w:rPr>
              <w:t xml:space="preserve"> </w:t>
            </w:r>
            <w:r w:rsidRPr="0000463E">
              <w:rPr>
                <w:color w:val="000000" w:themeColor="text1"/>
                <w:sz w:val="20"/>
                <w:lang w:val="en-US"/>
              </w:rPr>
              <w:tab/>
            </w:r>
            <w:r w:rsidR="00D06BF9" w:rsidRPr="0000463E">
              <w:rPr>
                <w:iCs/>
                <w:color w:val="000000" w:themeColor="text1"/>
                <w:sz w:val="20"/>
                <w:szCs w:val="20"/>
                <w:lang w:val="en-US"/>
              </w:rPr>
              <w:t xml:space="preserve">Evaluations de </w:t>
            </w:r>
            <w:r w:rsidR="00D06BF9" w:rsidRPr="0000463E">
              <w:rPr>
                <w:color w:val="000000" w:themeColor="text1"/>
                <w:sz w:val="20"/>
                <w:szCs w:val="20"/>
                <w:lang w:val="en-US"/>
              </w:rPr>
              <w:t>spondylarthrite ankylosante</w:t>
            </w:r>
            <w:r w:rsidRPr="0000463E">
              <w:rPr>
                <w:color w:val="000000" w:themeColor="text1"/>
                <w:sz w:val="20"/>
                <w:lang w:val="en-US"/>
              </w:rPr>
              <w:t xml:space="preserve"> </w:t>
            </w:r>
          </w:p>
          <w:p w14:paraId="326B6E0A" w14:textId="77777777" w:rsidR="00922261" w:rsidRPr="008444F9" w:rsidRDefault="00922261" w:rsidP="00922261">
            <w:pPr>
              <w:ind w:left="270" w:hanging="270"/>
              <w:rPr>
                <w:color w:val="000000" w:themeColor="text1"/>
                <w:sz w:val="20"/>
                <w:lang w:val="en-US"/>
              </w:rPr>
            </w:pPr>
            <w:r w:rsidRPr="008444F9">
              <w:rPr>
                <w:color w:val="000000" w:themeColor="text1"/>
                <w:sz w:val="20"/>
                <w:vertAlign w:val="superscript"/>
                <w:lang w:val="en-US"/>
              </w:rPr>
              <w:t>b</w:t>
            </w:r>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Bath Ankylosing Spondylitis Disease Activity Index</w:t>
            </w:r>
          </w:p>
        </w:tc>
      </w:tr>
    </w:tbl>
    <w:p w14:paraId="0979825D" w14:textId="77777777" w:rsidR="00C46587" w:rsidRPr="008444F9" w:rsidRDefault="00C46587" w:rsidP="00922261">
      <w:pPr>
        <w:rPr>
          <w:color w:val="000000" w:themeColor="text1"/>
          <w:lang w:val="en-US"/>
        </w:rPr>
      </w:pPr>
    </w:p>
    <w:p w14:paraId="158AEE46" w14:textId="77777777" w:rsidR="00C46587" w:rsidRPr="0058432E" w:rsidRDefault="005A4709" w:rsidP="00982118">
      <w:pPr>
        <w:rPr>
          <w:color w:val="000000" w:themeColor="text1"/>
        </w:rPr>
      </w:pPr>
      <w:r w:rsidRPr="0058432E">
        <w:rPr>
          <w:color w:val="000000" w:themeColor="text1"/>
        </w:rPr>
        <w:t xml:space="preserve">Les patients traités par adalimumab avaient une amélioration significativement plus importante à la semaine 12 qui se maintenait jusqu'à la semaine 24 à la fois pour le SF36 et pour </w:t>
      </w:r>
      <w:r w:rsidRPr="0058432E">
        <w:rPr>
          <w:i/>
          <w:iCs/>
          <w:color w:val="000000" w:themeColor="text1"/>
        </w:rPr>
        <w:t>l'Ankylosing Spondylitis Quality of Life Questionnaire</w:t>
      </w:r>
      <w:r w:rsidRPr="0058432E">
        <w:rPr>
          <w:color w:val="000000" w:themeColor="text1"/>
        </w:rPr>
        <w:t xml:space="preserve"> (ASQoL). </w:t>
      </w:r>
    </w:p>
    <w:p w14:paraId="0DE3A7A8" w14:textId="77777777" w:rsidR="00C46587" w:rsidRPr="0058432E" w:rsidRDefault="00C46587" w:rsidP="00982118">
      <w:pPr>
        <w:rPr>
          <w:color w:val="000000" w:themeColor="text1"/>
        </w:rPr>
      </w:pPr>
    </w:p>
    <w:p w14:paraId="71A3A2A8" w14:textId="77777777" w:rsidR="00C46587" w:rsidRPr="0058432E" w:rsidRDefault="00C46587" w:rsidP="00982118">
      <w:pPr>
        <w:rPr>
          <w:color w:val="000000" w:themeColor="text1"/>
        </w:rPr>
      </w:pPr>
      <w:r w:rsidRPr="0058432E">
        <w:rPr>
          <w:color w:val="000000" w:themeColor="text1"/>
        </w:rPr>
        <w:t xml:space="preserve">Des résultats tendant à être comparables (pas tous statistiquement significatifs) ont été observés dans une étude sur la SA moins importante, randomisée, </w:t>
      </w:r>
      <w:r w:rsidR="00D85F8B" w:rsidRPr="0058432E">
        <w:rPr>
          <w:color w:val="000000" w:themeColor="text1"/>
        </w:rPr>
        <w:t xml:space="preserve">en </w:t>
      </w:r>
      <w:r w:rsidRPr="0058432E">
        <w:rPr>
          <w:color w:val="000000" w:themeColor="text1"/>
        </w:rPr>
        <w:t>double</w:t>
      </w:r>
      <w:r w:rsidR="00D85F8B" w:rsidRPr="0058432E">
        <w:rPr>
          <w:color w:val="000000" w:themeColor="text1"/>
        </w:rPr>
        <w:t xml:space="preserve"> </w:t>
      </w:r>
      <w:r w:rsidRPr="0058432E">
        <w:rPr>
          <w:color w:val="000000" w:themeColor="text1"/>
        </w:rPr>
        <w:t xml:space="preserve">aveugle, contrôlée contre placebo (II) de 82 patients adultes atteints d'une spondylarthrite ankylosante active. </w:t>
      </w:r>
    </w:p>
    <w:p w14:paraId="2DA403F0" w14:textId="77777777" w:rsidR="00C46587" w:rsidRPr="0058432E" w:rsidRDefault="00C46587" w:rsidP="00982118">
      <w:pPr>
        <w:rPr>
          <w:color w:val="000000" w:themeColor="text1"/>
        </w:rPr>
      </w:pPr>
    </w:p>
    <w:p w14:paraId="0837E03D" w14:textId="77777777" w:rsidR="00C46587" w:rsidRPr="0058432E" w:rsidRDefault="00C46587" w:rsidP="00DC3A99">
      <w:pPr>
        <w:keepNext/>
        <w:rPr>
          <w:i/>
          <w:color w:val="000000" w:themeColor="text1"/>
          <w:u w:val="single"/>
        </w:rPr>
      </w:pPr>
      <w:r w:rsidRPr="0058432E">
        <w:rPr>
          <w:i/>
          <w:color w:val="000000" w:themeColor="text1"/>
          <w:u w:val="single"/>
        </w:rPr>
        <w:t>Spondyl</w:t>
      </w:r>
      <w:r w:rsidR="00B412CF" w:rsidRPr="0058432E">
        <w:rPr>
          <w:i/>
          <w:color w:val="000000" w:themeColor="text1"/>
          <w:u w:val="single"/>
        </w:rPr>
        <w:t>o</w:t>
      </w:r>
      <w:r w:rsidRPr="0058432E">
        <w:rPr>
          <w:i/>
          <w:color w:val="000000" w:themeColor="text1"/>
          <w:u w:val="single"/>
        </w:rPr>
        <w:t xml:space="preserve">arthrite axiale sans signes radiographiques de SA </w:t>
      </w:r>
    </w:p>
    <w:p w14:paraId="62A233AA" w14:textId="77777777" w:rsidR="00C46587" w:rsidRPr="0058432E" w:rsidRDefault="00C46587" w:rsidP="00DC3A99">
      <w:pPr>
        <w:keepNext/>
        <w:rPr>
          <w:color w:val="000000" w:themeColor="text1"/>
        </w:rPr>
      </w:pPr>
    </w:p>
    <w:p w14:paraId="03A4E0BF" w14:textId="77777777" w:rsidR="00C86BC9" w:rsidRPr="0058432E" w:rsidRDefault="00C86BC9" w:rsidP="00982118">
      <w:pPr>
        <w:autoSpaceDE w:val="0"/>
        <w:autoSpaceDN w:val="0"/>
        <w:adjustRightInd w:val="0"/>
        <w:rPr>
          <w:color w:val="000000" w:themeColor="text1"/>
        </w:rPr>
      </w:pPr>
      <w:r w:rsidRPr="0058432E">
        <w:rPr>
          <w:color w:val="000000" w:themeColor="text1"/>
        </w:rPr>
        <w:t xml:space="preserve">La </w:t>
      </w:r>
      <w:r w:rsidR="00354DBF" w:rsidRPr="0058432E">
        <w:rPr>
          <w:color w:val="000000" w:themeColor="text1"/>
        </w:rPr>
        <w:t>tolérance</w:t>
      </w:r>
      <w:r w:rsidR="00970F99" w:rsidRPr="0058432E">
        <w:rPr>
          <w:color w:val="000000" w:themeColor="text1"/>
        </w:rPr>
        <w:t xml:space="preserve"> </w:t>
      </w:r>
      <w:r w:rsidRPr="0058432E">
        <w:rPr>
          <w:color w:val="000000" w:themeColor="text1"/>
        </w:rPr>
        <w:t>et l’efficacité de l’adalimumab ont été évaluées dans deux études randomisées, en double aveugle, contrôlées contre placebo menées chez des patients atteints de spondyl</w:t>
      </w:r>
      <w:r w:rsidR="00B412CF" w:rsidRPr="0058432E">
        <w:rPr>
          <w:color w:val="000000" w:themeColor="text1"/>
        </w:rPr>
        <w:t>o</w:t>
      </w:r>
      <w:r w:rsidRPr="0058432E">
        <w:rPr>
          <w:color w:val="000000" w:themeColor="text1"/>
        </w:rPr>
        <w:t>arthrite axiale non radiographique (nr-axSpA). L’étude nr</w:t>
      </w:r>
      <w:r w:rsidRPr="0058432E">
        <w:rPr>
          <w:color w:val="000000" w:themeColor="text1"/>
        </w:rPr>
        <w:noBreakHyphen/>
        <w:t>axSpA I a évalué des patients atteints de nr-axSpA active. L’étude nr-axSpA II était une étude d’arrêt du traitement chez des patients atteints de nr-axSpA active ayant obtenu une rémission au cours d’un traitement en ouvert par adalimumab.</w:t>
      </w:r>
    </w:p>
    <w:p w14:paraId="674EA6A6" w14:textId="77777777" w:rsidR="00C86BC9" w:rsidRPr="0058432E" w:rsidRDefault="00C86BC9" w:rsidP="00982118">
      <w:pPr>
        <w:rPr>
          <w:color w:val="000000" w:themeColor="text1"/>
        </w:rPr>
      </w:pPr>
    </w:p>
    <w:p w14:paraId="4F5C0F09" w14:textId="77777777" w:rsidR="00C86BC9" w:rsidRPr="0058432E" w:rsidRDefault="00C86BC9" w:rsidP="004D46DF">
      <w:pPr>
        <w:keepNext/>
        <w:rPr>
          <w:color w:val="000000" w:themeColor="text1"/>
        </w:rPr>
      </w:pPr>
      <w:r w:rsidRPr="0058432E">
        <w:rPr>
          <w:color w:val="000000" w:themeColor="text1"/>
        </w:rPr>
        <w:lastRenderedPageBreak/>
        <w:t>Étude nr-axSpA I</w:t>
      </w:r>
    </w:p>
    <w:p w14:paraId="19B9B938" w14:textId="77777777" w:rsidR="00C86BC9" w:rsidRPr="0058432E" w:rsidRDefault="00C86BC9" w:rsidP="004D46DF">
      <w:pPr>
        <w:keepNext/>
        <w:rPr>
          <w:color w:val="000000" w:themeColor="text1"/>
        </w:rPr>
      </w:pPr>
    </w:p>
    <w:p w14:paraId="050350DF" w14:textId="77777777" w:rsidR="00C46587" w:rsidRPr="0058432E" w:rsidRDefault="00C86BC9" w:rsidP="00982118">
      <w:pPr>
        <w:rPr>
          <w:color w:val="000000" w:themeColor="text1"/>
        </w:rPr>
      </w:pPr>
      <w:r w:rsidRPr="0058432E">
        <w:rPr>
          <w:color w:val="000000" w:themeColor="text1"/>
        </w:rPr>
        <w:t xml:space="preserve">Dans l’étude nr-axSpA I, l’adalimumab administré à la dose de 40 mg toutes les </w:t>
      </w:r>
      <w:r w:rsidR="00BA7A54" w:rsidRPr="0058432E">
        <w:rPr>
          <w:color w:val="000000" w:themeColor="text1"/>
        </w:rPr>
        <w:t>deux</w:t>
      </w:r>
      <w:r w:rsidRPr="0058432E">
        <w:rPr>
          <w:color w:val="000000" w:themeColor="text1"/>
        </w:rPr>
        <w:t xml:space="preserve"> semaines a été évalué dans une étude randomisée</w:t>
      </w:r>
      <w:r w:rsidR="00D85F8B" w:rsidRPr="0058432E">
        <w:rPr>
          <w:color w:val="000000" w:themeColor="text1"/>
        </w:rPr>
        <w:t>,</w:t>
      </w:r>
      <w:r w:rsidRPr="0058432E">
        <w:rPr>
          <w:color w:val="000000" w:themeColor="text1"/>
        </w:rPr>
        <w:t xml:space="preserve"> en double aveugle</w:t>
      </w:r>
      <w:r w:rsidR="00D85F8B" w:rsidRPr="0058432E">
        <w:rPr>
          <w:color w:val="000000" w:themeColor="text1"/>
        </w:rPr>
        <w:t>,</w:t>
      </w:r>
      <w:r w:rsidRPr="0058432E">
        <w:rPr>
          <w:color w:val="000000" w:themeColor="text1"/>
        </w:rPr>
        <w:t xml:space="preserve"> contrôlée contre placebo d’une durée de 12</w:t>
      </w:r>
      <w:r w:rsidR="002A7F87" w:rsidRPr="0058432E">
        <w:rPr>
          <w:color w:val="000000" w:themeColor="text1"/>
        </w:rPr>
        <w:t> </w:t>
      </w:r>
      <w:r w:rsidRPr="0058432E">
        <w:rPr>
          <w:color w:val="000000" w:themeColor="text1"/>
        </w:rPr>
        <w:t>semaines menée chez 185 patients atteints de nr-axSpA active (le score initial moyen d’activité de la maladie [</w:t>
      </w:r>
      <w:r w:rsidRPr="0058432E">
        <w:rPr>
          <w:i/>
          <w:iCs/>
          <w:color w:val="000000" w:themeColor="text1"/>
        </w:rPr>
        <w:t>Bath Ankylosing Spondylitis Disease Activity Index</w:t>
      </w:r>
      <w:r w:rsidRPr="0058432E">
        <w:rPr>
          <w:color w:val="000000" w:themeColor="text1"/>
        </w:rPr>
        <w:t xml:space="preserve"> (BASDAI)] était de 6,4 chez les patients traités par adalimumab et de 6,5 chez les patients du groupe placebo) qui avaient présenté une réponse inadéquate ou une intolérance à au moins 1 AINS ou une contre-indication aux AINS. </w:t>
      </w:r>
    </w:p>
    <w:p w14:paraId="6B421EFA" w14:textId="77777777" w:rsidR="00C46587" w:rsidRPr="0058432E" w:rsidRDefault="00C46587" w:rsidP="00982118">
      <w:pPr>
        <w:rPr>
          <w:color w:val="000000" w:themeColor="text1"/>
        </w:rPr>
      </w:pPr>
    </w:p>
    <w:p w14:paraId="62AB3DDA" w14:textId="77777777" w:rsidR="00C46587" w:rsidRPr="0058432E" w:rsidRDefault="00C46587" w:rsidP="00982118">
      <w:pPr>
        <w:rPr>
          <w:color w:val="000000" w:themeColor="text1"/>
        </w:rPr>
      </w:pPr>
      <w:r w:rsidRPr="0058432E">
        <w:rPr>
          <w:color w:val="000000" w:themeColor="text1"/>
        </w:rPr>
        <w:t>À l’inclusion dans l’étude, 33 patients (18 %) étaient traités de façon concomitante par des DMARD</w:t>
      </w:r>
      <w:r w:rsidR="00FE50EF" w:rsidRPr="0058432E">
        <w:rPr>
          <w:color w:val="000000" w:themeColor="text1"/>
        </w:rPr>
        <w:t>s</w:t>
      </w:r>
      <w:r w:rsidRPr="0058432E">
        <w:rPr>
          <w:color w:val="000000" w:themeColor="text1"/>
        </w:rPr>
        <w:t xml:space="preserve"> et 146 patients (79 %) par des AINS. La période en double aveugle a été suivie d’une période en ouvert au cours de laquelle les patients ont reçu l’adalimumab 40 mg toutes les deux semaines par voie sous-cutanée pendant 144 semaines supplémentaires. Les résultats à la semaine 12 ont montré une amélioration statistiquement significative des signes et symptômes de nr-axSpA</w:t>
      </w:r>
      <w:r w:rsidR="00356BB4" w:rsidRPr="0058432E">
        <w:rPr>
          <w:color w:val="000000" w:themeColor="text1"/>
        </w:rPr>
        <w:t xml:space="preserve"> </w:t>
      </w:r>
      <w:r w:rsidRPr="0058432E">
        <w:rPr>
          <w:color w:val="000000" w:themeColor="text1"/>
        </w:rPr>
        <w:t>active chez les patients traités par adalimumab comparativement au placebo (tableau </w:t>
      </w:r>
      <w:r w:rsidR="00AA1D55" w:rsidRPr="0058432E">
        <w:rPr>
          <w:color w:val="000000" w:themeColor="text1"/>
        </w:rPr>
        <w:t>13</w:t>
      </w:r>
      <w:r w:rsidRPr="0058432E">
        <w:rPr>
          <w:color w:val="000000" w:themeColor="text1"/>
        </w:rPr>
        <w:t xml:space="preserve">). </w:t>
      </w:r>
    </w:p>
    <w:p w14:paraId="5E70B6B9" w14:textId="77777777" w:rsidR="00C46587" w:rsidRPr="0058432E" w:rsidRDefault="00C46587" w:rsidP="002A7CDF">
      <w:pPr>
        <w:rPr>
          <w:color w:val="000000" w:themeColor="text1"/>
        </w:rPr>
      </w:pPr>
    </w:p>
    <w:p w14:paraId="251ED1F1" w14:textId="77777777" w:rsidR="00C46587" w:rsidRPr="0058432E" w:rsidRDefault="00C46587" w:rsidP="00A53E17">
      <w:pPr>
        <w:keepNext/>
        <w:rPr>
          <w:b/>
          <w:color w:val="000000" w:themeColor="text1"/>
        </w:rPr>
      </w:pPr>
      <w:r w:rsidRPr="0058432E">
        <w:rPr>
          <w:b/>
          <w:color w:val="000000" w:themeColor="text1"/>
        </w:rPr>
        <w:t>Tableau </w:t>
      </w:r>
      <w:r w:rsidR="00AA1D55" w:rsidRPr="0058432E">
        <w:rPr>
          <w:b/>
          <w:color w:val="000000" w:themeColor="text1"/>
        </w:rPr>
        <w:t>13</w:t>
      </w:r>
      <w:r w:rsidR="002A7CDF" w:rsidRPr="0058432E">
        <w:rPr>
          <w:b/>
          <w:color w:val="000000" w:themeColor="text1"/>
        </w:rPr>
        <w:t>.</w:t>
      </w:r>
    </w:p>
    <w:p w14:paraId="2A68D242" w14:textId="77777777" w:rsidR="00C46587" w:rsidRPr="0058432E" w:rsidRDefault="00C46587" w:rsidP="00A53E17">
      <w:pPr>
        <w:keepNext/>
        <w:rPr>
          <w:b/>
          <w:color w:val="000000" w:themeColor="text1"/>
        </w:rPr>
      </w:pPr>
      <w:r w:rsidRPr="0058432E">
        <w:rPr>
          <w:b/>
          <w:color w:val="000000" w:themeColor="text1"/>
        </w:rPr>
        <w:t>Réponse d’efficacité dans l’étude nr-axSpA I contrôlée contre placebo</w:t>
      </w:r>
    </w:p>
    <w:p w14:paraId="1257014D" w14:textId="77777777" w:rsidR="00C46587" w:rsidRPr="0058432E" w:rsidRDefault="00C46587" w:rsidP="00982118">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2460"/>
        <w:gridCol w:w="2482"/>
      </w:tblGrid>
      <w:tr w:rsidR="00C46587" w:rsidRPr="0058432E" w14:paraId="18F5DC72" w14:textId="77777777" w:rsidTr="00242B3F">
        <w:trPr>
          <w:tblHeader/>
        </w:trPr>
        <w:tc>
          <w:tcPr>
            <w:tcW w:w="4248" w:type="dxa"/>
            <w:tcBorders>
              <w:top w:val="single" w:sz="4" w:space="0" w:color="auto"/>
              <w:left w:val="single" w:sz="4" w:space="0" w:color="auto"/>
              <w:bottom w:val="single" w:sz="4" w:space="0" w:color="auto"/>
              <w:right w:val="single" w:sz="4" w:space="0" w:color="auto"/>
            </w:tcBorders>
            <w:hideMark/>
          </w:tcPr>
          <w:p w14:paraId="2ED999DA" w14:textId="77777777" w:rsidR="00C46587" w:rsidRPr="0058432E" w:rsidRDefault="00C46587" w:rsidP="00982118">
            <w:pPr>
              <w:rPr>
                <w:b/>
                <w:color w:val="000000" w:themeColor="text1"/>
              </w:rPr>
            </w:pPr>
            <w:r w:rsidRPr="0058432E">
              <w:rPr>
                <w:b/>
                <w:color w:val="000000" w:themeColor="text1"/>
              </w:rPr>
              <w:t>Double aveugle</w:t>
            </w:r>
          </w:p>
          <w:p w14:paraId="6CF0007B" w14:textId="77777777" w:rsidR="00C46587" w:rsidRPr="0058432E" w:rsidRDefault="00C46587" w:rsidP="00982118">
            <w:pPr>
              <w:rPr>
                <w:b/>
                <w:color w:val="000000" w:themeColor="text1"/>
              </w:rPr>
            </w:pPr>
            <w:r w:rsidRPr="0058432E">
              <w:rPr>
                <w:b/>
                <w:color w:val="000000" w:themeColor="text1"/>
              </w:rPr>
              <w:t>Réponse à la semaine 12</w:t>
            </w:r>
          </w:p>
        </w:tc>
        <w:tc>
          <w:tcPr>
            <w:tcW w:w="2527" w:type="dxa"/>
            <w:tcBorders>
              <w:top w:val="single" w:sz="4" w:space="0" w:color="auto"/>
              <w:left w:val="single" w:sz="4" w:space="0" w:color="auto"/>
              <w:bottom w:val="single" w:sz="4" w:space="0" w:color="auto"/>
              <w:right w:val="single" w:sz="4" w:space="0" w:color="auto"/>
            </w:tcBorders>
            <w:vAlign w:val="center"/>
            <w:hideMark/>
          </w:tcPr>
          <w:p w14:paraId="4E4F690A" w14:textId="77777777" w:rsidR="00C46587" w:rsidRPr="0058432E" w:rsidRDefault="00C46587" w:rsidP="00982118">
            <w:pPr>
              <w:jc w:val="center"/>
              <w:rPr>
                <w:b/>
                <w:color w:val="000000" w:themeColor="text1"/>
              </w:rPr>
            </w:pPr>
            <w:r w:rsidRPr="0058432E">
              <w:rPr>
                <w:b/>
                <w:color w:val="000000" w:themeColor="text1"/>
              </w:rPr>
              <w:t>Placebo</w:t>
            </w:r>
          </w:p>
          <w:p w14:paraId="577D964C" w14:textId="77777777" w:rsidR="00C46587" w:rsidRPr="0058432E" w:rsidRDefault="00C46587" w:rsidP="00982118">
            <w:pPr>
              <w:jc w:val="center"/>
              <w:rPr>
                <w:b/>
                <w:color w:val="000000" w:themeColor="text1"/>
              </w:rPr>
            </w:pPr>
            <w:r w:rsidRPr="0058432E">
              <w:rPr>
                <w:b/>
                <w:color w:val="000000" w:themeColor="text1"/>
              </w:rPr>
              <w:t>N = 94</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7FBD082" w14:textId="77777777" w:rsidR="00C46587" w:rsidRPr="0058432E" w:rsidRDefault="005A4709" w:rsidP="00982118">
            <w:pPr>
              <w:jc w:val="center"/>
              <w:rPr>
                <w:b/>
                <w:color w:val="000000" w:themeColor="text1"/>
              </w:rPr>
            </w:pPr>
            <w:r w:rsidRPr="0058432E">
              <w:rPr>
                <w:b/>
                <w:color w:val="000000" w:themeColor="text1"/>
              </w:rPr>
              <w:t>Adalimumab</w:t>
            </w:r>
          </w:p>
          <w:p w14:paraId="627AB81B" w14:textId="77777777" w:rsidR="00C46587" w:rsidRPr="0058432E" w:rsidRDefault="00C46587" w:rsidP="00982118">
            <w:pPr>
              <w:jc w:val="center"/>
              <w:rPr>
                <w:b/>
                <w:color w:val="000000" w:themeColor="text1"/>
              </w:rPr>
            </w:pPr>
            <w:r w:rsidRPr="0058432E">
              <w:rPr>
                <w:b/>
                <w:color w:val="000000" w:themeColor="text1"/>
              </w:rPr>
              <w:t>N = 91</w:t>
            </w:r>
          </w:p>
        </w:tc>
      </w:tr>
      <w:tr w:rsidR="00C46587" w:rsidRPr="0058432E" w14:paraId="1C3BB1E2" w14:textId="77777777">
        <w:tc>
          <w:tcPr>
            <w:tcW w:w="4248" w:type="dxa"/>
            <w:tcBorders>
              <w:top w:val="single" w:sz="4" w:space="0" w:color="auto"/>
              <w:left w:val="single" w:sz="4" w:space="0" w:color="auto"/>
              <w:bottom w:val="single" w:sz="4" w:space="0" w:color="auto"/>
              <w:right w:val="single" w:sz="4" w:space="0" w:color="auto"/>
            </w:tcBorders>
            <w:hideMark/>
          </w:tcPr>
          <w:p w14:paraId="2B16C5D3" w14:textId="77777777" w:rsidR="00C46587" w:rsidRPr="0058432E" w:rsidRDefault="00C46587" w:rsidP="00982118">
            <w:pPr>
              <w:rPr>
                <w:color w:val="000000" w:themeColor="text1"/>
              </w:rPr>
            </w:pPr>
            <w:r w:rsidRPr="0058432E">
              <w:rPr>
                <w:color w:val="000000" w:themeColor="text1"/>
              </w:rPr>
              <w:t>ASAS</w:t>
            </w:r>
            <w:r w:rsidRPr="0058432E">
              <w:rPr>
                <w:color w:val="000000" w:themeColor="text1"/>
                <w:vertAlign w:val="superscript"/>
              </w:rPr>
              <w:t>a</w:t>
            </w:r>
            <w:r w:rsidRPr="0058432E">
              <w:rPr>
                <w:color w:val="000000" w:themeColor="text1"/>
              </w:rPr>
              <w:t xml:space="preserve"> 40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3B00346" w14:textId="77777777" w:rsidR="00C46587" w:rsidRPr="0058432E" w:rsidRDefault="00C46587" w:rsidP="00982118">
            <w:pPr>
              <w:jc w:val="center"/>
              <w:rPr>
                <w:color w:val="000000" w:themeColor="text1"/>
              </w:rPr>
            </w:pPr>
            <w:r w:rsidRPr="0058432E">
              <w:rPr>
                <w:color w:val="000000" w:themeColor="text1"/>
              </w:rPr>
              <w:t>15 %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327A632E" w14:textId="77777777" w:rsidR="00C46587" w:rsidRPr="0058432E" w:rsidRDefault="00C46587" w:rsidP="00982118">
            <w:pPr>
              <w:jc w:val="center"/>
              <w:rPr>
                <w:color w:val="000000" w:themeColor="text1"/>
              </w:rPr>
            </w:pPr>
            <w:r w:rsidRPr="0058432E">
              <w:rPr>
                <w:color w:val="000000" w:themeColor="text1"/>
              </w:rPr>
              <w:t>36 %***</w:t>
            </w:r>
          </w:p>
        </w:tc>
      </w:tr>
      <w:tr w:rsidR="00C46587" w:rsidRPr="0058432E" w14:paraId="1E7608BC" w14:textId="77777777">
        <w:tc>
          <w:tcPr>
            <w:tcW w:w="4248" w:type="dxa"/>
            <w:tcBorders>
              <w:top w:val="single" w:sz="4" w:space="0" w:color="auto"/>
              <w:left w:val="single" w:sz="4" w:space="0" w:color="auto"/>
              <w:bottom w:val="single" w:sz="4" w:space="0" w:color="auto"/>
              <w:right w:val="single" w:sz="4" w:space="0" w:color="auto"/>
            </w:tcBorders>
            <w:hideMark/>
          </w:tcPr>
          <w:p w14:paraId="3923DA3B" w14:textId="77777777" w:rsidR="00C46587" w:rsidRPr="0058432E" w:rsidRDefault="00C46587" w:rsidP="00982118">
            <w:pPr>
              <w:rPr>
                <w:color w:val="000000" w:themeColor="text1"/>
              </w:rPr>
            </w:pPr>
            <w:r w:rsidRPr="0058432E">
              <w:rPr>
                <w:color w:val="000000" w:themeColor="text1"/>
              </w:rPr>
              <w:t>ASAS 20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F77ECF1" w14:textId="77777777" w:rsidR="00C46587" w:rsidRPr="0058432E" w:rsidRDefault="00C46587" w:rsidP="00982118">
            <w:pPr>
              <w:jc w:val="center"/>
              <w:rPr>
                <w:color w:val="000000" w:themeColor="text1"/>
              </w:rPr>
            </w:pPr>
            <w:r w:rsidRPr="0058432E">
              <w:rPr>
                <w:color w:val="000000" w:themeColor="text1"/>
              </w:rPr>
              <w:t>31 %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26C9956C" w14:textId="77777777" w:rsidR="00C46587" w:rsidRPr="0058432E" w:rsidRDefault="00C46587" w:rsidP="00982118">
            <w:pPr>
              <w:jc w:val="center"/>
              <w:rPr>
                <w:color w:val="000000" w:themeColor="text1"/>
              </w:rPr>
            </w:pPr>
            <w:r w:rsidRPr="0058432E">
              <w:rPr>
                <w:color w:val="000000" w:themeColor="text1"/>
              </w:rPr>
              <w:t>52 %**</w:t>
            </w:r>
          </w:p>
        </w:tc>
      </w:tr>
      <w:tr w:rsidR="00C46587" w:rsidRPr="0058432E" w14:paraId="1803EE02" w14:textId="77777777">
        <w:tc>
          <w:tcPr>
            <w:tcW w:w="4248" w:type="dxa"/>
            <w:tcBorders>
              <w:top w:val="single" w:sz="4" w:space="0" w:color="auto"/>
              <w:left w:val="single" w:sz="4" w:space="0" w:color="auto"/>
              <w:bottom w:val="single" w:sz="4" w:space="0" w:color="auto"/>
              <w:right w:val="single" w:sz="4" w:space="0" w:color="auto"/>
            </w:tcBorders>
            <w:hideMark/>
          </w:tcPr>
          <w:p w14:paraId="3139C620" w14:textId="77777777" w:rsidR="00C46587" w:rsidRPr="0058432E" w:rsidRDefault="00C46587" w:rsidP="00982118">
            <w:pPr>
              <w:rPr>
                <w:color w:val="000000" w:themeColor="text1"/>
              </w:rPr>
            </w:pPr>
            <w:r w:rsidRPr="0058432E">
              <w:rPr>
                <w:color w:val="000000" w:themeColor="text1"/>
              </w:rPr>
              <w:t>ASAS 5/6</w:t>
            </w:r>
          </w:p>
        </w:tc>
        <w:tc>
          <w:tcPr>
            <w:tcW w:w="2527" w:type="dxa"/>
            <w:tcBorders>
              <w:top w:val="single" w:sz="4" w:space="0" w:color="auto"/>
              <w:left w:val="single" w:sz="4" w:space="0" w:color="auto"/>
              <w:bottom w:val="single" w:sz="4" w:space="0" w:color="auto"/>
              <w:right w:val="single" w:sz="4" w:space="0" w:color="auto"/>
            </w:tcBorders>
            <w:vAlign w:val="center"/>
            <w:hideMark/>
          </w:tcPr>
          <w:p w14:paraId="10728B73" w14:textId="77777777" w:rsidR="00C46587" w:rsidRPr="0058432E" w:rsidRDefault="00C46587" w:rsidP="00982118">
            <w:pPr>
              <w:jc w:val="center"/>
              <w:rPr>
                <w:color w:val="000000" w:themeColor="text1"/>
              </w:rPr>
            </w:pPr>
            <w:r w:rsidRPr="0058432E">
              <w:rPr>
                <w:color w:val="000000" w:themeColor="text1"/>
              </w:rPr>
              <w:t>6 %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155C7BBE" w14:textId="77777777" w:rsidR="00C46587" w:rsidRPr="0058432E" w:rsidRDefault="00C46587" w:rsidP="00982118">
            <w:pPr>
              <w:jc w:val="center"/>
              <w:rPr>
                <w:color w:val="000000" w:themeColor="text1"/>
              </w:rPr>
            </w:pPr>
            <w:r w:rsidRPr="0058432E">
              <w:rPr>
                <w:color w:val="000000" w:themeColor="text1"/>
              </w:rPr>
              <w:t>31 %***</w:t>
            </w:r>
          </w:p>
        </w:tc>
      </w:tr>
      <w:tr w:rsidR="00C46587" w:rsidRPr="0058432E" w14:paraId="5DFACE57" w14:textId="77777777">
        <w:tc>
          <w:tcPr>
            <w:tcW w:w="4248" w:type="dxa"/>
            <w:tcBorders>
              <w:top w:val="single" w:sz="4" w:space="0" w:color="auto"/>
              <w:left w:val="single" w:sz="4" w:space="0" w:color="auto"/>
              <w:bottom w:val="single" w:sz="4" w:space="0" w:color="auto"/>
              <w:right w:val="single" w:sz="4" w:space="0" w:color="auto"/>
            </w:tcBorders>
            <w:hideMark/>
          </w:tcPr>
          <w:p w14:paraId="69CE8F3A" w14:textId="77777777" w:rsidR="00C46587" w:rsidRPr="0058432E" w:rsidRDefault="00C46587" w:rsidP="00982118">
            <w:pPr>
              <w:rPr>
                <w:color w:val="000000" w:themeColor="text1"/>
              </w:rPr>
            </w:pPr>
            <w:r w:rsidRPr="0058432E">
              <w:rPr>
                <w:color w:val="000000" w:themeColor="text1"/>
              </w:rPr>
              <w:t xml:space="preserve">ASAS Rémission </w:t>
            </w:r>
            <w:r w:rsidR="002C2615" w:rsidRPr="0058432E">
              <w:rPr>
                <w:color w:val="000000" w:themeColor="text1"/>
              </w:rPr>
              <w:t>p</w:t>
            </w:r>
            <w:r w:rsidRPr="0058432E">
              <w:rPr>
                <w:color w:val="000000" w:themeColor="text1"/>
              </w:rPr>
              <w:t>artielle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34598F5E" w14:textId="77777777" w:rsidR="00C46587" w:rsidRPr="0058432E" w:rsidRDefault="00C46587" w:rsidP="00982118">
            <w:pPr>
              <w:jc w:val="center"/>
              <w:rPr>
                <w:color w:val="000000" w:themeColor="text1"/>
              </w:rPr>
            </w:pPr>
            <w:r w:rsidRPr="0058432E">
              <w:rPr>
                <w:color w:val="000000" w:themeColor="text1"/>
              </w:rPr>
              <w:t>5 %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6ADDE72E" w14:textId="77777777" w:rsidR="00C46587" w:rsidRPr="0058432E" w:rsidRDefault="00C46587" w:rsidP="00982118">
            <w:pPr>
              <w:jc w:val="center"/>
              <w:rPr>
                <w:color w:val="000000" w:themeColor="text1"/>
              </w:rPr>
            </w:pPr>
            <w:r w:rsidRPr="0058432E">
              <w:rPr>
                <w:color w:val="000000" w:themeColor="text1"/>
              </w:rPr>
              <w:t>16 %*</w:t>
            </w:r>
          </w:p>
        </w:tc>
      </w:tr>
      <w:tr w:rsidR="00C46587" w:rsidRPr="0058432E" w14:paraId="216BE836" w14:textId="77777777">
        <w:tc>
          <w:tcPr>
            <w:tcW w:w="4248" w:type="dxa"/>
            <w:tcBorders>
              <w:top w:val="single" w:sz="4" w:space="0" w:color="auto"/>
              <w:left w:val="single" w:sz="4" w:space="0" w:color="auto"/>
              <w:bottom w:val="single" w:sz="4" w:space="0" w:color="auto"/>
              <w:right w:val="single" w:sz="4" w:space="0" w:color="auto"/>
            </w:tcBorders>
            <w:hideMark/>
          </w:tcPr>
          <w:p w14:paraId="79CAB88B" w14:textId="77777777" w:rsidR="00C46587" w:rsidRPr="0058432E" w:rsidRDefault="00C46587" w:rsidP="00982118">
            <w:pPr>
              <w:rPr>
                <w:color w:val="000000" w:themeColor="text1"/>
              </w:rPr>
            </w:pPr>
            <w:r w:rsidRPr="0058432E">
              <w:rPr>
                <w:color w:val="000000" w:themeColor="text1"/>
              </w:rPr>
              <w:t>BASDAI</w:t>
            </w:r>
            <w:r w:rsidRPr="0058432E">
              <w:rPr>
                <w:color w:val="000000" w:themeColor="text1"/>
                <w:vertAlign w:val="superscript"/>
              </w:rPr>
              <w:t>b</w:t>
            </w:r>
            <w:r w:rsidRPr="0058432E">
              <w:rPr>
                <w:color w:val="000000" w:themeColor="text1"/>
              </w:rPr>
              <w:t xml:space="preserve"> 50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71169DA3" w14:textId="77777777" w:rsidR="00C46587" w:rsidRPr="0058432E" w:rsidRDefault="00C46587" w:rsidP="00982118">
            <w:pPr>
              <w:jc w:val="center"/>
              <w:rPr>
                <w:color w:val="000000" w:themeColor="text1"/>
              </w:rPr>
            </w:pPr>
            <w:r w:rsidRPr="0058432E">
              <w:rPr>
                <w:color w:val="000000" w:themeColor="text1"/>
              </w:rPr>
              <w:t>15 %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BAA5AD9" w14:textId="77777777" w:rsidR="00C46587" w:rsidRPr="0058432E" w:rsidRDefault="00C46587" w:rsidP="00982118">
            <w:pPr>
              <w:jc w:val="center"/>
              <w:rPr>
                <w:color w:val="000000" w:themeColor="text1"/>
              </w:rPr>
            </w:pPr>
            <w:r w:rsidRPr="0058432E">
              <w:rPr>
                <w:color w:val="000000" w:themeColor="text1"/>
              </w:rPr>
              <w:t>35 %**</w:t>
            </w:r>
          </w:p>
        </w:tc>
      </w:tr>
      <w:tr w:rsidR="00C46587" w:rsidRPr="0058432E" w14:paraId="747CD3DC" w14:textId="77777777">
        <w:tc>
          <w:tcPr>
            <w:tcW w:w="4248" w:type="dxa"/>
            <w:tcBorders>
              <w:top w:val="single" w:sz="4" w:space="0" w:color="auto"/>
              <w:left w:val="single" w:sz="4" w:space="0" w:color="auto"/>
              <w:bottom w:val="single" w:sz="4" w:space="0" w:color="auto"/>
              <w:right w:val="single" w:sz="4" w:space="0" w:color="auto"/>
            </w:tcBorders>
            <w:hideMark/>
          </w:tcPr>
          <w:p w14:paraId="43B82DFE" w14:textId="77777777" w:rsidR="00C46587" w:rsidRPr="0058432E" w:rsidRDefault="00C46587" w:rsidP="00982118">
            <w:pPr>
              <w:rPr>
                <w:color w:val="000000" w:themeColor="text1"/>
              </w:rPr>
            </w:pPr>
            <w:proofErr w:type="gramStart"/>
            <w:r w:rsidRPr="0058432E">
              <w:rPr>
                <w:color w:val="000000" w:themeColor="text1"/>
              </w:rPr>
              <w:t>ASDAS</w:t>
            </w:r>
            <w:r w:rsidRPr="0058432E">
              <w:rPr>
                <w:color w:val="000000" w:themeColor="text1"/>
                <w:vertAlign w:val="superscript"/>
              </w:rPr>
              <w:t>c,d</w:t>
            </w:r>
            <w:proofErr w:type="gramEnd"/>
            <w:r w:rsidRPr="0058432E">
              <w:rPr>
                <w:color w:val="000000" w:themeColor="text1"/>
                <w:vertAlign w:val="superscript"/>
              </w:rPr>
              <w:t>,e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0BC942F7" w14:textId="77777777" w:rsidR="00C46587" w:rsidRPr="0058432E" w:rsidRDefault="00C46587" w:rsidP="00982118">
            <w:pPr>
              <w:jc w:val="center"/>
              <w:rPr>
                <w:color w:val="000000" w:themeColor="text1"/>
              </w:rPr>
            </w:pPr>
            <w:r w:rsidRPr="0058432E">
              <w:rPr>
                <w:color w:val="000000" w:themeColor="text1"/>
              </w:rPr>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31AC177" w14:textId="77777777" w:rsidR="00C46587" w:rsidRPr="0058432E" w:rsidRDefault="00C46587" w:rsidP="00982118">
            <w:pPr>
              <w:jc w:val="center"/>
              <w:rPr>
                <w:color w:val="000000" w:themeColor="text1"/>
              </w:rPr>
            </w:pPr>
            <w:r w:rsidRPr="0058432E">
              <w:rPr>
                <w:color w:val="000000" w:themeColor="text1"/>
              </w:rPr>
              <w:t>-1,0</w:t>
            </w:r>
          </w:p>
        </w:tc>
      </w:tr>
      <w:tr w:rsidR="00C46587" w:rsidRPr="0058432E" w14:paraId="3979596C" w14:textId="77777777">
        <w:tc>
          <w:tcPr>
            <w:tcW w:w="4248" w:type="dxa"/>
            <w:tcBorders>
              <w:top w:val="single" w:sz="4" w:space="0" w:color="auto"/>
              <w:left w:val="single" w:sz="4" w:space="0" w:color="auto"/>
              <w:bottom w:val="single" w:sz="4" w:space="0" w:color="auto"/>
              <w:right w:val="single" w:sz="4" w:space="0" w:color="auto"/>
            </w:tcBorders>
            <w:hideMark/>
          </w:tcPr>
          <w:p w14:paraId="73D892C2" w14:textId="77777777" w:rsidR="00C46587" w:rsidRPr="0058432E" w:rsidRDefault="00C46587" w:rsidP="00982118">
            <w:pPr>
              <w:rPr>
                <w:color w:val="000000" w:themeColor="text1"/>
              </w:rPr>
            </w:pPr>
            <w:r w:rsidRPr="0058432E">
              <w:rPr>
                <w:color w:val="000000" w:themeColor="text1"/>
              </w:rPr>
              <w:t>ASDAS Maladie inactive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568315C9" w14:textId="77777777" w:rsidR="00C46587" w:rsidRPr="0058432E" w:rsidRDefault="00C46587" w:rsidP="00982118">
            <w:pPr>
              <w:jc w:val="center"/>
              <w:rPr>
                <w:color w:val="000000" w:themeColor="text1"/>
              </w:rPr>
            </w:pPr>
            <w:r w:rsidRPr="0058432E">
              <w:rPr>
                <w:color w:val="000000" w:themeColor="text1"/>
              </w:rPr>
              <w:t>4 %</w:t>
            </w:r>
          </w:p>
        </w:tc>
        <w:tc>
          <w:tcPr>
            <w:tcW w:w="2528" w:type="dxa"/>
            <w:tcBorders>
              <w:top w:val="single" w:sz="4" w:space="0" w:color="auto"/>
              <w:left w:val="single" w:sz="4" w:space="0" w:color="auto"/>
              <w:bottom w:val="single" w:sz="4" w:space="0" w:color="auto"/>
              <w:right w:val="single" w:sz="4" w:space="0" w:color="auto"/>
            </w:tcBorders>
            <w:vAlign w:val="center"/>
            <w:hideMark/>
          </w:tcPr>
          <w:p w14:paraId="7DE79CDA" w14:textId="77777777" w:rsidR="00C46587" w:rsidRPr="0058432E" w:rsidRDefault="00C46587" w:rsidP="00982118">
            <w:pPr>
              <w:jc w:val="center"/>
              <w:rPr>
                <w:color w:val="000000" w:themeColor="text1"/>
              </w:rPr>
            </w:pPr>
            <w:r w:rsidRPr="0058432E">
              <w:rPr>
                <w:color w:val="000000" w:themeColor="text1"/>
              </w:rPr>
              <w:t>24 %***</w:t>
            </w:r>
          </w:p>
        </w:tc>
      </w:tr>
      <w:tr w:rsidR="00C46587" w:rsidRPr="0058432E" w14:paraId="47E3CA15" w14:textId="77777777">
        <w:tc>
          <w:tcPr>
            <w:tcW w:w="4248" w:type="dxa"/>
            <w:tcBorders>
              <w:top w:val="single" w:sz="4" w:space="0" w:color="auto"/>
              <w:left w:val="single" w:sz="4" w:space="0" w:color="auto"/>
              <w:bottom w:val="single" w:sz="4" w:space="0" w:color="auto"/>
              <w:right w:val="single" w:sz="4" w:space="0" w:color="auto"/>
            </w:tcBorders>
            <w:hideMark/>
          </w:tcPr>
          <w:p w14:paraId="7F685262" w14:textId="77777777" w:rsidR="00C46587" w:rsidRPr="0058432E" w:rsidRDefault="00C46587" w:rsidP="00982118">
            <w:pPr>
              <w:rPr>
                <w:color w:val="000000" w:themeColor="text1"/>
              </w:rPr>
            </w:pPr>
            <w:proofErr w:type="gramStart"/>
            <w:r w:rsidRPr="0058432E">
              <w:rPr>
                <w:color w:val="000000" w:themeColor="text1"/>
              </w:rPr>
              <w:t>hs</w:t>
            </w:r>
            <w:proofErr w:type="gramEnd"/>
            <w:r w:rsidRPr="0058432E">
              <w:rPr>
                <w:color w:val="000000" w:themeColor="text1"/>
              </w:rPr>
              <w:noBreakHyphen/>
            </w:r>
            <w:proofErr w:type="gramStart"/>
            <w:r w:rsidRPr="0058432E">
              <w:rPr>
                <w:color w:val="000000" w:themeColor="text1"/>
              </w:rPr>
              <w:t>CRP</w:t>
            </w:r>
            <w:r w:rsidRPr="0058432E">
              <w:rPr>
                <w:color w:val="000000" w:themeColor="text1"/>
                <w:vertAlign w:val="superscript"/>
              </w:rPr>
              <w:t>d,f</w:t>
            </w:r>
            <w:proofErr w:type="gramEnd"/>
            <w:r w:rsidRPr="0058432E">
              <w:rPr>
                <w:color w:val="000000" w:themeColor="text1"/>
                <w:vertAlign w:val="superscript"/>
              </w:rPr>
              <w:t>,g</w:t>
            </w:r>
          </w:p>
        </w:tc>
        <w:tc>
          <w:tcPr>
            <w:tcW w:w="2527" w:type="dxa"/>
            <w:tcBorders>
              <w:top w:val="single" w:sz="4" w:space="0" w:color="auto"/>
              <w:left w:val="single" w:sz="4" w:space="0" w:color="auto"/>
              <w:bottom w:val="single" w:sz="4" w:space="0" w:color="auto"/>
              <w:right w:val="single" w:sz="4" w:space="0" w:color="auto"/>
            </w:tcBorders>
            <w:vAlign w:val="center"/>
            <w:hideMark/>
          </w:tcPr>
          <w:p w14:paraId="602D64BF" w14:textId="77777777" w:rsidR="00C46587" w:rsidRPr="0058432E" w:rsidRDefault="00C46587" w:rsidP="00982118">
            <w:pPr>
              <w:jc w:val="center"/>
              <w:rPr>
                <w:color w:val="000000" w:themeColor="text1"/>
              </w:rPr>
            </w:pPr>
            <w:r w:rsidRPr="0058432E">
              <w:rPr>
                <w:color w:val="000000" w:themeColor="text1"/>
              </w:rPr>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87EE9FF" w14:textId="77777777" w:rsidR="00C46587" w:rsidRPr="0058432E" w:rsidRDefault="00C46587" w:rsidP="00982118">
            <w:pPr>
              <w:jc w:val="center"/>
              <w:rPr>
                <w:color w:val="000000" w:themeColor="text1"/>
              </w:rPr>
            </w:pPr>
            <w:r w:rsidRPr="0058432E">
              <w:rPr>
                <w:color w:val="000000" w:themeColor="text1"/>
              </w:rPr>
              <w:t>-4,7***</w:t>
            </w:r>
          </w:p>
        </w:tc>
      </w:tr>
      <w:tr w:rsidR="00C46587" w:rsidRPr="0058432E" w14:paraId="6A46E7C5" w14:textId="77777777">
        <w:tc>
          <w:tcPr>
            <w:tcW w:w="4248" w:type="dxa"/>
            <w:tcBorders>
              <w:top w:val="single" w:sz="4" w:space="0" w:color="auto"/>
              <w:left w:val="single" w:sz="4" w:space="0" w:color="auto"/>
              <w:bottom w:val="single" w:sz="4" w:space="0" w:color="auto"/>
              <w:right w:val="single" w:sz="4" w:space="0" w:color="auto"/>
            </w:tcBorders>
            <w:hideMark/>
          </w:tcPr>
          <w:p w14:paraId="08CC576E" w14:textId="77777777" w:rsidR="00C46587" w:rsidRPr="0058432E" w:rsidRDefault="00C46587" w:rsidP="00982118">
            <w:pPr>
              <w:rPr>
                <w:color w:val="000000" w:themeColor="text1"/>
              </w:rPr>
            </w:pPr>
            <w:r w:rsidRPr="0058432E">
              <w:rPr>
                <w:color w:val="000000" w:themeColor="text1"/>
              </w:rPr>
              <w:t>SPARCC</w:t>
            </w:r>
            <w:r w:rsidRPr="0058432E">
              <w:rPr>
                <w:color w:val="000000" w:themeColor="text1"/>
                <w:vertAlign w:val="superscript"/>
              </w:rPr>
              <w:t>h</w:t>
            </w:r>
            <w:r w:rsidRPr="0058432E">
              <w:rPr>
                <w:color w:val="000000" w:themeColor="text1"/>
              </w:rPr>
              <w:t xml:space="preserve"> IRM des articulations sacro-</w:t>
            </w:r>
            <w:proofErr w:type="gramStart"/>
            <w:r w:rsidRPr="0058432E">
              <w:rPr>
                <w:color w:val="000000" w:themeColor="text1"/>
              </w:rPr>
              <w:t>iliaques</w:t>
            </w:r>
            <w:r w:rsidRPr="0058432E">
              <w:rPr>
                <w:color w:val="000000" w:themeColor="text1"/>
                <w:vertAlign w:val="superscript"/>
              </w:rPr>
              <w:t>d,i</w:t>
            </w:r>
            <w:proofErr w:type="gramEnd"/>
            <w:r w:rsidRPr="0058432E">
              <w:rPr>
                <w:color w:val="000000" w:themeColor="text1"/>
              </w:rPr>
              <w:t xml:space="preserve"> </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242DB99" w14:textId="77777777" w:rsidR="00C46587" w:rsidRPr="0058432E" w:rsidRDefault="00C46587" w:rsidP="00982118">
            <w:pPr>
              <w:jc w:val="center"/>
              <w:rPr>
                <w:color w:val="000000" w:themeColor="text1"/>
              </w:rPr>
            </w:pPr>
            <w:r w:rsidRPr="0058432E">
              <w:rPr>
                <w:color w:val="000000" w:themeColor="text1"/>
              </w:rPr>
              <w:t>-0,6</w:t>
            </w:r>
          </w:p>
        </w:tc>
        <w:tc>
          <w:tcPr>
            <w:tcW w:w="2528" w:type="dxa"/>
            <w:tcBorders>
              <w:top w:val="single" w:sz="4" w:space="0" w:color="auto"/>
              <w:left w:val="single" w:sz="4" w:space="0" w:color="auto"/>
              <w:bottom w:val="single" w:sz="4" w:space="0" w:color="auto"/>
              <w:right w:val="single" w:sz="4" w:space="0" w:color="auto"/>
            </w:tcBorders>
            <w:vAlign w:val="center"/>
            <w:hideMark/>
          </w:tcPr>
          <w:p w14:paraId="79EF3EBE" w14:textId="77777777" w:rsidR="00C46587" w:rsidRPr="0058432E" w:rsidRDefault="00C46587" w:rsidP="00982118">
            <w:pPr>
              <w:jc w:val="center"/>
              <w:rPr>
                <w:color w:val="000000" w:themeColor="text1"/>
              </w:rPr>
            </w:pPr>
            <w:r w:rsidRPr="0058432E">
              <w:rPr>
                <w:color w:val="000000" w:themeColor="text1"/>
              </w:rPr>
              <w:t>-3,2**</w:t>
            </w:r>
          </w:p>
        </w:tc>
      </w:tr>
      <w:tr w:rsidR="00C46587" w:rsidRPr="0058432E" w14:paraId="552C5109" w14:textId="77777777" w:rsidTr="00922261">
        <w:tc>
          <w:tcPr>
            <w:tcW w:w="4248" w:type="dxa"/>
            <w:tcBorders>
              <w:top w:val="single" w:sz="4" w:space="0" w:color="auto"/>
              <w:left w:val="single" w:sz="4" w:space="0" w:color="auto"/>
              <w:bottom w:val="single" w:sz="4" w:space="0" w:color="auto"/>
              <w:right w:val="single" w:sz="4" w:space="0" w:color="auto"/>
            </w:tcBorders>
            <w:hideMark/>
          </w:tcPr>
          <w:p w14:paraId="3D366E5F" w14:textId="77777777" w:rsidR="00C46587" w:rsidRPr="0058432E" w:rsidRDefault="00C46587" w:rsidP="00982118">
            <w:pPr>
              <w:rPr>
                <w:color w:val="000000" w:themeColor="text1"/>
              </w:rPr>
            </w:pPr>
            <w:r w:rsidRPr="0058432E">
              <w:rPr>
                <w:color w:val="000000" w:themeColor="text1"/>
              </w:rPr>
              <w:t xml:space="preserve">SPARCC IRM du </w:t>
            </w:r>
            <w:proofErr w:type="gramStart"/>
            <w:r w:rsidRPr="0058432E">
              <w:rPr>
                <w:color w:val="000000" w:themeColor="text1"/>
              </w:rPr>
              <w:t>rachis</w:t>
            </w:r>
            <w:r w:rsidRPr="0058432E">
              <w:rPr>
                <w:color w:val="000000" w:themeColor="text1"/>
                <w:vertAlign w:val="superscript"/>
              </w:rPr>
              <w:t>d,j</w:t>
            </w:r>
            <w:proofErr w:type="gramEnd"/>
          </w:p>
        </w:tc>
        <w:tc>
          <w:tcPr>
            <w:tcW w:w="2527" w:type="dxa"/>
            <w:tcBorders>
              <w:top w:val="single" w:sz="4" w:space="0" w:color="auto"/>
              <w:left w:val="single" w:sz="4" w:space="0" w:color="auto"/>
              <w:bottom w:val="single" w:sz="4" w:space="0" w:color="auto"/>
              <w:right w:val="single" w:sz="4" w:space="0" w:color="auto"/>
            </w:tcBorders>
            <w:vAlign w:val="center"/>
            <w:hideMark/>
          </w:tcPr>
          <w:p w14:paraId="6C350B60" w14:textId="77777777" w:rsidR="00C46587" w:rsidRPr="0058432E" w:rsidRDefault="00C46587" w:rsidP="00982118">
            <w:pPr>
              <w:jc w:val="center"/>
              <w:rPr>
                <w:color w:val="000000" w:themeColor="text1"/>
              </w:rPr>
            </w:pPr>
            <w:r w:rsidRPr="0058432E">
              <w:rPr>
                <w:color w:val="000000" w:themeColor="text1"/>
              </w:rPr>
              <w:t>-0,2</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A024C0C" w14:textId="77777777" w:rsidR="00C46587" w:rsidRPr="0058432E" w:rsidRDefault="00C46587" w:rsidP="00982118">
            <w:pPr>
              <w:jc w:val="center"/>
              <w:rPr>
                <w:color w:val="000000" w:themeColor="text1"/>
              </w:rPr>
            </w:pPr>
            <w:r w:rsidRPr="0058432E">
              <w:rPr>
                <w:color w:val="000000" w:themeColor="text1"/>
              </w:rPr>
              <w:t>-1,8**</w:t>
            </w:r>
          </w:p>
        </w:tc>
      </w:tr>
      <w:tr w:rsidR="00922261" w:rsidRPr="0058432E" w14:paraId="1880341B" w14:textId="77777777" w:rsidTr="00922261">
        <w:tc>
          <w:tcPr>
            <w:tcW w:w="9303" w:type="dxa"/>
            <w:gridSpan w:val="3"/>
            <w:tcBorders>
              <w:top w:val="single" w:sz="4" w:space="0" w:color="auto"/>
              <w:left w:val="nil"/>
              <w:bottom w:val="nil"/>
              <w:right w:val="nil"/>
            </w:tcBorders>
          </w:tcPr>
          <w:p w14:paraId="202D9698" w14:textId="77777777" w:rsidR="00922261" w:rsidRPr="008444F9" w:rsidRDefault="00922261" w:rsidP="00922261">
            <w:pPr>
              <w:ind w:left="270" w:hanging="270"/>
              <w:rPr>
                <w:color w:val="000000" w:themeColor="text1"/>
                <w:sz w:val="20"/>
                <w:lang w:val="en-US"/>
              </w:rPr>
            </w:pPr>
            <w:proofErr w:type="gramStart"/>
            <w:r w:rsidRPr="008444F9">
              <w:rPr>
                <w:color w:val="000000" w:themeColor="text1"/>
                <w:sz w:val="20"/>
                <w:vertAlign w:val="superscript"/>
                <w:lang w:val="en-US"/>
              </w:rPr>
              <w:t>a</w:t>
            </w:r>
            <w:proofErr w:type="gramEnd"/>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Assessment of Spondyloarthritis International Society</w:t>
            </w:r>
            <w:r w:rsidRPr="008444F9">
              <w:rPr>
                <w:color w:val="000000" w:themeColor="text1"/>
                <w:sz w:val="20"/>
                <w:lang w:val="en-US"/>
              </w:rPr>
              <w:t xml:space="preserve"> </w:t>
            </w:r>
          </w:p>
          <w:p w14:paraId="0FF71445" w14:textId="77777777" w:rsidR="00922261" w:rsidRPr="008444F9" w:rsidRDefault="00922261" w:rsidP="00922261">
            <w:pPr>
              <w:ind w:left="270" w:hanging="270"/>
              <w:rPr>
                <w:color w:val="000000" w:themeColor="text1"/>
                <w:sz w:val="20"/>
                <w:lang w:val="en-US"/>
              </w:rPr>
            </w:pPr>
            <w:r w:rsidRPr="008444F9">
              <w:rPr>
                <w:color w:val="000000" w:themeColor="text1"/>
                <w:sz w:val="20"/>
                <w:vertAlign w:val="superscript"/>
                <w:lang w:val="en-US"/>
              </w:rPr>
              <w:t>b</w:t>
            </w:r>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Bath Ankylosing Spondylitis Disease Activity Index</w:t>
            </w:r>
            <w:r w:rsidRPr="008444F9">
              <w:rPr>
                <w:color w:val="000000" w:themeColor="text1"/>
                <w:sz w:val="20"/>
                <w:lang w:val="en-US"/>
              </w:rPr>
              <w:t xml:space="preserve"> </w:t>
            </w:r>
          </w:p>
          <w:p w14:paraId="14D166BF" w14:textId="77777777" w:rsidR="00922261" w:rsidRPr="008444F9" w:rsidRDefault="00922261" w:rsidP="00922261">
            <w:pPr>
              <w:ind w:left="270" w:hanging="270"/>
              <w:rPr>
                <w:color w:val="000000" w:themeColor="text1"/>
                <w:sz w:val="20"/>
                <w:lang w:val="en-US"/>
              </w:rPr>
            </w:pPr>
            <w:r w:rsidRPr="008444F9">
              <w:rPr>
                <w:color w:val="000000" w:themeColor="text1"/>
                <w:sz w:val="20"/>
                <w:vertAlign w:val="superscript"/>
                <w:lang w:val="en-US"/>
              </w:rPr>
              <w:t>c</w:t>
            </w:r>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Ankylosing Spondylitis Disease Activity Score</w:t>
            </w:r>
            <w:r w:rsidRPr="008444F9">
              <w:rPr>
                <w:color w:val="000000" w:themeColor="text1"/>
                <w:sz w:val="20"/>
                <w:lang w:val="en-US"/>
              </w:rPr>
              <w:t xml:space="preserve"> </w:t>
            </w:r>
          </w:p>
          <w:p w14:paraId="405F7265" w14:textId="77777777" w:rsidR="00922261" w:rsidRPr="0058432E" w:rsidRDefault="00922261" w:rsidP="00922261">
            <w:pPr>
              <w:ind w:left="270" w:hanging="270"/>
              <w:rPr>
                <w:color w:val="000000" w:themeColor="text1"/>
                <w:sz w:val="20"/>
              </w:rPr>
            </w:pPr>
            <w:proofErr w:type="gramStart"/>
            <w:r w:rsidRPr="0058432E">
              <w:rPr>
                <w:color w:val="000000" w:themeColor="text1"/>
                <w:sz w:val="20"/>
                <w:vertAlign w:val="superscript"/>
              </w:rPr>
              <w:t>d</w:t>
            </w:r>
            <w:proofErr w:type="gramEnd"/>
            <w:r w:rsidRPr="0058432E">
              <w:rPr>
                <w:color w:val="000000" w:themeColor="text1"/>
                <w:sz w:val="20"/>
              </w:rPr>
              <w:t xml:space="preserve"> </w:t>
            </w:r>
            <w:r w:rsidRPr="0058432E">
              <w:rPr>
                <w:color w:val="000000" w:themeColor="text1"/>
                <w:sz w:val="20"/>
              </w:rPr>
              <w:tab/>
              <w:t xml:space="preserve">Variation moyenne par rapport à la valeur initiale </w:t>
            </w:r>
          </w:p>
          <w:p w14:paraId="28B471B2" w14:textId="77777777" w:rsidR="00922261" w:rsidRPr="0000463E" w:rsidRDefault="00922261" w:rsidP="00922261">
            <w:pPr>
              <w:ind w:left="270" w:hanging="270"/>
              <w:rPr>
                <w:color w:val="000000" w:themeColor="text1"/>
                <w:sz w:val="20"/>
                <w:lang w:val="pt-PT"/>
              </w:rPr>
            </w:pPr>
            <w:r w:rsidRPr="0000463E">
              <w:rPr>
                <w:color w:val="000000" w:themeColor="text1"/>
                <w:sz w:val="20"/>
                <w:vertAlign w:val="superscript"/>
                <w:lang w:val="pt-PT"/>
              </w:rPr>
              <w:t>e</w:t>
            </w:r>
            <w:r w:rsidRPr="0000463E">
              <w:rPr>
                <w:color w:val="000000" w:themeColor="text1"/>
                <w:sz w:val="20"/>
                <w:lang w:val="pt-PT"/>
              </w:rPr>
              <w:t xml:space="preserve"> </w:t>
            </w:r>
            <w:r w:rsidRPr="0000463E">
              <w:rPr>
                <w:color w:val="000000" w:themeColor="text1"/>
                <w:sz w:val="20"/>
                <w:lang w:val="pt-PT"/>
              </w:rPr>
              <w:tab/>
              <w:t xml:space="preserve">n = 91 placebo et n = 87 adalimumab </w:t>
            </w:r>
          </w:p>
          <w:p w14:paraId="2D7A8DCF" w14:textId="77777777" w:rsidR="00922261" w:rsidRPr="0058432E" w:rsidRDefault="00922261" w:rsidP="00922261">
            <w:pPr>
              <w:ind w:left="270" w:hanging="270"/>
              <w:rPr>
                <w:color w:val="000000" w:themeColor="text1"/>
                <w:sz w:val="20"/>
              </w:rPr>
            </w:pPr>
            <w:proofErr w:type="gramStart"/>
            <w:r w:rsidRPr="0058432E">
              <w:rPr>
                <w:color w:val="000000" w:themeColor="text1"/>
                <w:sz w:val="20"/>
                <w:vertAlign w:val="superscript"/>
              </w:rPr>
              <w:t>f</w:t>
            </w:r>
            <w:proofErr w:type="gramEnd"/>
            <w:r w:rsidRPr="0058432E">
              <w:rPr>
                <w:color w:val="000000" w:themeColor="text1"/>
                <w:sz w:val="20"/>
              </w:rPr>
              <w:t xml:space="preserve"> </w:t>
            </w:r>
            <w:r w:rsidRPr="0058432E">
              <w:rPr>
                <w:color w:val="000000" w:themeColor="text1"/>
                <w:sz w:val="20"/>
              </w:rPr>
              <w:tab/>
              <w:t>Protéine C</w:t>
            </w:r>
            <w:r w:rsidRPr="0058432E">
              <w:rPr>
                <w:color w:val="000000" w:themeColor="text1"/>
                <w:sz w:val="20"/>
              </w:rPr>
              <w:noBreakHyphen/>
              <w:t xml:space="preserve">réactive ultrasensible (mg/l) </w:t>
            </w:r>
          </w:p>
          <w:p w14:paraId="519F175D" w14:textId="77777777" w:rsidR="00922261" w:rsidRPr="0000463E" w:rsidRDefault="00922261" w:rsidP="00922261">
            <w:pPr>
              <w:ind w:left="270" w:hanging="270"/>
              <w:rPr>
                <w:color w:val="000000" w:themeColor="text1"/>
                <w:sz w:val="20"/>
                <w:lang w:val="en-US"/>
              </w:rPr>
            </w:pPr>
            <w:r w:rsidRPr="0000463E">
              <w:rPr>
                <w:color w:val="000000" w:themeColor="text1"/>
                <w:sz w:val="20"/>
                <w:vertAlign w:val="superscript"/>
                <w:lang w:val="en-US"/>
              </w:rPr>
              <w:t>g</w:t>
            </w:r>
            <w:r w:rsidRPr="0000463E">
              <w:rPr>
                <w:color w:val="000000" w:themeColor="text1"/>
                <w:sz w:val="20"/>
                <w:lang w:val="en-US"/>
              </w:rPr>
              <w:t xml:space="preserve"> </w:t>
            </w:r>
            <w:r w:rsidRPr="0000463E">
              <w:rPr>
                <w:color w:val="000000" w:themeColor="text1"/>
                <w:sz w:val="20"/>
                <w:lang w:val="en-US"/>
              </w:rPr>
              <w:tab/>
              <w:t xml:space="preserve">n = 73 placebo et n = 70 adalimumab </w:t>
            </w:r>
          </w:p>
          <w:p w14:paraId="5F502A78" w14:textId="77777777" w:rsidR="00922261" w:rsidRPr="008444F9" w:rsidRDefault="00922261" w:rsidP="00922261">
            <w:pPr>
              <w:ind w:left="270" w:hanging="270"/>
              <w:rPr>
                <w:color w:val="000000" w:themeColor="text1"/>
                <w:sz w:val="20"/>
                <w:lang w:val="en-US"/>
              </w:rPr>
            </w:pPr>
            <w:r w:rsidRPr="008444F9">
              <w:rPr>
                <w:color w:val="000000" w:themeColor="text1"/>
                <w:sz w:val="20"/>
                <w:vertAlign w:val="superscript"/>
                <w:lang w:val="en-US"/>
              </w:rPr>
              <w:t>h</w:t>
            </w:r>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Spondyloarthritis Research Consortium of Canada</w:t>
            </w:r>
            <w:r w:rsidRPr="008444F9">
              <w:rPr>
                <w:color w:val="000000" w:themeColor="text1"/>
                <w:sz w:val="20"/>
                <w:lang w:val="en-US"/>
              </w:rPr>
              <w:t xml:space="preserve"> </w:t>
            </w:r>
          </w:p>
          <w:p w14:paraId="217A15B6" w14:textId="77777777" w:rsidR="00922261" w:rsidRPr="0058432E" w:rsidRDefault="00922261" w:rsidP="00922261">
            <w:pPr>
              <w:ind w:left="270" w:hanging="270"/>
              <w:rPr>
                <w:color w:val="000000" w:themeColor="text1"/>
                <w:sz w:val="20"/>
              </w:rPr>
            </w:pPr>
            <w:proofErr w:type="gramStart"/>
            <w:r w:rsidRPr="0058432E">
              <w:rPr>
                <w:color w:val="000000" w:themeColor="text1"/>
                <w:sz w:val="20"/>
                <w:vertAlign w:val="superscript"/>
              </w:rPr>
              <w:t>i</w:t>
            </w:r>
            <w:proofErr w:type="gramEnd"/>
            <w:r w:rsidRPr="0058432E">
              <w:rPr>
                <w:color w:val="000000" w:themeColor="text1"/>
                <w:sz w:val="20"/>
              </w:rPr>
              <w:t xml:space="preserve"> </w:t>
            </w:r>
            <w:r w:rsidRPr="0058432E">
              <w:rPr>
                <w:color w:val="000000" w:themeColor="text1"/>
                <w:sz w:val="20"/>
              </w:rPr>
              <w:tab/>
              <w:t xml:space="preserve">n = 84 </w:t>
            </w:r>
            <w:proofErr w:type="gramStart"/>
            <w:r w:rsidRPr="0058432E">
              <w:rPr>
                <w:color w:val="000000" w:themeColor="text1"/>
                <w:sz w:val="20"/>
              </w:rPr>
              <w:t>placebo</w:t>
            </w:r>
            <w:proofErr w:type="gramEnd"/>
            <w:r w:rsidRPr="0058432E">
              <w:rPr>
                <w:color w:val="000000" w:themeColor="text1"/>
                <w:sz w:val="20"/>
              </w:rPr>
              <w:t xml:space="preserve"> et adalimumab </w:t>
            </w:r>
          </w:p>
          <w:p w14:paraId="639FB1F8" w14:textId="77777777" w:rsidR="00922261" w:rsidRPr="0058432E" w:rsidRDefault="00922261" w:rsidP="00A13AE4">
            <w:pPr>
              <w:tabs>
                <w:tab w:val="left" w:pos="270"/>
              </w:tabs>
              <w:rPr>
                <w:color w:val="000000" w:themeColor="text1"/>
                <w:sz w:val="20"/>
              </w:rPr>
            </w:pPr>
            <w:proofErr w:type="gramStart"/>
            <w:r w:rsidRPr="0058432E">
              <w:rPr>
                <w:color w:val="000000" w:themeColor="text1"/>
                <w:sz w:val="20"/>
                <w:vertAlign w:val="superscript"/>
              </w:rPr>
              <w:t>j</w:t>
            </w:r>
            <w:proofErr w:type="gramEnd"/>
            <w:r w:rsidRPr="0058432E">
              <w:rPr>
                <w:color w:val="000000" w:themeColor="text1"/>
                <w:sz w:val="20"/>
              </w:rPr>
              <w:t xml:space="preserve"> </w:t>
            </w:r>
            <w:r w:rsidRPr="0058432E">
              <w:rPr>
                <w:color w:val="000000" w:themeColor="text1"/>
                <w:sz w:val="20"/>
              </w:rPr>
              <w:tab/>
              <w:t xml:space="preserve">n = 82 placebo et n = 85 adalimumab </w:t>
            </w:r>
          </w:p>
          <w:p w14:paraId="007B628C" w14:textId="77777777" w:rsidR="00922261" w:rsidRPr="0058432E" w:rsidRDefault="00922261" w:rsidP="00922261">
            <w:pPr>
              <w:rPr>
                <w:color w:val="000000" w:themeColor="text1"/>
                <w:sz w:val="20"/>
              </w:rPr>
            </w:pPr>
            <w:r w:rsidRPr="0058432E">
              <w:rPr>
                <w:color w:val="000000" w:themeColor="text1"/>
                <w:sz w:val="20"/>
              </w:rPr>
              <w:t xml:space="preserve">***, **, * Résultat statistiquement significatif à </w:t>
            </w:r>
            <w:r w:rsidRPr="0058432E">
              <w:rPr>
                <w:i/>
                <w:iCs/>
                <w:color w:val="000000" w:themeColor="text1"/>
                <w:sz w:val="20"/>
              </w:rPr>
              <w:t>p</w:t>
            </w:r>
            <w:r w:rsidRPr="0058432E">
              <w:rPr>
                <w:color w:val="000000" w:themeColor="text1"/>
                <w:sz w:val="20"/>
              </w:rPr>
              <w:t xml:space="preserve"> &lt; 0,001, &lt; 0,01 et &lt; 0,05 respectivement pour toutes les comparaisons entre l’adalimumab et le placebo. </w:t>
            </w:r>
          </w:p>
        </w:tc>
      </w:tr>
    </w:tbl>
    <w:p w14:paraId="095BBFD6" w14:textId="77777777" w:rsidR="00C46587" w:rsidRPr="0058432E" w:rsidRDefault="00C46587" w:rsidP="00982118">
      <w:pPr>
        <w:rPr>
          <w:color w:val="000000" w:themeColor="text1"/>
        </w:rPr>
      </w:pPr>
    </w:p>
    <w:p w14:paraId="1FDB336C" w14:textId="77777777" w:rsidR="00C46587" w:rsidRPr="0058432E" w:rsidRDefault="00C46587" w:rsidP="00982118">
      <w:pPr>
        <w:rPr>
          <w:color w:val="000000" w:themeColor="text1"/>
        </w:rPr>
      </w:pPr>
      <w:r w:rsidRPr="0058432E">
        <w:rPr>
          <w:color w:val="000000" w:themeColor="text1"/>
        </w:rPr>
        <w:t xml:space="preserve">Dans l’étude d’extension en ouvert, l’amélioration des signes et symptômes s’est maintenue avec le traitement par adalimumab jusqu’à la semaine 156. </w:t>
      </w:r>
    </w:p>
    <w:p w14:paraId="37507AAF" w14:textId="77777777" w:rsidR="00C46587" w:rsidRPr="0058432E" w:rsidRDefault="00C46587" w:rsidP="00982118">
      <w:pPr>
        <w:rPr>
          <w:color w:val="000000" w:themeColor="text1"/>
        </w:rPr>
      </w:pPr>
    </w:p>
    <w:p w14:paraId="257F4F80" w14:textId="77777777" w:rsidR="00C46587" w:rsidRPr="0058432E" w:rsidRDefault="00C46587" w:rsidP="00DC3A99">
      <w:pPr>
        <w:keepNext/>
        <w:rPr>
          <w:color w:val="000000" w:themeColor="text1"/>
        </w:rPr>
      </w:pPr>
      <w:r w:rsidRPr="0058432E">
        <w:rPr>
          <w:color w:val="000000" w:themeColor="text1"/>
        </w:rPr>
        <w:t xml:space="preserve">Inhibition de l’inflammation </w:t>
      </w:r>
    </w:p>
    <w:p w14:paraId="20199B0C" w14:textId="77777777" w:rsidR="00C46587" w:rsidRPr="0058432E" w:rsidRDefault="00C46587" w:rsidP="00DC3A99">
      <w:pPr>
        <w:keepNext/>
        <w:rPr>
          <w:color w:val="000000" w:themeColor="text1"/>
        </w:rPr>
      </w:pPr>
    </w:p>
    <w:p w14:paraId="115DE205" w14:textId="77777777" w:rsidR="00C46587" w:rsidRPr="0058432E" w:rsidRDefault="00C46587" w:rsidP="00982118">
      <w:pPr>
        <w:rPr>
          <w:color w:val="000000" w:themeColor="text1"/>
        </w:rPr>
      </w:pPr>
      <w:r w:rsidRPr="0058432E">
        <w:rPr>
          <w:color w:val="000000" w:themeColor="text1"/>
        </w:rPr>
        <w:t>Une amélioration significative des signes d’inflammation telle que mesurée par les taux de hs</w:t>
      </w:r>
      <w:r w:rsidRPr="0058432E">
        <w:rPr>
          <w:color w:val="000000" w:themeColor="text1"/>
        </w:rPr>
        <w:noBreakHyphen/>
        <w:t xml:space="preserve">CRP et l’IRM des articulations sacro-iliaques et du rachis s’est maintenue chez les patients traités par adalimumab jusqu’à la semaine 156 et la semaine 104, respectivement. </w:t>
      </w:r>
    </w:p>
    <w:p w14:paraId="59B4984E" w14:textId="77777777" w:rsidR="00C46587" w:rsidRPr="0058432E" w:rsidRDefault="00C46587" w:rsidP="00982118">
      <w:pPr>
        <w:rPr>
          <w:color w:val="000000" w:themeColor="text1"/>
        </w:rPr>
      </w:pPr>
    </w:p>
    <w:p w14:paraId="0043D4E9" w14:textId="77777777" w:rsidR="00C46587" w:rsidRPr="0058432E" w:rsidRDefault="00C46587" w:rsidP="00982118">
      <w:pPr>
        <w:keepNext/>
        <w:rPr>
          <w:color w:val="000000" w:themeColor="text1"/>
        </w:rPr>
      </w:pPr>
      <w:r w:rsidRPr="0058432E">
        <w:rPr>
          <w:color w:val="000000" w:themeColor="text1"/>
        </w:rPr>
        <w:t xml:space="preserve">Qualité de vie et capacités fonctionnelles </w:t>
      </w:r>
    </w:p>
    <w:p w14:paraId="454BA9B0" w14:textId="77777777" w:rsidR="00C46587" w:rsidRPr="0058432E" w:rsidRDefault="00C46587" w:rsidP="00982118">
      <w:pPr>
        <w:rPr>
          <w:color w:val="000000" w:themeColor="text1"/>
        </w:rPr>
      </w:pPr>
    </w:p>
    <w:p w14:paraId="02B9A3E1" w14:textId="77777777" w:rsidR="00C46587" w:rsidRPr="0058432E" w:rsidRDefault="00C46587" w:rsidP="00982118">
      <w:pPr>
        <w:rPr>
          <w:color w:val="000000" w:themeColor="text1"/>
        </w:rPr>
      </w:pPr>
      <w:r w:rsidRPr="0058432E">
        <w:rPr>
          <w:color w:val="000000" w:themeColor="text1"/>
        </w:rPr>
        <w:t>La qualité de vie liée à la santé et la fonction physique ont été évaluées à l’aide des questionnaires HAQ</w:t>
      </w:r>
      <w:r w:rsidRPr="0058432E">
        <w:rPr>
          <w:color w:val="000000" w:themeColor="text1"/>
        </w:rPr>
        <w:noBreakHyphen/>
        <w:t>S et SF</w:t>
      </w:r>
      <w:r w:rsidRPr="0058432E">
        <w:rPr>
          <w:color w:val="000000" w:themeColor="text1"/>
        </w:rPr>
        <w:noBreakHyphen/>
        <w:t xml:space="preserve">36. Les patients traités par adalimumab ont présenté une amélioration significativement </w:t>
      </w:r>
      <w:r w:rsidRPr="0058432E">
        <w:rPr>
          <w:color w:val="000000" w:themeColor="text1"/>
        </w:rPr>
        <w:lastRenderedPageBreak/>
        <w:t>supérieure du score HAQ-S total et du score de la composante physique (PCS) du questionnaire SF</w:t>
      </w:r>
      <w:r w:rsidRPr="0058432E">
        <w:rPr>
          <w:color w:val="000000" w:themeColor="text1"/>
        </w:rPr>
        <w:noBreakHyphen/>
        <w:t xml:space="preserve">36 de l’inclusion à la semaine 12 par rapport au placebo. Une amélioration de la qualité de vie liée à la santé et la fonction physique s’est maintenue au cours de l’étude d’extension en ouvert jusqu’à la semaine 156. </w:t>
      </w:r>
    </w:p>
    <w:p w14:paraId="26D08F8F" w14:textId="77777777" w:rsidR="00C46587" w:rsidRPr="0058432E" w:rsidRDefault="00C46587" w:rsidP="00982118">
      <w:pPr>
        <w:rPr>
          <w:color w:val="000000" w:themeColor="text1"/>
        </w:rPr>
      </w:pPr>
    </w:p>
    <w:p w14:paraId="2A2029DC" w14:textId="77777777" w:rsidR="00CF5C4A" w:rsidRPr="0058432E" w:rsidRDefault="00CF5C4A" w:rsidP="000D3575">
      <w:pPr>
        <w:autoSpaceDE w:val="0"/>
        <w:autoSpaceDN w:val="0"/>
        <w:adjustRightInd w:val="0"/>
        <w:rPr>
          <w:color w:val="000000" w:themeColor="text1"/>
        </w:rPr>
      </w:pPr>
      <w:r w:rsidRPr="0058432E">
        <w:rPr>
          <w:color w:val="000000" w:themeColor="text1"/>
        </w:rPr>
        <w:t>Étude nr-axSpA II</w:t>
      </w:r>
    </w:p>
    <w:p w14:paraId="2EF29D49" w14:textId="77777777" w:rsidR="00CF5C4A" w:rsidRPr="0058432E" w:rsidRDefault="00CF5C4A" w:rsidP="000D3575">
      <w:pPr>
        <w:autoSpaceDE w:val="0"/>
        <w:autoSpaceDN w:val="0"/>
        <w:adjustRightInd w:val="0"/>
        <w:rPr>
          <w:color w:val="000000" w:themeColor="text1"/>
        </w:rPr>
      </w:pPr>
    </w:p>
    <w:p w14:paraId="2C88D47C" w14:textId="77777777" w:rsidR="00CF5C4A" w:rsidRPr="0058432E" w:rsidRDefault="00CF5C4A" w:rsidP="000D3575">
      <w:pPr>
        <w:autoSpaceDE w:val="0"/>
        <w:autoSpaceDN w:val="0"/>
        <w:adjustRightInd w:val="0"/>
        <w:rPr>
          <w:color w:val="000000" w:themeColor="text1"/>
        </w:rPr>
      </w:pPr>
      <w:r w:rsidRPr="0058432E">
        <w:rPr>
          <w:color w:val="000000" w:themeColor="text1"/>
        </w:rPr>
        <w:t>673 patients atteints de nr-axSpA active (le score initial moyen d’activité de la maladie [BASDAI] était de 7,0) qui avaient présenté une réponse insuffisante à ≥ 2 AINS ou une intolérance ou une contre-indication aux AINS ont été inclus dans la période en ouvert de l’étude nr-axSpA II au cours de laquelle ils ont reçu l’adalimumab 40 mg toutes les deux semaines pendant 28 semaines.</w:t>
      </w:r>
    </w:p>
    <w:p w14:paraId="184C6028" w14:textId="77777777" w:rsidR="00CF5C4A" w:rsidRPr="0058432E" w:rsidRDefault="00CF5C4A" w:rsidP="000D3575">
      <w:pPr>
        <w:autoSpaceDE w:val="0"/>
        <w:autoSpaceDN w:val="0"/>
        <w:adjustRightInd w:val="0"/>
        <w:rPr>
          <w:color w:val="000000" w:themeColor="text1"/>
        </w:rPr>
      </w:pPr>
    </w:p>
    <w:p w14:paraId="4511A078" w14:textId="77777777" w:rsidR="00CF5C4A" w:rsidRPr="0058432E" w:rsidRDefault="00CF5C4A" w:rsidP="000D3575">
      <w:pPr>
        <w:autoSpaceDE w:val="0"/>
        <w:autoSpaceDN w:val="0"/>
        <w:adjustRightInd w:val="0"/>
        <w:rPr>
          <w:color w:val="000000" w:themeColor="text1"/>
        </w:rPr>
      </w:pPr>
      <w:r w:rsidRPr="0058432E">
        <w:rPr>
          <w:color w:val="000000" w:themeColor="text1"/>
        </w:rPr>
        <w:t>Ces patients présentaient également des signes objectifs d’inflammation à l’IRM des articulations sacro-iliaques ou du rachis ou un taux élevé de hs-CRP. Les patients ayant obtenu une rémission prolongée pendant au moins 12 semaines (N = 305) (ASDAS &lt; 1,3 aux semaines 16, 20, 24 et 28) au cours de la période en ouvert</w:t>
      </w:r>
      <w:r w:rsidR="00DA3657" w:rsidRPr="0058432E">
        <w:rPr>
          <w:color w:val="000000" w:themeColor="text1"/>
        </w:rPr>
        <w:t>,</w:t>
      </w:r>
      <w:r w:rsidRPr="0058432E">
        <w:rPr>
          <w:color w:val="000000" w:themeColor="text1"/>
        </w:rPr>
        <w:t xml:space="preserve"> ont ensuite été randomisés soit pour poursuivre le traitement par adalimumab 40 mg toutes les deux semaines (N = 152) soit pour recevoir un placebo (N = 153) pendant 40 semaines supplémentaires dans le cadre d’une période en double aveugle, contrôlée contre placebo (durée totale de l’étude : 68 semaines). Les patients présentant une poussée de la maladie au cours de la période en double aveugle étaient autorisés à recevoir un traitement de secours par adalimumab 40 mg toutes les deux semaines pendant au moins 12 semaines.</w:t>
      </w:r>
    </w:p>
    <w:p w14:paraId="5045EF70" w14:textId="77777777" w:rsidR="00CF5C4A" w:rsidRPr="0058432E" w:rsidRDefault="00CF5C4A" w:rsidP="00982118">
      <w:pPr>
        <w:autoSpaceDE w:val="0"/>
        <w:autoSpaceDN w:val="0"/>
        <w:adjustRightInd w:val="0"/>
        <w:rPr>
          <w:color w:val="000000" w:themeColor="text1"/>
        </w:rPr>
      </w:pPr>
    </w:p>
    <w:p w14:paraId="25FF7F58" w14:textId="77777777" w:rsidR="00CF5C4A" w:rsidRPr="0058432E" w:rsidRDefault="00CF5C4A" w:rsidP="00982118">
      <w:pPr>
        <w:autoSpaceDE w:val="0"/>
        <w:autoSpaceDN w:val="0"/>
        <w:adjustRightInd w:val="0"/>
        <w:rPr>
          <w:color w:val="000000" w:themeColor="text1"/>
        </w:rPr>
      </w:pPr>
      <w:r w:rsidRPr="0058432E">
        <w:rPr>
          <w:color w:val="000000" w:themeColor="text1"/>
        </w:rPr>
        <w:t xml:space="preserve">Le critère </w:t>
      </w:r>
      <w:r w:rsidR="00DA3657" w:rsidRPr="0058432E">
        <w:rPr>
          <w:color w:val="000000" w:themeColor="text1"/>
        </w:rPr>
        <w:t xml:space="preserve">d’évaluation </w:t>
      </w:r>
      <w:r w:rsidRPr="0058432E">
        <w:rPr>
          <w:color w:val="000000" w:themeColor="text1"/>
        </w:rPr>
        <w:t xml:space="preserve">principal de l’efficacité était le pourcentage de patients sans poussée à la semaine 68 de l’étude. Une poussée était définie comme un score ASDAS ≥ 2,1 lors de deux visites consécutives séparées de quatre semaines. Une proportion plus importante de patients sous adalimumab n’a pas présenté de poussée de la maladie au cours de la période en double aveugle </w:t>
      </w:r>
      <w:r w:rsidRPr="0058432E">
        <w:rPr>
          <w:i/>
          <w:color w:val="000000" w:themeColor="text1"/>
        </w:rPr>
        <w:t>versus</w:t>
      </w:r>
      <w:r w:rsidRPr="0058432E">
        <w:rPr>
          <w:color w:val="000000" w:themeColor="text1"/>
        </w:rPr>
        <w:t xml:space="preserve"> placebo (70,4 % </w:t>
      </w:r>
      <w:r w:rsidRPr="0058432E">
        <w:rPr>
          <w:i/>
          <w:color w:val="000000" w:themeColor="text1"/>
        </w:rPr>
        <w:t>versus</w:t>
      </w:r>
      <w:r w:rsidRPr="0058432E">
        <w:rPr>
          <w:color w:val="000000" w:themeColor="text1"/>
        </w:rPr>
        <w:t xml:space="preserve"> 47,1 %, </w:t>
      </w:r>
      <w:r w:rsidRPr="0058432E">
        <w:rPr>
          <w:i/>
          <w:iCs/>
          <w:color w:val="000000" w:themeColor="text1"/>
        </w:rPr>
        <w:t>p</w:t>
      </w:r>
      <w:r w:rsidRPr="0058432E">
        <w:rPr>
          <w:color w:val="000000" w:themeColor="text1"/>
        </w:rPr>
        <w:t xml:space="preserve"> &lt; 0,001) (figure 1).</w:t>
      </w:r>
    </w:p>
    <w:p w14:paraId="55C51CC6" w14:textId="77777777" w:rsidR="00CF5C4A" w:rsidRPr="0058432E" w:rsidRDefault="00CF5C4A" w:rsidP="00982118">
      <w:pPr>
        <w:autoSpaceDE w:val="0"/>
        <w:autoSpaceDN w:val="0"/>
        <w:adjustRightInd w:val="0"/>
        <w:rPr>
          <w:color w:val="000000" w:themeColor="text1"/>
        </w:rPr>
      </w:pPr>
    </w:p>
    <w:p w14:paraId="05EDAE8D" w14:textId="0ED17E99" w:rsidR="00CF5C4A" w:rsidRPr="0058432E" w:rsidRDefault="009D65D0" w:rsidP="00B93DAC">
      <w:pPr>
        <w:keepNext/>
        <w:rPr>
          <w:b/>
          <w:color w:val="000000" w:themeColor="text1"/>
        </w:rPr>
      </w:pPr>
      <w:r w:rsidRPr="0058432E">
        <w:rPr>
          <w:b/>
          <w:noProof/>
          <w:color w:val="000000" w:themeColor="text1"/>
        </w:rPr>
        <mc:AlternateContent>
          <mc:Choice Requires="wps">
            <w:drawing>
              <wp:anchor distT="0" distB="0" distL="114300" distR="114300" simplePos="0" relativeHeight="251671040" behindDoc="0" locked="0" layoutInCell="0" allowOverlap="1" wp14:anchorId="270E1474" wp14:editId="0B9C861B">
                <wp:simplePos x="0" y="0"/>
                <wp:positionH relativeFrom="page">
                  <wp:posOffset>774700</wp:posOffset>
                </wp:positionH>
                <wp:positionV relativeFrom="paragraph">
                  <wp:posOffset>199390</wp:posOffset>
                </wp:positionV>
                <wp:extent cx="262255" cy="2528570"/>
                <wp:effectExtent l="0" t="0" r="0" b="0"/>
                <wp:wrapNone/>
                <wp:docPr id="281"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528570"/>
                        </a:xfrm>
                        <a:prstGeom prst="rect">
                          <a:avLst/>
                        </a:prstGeom>
                        <a:noFill/>
                        <a:ln>
                          <a:noFill/>
                        </a:ln>
                      </wps:spPr>
                      <wps:txbx>
                        <w:txbxContent>
                          <w:p w14:paraId="1756B65A" w14:textId="77777777" w:rsidR="009A26D2" w:rsidRPr="007C4B2C" w:rsidRDefault="009A26D2" w:rsidP="00074F96">
                            <w:pPr>
                              <w:jc w:val="center"/>
                              <w:rPr>
                                <w:b/>
                                <w:bCs/>
                                <w:sz w:val="18"/>
                                <w:szCs w:val="18"/>
                              </w:rPr>
                            </w:pPr>
                            <w:r w:rsidRPr="006F643D">
                              <w:rPr>
                                <w:b/>
                              </w:rPr>
                              <w:t>PROBABILIT</w:t>
                            </w:r>
                            <w:r>
                              <w:rPr>
                                <w:b/>
                              </w:rPr>
                              <w:t>É</w:t>
                            </w:r>
                            <w:r w:rsidRPr="006F643D">
                              <w:rPr>
                                <w:b/>
                              </w:rPr>
                              <w:t xml:space="preserve"> DE </w:t>
                            </w:r>
                            <w:r>
                              <w:rPr>
                                <w:b/>
                              </w:rPr>
                              <w:t>PPOUSSEE</w:t>
                            </w:r>
                          </w:p>
                          <w:p w14:paraId="749E6A7E" w14:textId="77777777" w:rsidR="009A26D2" w:rsidRPr="00391F6A" w:rsidRDefault="009A26D2" w:rsidP="00074F96">
                            <w:pPr>
                              <w:pStyle w:val="BodyText"/>
                              <w:kinsoku w:val="0"/>
                              <w:overflowPunct w:val="0"/>
                              <w:spacing w:line="224" w:lineRule="exact"/>
                              <w:ind w:left="20"/>
                              <w:rPr>
                                <w:rFonts w:ascii="Times New Roman Bold" w:hAnsi="Times New Roman Bold"/>
                                <w:sz w:val="20"/>
                                <w:szCs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E1474" id="Text Box 189" o:spid="_x0000_s1050" type="#_x0000_t202" style="position:absolute;margin-left:61pt;margin-top:15.7pt;width:20.65pt;height:199.1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" o:allowincell="f" filled="f" stroked="f">
                <v:textbox style="layout-flow:vertical;mso-layout-flow-alt:bottom-to-top" inset="0,0,0,0">
                  <w:txbxContent>
                    <w:p w14:paraId="1756B65A" w14:textId="77777777" w:rsidR="009A26D2" w:rsidRPr="007C4B2C" w:rsidRDefault="009A26D2" w:rsidP="00074F96">
                      <w:pPr>
                        <w:jc w:val="center"/>
                        <w:rPr>
                          <w:b/>
                          <w:bCs/>
                          <w:sz w:val="18"/>
                          <w:szCs w:val="18"/>
                        </w:rPr>
                      </w:pPr>
                      <w:r w:rsidRPr="006F643D">
                        <w:rPr>
                          <w:b/>
                        </w:rPr>
                        <w:t>PROBABILIT</w:t>
                      </w:r>
                      <w:r>
                        <w:rPr>
                          <w:b/>
                        </w:rPr>
                        <w:t>É</w:t>
                      </w:r>
                      <w:r w:rsidRPr="006F643D">
                        <w:rPr>
                          <w:b/>
                        </w:rPr>
                        <w:t xml:space="preserve"> DE </w:t>
                      </w:r>
                      <w:r>
                        <w:rPr>
                          <w:b/>
                        </w:rPr>
                        <w:t>PPOUSSEE</w:t>
                      </w:r>
                    </w:p>
                    <w:p w14:paraId="749E6A7E" w14:textId="77777777" w:rsidR="009A26D2" w:rsidRPr="00391F6A" w:rsidRDefault="009A26D2" w:rsidP="00074F96">
                      <w:pPr>
                        <w:pStyle w:val="BodyText"/>
                        <w:kinsoku w:val="0"/>
                        <w:overflowPunct w:val="0"/>
                        <w:spacing w:line="224" w:lineRule="exact"/>
                        <w:ind w:left="20"/>
                        <w:rPr>
                          <w:rFonts w:ascii="Times New Roman Bold" w:hAnsi="Times New Roman Bold"/>
                          <w:sz w:val="20"/>
                          <w:szCs w:val="20"/>
                        </w:rPr>
                      </w:pPr>
                    </w:p>
                  </w:txbxContent>
                </v:textbox>
                <w10:wrap anchorx="page"/>
              </v:shape>
            </w:pict>
          </mc:Fallback>
        </mc:AlternateContent>
      </w:r>
      <w:r w:rsidR="00CF5C4A" w:rsidRPr="0058432E">
        <w:rPr>
          <w:b/>
          <w:color w:val="000000" w:themeColor="text1"/>
        </w:rPr>
        <w:t>Figure 1</w:t>
      </w:r>
      <w:r w:rsidR="004557C0" w:rsidRPr="0058432E">
        <w:rPr>
          <w:b/>
          <w:color w:val="000000" w:themeColor="text1"/>
        </w:rPr>
        <w:t xml:space="preserve">. </w:t>
      </w:r>
      <w:r w:rsidR="00CF5C4A" w:rsidRPr="0058432E">
        <w:rPr>
          <w:b/>
          <w:color w:val="000000" w:themeColor="text1"/>
        </w:rPr>
        <w:t>Courbes de Kaplan-Meier illustrant le délai jusqu’à une poussée de la maladie dans l’étude nr-axSpA II</w:t>
      </w:r>
    </w:p>
    <w:p w14:paraId="0A4E09CE" w14:textId="77777777" w:rsidR="00B93DAC" w:rsidRPr="0058432E" w:rsidRDefault="00B93DAC" w:rsidP="00B93DAC">
      <w:pPr>
        <w:keepNext/>
        <w:rPr>
          <w:b/>
          <w:color w:val="000000" w:themeColor="text1"/>
        </w:rPr>
      </w:pPr>
    </w:p>
    <w:p w14:paraId="6EDAC840" w14:textId="4061E3AF" w:rsidR="00074F96" w:rsidRPr="0058432E" w:rsidRDefault="009D65D0" w:rsidP="00B51A46">
      <w:pPr>
        <w:keepNext/>
        <w:jc w:val="center"/>
        <w:rPr>
          <w:color w:val="000000" w:themeColor="text1"/>
          <w:szCs w:val="20"/>
        </w:rPr>
      </w:pPr>
      <w:r w:rsidRPr="0058432E">
        <w:rPr>
          <w:noProof/>
          <w:color w:val="000000" w:themeColor="text1"/>
        </w:rPr>
        <mc:AlternateContent>
          <mc:Choice Requires="wps">
            <w:drawing>
              <wp:anchor distT="0" distB="0" distL="114300" distR="114300" simplePos="0" relativeHeight="251673088" behindDoc="0" locked="0" layoutInCell="1" allowOverlap="1" wp14:anchorId="62337B7B" wp14:editId="22FF8A1B">
                <wp:simplePos x="0" y="0"/>
                <wp:positionH relativeFrom="column">
                  <wp:posOffset>81915</wp:posOffset>
                </wp:positionH>
                <wp:positionV relativeFrom="paragraph">
                  <wp:posOffset>10160</wp:posOffset>
                </wp:positionV>
                <wp:extent cx="319405" cy="2494915"/>
                <wp:effectExtent l="0" t="0" r="0" b="0"/>
                <wp:wrapNone/>
                <wp:docPr id="28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94915"/>
                        </a:xfrm>
                        <a:prstGeom prst="rect">
                          <a:avLst/>
                        </a:prstGeom>
                        <a:solidFill>
                          <a:srgbClr val="FFFFFF"/>
                        </a:solidFill>
                        <a:ln>
                          <a:noFill/>
                        </a:ln>
                      </wps:spPr>
                      <wps:txbx>
                        <w:txbxContent>
                          <w:p w14:paraId="48A2C417" w14:textId="77777777" w:rsidR="009A26D2" w:rsidRPr="00172DF4" w:rsidRDefault="009A26D2" w:rsidP="00074F96">
                            <w:pPr>
                              <w:spacing w:before="14"/>
                              <w:jc w:val="right"/>
                              <w:rPr>
                                <w:b/>
                                <w:bCs/>
                                <w:sz w:val="14"/>
                                <w:szCs w:val="14"/>
                              </w:rPr>
                            </w:pPr>
                            <w:r w:rsidRPr="00172DF4">
                              <w:rPr>
                                <w:b/>
                                <w:bCs/>
                                <w:sz w:val="14"/>
                                <w:szCs w:val="14"/>
                              </w:rPr>
                              <w:t>1</w:t>
                            </w:r>
                            <w:r>
                              <w:rPr>
                                <w:b/>
                                <w:bCs/>
                                <w:sz w:val="14"/>
                                <w:szCs w:val="14"/>
                              </w:rPr>
                              <w:t>,</w:t>
                            </w:r>
                            <w:r w:rsidRPr="00172DF4">
                              <w:rPr>
                                <w:b/>
                                <w:bCs/>
                                <w:sz w:val="14"/>
                                <w:szCs w:val="14"/>
                              </w:rPr>
                              <w:t>0</w:t>
                            </w:r>
                          </w:p>
                          <w:p w14:paraId="27498F2F" w14:textId="77777777" w:rsidR="009A26D2" w:rsidRPr="00172DF4" w:rsidRDefault="009A26D2" w:rsidP="00074F96">
                            <w:pPr>
                              <w:spacing w:before="14"/>
                              <w:jc w:val="right"/>
                              <w:rPr>
                                <w:b/>
                                <w:bCs/>
                                <w:sz w:val="14"/>
                                <w:szCs w:val="14"/>
                              </w:rPr>
                            </w:pPr>
                          </w:p>
                          <w:p w14:paraId="4C06B5F8"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9</w:t>
                            </w:r>
                          </w:p>
                          <w:p w14:paraId="387FD844" w14:textId="77777777" w:rsidR="009A26D2" w:rsidRPr="00172DF4" w:rsidRDefault="009A26D2" w:rsidP="00074F96">
                            <w:pPr>
                              <w:spacing w:before="14"/>
                              <w:jc w:val="right"/>
                              <w:rPr>
                                <w:b/>
                                <w:bCs/>
                                <w:sz w:val="14"/>
                                <w:szCs w:val="14"/>
                              </w:rPr>
                            </w:pPr>
                          </w:p>
                          <w:p w14:paraId="1B987522"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8</w:t>
                            </w:r>
                          </w:p>
                          <w:p w14:paraId="42D25751" w14:textId="77777777" w:rsidR="009A26D2" w:rsidRPr="00172DF4" w:rsidRDefault="009A26D2" w:rsidP="00074F96">
                            <w:pPr>
                              <w:spacing w:before="14"/>
                              <w:jc w:val="right"/>
                              <w:rPr>
                                <w:b/>
                                <w:bCs/>
                                <w:sz w:val="14"/>
                                <w:szCs w:val="14"/>
                              </w:rPr>
                            </w:pPr>
                          </w:p>
                          <w:p w14:paraId="1A6CA096"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7</w:t>
                            </w:r>
                          </w:p>
                          <w:p w14:paraId="54594C05" w14:textId="77777777" w:rsidR="009A26D2" w:rsidRPr="00172DF4" w:rsidRDefault="009A26D2" w:rsidP="00074F96">
                            <w:pPr>
                              <w:spacing w:before="14"/>
                              <w:jc w:val="right"/>
                              <w:rPr>
                                <w:b/>
                                <w:bCs/>
                                <w:sz w:val="14"/>
                                <w:szCs w:val="14"/>
                              </w:rPr>
                            </w:pPr>
                          </w:p>
                          <w:p w14:paraId="00C63822"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6</w:t>
                            </w:r>
                          </w:p>
                          <w:p w14:paraId="4F641B6F" w14:textId="77777777" w:rsidR="009A26D2" w:rsidRPr="00172DF4" w:rsidRDefault="009A26D2" w:rsidP="00074F96">
                            <w:pPr>
                              <w:spacing w:before="14"/>
                              <w:jc w:val="right"/>
                              <w:rPr>
                                <w:b/>
                                <w:bCs/>
                                <w:sz w:val="14"/>
                                <w:szCs w:val="14"/>
                              </w:rPr>
                            </w:pPr>
                          </w:p>
                          <w:p w14:paraId="4E7D5C2C"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5</w:t>
                            </w:r>
                          </w:p>
                          <w:p w14:paraId="3A45EA0A" w14:textId="77777777" w:rsidR="009A26D2" w:rsidRPr="00172DF4" w:rsidRDefault="009A26D2" w:rsidP="00074F96">
                            <w:pPr>
                              <w:spacing w:before="14"/>
                              <w:jc w:val="right"/>
                              <w:rPr>
                                <w:b/>
                                <w:bCs/>
                                <w:sz w:val="14"/>
                                <w:szCs w:val="14"/>
                              </w:rPr>
                            </w:pPr>
                          </w:p>
                          <w:p w14:paraId="2730443F"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4</w:t>
                            </w:r>
                          </w:p>
                          <w:p w14:paraId="01B6EAB9" w14:textId="77777777" w:rsidR="009A26D2" w:rsidRPr="00172DF4" w:rsidRDefault="009A26D2" w:rsidP="00074F96">
                            <w:pPr>
                              <w:spacing w:before="14"/>
                              <w:jc w:val="right"/>
                              <w:rPr>
                                <w:b/>
                                <w:bCs/>
                                <w:sz w:val="14"/>
                                <w:szCs w:val="14"/>
                              </w:rPr>
                            </w:pPr>
                          </w:p>
                          <w:p w14:paraId="615779C5"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3</w:t>
                            </w:r>
                          </w:p>
                          <w:p w14:paraId="73E76E1B" w14:textId="77777777" w:rsidR="009A26D2" w:rsidRPr="00172DF4" w:rsidRDefault="009A26D2" w:rsidP="00074F96">
                            <w:pPr>
                              <w:spacing w:before="14"/>
                              <w:jc w:val="right"/>
                              <w:rPr>
                                <w:b/>
                                <w:bCs/>
                                <w:sz w:val="14"/>
                                <w:szCs w:val="14"/>
                              </w:rPr>
                            </w:pPr>
                          </w:p>
                          <w:p w14:paraId="1077F61A"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2</w:t>
                            </w:r>
                          </w:p>
                          <w:p w14:paraId="6528F353" w14:textId="77777777" w:rsidR="009A26D2" w:rsidRPr="00172DF4" w:rsidRDefault="009A26D2" w:rsidP="00074F96">
                            <w:pPr>
                              <w:spacing w:before="14"/>
                              <w:jc w:val="right"/>
                              <w:rPr>
                                <w:b/>
                                <w:bCs/>
                                <w:sz w:val="14"/>
                                <w:szCs w:val="14"/>
                              </w:rPr>
                            </w:pPr>
                          </w:p>
                          <w:p w14:paraId="6F0B939C"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1</w:t>
                            </w:r>
                          </w:p>
                          <w:p w14:paraId="2A2ACD6C" w14:textId="77777777" w:rsidR="009A26D2" w:rsidRPr="00172DF4" w:rsidRDefault="009A26D2" w:rsidP="00074F96">
                            <w:pPr>
                              <w:spacing w:before="14"/>
                              <w:jc w:val="right"/>
                              <w:rPr>
                                <w:b/>
                                <w:bCs/>
                                <w:sz w:val="15"/>
                                <w:szCs w:val="15"/>
                              </w:rPr>
                            </w:pPr>
                          </w:p>
                          <w:p w14:paraId="4717648D" w14:textId="77777777" w:rsidR="009A26D2" w:rsidRPr="00172DF4" w:rsidRDefault="009A26D2" w:rsidP="00074F96">
                            <w:pPr>
                              <w:spacing w:before="14"/>
                              <w:jc w:val="right"/>
                              <w:rPr>
                                <w:b/>
                                <w:bCs/>
                                <w:sz w:val="15"/>
                                <w:szCs w:val="15"/>
                              </w:rPr>
                            </w:pPr>
                            <w:r w:rsidRPr="00172DF4">
                              <w:rPr>
                                <w:b/>
                                <w:bCs/>
                                <w:sz w:val="15"/>
                                <w:szCs w:val="15"/>
                              </w:rPr>
                              <w:t>0</w:t>
                            </w:r>
                            <w:r>
                              <w:rPr>
                                <w:b/>
                                <w:bCs/>
                                <w:sz w:val="15"/>
                                <w:szCs w:val="15"/>
                              </w:rPr>
                              <w:t>,</w:t>
                            </w:r>
                            <w:r w:rsidRPr="00172DF4">
                              <w:rPr>
                                <w:b/>
                                <w:bCs/>
                                <w:sz w:val="15"/>
                                <w:szCs w:val="15"/>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37B7B" id="Text Box 220" o:spid="_x0000_s1051" type="#_x0000_t202" style="position:absolute;left:0;text-align:left;margin-left:6.45pt;margin-top:.8pt;width:25.15pt;height:196.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" stroked="f">
                <v:textbox>
                  <w:txbxContent>
                    <w:p w14:paraId="48A2C417" w14:textId="77777777" w:rsidR="009A26D2" w:rsidRPr="00172DF4" w:rsidRDefault="009A26D2" w:rsidP="00074F96">
                      <w:pPr>
                        <w:spacing w:before="14"/>
                        <w:jc w:val="right"/>
                        <w:rPr>
                          <w:b/>
                          <w:bCs/>
                          <w:sz w:val="14"/>
                          <w:szCs w:val="14"/>
                        </w:rPr>
                      </w:pPr>
                      <w:r w:rsidRPr="00172DF4">
                        <w:rPr>
                          <w:b/>
                          <w:bCs/>
                          <w:sz w:val="14"/>
                          <w:szCs w:val="14"/>
                        </w:rPr>
                        <w:t>1</w:t>
                      </w:r>
                      <w:r>
                        <w:rPr>
                          <w:b/>
                          <w:bCs/>
                          <w:sz w:val="14"/>
                          <w:szCs w:val="14"/>
                        </w:rPr>
                        <w:t>,</w:t>
                      </w:r>
                      <w:r w:rsidRPr="00172DF4">
                        <w:rPr>
                          <w:b/>
                          <w:bCs/>
                          <w:sz w:val="14"/>
                          <w:szCs w:val="14"/>
                        </w:rPr>
                        <w:t>0</w:t>
                      </w:r>
                    </w:p>
                    <w:p w14:paraId="27498F2F" w14:textId="77777777" w:rsidR="009A26D2" w:rsidRPr="00172DF4" w:rsidRDefault="009A26D2" w:rsidP="00074F96">
                      <w:pPr>
                        <w:spacing w:before="14"/>
                        <w:jc w:val="right"/>
                        <w:rPr>
                          <w:b/>
                          <w:bCs/>
                          <w:sz w:val="14"/>
                          <w:szCs w:val="14"/>
                        </w:rPr>
                      </w:pPr>
                    </w:p>
                    <w:p w14:paraId="4C06B5F8"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9</w:t>
                      </w:r>
                    </w:p>
                    <w:p w14:paraId="387FD844" w14:textId="77777777" w:rsidR="009A26D2" w:rsidRPr="00172DF4" w:rsidRDefault="009A26D2" w:rsidP="00074F96">
                      <w:pPr>
                        <w:spacing w:before="14"/>
                        <w:jc w:val="right"/>
                        <w:rPr>
                          <w:b/>
                          <w:bCs/>
                          <w:sz w:val="14"/>
                          <w:szCs w:val="14"/>
                        </w:rPr>
                      </w:pPr>
                    </w:p>
                    <w:p w14:paraId="1B987522"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8</w:t>
                      </w:r>
                    </w:p>
                    <w:p w14:paraId="42D25751" w14:textId="77777777" w:rsidR="009A26D2" w:rsidRPr="00172DF4" w:rsidRDefault="009A26D2" w:rsidP="00074F96">
                      <w:pPr>
                        <w:spacing w:before="14"/>
                        <w:jc w:val="right"/>
                        <w:rPr>
                          <w:b/>
                          <w:bCs/>
                          <w:sz w:val="14"/>
                          <w:szCs w:val="14"/>
                        </w:rPr>
                      </w:pPr>
                    </w:p>
                    <w:p w14:paraId="1A6CA096"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7</w:t>
                      </w:r>
                    </w:p>
                    <w:p w14:paraId="54594C05" w14:textId="77777777" w:rsidR="009A26D2" w:rsidRPr="00172DF4" w:rsidRDefault="009A26D2" w:rsidP="00074F96">
                      <w:pPr>
                        <w:spacing w:before="14"/>
                        <w:jc w:val="right"/>
                        <w:rPr>
                          <w:b/>
                          <w:bCs/>
                          <w:sz w:val="14"/>
                          <w:szCs w:val="14"/>
                        </w:rPr>
                      </w:pPr>
                    </w:p>
                    <w:p w14:paraId="00C63822"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6</w:t>
                      </w:r>
                    </w:p>
                    <w:p w14:paraId="4F641B6F" w14:textId="77777777" w:rsidR="009A26D2" w:rsidRPr="00172DF4" w:rsidRDefault="009A26D2" w:rsidP="00074F96">
                      <w:pPr>
                        <w:spacing w:before="14"/>
                        <w:jc w:val="right"/>
                        <w:rPr>
                          <w:b/>
                          <w:bCs/>
                          <w:sz w:val="14"/>
                          <w:szCs w:val="14"/>
                        </w:rPr>
                      </w:pPr>
                    </w:p>
                    <w:p w14:paraId="4E7D5C2C"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5</w:t>
                      </w:r>
                    </w:p>
                    <w:p w14:paraId="3A45EA0A" w14:textId="77777777" w:rsidR="009A26D2" w:rsidRPr="00172DF4" w:rsidRDefault="009A26D2" w:rsidP="00074F96">
                      <w:pPr>
                        <w:spacing w:before="14"/>
                        <w:jc w:val="right"/>
                        <w:rPr>
                          <w:b/>
                          <w:bCs/>
                          <w:sz w:val="14"/>
                          <w:szCs w:val="14"/>
                        </w:rPr>
                      </w:pPr>
                    </w:p>
                    <w:p w14:paraId="2730443F"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4</w:t>
                      </w:r>
                    </w:p>
                    <w:p w14:paraId="01B6EAB9" w14:textId="77777777" w:rsidR="009A26D2" w:rsidRPr="00172DF4" w:rsidRDefault="009A26D2" w:rsidP="00074F96">
                      <w:pPr>
                        <w:spacing w:before="14"/>
                        <w:jc w:val="right"/>
                        <w:rPr>
                          <w:b/>
                          <w:bCs/>
                          <w:sz w:val="14"/>
                          <w:szCs w:val="14"/>
                        </w:rPr>
                      </w:pPr>
                    </w:p>
                    <w:p w14:paraId="615779C5"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3</w:t>
                      </w:r>
                    </w:p>
                    <w:p w14:paraId="73E76E1B" w14:textId="77777777" w:rsidR="009A26D2" w:rsidRPr="00172DF4" w:rsidRDefault="009A26D2" w:rsidP="00074F96">
                      <w:pPr>
                        <w:spacing w:before="14"/>
                        <w:jc w:val="right"/>
                        <w:rPr>
                          <w:b/>
                          <w:bCs/>
                          <w:sz w:val="14"/>
                          <w:szCs w:val="14"/>
                        </w:rPr>
                      </w:pPr>
                    </w:p>
                    <w:p w14:paraId="1077F61A"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2</w:t>
                      </w:r>
                    </w:p>
                    <w:p w14:paraId="6528F353" w14:textId="77777777" w:rsidR="009A26D2" w:rsidRPr="00172DF4" w:rsidRDefault="009A26D2" w:rsidP="00074F96">
                      <w:pPr>
                        <w:spacing w:before="14"/>
                        <w:jc w:val="right"/>
                        <w:rPr>
                          <w:b/>
                          <w:bCs/>
                          <w:sz w:val="14"/>
                          <w:szCs w:val="14"/>
                        </w:rPr>
                      </w:pPr>
                    </w:p>
                    <w:p w14:paraId="6F0B939C" w14:textId="77777777" w:rsidR="009A26D2" w:rsidRPr="00172DF4" w:rsidRDefault="009A26D2" w:rsidP="00074F96">
                      <w:pPr>
                        <w:spacing w:before="14"/>
                        <w:jc w:val="right"/>
                        <w:rPr>
                          <w:b/>
                          <w:bCs/>
                          <w:sz w:val="14"/>
                          <w:szCs w:val="14"/>
                        </w:rPr>
                      </w:pPr>
                      <w:r w:rsidRPr="00172DF4">
                        <w:rPr>
                          <w:b/>
                          <w:bCs/>
                          <w:sz w:val="14"/>
                          <w:szCs w:val="14"/>
                        </w:rPr>
                        <w:t>0</w:t>
                      </w:r>
                      <w:r>
                        <w:rPr>
                          <w:b/>
                          <w:bCs/>
                          <w:sz w:val="14"/>
                          <w:szCs w:val="14"/>
                        </w:rPr>
                        <w:t>,</w:t>
                      </w:r>
                      <w:r w:rsidRPr="00172DF4">
                        <w:rPr>
                          <w:b/>
                          <w:bCs/>
                          <w:sz w:val="14"/>
                          <w:szCs w:val="14"/>
                        </w:rPr>
                        <w:t>1</w:t>
                      </w:r>
                    </w:p>
                    <w:p w14:paraId="2A2ACD6C" w14:textId="77777777" w:rsidR="009A26D2" w:rsidRPr="00172DF4" w:rsidRDefault="009A26D2" w:rsidP="00074F96">
                      <w:pPr>
                        <w:spacing w:before="14"/>
                        <w:jc w:val="right"/>
                        <w:rPr>
                          <w:b/>
                          <w:bCs/>
                          <w:sz w:val="15"/>
                          <w:szCs w:val="15"/>
                        </w:rPr>
                      </w:pPr>
                    </w:p>
                    <w:p w14:paraId="4717648D" w14:textId="77777777" w:rsidR="009A26D2" w:rsidRPr="00172DF4" w:rsidRDefault="009A26D2" w:rsidP="00074F96">
                      <w:pPr>
                        <w:spacing w:before="14"/>
                        <w:jc w:val="right"/>
                        <w:rPr>
                          <w:b/>
                          <w:bCs/>
                          <w:sz w:val="15"/>
                          <w:szCs w:val="15"/>
                        </w:rPr>
                      </w:pPr>
                      <w:r w:rsidRPr="00172DF4">
                        <w:rPr>
                          <w:b/>
                          <w:bCs/>
                          <w:sz w:val="15"/>
                          <w:szCs w:val="15"/>
                        </w:rPr>
                        <w:t>0</w:t>
                      </w:r>
                      <w:r>
                        <w:rPr>
                          <w:b/>
                          <w:bCs/>
                          <w:sz w:val="15"/>
                          <w:szCs w:val="15"/>
                        </w:rPr>
                        <w:t>,</w:t>
                      </w:r>
                      <w:r w:rsidRPr="00172DF4">
                        <w:rPr>
                          <w:b/>
                          <w:bCs/>
                          <w:sz w:val="15"/>
                          <w:szCs w:val="15"/>
                        </w:rPr>
                        <w:t>0</w:t>
                      </w:r>
                    </w:p>
                  </w:txbxContent>
                </v:textbox>
              </v:shape>
            </w:pict>
          </mc:Fallback>
        </mc:AlternateContent>
      </w:r>
      <w:r w:rsidRPr="0058432E">
        <w:rPr>
          <w:noProof/>
          <w:color w:val="000000" w:themeColor="text1"/>
          <w:szCs w:val="20"/>
        </w:rPr>
        <w:drawing>
          <wp:inline distT="0" distB="0" distL="0" distR="0" wp14:anchorId="74095A01" wp14:editId="60CC1022">
            <wp:extent cx="5303520" cy="3017520"/>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3520" cy="3017520"/>
                    </a:xfrm>
                    <a:prstGeom prst="rect">
                      <a:avLst/>
                    </a:prstGeom>
                    <a:noFill/>
                    <a:ln>
                      <a:noFill/>
                    </a:ln>
                  </pic:spPr>
                </pic:pic>
              </a:graphicData>
            </a:graphic>
          </wp:inline>
        </w:drawing>
      </w:r>
    </w:p>
    <w:p w14:paraId="5A4123BA" w14:textId="77777777" w:rsidR="00074F96" w:rsidRPr="0058432E" w:rsidRDefault="00E77BBB" w:rsidP="00074F96">
      <w:pPr>
        <w:pStyle w:val="BodyText"/>
        <w:widowControl/>
        <w:kinsoku w:val="0"/>
        <w:overflowPunct w:val="0"/>
        <w:spacing w:line="227" w:lineRule="exact"/>
        <w:ind w:left="0"/>
        <w:jc w:val="center"/>
        <w:rPr>
          <w:color w:val="000000" w:themeColor="text1"/>
          <w:szCs w:val="20"/>
        </w:rPr>
      </w:pPr>
      <w:r w:rsidRPr="0058432E">
        <w:rPr>
          <w:b/>
          <w:bCs/>
          <w:color w:val="000000" w:themeColor="text1"/>
          <w:szCs w:val="20"/>
        </w:rPr>
        <w:t>TEMPS (SEMAINES)</w:t>
      </w:r>
    </w:p>
    <w:p w14:paraId="100486BE" w14:textId="369162DB" w:rsidR="00074F96" w:rsidRPr="0058432E" w:rsidRDefault="009D65D0" w:rsidP="00074F96">
      <w:pPr>
        <w:pStyle w:val="BodyText"/>
        <w:widowControl/>
        <w:tabs>
          <w:tab w:val="left" w:pos="3634"/>
          <w:tab w:val="left" w:pos="4515"/>
          <w:tab w:val="left" w:pos="5147"/>
          <w:tab w:val="left" w:pos="6087"/>
        </w:tabs>
        <w:kinsoku w:val="0"/>
        <w:overflowPunct w:val="0"/>
        <w:spacing w:line="228" w:lineRule="exact"/>
        <w:ind w:left="0"/>
        <w:rPr>
          <w:color w:val="000000" w:themeColor="text1"/>
          <w:szCs w:val="20"/>
        </w:rPr>
      </w:pPr>
      <w:r w:rsidRPr="0058432E">
        <w:rPr>
          <w:noProof/>
          <w:color w:val="000000" w:themeColor="text1"/>
        </w:rPr>
        <mc:AlternateContent>
          <mc:Choice Requires="wps">
            <w:drawing>
              <wp:anchor distT="0" distB="0" distL="114300" distR="114300" simplePos="0" relativeHeight="251672064" behindDoc="1" locked="0" layoutInCell="0" allowOverlap="1" wp14:anchorId="6C15199D" wp14:editId="67D37737">
                <wp:simplePos x="0" y="0"/>
                <wp:positionH relativeFrom="page">
                  <wp:posOffset>2719705</wp:posOffset>
                </wp:positionH>
                <wp:positionV relativeFrom="paragraph">
                  <wp:posOffset>101600</wp:posOffset>
                </wp:positionV>
                <wp:extent cx="381000" cy="0"/>
                <wp:effectExtent l="0" t="19050" r="0" b="0"/>
                <wp:wrapNone/>
                <wp:docPr id="279"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0"/>
                        </a:xfrm>
                        <a:custGeom>
                          <a:avLst/>
                          <a:gdLst>
                            <a:gd name="T0" fmla="*/ 0 w 600"/>
                            <a:gd name="T1" fmla="*/ 0 h 20"/>
                            <a:gd name="T2" fmla="*/ 600 w 600"/>
                            <a:gd name="T3" fmla="*/ 0 h 20"/>
                          </a:gdLst>
                          <a:ahLst/>
                          <a:cxnLst>
                            <a:cxn ang="0">
                              <a:pos x="T0" y="T1"/>
                            </a:cxn>
                            <a:cxn ang="0">
                              <a:pos x="T2" y="T3"/>
                            </a:cxn>
                          </a:cxnLst>
                          <a:rect l="0" t="0" r="r" b="b"/>
                          <a:pathLst>
                            <a:path w="600" h="20">
                              <a:moveTo>
                                <a:pt x="0" y="0"/>
                              </a:moveTo>
                              <a:lnTo>
                                <a:pt x="600" y="0"/>
                              </a:lnTo>
                            </a:path>
                          </a:pathLst>
                        </a:custGeom>
                        <a:noFill/>
                        <a:ln w="28575">
                          <a:solidFill>
                            <a:srgbClr val="595958"/>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4C11B" id="Freeform 190" o:spid="_x0000_s1026" style="position:absolute;margin-left:214.15pt;margin-top:8pt;width:30pt;height:0;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" o:allowincell="f" path="m,l600,e" filled="f" strokecolor="#595958" strokeweight="2.25pt">
                <v:stroke dashstyle="dash"/>
                <v:path arrowok="t" o:connecttype="custom" o:connectlocs="0,0;381000,0" o:connectangles="0,0"/>
                <w10:wrap anchorx="page"/>
              </v:shape>
            </w:pict>
          </mc:Fallback>
        </mc:AlternateContent>
      </w:r>
      <w:r w:rsidR="00074F96" w:rsidRPr="0058432E">
        <w:rPr>
          <w:color w:val="000000" w:themeColor="text1"/>
          <w:szCs w:val="20"/>
        </w:rPr>
        <w:t>Tra</w:t>
      </w:r>
      <w:r w:rsidR="00E77BBB" w:rsidRPr="0058432E">
        <w:rPr>
          <w:color w:val="000000" w:themeColor="text1"/>
          <w:szCs w:val="20"/>
        </w:rPr>
        <w:t>i</w:t>
      </w:r>
      <w:r w:rsidR="00074F96" w:rsidRPr="0058432E">
        <w:rPr>
          <w:color w:val="000000" w:themeColor="text1"/>
          <w:szCs w:val="20"/>
        </w:rPr>
        <w:t>t</w:t>
      </w:r>
      <w:r w:rsidR="00E77BBB" w:rsidRPr="0058432E">
        <w:rPr>
          <w:color w:val="000000" w:themeColor="text1"/>
          <w:szCs w:val="20"/>
        </w:rPr>
        <w:t>e</w:t>
      </w:r>
      <w:r w:rsidR="00074F96" w:rsidRPr="0058432E">
        <w:rPr>
          <w:color w:val="000000" w:themeColor="text1"/>
          <w:szCs w:val="20"/>
        </w:rPr>
        <w:t>ment</w:t>
      </w:r>
      <w:r w:rsidR="00074F96" w:rsidRPr="0058432E">
        <w:rPr>
          <w:color w:val="000000" w:themeColor="text1"/>
          <w:szCs w:val="20"/>
        </w:rPr>
        <w:tab/>
        <w:t>Placebo</w:t>
      </w:r>
      <w:r w:rsidR="00074F96" w:rsidRPr="0058432E">
        <w:rPr>
          <w:color w:val="000000" w:themeColor="text1"/>
          <w:szCs w:val="20"/>
        </w:rPr>
        <w:tab/>
      </w:r>
      <w:r w:rsidR="00074F96" w:rsidRPr="0058432E">
        <w:rPr>
          <w:color w:val="000000" w:themeColor="text1"/>
          <w:szCs w:val="20"/>
          <w:u w:val="thick" w:color="3E3E3E"/>
        </w:rPr>
        <w:tab/>
      </w:r>
      <w:r w:rsidR="00074F96" w:rsidRPr="0058432E">
        <w:rPr>
          <w:color w:val="000000" w:themeColor="text1"/>
          <w:szCs w:val="20"/>
        </w:rPr>
        <w:t>Adalimumab</w:t>
      </w:r>
      <w:r w:rsidR="00074F96" w:rsidRPr="0058432E">
        <w:rPr>
          <w:color w:val="000000" w:themeColor="text1"/>
          <w:szCs w:val="20"/>
        </w:rPr>
        <w:tab/>
        <w:t>∆ Cens</w:t>
      </w:r>
      <w:r w:rsidR="00E77BBB" w:rsidRPr="0058432E">
        <w:rPr>
          <w:color w:val="000000" w:themeColor="text1"/>
          <w:szCs w:val="20"/>
        </w:rPr>
        <w:t>uré</w:t>
      </w:r>
    </w:p>
    <w:p w14:paraId="18B1D748" w14:textId="77777777" w:rsidR="00CF5C4A" w:rsidRPr="0058432E" w:rsidRDefault="00CF5C4A" w:rsidP="001E35BC">
      <w:pPr>
        <w:pStyle w:val="BodyText"/>
        <w:widowControl/>
        <w:kinsoku w:val="0"/>
        <w:overflowPunct w:val="0"/>
        <w:ind w:left="0"/>
        <w:rPr>
          <w:color w:val="000000" w:themeColor="text1"/>
          <w:sz w:val="20"/>
        </w:rPr>
      </w:pPr>
      <w:r w:rsidRPr="0058432E">
        <w:rPr>
          <w:color w:val="000000" w:themeColor="text1"/>
          <w:sz w:val="20"/>
        </w:rPr>
        <w:t>Remarque : P = Placebo (Nombre de patients à risque (Nombre de poussées)) ; A = Adalimumab (Nombre de patients à risque (Nombre de poussées)).</w:t>
      </w:r>
    </w:p>
    <w:p w14:paraId="799C97BB" w14:textId="77777777" w:rsidR="00CF5C4A" w:rsidRPr="0058432E" w:rsidRDefault="00CF5C4A" w:rsidP="00982118">
      <w:pPr>
        <w:autoSpaceDE w:val="0"/>
        <w:autoSpaceDN w:val="0"/>
        <w:adjustRightInd w:val="0"/>
        <w:rPr>
          <w:color w:val="000000" w:themeColor="text1"/>
        </w:rPr>
      </w:pPr>
    </w:p>
    <w:p w14:paraId="0775D214" w14:textId="77777777" w:rsidR="00CF5C4A" w:rsidRPr="0058432E" w:rsidRDefault="00CF5C4A" w:rsidP="00982118">
      <w:pPr>
        <w:autoSpaceDE w:val="0"/>
        <w:autoSpaceDN w:val="0"/>
        <w:adjustRightInd w:val="0"/>
        <w:rPr>
          <w:color w:val="000000" w:themeColor="text1"/>
        </w:rPr>
      </w:pPr>
      <w:r w:rsidRPr="0058432E">
        <w:rPr>
          <w:color w:val="000000" w:themeColor="text1"/>
        </w:rPr>
        <w:t>Parmi les 68 patients avec des poussées dans le groupe qui a arrêté le traitement, 65 ont reçu 12</w:t>
      </w:r>
      <w:r w:rsidR="002A7F87" w:rsidRPr="0058432E">
        <w:rPr>
          <w:color w:val="000000" w:themeColor="text1"/>
        </w:rPr>
        <w:t> </w:t>
      </w:r>
      <w:r w:rsidRPr="0058432E">
        <w:rPr>
          <w:color w:val="000000" w:themeColor="text1"/>
        </w:rPr>
        <w:t>semaines de traitement de secours par adalimumab, parmi lesquels 37 (56,9 %) ont de nouveau obtenu une rémission (ASDAS &lt; 1,3) 12 semaines après avoir repris le traitement en ouvert.</w:t>
      </w:r>
    </w:p>
    <w:p w14:paraId="4E090788" w14:textId="77777777" w:rsidR="00CF5C4A" w:rsidRPr="0058432E" w:rsidRDefault="00CF5C4A" w:rsidP="00982118">
      <w:pPr>
        <w:autoSpaceDE w:val="0"/>
        <w:autoSpaceDN w:val="0"/>
        <w:adjustRightInd w:val="0"/>
        <w:rPr>
          <w:color w:val="000000" w:themeColor="text1"/>
        </w:rPr>
      </w:pPr>
    </w:p>
    <w:p w14:paraId="4B72C412" w14:textId="77777777" w:rsidR="00CF5C4A" w:rsidRPr="0058432E" w:rsidRDefault="00CF5C4A" w:rsidP="00982118">
      <w:pPr>
        <w:autoSpaceDE w:val="0"/>
        <w:autoSpaceDN w:val="0"/>
        <w:adjustRightInd w:val="0"/>
        <w:rPr>
          <w:color w:val="000000" w:themeColor="text1"/>
        </w:rPr>
      </w:pPr>
      <w:r w:rsidRPr="0058432E">
        <w:rPr>
          <w:color w:val="000000" w:themeColor="text1"/>
        </w:rPr>
        <w:t xml:space="preserve">À la semaine 68, les patients recevant un traitement continu par adalimumab ont montré une amélioration statistiquement significative des signes et symptômes de la nr-axSpA active </w:t>
      </w:r>
      <w:r w:rsidRPr="0058432E">
        <w:rPr>
          <w:i/>
          <w:color w:val="000000" w:themeColor="text1"/>
        </w:rPr>
        <w:t>versus</w:t>
      </w:r>
      <w:r w:rsidRPr="0058432E">
        <w:rPr>
          <w:color w:val="000000" w:themeColor="text1"/>
        </w:rPr>
        <w:t xml:space="preserve"> les patients qui ont arrêté le traitement pendant la période en double aveugle de l’étude (tableau </w:t>
      </w:r>
      <w:r w:rsidR="00AA1D55" w:rsidRPr="0058432E">
        <w:rPr>
          <w:color w:val="000000" w:themeColor="text1"/>
        </w:rPr>
        <w:t>14</w:t>
      </w:r>
      <w:r w:rsidRPr="0058432E">
        <w:rPr>
          <w:color w:val="000000" w:themeColor="text1"/>
        </w:rPr>
        <w:t>).</w:t>
      </w:r>
    </w:p>
    <w:p w14:paraId="0CD8D450" w14:textId="77777777" w:rsidR="00CF5C4A" w:rsidRPr="0058432E" w:rsidRDefault="00CF5C4A" w:rsidP="00982118">
      <w:pPr>
        <w:autoSpaceDE w:val="0"/>
        <w:autoSpaceDN w:val="0"/>
        <w:adjustRightInd w:val="0"/>
        <w:rPr>
          <w:color w:val="000000" w:themeColor="text1"/>
        </w:rPr>
      </w:pPr>
    </w:p>
    <w:p w14:paraId="7555B882" w14:textId="77777777" w:rsidR="00CF5C4A" w:rsidRPr="0058432E" w:rsidRDefault="00CF5C4A" w:rsidP="00B93DAC">
      <w:pPr>
        <w:pStyle w:val="BodyText"/>
        <w:keepNext/>
        <w:widowControl/>
        <w:kinsoku w:val="0"/>
        <w:overflowPunct w:val="0"/>
        <w:spacing w:before="1"/>
        <w:ind w:left="0"/>
        <w:rPr>
          <w:b/>
          <w:bCs/>
          <w:color w:val="000000" w:themeColor="text1"/>
        </w:rPr>
      </w:pPr>
      <w:r w:rsidRPr="0058432E">
        <w:rPr>
          <w:b/>
          <w:bCs/>
          <w:color w:val="000000" w:themeColor="text1"/>
        </w:rPr>
        <w:t>Tableau </w:t>
      </w:r>
      <w:r w:rsidR="00AA1D55" w:rsidRPr="0058432E">
        <w:rPr>
          <w:b/>
          <w:bCs/>
          <w:color w:val="000000" w:themeColor="text1"/>
        </w:rPr>
        <w:t>14</w:t>
      </w:r>
      <w:r w:rsidR="002A7CDF" w:rsidRPr="0058432E">
        <w:rPr>
          <w:b/>
          <w:bCs/>
          <w:color w:val="000000" w:themeColor="text1"/>
        </w:rPr>
        <w:t>.</w:t>
      </w:r>
    </w:p>
    <w:p w14:paraId="74943CF3" w14:textId="77777777" w:rsidR="00CF5C4A" w:rsidRPr="0058432E" w:rsidRDefault="00CF5C4A" w:rsidP="00A53E17">
      <w:pPr>
        <w:pStyle w:val="BodyText"/>
        <w:keepNext/>
        <w:widowControl/>
        <w:kinsoku w:val="0"/>
        <w:overflowPunct w:val="0"/>
        <w:spacing w:before="1"/>
        <w:ind w:left="0"/>
        <w:rPr>
          <w:color w:val="000000" w:themeColor="text1"/>
        </w:rPr>
      </w:pPr>
      <w:r w:rsidRPr="0058432E">
        <w:rPr>
          <w:b/>
          <w:bCs/>
          <w:color w:val="000000" w:themeColor="text1"/>
        </w:rPr>
        <w:t>Réponse d’efficacité dans la période contrôlée contre placebo de l’étude nr-axSpA II</w:t>
      </w:r>
    </w:p>
    <w:p w14:paraId="75F31B81" w14:textId="77777777" w:rsidR="00CF5C4A" w:rsidRPr="0058432E" w:rsidRDefault="00CF5C4A" w:rsidP="001C2CEC">
      <w:pPr>
        <w:pStyle w:val="BodyText"/>
        <w:keepNext/>
        <w:widowControl/>
        <w:kinsoku w:val="0"/>
        <w:overflowPunct w:val="0"/>
        <w:spacing w:before="7"/>
        <w:ind w:left="0"/>
        <w:rPr>
          <w:b/>
          <w:bCs/>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5177"/>
        <w:gridCol w:w="1901"/>
        <w:gridCol w:w="1987"/>
      </w:tblGrid>
      <w:tr w:rsidR="00CF5C4A" w:rsidRPr="0058432E" w14:paraId="284689DF" w14:textId="77777777" w:rsidTr="009756D9">
        <w:trPr>
          <w:trHeight w:hRule="exact" w:val="852"/>
        </w:trPr>
        <w:tc>
          <w:tcPr>
            <w:tcW w:w="5195" w:type="dxa"/>
            <w:tcBorders>
              <w:top w:val="single" w:sz="4" w:space="0" w:color="000000"/>
              <w:left w:val="single" w:sz="4" w:space="0" w:color="000000"/>
              <w:bottom w:val="single" w:sz="4" w:space="0" w:color="000000"/>
              <w:right w:val="single" w:sz="4" w:space="0" w:color="000000"/>
            </w:tcBorders>
          </w:tcPr>
          <w:p w14:paraId="0A730CFE" w14:textId="77777777" w:rsidR="00CF5C4A" w:rsidRPr="0058432E" w:rsidRDefault="00CF5C4A" w:rsidP="007C4B2C">
            <w:pPr>
              <w:pStyle w:val="TableParagraph"/>
              <w:keepNext/>
              <w:widowControl/>
              <w:tabs>
                <w:tab w:val="left" w:pos="2154"/>
                <w:tab w:val="left" w:pos="2604"/>
              </w:tabs>
              <w:kinsoku w:val="0"/>
              <w:overflowPunct w:val="0"/>
              <w:spacing w:before="14"/>
              <w:ind w:left="63" w:right="3240"/>
              <w:rPr>
                <w:rFonts w:ascii="Times New Roman" w:hAnsi="Times New Roman"/>
                <w:color w:val="000000" w:themeColor="text1"/>
              </w:rPr>
            </w:pPr>
            <w:r w:rsidRPr="0058432E">
              <w:rPr>
                <w:rFonts w:ascii="Times New Roman" w:hAnsi="Times New Roman"/>
                <w:b/>
                <w:bCs/>
                <w:color w:val="000000" w:themeColor="text1"/>
              </w:rPr>
              <w:t>Double aveugle</w:t>
            </w:r>
            <w:r w:rsidRPr="0058432E">
              <w:rPr>
                <w:rFonts w:ascii="Times New Roman" w:hAnsi="Times New Roman"/>
                <w:b/>
                <w:bCs/>
                <w:color w:val="000000" w:themeColor="text1"/>
              </w:rPr>
              <w:cr/>
            </w:r>
            <w:r w:rsidRPr="0058432E">
              <w:rPr>
                <w:rFonts w:ascii="Times New Roman" w:hAnsi="Times New Roman"/>
                <w:b/>
                <w:bCs/>
                <w:color w:val="000000" w:themeColor="text1"/>
              </w:rPr>
              <w:br/>
              <w:t>Réponse à la semaine 68</w:t>
            </w:r>
          </w:p>
        </w:tc>
        <w:tc>
          <w:tcPr>
            <w:tcW w:w="1908" w:type="dxa"/>
            <w:tcBorders>
              <w:top w:val="single" w:sz="4" w:space="0" w:color="000000"/>
              <w:left w:val="single" w:sz="4" w:space="0" w:color="000000"/>
              <w:bottom w:val="single" w:sz="4" w:space="0" w:color="000000"/>
              <w:right w:val="single" w:sz="4" w:space="0" w:color="000000"/>
            </w:tcBorders>
          </w:tcPr>
          <w:p w14:paraId="7AC619C0" w14:textId="77777777" w:rsidR="00CF5C4A" w:rsidRPr="0058432E" w:rsidRDefault="00CF5C4A" w:rsidP="007C4B2C">
            <w:pPr>
              <w:pStyle w:val="TableParagraph"/>
              <w:keepNext/>
              <w:widowControl/>
              <w:kinsoku w:val="0"/>
              <w:overflowPunct w:val="0"/>
              <w:spacing w:before="14"/>
              <w:ind w:left="601" w:right="353" w:hanging="56"/>
              <w:rPr>
                <w:rFonts w:ascii="Times New Roman" w:hAnsi="Times New Roman"/>
                <w:color w:val="000000" w:themeColor="text1"/>
              </w:rPr>
            </w:pPr>
            <w:r w:rsidRPr="0058432E">
              <w:rPr>
                <w:rFonts w:ascii="Times New Roman" w:hAnsi="Times New Roman"/>
                <w:b/>
                <w:bCs/>
                <w:color w:val="000000" w:themeColor="text1"/>
              </w:rPr>
              <w:t>Placebo N = 153</w:t>
            </w:r>
          </w:p>
        </w:tc>
        <w:tc>
          <w:tcPr>
            <w:tcW w:w="1994" w:type="dxa"/>
            <w:tcBorders>
              <w:top w:val="single" w:sz="4" w:space="0" w:color="000000"/>
              <w:left w:val="single" w:sz="4" w:space="0" w:color="000000"/>
              <w:bottom w:val="single" w:sz="4" w:space="0" w:color="000000"/>
              <w:right w:val="single" w:sz="4" w:space="0" w:color="000000"/>
            </w:tcBorders>
          </w:tcPr>
          <w:p w14:paraId="1CD6E4C5" w14:textId="77777777" w:rsidR="00E52316" w:rsidRPr="0058432E" w:rsidRDefault="005B6520" w:rsidP="007C4B2C">
            <w:pPr>
              <w:pStyle w:val="TableParagraph"/>
              <w:keepNext/>
              <w:widowControl/>
              <w:kinsoku w:val="0"/>
              <w:overflowPunct w:val="0"/>
              <w:spacing w:before="14"/>
              <w:ind w:left="673" w:right="113" w:hanging="396"/>
              <w:jc w:val="center"/>
              <w:rPr>
                <w:rFonts w:ascii="Times New Roman" w:hAnsi="Times New Roman"/>
                <w:b/>
                <w:color w:val="000000" w:themeColor="text1"/>
              </w:rPr>
            </w:pPr>
            <w:r w:rsidRPr="0058432E">
              <w:rPr>
                <w:rFonts w:ascii="Times New Roman" w:hAnsi="Times New Roman"/>
                <w:b/>
                <w:color w:val="000000" w:themeColor="text1"/>
              </w:rPr>
              <w:t>Adalimumab</w:t>
            </w:r>
          </w:p>
          <w:p w14:paraId="7B132384" w14:textId="77777777" w:rsidR="00CF5C4A" w:rsidRPr="0058432E" w:rsidRDefault="00CF5C4A" w:rsidP="007C4B2C">
            <w:pPr>
              <w:pStyle w:val="TableParagraph"/>
              <w:keepNext/>
              <w:widowControl/>
              <w:kinsoku w:val="0"/>
              <w:overflowPunct w:val="0"/>
              <w:spacing w:before="14"/>
              <w:ind w:left="673" w:right="113" w:hanging="396"/>
              <w:jc w:val="center"/>
              <w:rPr>
                <w:rFonts w:ascii="Times New Roman" w:hAnsi="Times New Roman"/>
                <w:color w:val="000000" w:themeColor="text1"/>
              </w:rPr>
            </w:pPr>
            <w:r w:rsidRPr="0058432E">
              <w:rPr>
                <w:rFonts w:ascii="Times New Roman" w:hAnsi="Times New Roman"/>
                <w:b/>
                <w:bCs/>
                <w:color w:val="000000" w:themeColor="text1"/>
              </w:rPr>
              <w:t>N = 152</w:t>
            </w:r>
          </w:p>
        </w:tc>
      </w:tr>
      <w:tr w:rsidR="00CF5C4A" w:rsidRPr="0058432E" w14:paraId="527C2486"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352400DC" w14:textId="77777777" w:rsidR="00CF5C4A" w:rsidRPr="0058432E" w:rsidRDefault="00CF5C4A" w:rsidP="007C4B2C">
            <w:pPr>
              <w:pStyle w:val="TableParagraph"/>
              <w:keepNext/>
              <w:widowControl/>
              <w:kinsoku w:val="0"/>
              <w:overflowPunct w:val="0"/>
              <w:spacing w:line="263" w:lineRule="exact"/>
              <w:ind w:left="63"/>
              <w:rPr>
                <w:rFonts w:ascii="Times New Roman" w:hAnsi="Times New Roman"/>
                <w:color w:val="000000" w:themeColor="text1"/>
              </w:rPr>
            </w:pPr>
            <w:proofErr w:type="gramStart"/>
            <w:r w:rsidRPr="0058432E">
              <w:rPr>
                <w:rFonts w:ascii="Times New Roman" w:hAnsi="Times New Roman"/>
                <w:color w:val="000000" w:themeColor="text1"/>
              </w:rPr>
              <w:t>ASAS</w:t>
            </w:r>
            <w:r w:rsidRPr="0058432E">
              <w:rPr>
                <w:rFonts w:ascii="Times New Roman" w:hAnsi="Times New Roman"/>
                <w:color w:val="000000" w:themeColor="text1"/>
                <w:vertAlign w:val="superscript"/>
              </w:rPr>
              <w:t>a,b</w:t>
            </w:r>
            <w:proofErr w:type="gramEnd"/>
            <w:r w:rsidRPr="0058432E">
              <w:rPr>
                <w:rFonts w:ascii="Times New Roman" w:hAnsi="Times New Roman"/>
                <w:color w:val="000000" w:themeColor="text1"/>
              </w:rPr>
              <w:t xml:space="preserve"> 20</w:t>
            </w:r>
          </w:p>
        </w:tc>
        <w:tc>
          <w:tcPr>
            <w:tcW w:w="1908" w:type="dxa"/>
            <w:tcBorders>
              <w:top w:val="single" w:sz="4" w:space="0" w:color="000000"/>
              <w:left w:val="single" w:sz="4" w:space="0" w:color="000000"/>
              <w:bottom w:val="single" w:sz="4" w:space="0" w:color="000000"/>
              <w:right w:val="single" w:sz="4" w:space="0" w:color="000000"/>
            </w:tcBorders>
          </w:tcPr>
          <w:p w14:paraId="4141D163" w14:textId="77777777" w:rsidR="00CF5C4A" w:rsidRPr="0058432E" w:rsidRDefault="00CF5C4A" w:rsidP="007C4B2C">
            <w:pPr>
              <w:pStyle w:val="TableParagraph"/>
              <w:keepNext/>
              <w:widowControl/>
              <w:kinsoku w:val="0"/>
              <w:overflowPunct w:val="0"/>
              <w:spacing w:before="10"/>
              <w:ind w:left="1"/>
              <w:jc w:val="center"/>
              <w:rPr>
                <w:rFonts w:ascii="Times New Roman" w:hAnsi="Times New Roman"/>
                <w:color w:val="000000" w:themeColor="text1"/>
              </w:rPr>
            </w:pPr>
            <w:r w:rsidRPr="0058432E">
              <w:rPr>
                <w:rFonts w:ascii="Times New Roman" w:hAnsi="Times New Roman"/>
                <w:color w:val="000000" w:themeColor="text1"/>
              </w:rPr>
              <w:t>47,1 %</w:t>
            </w:r>
          </w:p>
        </w:tc>
        <w:tc>
          <w:tcPr>
            <w:tcW w:w="1994" w:type="dxa"/>
            <w:tcBorders>
              <w:top w:val="single" w:sz="4" w:space="0" w:color="000000"/>
              <w:left w:val="single" w:sz="4" w:space="0" w:color="000000"/>
              <w:bottom w:val="single" w:sz="4" w:space="0" w:color="000000"/>
              <w:right w:val="single" w:sz="4" w:space="0" w:color="000000"/>
            </w:tcBorders>
          </w:tcPr>
          <w:p w14:paraId="150A9829" w14:textId="77777777" w:rsidR="00CF5C4A" w:rsidRPr="0058432E" w:rsidRDefault="00CF5C4A" w:rsidP="007C4B2C">
            <w:pPr>
              <w:pStyle w:val="TableParagraph"/>
              <w:keepNext/>
              <w:widowControl/>
              <w:kinsoku w:val="0"/>
              <w:overflowPunct w:val="0"/>
              <w:spacing w:before="10"/>
              <w:ind w:left="505"/>
              <w:rPr>
                <w:rFonts w:ascii="Times New Roman" w:hAnsi="Times New Roman"/>
                <w:color w:val="000000" w:themeColor="text1"/>
              </w:rPr>
            </w:pPr>
            <w:r w:rsidRPr="0058432E">
              <w:rPr>
                <w:rFonts w:ascii="Times New Roman" w:hAnsi="Times New Roman"/>
                <w:color w:val="000000" w:themeColor="text1"/>
              </w:rPr>
              <w:t>70,4 %***</w:t>
            </w:r>
          </w:p>
        </w:tc>
      </w:tr>
      <w:tr w:rsidR="00CF5C4A" w:rsidRPr="0058432E" w14:paraId="7C9BF341"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7F921B64" w14:textId="77777777" w:rsidR="00CF5C4A" w:rsidRPr="0058432E" w:rsidRDefault="00CF5C4A" w:rsidP="007C4B2C">
            <w:pPr>
              <w:pStyle w:val="TableParagraph"/>
              <w:keepNext/>
              <w:widowControl/>
              <w:kinsoku w:val="0"/>
              <w:overflowPunct w:val="0"/>
              <w:spacing w:line="260" w:lineRule="exact"/>
              <w:ind w:left="63"/>
              <w:rPr>
                <w:rFonts w:ascii="Times New Roman" w:hAnsi="Times New Roman"/>
                <w:color w:val="000000" w:themeColor="text1"/>
              </w:rPr>
            </w:pPr>
            <w:proofErr w:type="gramStart"/>
            <w:r w:rsidRPr="0058432E">
              <w:rPr>
                <w:rFonts w:ascii="Times New Roman" w:hAnsi="Times New Roman"/>
                <w:color w:val="000000" w:themeColor="text1"/>
              </w:rPr>
              <w:t>ASAS</w:t>
            </w:r>
            <w:r w:rsidRPr="0058432E">
              <w:rPr>
                <w:rFonts w:ascii="Times New Roman" w:hAnsi="Times New Roman"/>
                <w:color w:val="000000" w:themeColor="text1"/>
                <w:vertAlign w:val="superscript"/>
              </w:rPr>
              <w:t>a,b</w:t>
            </w:r>
            <w:proofErr w:type="gramEnd"/>
            <w:r w:rsidRPr="0058432E">
              <w:rPr>
                <w:rFonts w:ascii="Times New Roman" w:hAnsi="Times New Roman"/>
                <w:color w:val="000000" w:themeColor="text1"/>
              </w:rPr>
              <w:t xml:space="preserve"> 40</w:t>
            </w:r>
          </w:p>
        </w:tc>
        <w:tc>
          <w:tcPr>
            <w:tcW w:w="1908" w:type="dxa"/>
            <w:tcBorders>
              <w:top w:val="single" w:sz="4" w:space="0" w:color="000000"/>
              <w:left w:val="single" w:sz="4" w:space="0" w:color="000000"/>
              <w:bottom w:val="single" w:sz="4" w:space="0" w:color="000000"/>
              <w:right w:val="single" w:sz="4" w:space="0" w:color="000000"/>
            </w:tcBorders>
          </w:tcPr>
          <w:p w14:paraId="2331CF0E" w14:textId="77777777" w:rsidR="00CF5C4A" w:rsidRPr="0058432E" w:rsidRDefault="00CF5C4A" w:rsidP="007C4B2C">
            <w:pPr>
              <w:pStyle w:val="TableParagraph"/>
              <w:keepNext/>
              <w:widowControl/>
              <w:kinsoku w:val="0"/>
              <w:overflowPunct w:val="0"/>
              <w:spacing w:before="7"/>
              <w:ind w:left="1"/>
              <w:jc w:val="center"/>
              <w:rPr>
                <w:rFonts w:ascii="Times New Roman" w:hAnsi="Times New Roman"/>
                <w:color w:val="000000" w:themeColor="text1"/>
              </w:rPr>
            </w:pPr>
            <w:r w:rsidRPr="0058432E">
              <w:rPr>
                <w:rFonts w:ascii="Times New Roman" w:hAnsi="Times New Roman"/>
                <w:color w:val="000000" w:themeColor="text1"/>
              </w:rPr>
              <w:t>45,8 %</w:t>
            </w:r>
          </w:p>
        </w:tc>
        <w:tc>
          <w:tcPr>
            <w:tcW w:w="1994" w:type="dxa"/>
            <w:tcBorders>
              <w:top w:val="single" w:sz="4" w:space="0" w:color="000000"/>
              <w:left w:val="single" w:sz="4" w:space="0" w:color="000000"/>
              <w:bottom w:val="single" w:sz="4" w:space="0" w:color="000000"/>
              <w:right w:val="single" w:sz="4" w:space="0" w:color="000000"/>
            </w:tcBorders>
          </w:tcPr>
          <w:p w14:paraId="48E10C26" w14:textId="77777777" w:rsidR="00CF5C4A" w:rsidRPr="0058432E" w:rsidRDefault="00CF5C4A" w:rsidP="007C4B2C">
            <w:pPr>
              <w:pStyle w:val="TableParagraph"/>
              <w:keepNext/>
              <w:widowControl/>
              <w:kinsoku w:val="0"/>
              <w:overflowPunct w:val="0"/>
              <w:spacing w:before="7"/>
              <w:ind w:left="505"/>
              <w:rPr>
                <w:rFonts w:ascii="Times New Roman" w:hAnsi="Times New Roman"/>
                <w:color w:val="000000" w:themeColor="text1"/>
              </w:rPr>
            </w:pPr>
            <w:r w:rsidRPr="0058432E">
              <w:rPr>
                <w:rFonts w:ascii="Times New Roman" w:hAnsi="Times New Roman"/>
                <w:color w:val="000000" w:themeColor="text1"/>
              </w:rPr>
              <w:t>65,8 %***</w:t>
            </w:r>
          </w:p>
        </w:tc>
      </w:tr>
      <w:tr w:rsidR="00CF5C4A" w:rsidRPr="0058432E" w14:paraId="46989F7D"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05D00292" w14:textId="77777777" w:rsidR="00CF5C4A" w:rsidRPr="0058432E"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58432E">
              <w:rPr>
                <w:rFonts w:ascii="Times New Roman" w:hAnsi="Times New Roman"/>
                <w:color w:val="000000" w:themeColor="text1"/>
              </w:rPr>
              <w:t>ASAS</w:t>
            </w:r>
            <w:r w:rsidRPr="0058432E">
              <w:rPr>
                <w:rFonts w:ascii="Times New Roman" w:hAnsi="Times New Roman"/>
                <w:color w:val="000000" w:themeColor="text1"/>
                <w:vertAlign w:val="superscript"/>
              </w:rPr>
              <w:t>a</w:t>
            </w:r>
            <w:r w:rsidRPr="0058432E">
              <w:rPr>
                <w:rFonts w:ascii="Times New Roman" w:hAnsi="Times New Roman"/>
                <w:color w:val="000000" w:themeColor="text1"/>
              </w:rPr>
              <w:t xml:space="preserve"> Rémission Partielle</w:t>
            </w:r>
          </w:p>
        </w:tc>
        <w:tc>
          <w:tcPr>
            <w:tcW w:w="1908" w:type="dxa"/>
            <w:tcBorders>
              <w:top w:val="single" w:sz="4" w:space="0" w:color="000000"/>
              <w:left w:val="single" w:sz="4" w:space="0" w:color="000000"/>
              <w:bottom w:val="single" w:sz="4" w:space="0" w:color="000000"/>
              <w:right w:val="single" w:sz="4" w:space="0" w:color="000000"/>
            </w:tcBorders>
          </w:tcPr>
          <w:p w14:paraId="17FF5B8E" w14:textId="77777777" w:rsidR="00CF5C4A" w:rsidRPr="0058432E" w:rsidRDefault="00CF5C4A" w:rsidP="007C4B2C">
            <w:pPr>
              <w:pStyle w:val="TableParagraph"/>
              <w:keepNext/>
              <w:widowControl/>
              <w:kinsoku w:val="0"/>
              <w:overflowPunct w:val="0"/>
              <w:spacing w:before="7"/>
              <w:ind w:left="1"/>
              <w:jc w:val="center"/>
              <w:rPr>
                <w:rFonts w:ascii="Times New Roman" w:hAnsi="Times New Roman"/>
                <w:color w:val="000000" w:themeColor="text1"/>
              </w:rPr>
            </w:pPr>
            <w:r w:rsidRPr="0058432E">
              <w:rPr>
                <w:rFonts w:ascii="Times New Roman" w:hAnsi="Times New Roman"/>
                <w:color w:val="000000" w:themeColor="text1"/>
              </w:rPr>
              <w:t>26,8 %</w:t>
            </w:r>
          </w:p>
        </w:tc>
        <w:tc>
          <w:tcPr>
            <w:tcW w:w="1994" w:type="dxa"/>
            <w:tcBorders>
              <w:top w:val="single" w:sz="4" w:space="0" w:color="000000"/>
              <w:left w:val="single" w:sz="4" w:space="0" w:color="000000"/>
              <w:bottom w:val="single" w:sz="4" w:space="0" w:color="000000"/>
              <w:right w:val="single" w:sz="4" w:space="0" w:color="000000"/>
            </w:tcBorders>
          </w:tcPr>
          <w:p w14:paraId="3A68191F" w14:textId="77777777" w:rsidR="00CF5C4A" w:rsidRPr="0058432E" w:rsidRDefault="00CF5C4A" w:rsidP="007C4B2C">
            <w:pPr>
              <w:pStyle w:val="TableParagraph"/>
              <w:keepNext/>
              <w:widowControl/>
              <w:kinsoku w:val="0"/>
              <w:overflowPunct w:val="0"/>
              <w:spacing w:before="7"/>
              <w:ind w:left="560"/>
              <w:rPr>
                <w:rFonts w:ascii="Times New Roman" w:hAnsi="Times New Roman"/>
                <w:color w:val="000000" w:themeColor="text1"/>
              </w:rPr>
            </w:pPr>
            <w:r w:rsidRPr="0058432E">
              <w:rPr>
                <w:rFonts w:ascii="Times New Roman" w:hAnsi="Times New Roman"/>
                <w:color w:val="000000" w:themeColor="text1"/>
              </w:rPr>
              <w:t>42,1 %**</w:t>
            </w:r>
          </w:p>
        </w:tc>
      </w:tr>
      <w:tr w:rsidR="00CF5C4A" w:rsidRPr="0058432E" w14:paraId="163B8E04"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682B6775" w14:textId="77777777" w:rsidR="00CF5C4A" w:rsidRPr="0058432E"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58432E">
              <w:rPr>
                <w:rFonts w:ascii="Times New Roman" w:hAnsi="Times New Roman"/>
                <w:color w:val="000000" w:themeColor="text1"/>
              </w:rPr>
              <w:t>ASDAS</w:t>
            </w:r>
            <w:r w:rsidRPr="0058432E">
              <w:rPr>
                <w:rFonts w:ascii="Times New Roman" w:hAnsi="Times New Roman"/>
                <w:color w:val="000000" w:themeColor="text1"/>
                <w:vertAlign w:val="superscript"/>
              </w:rPr>
              <w:t>c</w:t>
            </w:r>
            <w:r w:rsidRPr="0058432E">
              <w:rPr>
                <w:rFonts w:ascii="Times New Roman" w:hAnsi="Times New Roman"/>
                <w:color w:val="000000" w:themeColor="text1"/>
              </w:rPr>
              <w:t xml:space="preserve"> Maladie inactive</w:t>
            </w:r>
          </w:p>
        </w:tc>
        <w:tc>
          <w:tcPr>
            <w:tcW w:w="1908" w:type="dxa"/>
            <w:tcBorders>
              <w:top w:val="single" w:sz="4" w:space="0" w:color="000000"/>
              <w:left w:val="single" w:sz="4" w:space="0" w:color="000000"/>
              <w:bottom w:val="single" w:sz="4" w:space="0" w:color="000000"/>
              <w:right w:val="single" w:sz="4" w:space="0" w:color="000000"/>
            </w:tcBorders>
          </w:tcPr>
          <w:p w14:paraId="642CE6AB" w14:textId="77777777" w:rsidR="00CF5C4A" w:rsidRPr="0058432E" w:rsidRDefault="00CF5C4A" w:rsidP="007C4B2C">
            <w:pPr>
              <w:pStyle w:val="TableParagraph"/>
              <w:keepNext/>
              <w:widowControl/>
              <w:kinsoku w:val="0"/>
              <w:overflowPunct w:val="0"/>
              <w:spacing w:before="7"/>
              <w:ind w:left="1"/>
              <w:jc w:val="center"/>
              <w:rPr>
                <w:rFonts w:ascii="Times New Roman" w:hAnsi="Times New Roman"/>
                <w:color w:val="000000" w:themeColor="text1"/>
              </w:rPr>
            </w:pPr>
            <w:r w:rsidRPr="0058432E">
              <w:rPr>
                <w:rFonts w:ascii="Times New Roman" w:hAnsi="Times New Roman"/>
                <w:color w:val="000000" w:themeColor="text1"/>
              </w:rPr>
              <w:t>33,3 %</w:t>
            </w:r>
          </w:p>
        </w:tc>
        <w:tc>
          <w:tcPr>
            <w:tcW w:w="1994" w:type="dxa"/>
            <w:tcBorders>
              <w:top w:val="single" w:sz="4" w:space="0" w:color="000000"/>
              <w:left w:val="single" w:sz="4" w:space="0" w:color="000000"/>
              <w:bottom w:val="single" w:sz="4" w:space="0" w:color="000000"/>
              <w:right w:val="single" w:sz="4" w:space="0" w:color="000000"/>
            </w:tcBorders>
          </w:tcPr>
          <w:p w14:paraId="299A0EEE" w14:textId="77777777" w:rsidR="00CF5C4A" w:rsidRPr="0058432E" w:rsidRDefault="00CF5C4A" w:rsidP="007C4B2C">
            <w:pPr>
              <w:pStyle w:val="TableParagraph"/>
              <w:keepNext/>
              <w:widowControl/>
              <w:kinsoku w:val="0"/>
              <w:overflowPunct w:val="0"/>
              <w:spacing w:before="7"/>
              <w:ind w:left="505"/>
              <w:rPr>
                <w:rFonts w:ascii="Times New Roman" w:hAnsi="Times New Roman"/>
                <w:color w:val="000000" w:themeColor="text1"/>
              </w:rPr>
            </w:pPr>
            <w:r w:rsidRPr="0058432E">
              <w:rPr>
                <w:rFonts w:ascii="Times New Roman" w:hAnsi="Times New Roman"/>
                <w:color w:val="000000" w:themeColor="text1"/>
              </w:rPr>
              <w:t>57,2 %***</w:t>
            </w:r>
          </w:p>
        </w:tc>
      </w:tr>
      <w:tr w:rsidR="00CF5C4A" w:rsidRPr="0058432E" w14:paraId="2B284A0C"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05C3E2DC" w14:textId="77777777" w:rsidR="00CF5C4A" w:rsidRPr="0058432E" w:rsidRDefault="00CF5C4A" w:rsidP="007C4B2C">
            <w:pPr>
              <w:pStyle w:val="TableParagraph"/>
              <w:keepNext/>
              <w:widowControl/>
              <w:kinsoku w:val="0"/>
              <w:overflowPunct w:val="0"/>
              <w:spacing w:line="260" w:lineRule="exact"/>
              <w:ind w:left="63"/>
              <w:rPr>
                <w:rFonts w:ascii="Times New Roman" w:hAnsi="Times New Roman"/>
                <w:color w:val="000000" w:themeColor="text1"/>
              </w:rPr>
            </w:pPr>
            <w:r w:rsidRPr="0058432E">
              <w:rPr>
                <w:rFonts w:ascii="Times New Roman" w:hAnsi="Times New Roman"/>
                <w:color w:val="000000" w:themeColor="text1"/>
              </w:rPr>
              <w:t>Poussée partielle</w:t>
            </w:r>
            <w:r w:rsidRPr="0058432E">
              <w:rPr>
                <w:rFonts w:ascii="Times New Roman" w:hAnsi="Times New Roman"/>
                <w:color w:val="000000" w:themeColor="text1"/>
                <w:vertAlign w:val="superscript"/>
              </w:rPr>
              <w:t>d</w:t>
            </w:r>
          </w:p>
        </w:tc>
        <w:tc>
          <w:tcPr>
            <w:tcW w:w="1908" w:type="dxa"/>
            <w:tcBorders>
              <w:top w:val="single" w:sz="4" w:space="0" w:color="000000"/>
              <w:left w:val="single" w:sz="4" w:space="0" w:color="000000"/>
              <w:bottom w:val="single" w:sz="4" w:space="0" w:color="000000"/>
              <w:right w:val="single" w:sz="4" w:space="0" w:color="000000"/>
            </w:tcBorders>
          </w:tcPr>
          <w:p w14:paraId="46E2B643" w14:textId="77777777" w:rsidR="00CF5C4A" w:rsidRPr="0058432E" w:rsidRDefault="00CF5C4A" w:rsidP="007C4B2C">
            <w:pPr>
              <w:pStyle w:val="TableParagraph"/>
              <w:keepNext/>
              <w:widowControl/>
              <w:kinsoku w:val="0"/>
              <w:overflowPunct w:val="0"/>
              <w:spacing w:before="7"/>
              <w:ind w:left="1"/>
              <w:jc w:val="center"/>
              <w:rPr>
                <w:rFonts w:ascii="Times New Roman" w:hAnsi="Times New Roman"/>
                <w:color w:val="000000" w:themeColor="text1"/>
              </w:rPr>
            </w:pPr>
            <w:r w:rsidRPr="0058432E">
              <w:rPr>
                <w:rFonts w:ascii="Times New Roman" w:hAnsi="Times New Roman"/>
                <w:color w:val="000000" w:themeColor="text1"/>
              </w:rPr>
              <w:t>64,1 %</w:t>
            </w:r>
          </w:p>
        </w:tc>
        <w:tc>
          <w:tcPr>
            <w:tcW w:w="1994" w:type="dxa"/>
            <w:tcBorders>
              <w:top w:val="single" w:sz="4" w:space="0" w:color="000000"/>
              <w:left w:val="single" w:sz="4" w:space="0" w:color="000000"/>
              <w:bottom w:val="single" w:sz="4" w:space="0" w:color="000000"/>
              <w:right w:val="single" w:sz="4" w:space="0" w:color="000000"/>
            </w:tcBorders>
          </w:tcPr>
          <w:p w14:paraId="027705DB" w14:textId="77777777" w:rsidR="00CF5C4A" w:rsidRPr="0058432E" w:rsidRDefault="00CF5C4A" w:rsidP="007C4B2C">
            <w:pPr>
              <w:pStyle w:val="TableParagraph"/>
              <w:keepNext/>
              <w:widowControl/>
              <w:kinsoku w:val="0"/>
              <w:overflowPunct w:val="0"/>
              <w:spacing w:before="7"/>
              <w:ind w:left="505"/>
              <w:rPr>
                <w:rFonts w:ascii="Times New Roman" w:hAnsi="Times New Roman"/>
                <w:color w:val="000000" w:themeColor="text1"/>
              </w:rPr>
            </w:pPr>
            <w:r w:rsidRPr="0058432E">
              <w:rPr>
                <w:rFonts w:ascii="Times New Roman" w:hAnsi="Times New Roman"/>
                <w:color w:val="000000" w:themeColor="text1"/>
              </w:rPr>
              <w:t>40,8 %***</w:t>
            </w:r>
          </w:p>
        </w:tc>
      </w:tr>
      <w:tr w:rsidR="009756D9" w:rsidRPr="0058432E" w14:paraId="7B8B3673" w14:textId="77777777" w:rsidTr="009756D9">
        <w:tc>
          <w:tcPr>
            <w:tcW w:w="9097" w:type="dxa"/>
            <w:gridSpan w:val="3"/>
            <w:tcBorders>
              <w:top w:val="single" w:sz="4" w:space="0" w:color="000000"/>
            </w:tcBorders>
          </w:tcPr>
          <w:p w14:paraId="43AD7DA3" w14:textId="77777777" w:rsidR="009756D9" w:rsidRPr="008444F9" w:rsidRDefault="009756D9" w:rsidP="007C4B2C">
            <w:pPr>
              <w:pStyle w:val="BodyText"/>
              <w:keepNext/>
              <w:widowControl/>
              <w:kinsoku w:val="0"/>
              <w:overflowPunct w:val="0"/>
              <w:ind w:left="270" w:hanging="270"/>
              <w:rPr>
                <w:color w:val="000000" w:themeColor="text1"/>
                <w:sz w:val="20"/>
                <w:lang w:val="en-US"/>
              </w:rPr>
            </w:pPr>
            <w:proofErr w:type="gramStart"/>
            <w:r w:rsidRPr="008444F9">
              <w:rPr>
                <w:color w:val="000000" w:themeColor="text1"/>
                <w:sz w:val="20"/>
                <w:vertAlign w:val="superscript"/>
                <w:lang w:val="en-US"/>
              </w:rPr>
              <w:t>a</w:t>
            </w:r>
            <w:proofErr w:type="gramEnd"/>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Assessment of Spondyloarthritis International Society</w:t>
            </w:r>
          </w:p>
          <w:p w14:paraId="71B9A76F" w14:textId="77777777" w:rsidR="009756D9" w:rsidRPr="0058432E" w:rsidRDefault="009756D9" w:rsidP="007C4B2C">
            <w:pPr>
              <w:pStyle w:val="BodyText"/>
              <w:keepNext/>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vertAlign w:val="superscript"/>
              </w:rPr>
              <w:t xml:space="preserve"> </w:t>
            </w:r>
            <w:r w:rsidRPr="0058432E">
              <w:rPr>
                <w:color w:val="000000" w:themeColor="text1"/>
                <w:sz w:val="20"/>
                <w:vertAlign w:val="superscript"/>
              </w:rPr>
              <w:tab/>
            </w:r>
            <w:r w:rsidRPr="0058432E">
              <w:rPr>
                <w:color w:val="000000" w:themeColor="text1"/>
                <w:sz w:val="20"/>
              </w:rPr>
              <w:t>L’inclusion est définie comme l’inclusion dans la période en ouvert lorsque les patients ont une maladie active.</w:t>
            </w:r>
          </w:p>
          <w:p w14:paraId="7A5949A1" w14:textId="77777777" w:rsidR="009756D9" w:rsidRPr="008444F9" w:rsidRDefault="009756D9" w:rsidP="007C4B2C">
            <w:pPr>
              <w:pStyle w:val="BodyText"/>
              <w:keepNext/>
              <w:widowControl/>
              <w:kinsoku w:val="0"/>
              <w:overflowPunct w:val="0"/>
              <w:ind w:left="270" w:hanging="270"/>
              <w:rPr>
                <w:color w:val="000000" w:themeColor="text1"/>
                <w:sz w:val="20"/>
                <w:lang w:val="en-US"/>
              </w:rPr>
            </w:pPr>
            <w:r w:rsidRPr="008444F9">
              <w:rPr>
                <w:color w:val="000000" w:themeColor="text1"/>
                <w:sz w:val="20"/>
                <w:vertAlign w:val="superscript"/>
                <w:lang w:val="en-US"/>
              </w:rPr>
              <w:t>c</w:t>
            </w:r>
            <w:r w:rsidRPr="008444F9">
              <w:rPr>
                <w:color w:val="000000" w:themeColor="text1"/>
                <w:sz w:val="20"/>
                <w:lang w:val="en-US"/>
              </w:rPr>
              <w:t xml:space="preserve"> </w:t>
            </w:r>
            <w:r w:rsidRPr="008444F9">
              <w:rPr>
                <w:color w:val="000000" w:themeColor="text1"/>
                <w:sz w:val="20"/>
                <w:lang w:val="en-US"/>
              </w:rPr>
              <w:tab/>
            </w:r>
            <w:r w:rsidRPr="008444F9">
              <w:rPr>
                <w:i/>
                <w:iCs/>
                <w:color w:val="000000" w:themeColor="text1"/>
                <w:sz w:val="20"/>
                <w:lang w:val="en-US"/>
              </w:rPr>
              <w:t>Ankylosing Spondylitis Disease Activity Score</w:t>
            </w:r>
          </w:p>
          <w:p w14:paraId="4E6A8C84" w14:textId="77777777" w:rsidR="009756D9" w:rsidRPr="0058432E" w:rsidRDefault="009756D9" w:rsidP="007C4B2C">
            <w:pPr>
              <w:pStyle w:val="BodyText"/>
              <w:keepNext/>
              <w:widowControl/>
              <w:kinsoku w:val="0"/>
              <w:overflowPunct w:val="0"/>
              <w:ind w:left="270" w:hanging="270"/>
              <w:rPr>
                <w:color w:val="000000" w:themeColor="text1"/>
                <w:sz w:val="20"/>
              </w:rPr>
            </w:pPr>
            <w:proofErr w:type="gramStart"/>
            <w:r w:rsidRPr="0058432E">
              <w:rPr>
                <w:color w:val="000000" w:themeColor="text1"/>
                <w:sz w:val="20"/>
                <w:vertAlign w:val="superscript"/>
              </w:rPr>
              <w:t>d</w:t>
            </w:r>
            <w:proofErr w:type="gramEnd"/>
            <w:r w:rsidRPr="0058432E">
              <w:rPr>
                <w:color w:val="000000" w:themeColor="text1"/>
                <w:sz w:val="20"/>
              </w:rPr>
              <w:t xml:space="preserve"> </w:t>
            </w:r>
            <w:r w:rsidRPr="0058432E">
              <w:rPr>
                <w:color w:val="000000" w:themeColor="text1"/>
                <w:sz w:val="20"/>
              </w:rPr>
              <w:tab/>
              <w:t>Une poussée partielle est définie comme un score ASDAS ≥ 1,3 mais &lt; 2,1 lors de 2 visites consécutives.</w:t>
            </w:r>
          </w:p>
          <w:p w14:paraId="689D7480" w14:textId="77777777" w:rsidR="009756D9" w:rsidRPr="0058432E" w:rsidRDefault="009756D9" w:rsidP="007C4B2C">
            <w:pPr>
              <w:pStyle w:val="BodyText"/>
              <w:keepNext/>
              <w:widowControl/>
              <w:kinsoku w:val="0"/>
              <w:overflowPunct w:val="0"/>
              <w:ind w:left="0"/>
              <w:rPr>
                <w:color w:val="000000" w:themeColor="text1"/>
                <w:sz w:val="20"/>
              </w:rPr>
            </w:pPr>
            <w:r w:rsidRPr="0058432E">
              <w:rPr>
                <w:color w:val="000000" w:themeColor="text1"/>
                <w:sz w:val="20"/>
              </w:rPr>
              <w:t xml:space="preserve">***, ** Résultat statistiquement significatif à </w:t>
            </w:r>
            <w:r w:rsidRPr="0058432E">
              <w:rPr>
                <w:i/>
                <w:iCs/>
                <w:color w:val="000000" w:themeColor="text1"/>
                <w:sz w:val="20"/>
              </w:rPr>
              <w:t>p</w:t>
            </w:r>
            <w:r w:rsidRPr="0058432E">
              <w:rPr>
                <w:color w:val="000000" w:themeColor="text1"/>
                <w:sz w:val="20"/>
              </w:rPr>
              <w:t xml:space="preserve"> &lt; 0,001 et &lt; 0,01 respectivement pour toutes les comparaisons entre l’adalimumab et le placebo.</w:t>
            </w:r>
          </w:p>
        </w:tc>
      </w:tr>
    </w:tbl>
    <w:p w14:paraId="26B4E5D2" w14:textId="77777777" w:rsidR="00CF5C4A" w:rsidRPr="0058432E" w:rsidRDefault="00CF5C4A" w:rsidP="00982118">
      <w:pPr>
        <w:autoSpaceDE w:val="0"/>
        <w:autoSpaceDN w:val="0"/>
        <w:adjustRightInd w:val="0"/>
        <w:rPr>
          <w:color w:val="000000" w:themeColor="text1"/>
        </w:rPr>
      </w:pPr>
    </w:p>
    <w:p w14:paraId="04E16F80" w14:textId="77777777" w:rsidR="00C46587" w:rsidRPr="0058432E" w:rsidRDefault="00C46587" w:rsidP="00982118">
      <w:pPr>
        <w:rPr>
          <w:i/>
          <w:color w:val="000000" w:themeColor="text1"/>
        </w:rPr>
      </w:pPr>
      <w:r w:rsidRPr="0058432E">
        <w:rPr>
          <w:i/>
          <w:color w:val="000000" w:themeColor="text1"/>
        </w:rPr>
        <w:t xml:space="preserve">Rhumatisme psoriasique </w:t>
      </w:r>
    </w:p>
    <w:p w14:paraId="577F3C8B" w14:textId="77777777" w:rsidR="00C46587" w:rsidRPr="0058432E" w:rsidRDefault="00C46587" w:rsidP="00982118">
      <w:pPr>
        <w:rPr>
          <w:color w:val="000000" w:themeColor="text1"/>
        </w:rPr>
      </w:pPr>
    </w:p>
    <w:p w14:paraId="47427F6E" w14:textId="77777777" w:rsidR="00C46587" w:rsidRPr="0058432E" w:rsidRDefault="005A4709" w:rsidP="00982118">
      <w:pPr>
        <w:rPr>
          <w:color w:val="000000" w:themeColor="text1"/>
        </w:rPr>
      </w:pPr>
      <w:r w:rsidRPr="0058432E">
        <w:rPr>
          <w:color w:val="000000" w:themeColor="text1"/>
        </w:rPr>
        <w:t>L’adalimumab, 40 mg toutes les deux semaines, a été étudié chez des patients ayant un rhumatisme psoriasique</w:t>
      </w:r>
      <w:r w:rsidR="00114FF0" w:rsidRPr="0058432E">
        <w:rPr>
          <w:color w:val="000000" w:themeColor="text1"/>
        </w:rPr>
        <w:t xml:space="preserve"> (RPs)</w:t>
      </w:r>
      <w:r w:rsidRPr="0058432E">
        <w:rPr>
          <w:color w:val="000000" w:themeColor="text1"/>
        </w:rPr>
        <w:t xml:space="preserve"> </w:t>
      </w:r>
      <w:r w:rsidR="007B1DF4" w:rsidRPr="0058432E">
        <w:rPr>
          <w:color w:val="000000" w:themeColor="text1"/>
        </w:rPr>
        <w:t>active modérée à sévère</w:t>
      </w:r>
      <w:r w:rsidR="000A042E" w:rsidRPr="0058432E">
        <w:rPr>
          <w:color w:val="000000" w:themeColor="text1"/>
        </w:rPr>
        <w:t xml:space="preserve"> </w:t>
      </w:r>
      <w:r w:rsidRPr="0058432E">
        <w:rPr>
          <w:color w:val="000000" w:themeColor="text1"/>
        </w:rPr>
        <w:t xml:space="preserve">dans deux études contrôlées contre placebo, les études I et II sur le RPs. Dans l’étude I sur le RPs d’une durée de 24 semaines, on a traité 313 patients adultes qui avaient une réponse inadéquate à un traitement par anti-inflammatoire non stéroïdien, et parmi lesquels environ 50 % prenaient du méthotrexate. Dans l’étude II sur le RPs d’une durée de 12 semaines, 100 patients qui présentaient une réponse inadéquate à un traitement de fond, ont été traités. </w:t>
      </w:r>
      <w:r w:rsidR="00A30019" w:rsidRPr="0058432E">
        <w:rPr>
          <w:color w:val="000000" w:themeColor="text1"/>
        </w:rPr>
        <w:t>À</w:t>
      </w:r>
      <w:r w:rsidRPr="0058432E">
        <w:rPr>
          <w:color w:val="000000" w:themeColor="text1"/>
        </w:rPr>
        <w:t xml:space="preserve"> la fin des 2 études, 383 patients ont été recrutés dans une étude d’extension en ouvert, au cours de laquelle ils ont reçu 40 mg d’adalimumab </w:t>
      </w:r>
      <w:r w:rsidR="001B430D" w:rsidRPr="0058432E">
        <w:rPr>
          <w:color w:val="000000" w:themeColor="text1"/>
        </w:rPr>
        <w:t>toutes les deux semaines</w:t>
      </w:r>
      <w:r w:rsidRPr="0058432E">
        <w:rPr>
          <w:color w:val="000000" w:themeColor="text1"/>
        </w:rPr>
        <w:t xml:space="preserve">. </w:t>
      </w:r>
    </w:p>
    <w:p w14:paraId="5D1F7E1E" w14:textId="77777777" w:rsidR="00C46587" w:rsidRPr="0058432E" w:rsidRDefault="00C46587" w:rsidP="00982118">
      <w:pPr>
        <w:rPr>
          <w:color w:val="000000" w:themeColor="text1"/>
        </w:rPr>
      </w:pPr>
    </w:p>
    <w:p w14:paraId="1C3638F7" w14:textId="77777777" w:rsidR="00C46587" w:rsidRPr="0058432E" w:rsidRDefault="00C46587" w:rsidP="00982118">
      <w:pPr>
        <w:rPr>
          <w:color w:val="000000" w:themeColor="text1"/>
        </w:rPr>
      </w:pPr>
      <w:r w:rsidRPr="0058432E">
        <w:rPr>
          <w:color w:val="000000" w:themeColor="text1"/>
        </w:rPr>
        <w:t xml:space="preserve">En raison du petit nombre de patients étudiés les preuves de l’efficacité de l’adalimumab, chez les patients </w:t>
      </w:r>
      <w:r w:rsidR="00D546C9" w:rsidRPr="0058432E">
        <w:rPr>
          <w:color w:val="000000" w:themeColor="text1"/>
        </w:rPr>
        <w:t>atteints</w:t>
      </w:r>
      <w:r w:rsidRPr="0058432E">
        <w:rPr>
          <w:color w:val="000000" w:themeColor="text1"/>
        </w:rPr>
        <w:t xml:space="preserve"> d’arthrite psoriasique à type de spondylarthrite ankylosante, sont insuffisantes. </w:t>
      </w:r>
    </w:p>
    <w:p w14:paraId="67341D11" w14:textId="77777777" w:rsidR="00C46587" w:rsidRPr="0058432E" w:rsidRDefault="00C46587" w:rsidP="00982118">
      <w:pPr>
        <w:rPr>
          <w:color w:val="000000" w:themeColor="text1"/>
        </w:rPr>
      </w:pPr>
    </w:p>
    <w:p w14:paraId="554BFE00" w14:textId="77777777" w:rsidR="00C46587" w:rsidRPr="0058432E" w:rsidRDefault="00C46587" w:rsidP="00A53E17">
      <w:pPr>
        <w:rPr>
          <w:b/>
          <w:color w:val="000000" w:themeColor="text1"/>
        </w:rPr>
      </w:pPr>
      <w:r w:rsidRPr="0058432E">
        <w:rPr>
          <w:b/>
          <w:color w:val="000000" w:themeColor="text1"/>
        </w:rPr>
        <w:t>Tableau </w:t>
      </w:r>
      <w:r w:rsidR="00AA1D55" w:rsidRPr="0058432E">
        <w:rPr>
          <w:b/>
          <w:color w:val="000000" w:themeColor="text1"/>
        </w:rPr>
        <w:t>15</w:t>
      </w:r>
      <w:r w:rsidR="002A7CDF" w:rsidRPr="0058432E">
        <w:rPr>
          <w:b/>
          <w:color w:val="000000" w:themeColor="text1"/>
        </w:rPr>
        <w:t>.</w:t>
      </w:r>
    </w:p>
    <w:p w14:paraId="5F5C2442" w14:textId="77777777" w:rsidR="00C46587" w:rsidRPr="0058432E" w:rsidRDefault="00C46587" w:rsidP="00A53E17">
      <w:pPr>
        <w:rPr>
          <w:b/>
          <w:color w:val="000000" w:themeColor="text1"/>
        </w:rPr>
      </w:pPr>
      <w:r w:rsidRPr="0058432E">
        <w:rPr>
          <w:b/>
          <w:color w:val="000000" w:themeColor="text1"/>
        </w:rPr>
        <w:t>Réponse ACR des études contrôlées contre placebo, dans le rhumatisme psoriasique</w:t>
      </w:r>
    </w:p>
    <w:p w14:paraId="6CE7E525" w14:textId="77777777" w:rsidR="00C46587" w:rsidRPr="0058432E" w:rsidRDefault="00C46587" w:rsidP="00A53E17">
      <w:pPr>
        <w:rPr>
          <w:color w:val="000000" w:themeColor="text1"/>
        </w:rPr>
      </w:pPr>
      <w:r w:rsidRPr="0058432E">
        <w:rPr>
          <w:b/>
          <w:color w:val="000000" w:themeColor="text1"/>
        </w:rPr>
        <w:t>(</w:t>
      </w:r>
      <w:proofErr w:type="gramStart"/>
      <w:r w:rsidRPr="0058432E">
        <w:rPr>
          <w:b/>
          <w:color w:val="000000" w:themeColor="text1"/>
        </w:rPr>
        <w:t>pourcentage</w:t>
      </w:r>
      <w:proofErr w:type="gramEnd"/>
      <w:r w:rsidRPr="0058432E">
        <w:rPr>
          <w:b/>
          <w:color w:val="000000" w:themeColor="text1"/>
        </w:rPr>
        <w:t xml:space="preserve"> de patients)</w:t>
      </w:r>
    </w:p>
    <w:p w14:paraId="174EAF3C" w14:textId="77777777" w:rsidR="00C46587" w:rsidRPr="0058432E" w:rsidRDefault="00C46587" w:rsidP="00982118">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1779"/>
        <w:gridCol w:w="1825"/>
        <w:gridCol w:w="1780"/>
        <w:gridCol w:w="1825"/>
      </w:tblGrid>
      <w:tr w:rsidR="00C46587" w:rsidRPr="0058432E" w14:paraId="122C1D5C" w14:textId="77777777" w:rsidTr="00242B3F">
        <w:trPr>
          <w:tblHeader/>
        </w:trPr>
        <w:tc>
          <w:tcPr>
            <w:tcW w:w="1860" w:type="dxa"/>
            <w:tcBorders>
              <w:top w:val="single" w:sz="4" w:space="0" w:color="auto"/>
              <w:left w:val="single" w:sz="4" w:space="0" w:color="auto"/>
              <w:bottom w:val="single" w:sz="4" w:space="0" w:color="auto"/>
              <w:right w:val="single" w:sz="4" w:space="0" w:color="auto"/>
            </w:tcBorders>
          </w:tcPr>
          <w:p w14:paraId="40A54EC3" w14:textId="77777777" w:rsidR="00C46587" w:rsidRPr="0058432E" w:rsidRDefault="00C46587" w:rsidP="00982118">
            <w:pPr>
              <w:rPr>
                <w:b/>
                <w:color w:val="000000" w:themeColor="text1"/>
              </w:rPr>
            </w:pPr>
          </w:p>
        </w:tc>
        <w:tc>
          <w:tcPr>
            <w:tcW w:w="3721" w:type="dxa"/>
            <w:gridSpan w:val="2"/>
            <w:tcBorders>
              <w:top w:val="single" w:sz="4" w:space="0" w:color="auto"/>
              <w:left w:val="single" w:sz="4" w:space="0" w:color="auto"/>
              <w:bottom w:val="single" w:sz="4" w:space="0" w:color="auto"/>
              <w:right w:val="single" w:sz="4" w:space="0" w:color="auto"/>
            </w:tcBorders>
            <w:hideMark/>
          </w:tcPr>
          <w:p w14:paraId="20CB7100" w14:textId="77777777" w:rsidR="00C46587" w:rsidRPr="0058432E" w:rsidRDefault="00C46587" w:rsidP="00982118">
            <w:pPr>
              <w:jc w:val="center"/>
              <w:rPr>
                <w:b/>
                <w:color w:val="000000" w:themeColor="text1"/>
              </w:rPr>
            </w:pPr>
            <w:r w:rsidRPr="0058432E">
              <w:rPr>
                <w:b/>
                <w:color w:val="000000" w:themeColor="text1"/>
              </w:rPr>
              <w:t>Étude I sur le RPs</w:t>
            </w:r>
          </w:p>
        </w:tc>
        <w:tc>
          <w:tcPr>
            <w:tcW w:w="3722" w:type="dxa"/>
            <w:gridSpan w:val="2"/>
            <w:tcBorders>
              <w:top w:val="single" w:sz="4" w:space="0" w:color="auto"/>
              <w:left w:val="single" w:sz="4" w:space="0" w:color="auto"/>
              <w:bottom w:val="single" w:sz="4" w:space="0" w:color="auto"/>
              <w:right w:val="single" w:sz="4" w:space="0" w:color="auto"/>
            </w:tcBorders>
            <w:hideMark/>
          </w:tcPr>
          <w:p w14:paraId="37BABE87" w14:textId="77777777" w:rsidR="00C46587" w:rsidRPr="0058432E" w:rsidRDefault="00C46587" w:rsidP="00982118">
            <w:pPr>
              <w:jc w:val="center"/>
              <w:rPr>
                <w:b/>
                <w:color w:val="000000" w:themeColor="text1"/>
              </w:rPr>
            </w:pPr>
            <w:r w:rsidRPr="0058432E">
              <w:rPr>
                <w:b/>
                <w:color w:val="000000" w:themeColor="text1"/>
              </w:rPr>
              <w:t>Étude II sur le RPs</w:t>
            </w:r>
          </w:p>
        </w:tc>
      </w:tr>
      <w:tr w:rsidR="00C46587" w:rsidRPr="0058432E" w14:paraId="400D50CF" w14:textId="77777777" w:rsidTr="00242B3F">
        <w:trPr>
          <w:tblHeader/>
        </w:trPr>
        <w:tc>
          <w:tcPr>
            <w:tcW w:w="1860" w:type="dxa"/>
            <w:tcBorders>
              <w:top w:val="single" w:sz="4" w:space="0" w:color="auto"/>
              <w:left w:val="single" w:sz="4" w:space="0" w:color="auto"/>
              <w:bottom w:val="single" w:sz="4" w:space="0" w:color="auto"/>
              <w:right w:val="single" w:sz="4" w:space="0" w:color="auto"/>
            </w:tcBorders>
            <w:hideMark/>
          </w:tcPr>
          <w:p w14:paraId="416EFD82" w14:textId="77777777" w:rsidR="00C46587" w:rsidRPr="0058432E" w:rsidRDefault="00C46587" w:rsidP="00982118">
            <w:pPr>
              <w:rPr>
                <w:b/>
                <w:color w:val="000000" w:themeColor="text1"/>
              </w:rPr>
            </w:pPr>
            <w:r w:rsidRPr="0058432E">
              <w:rPr>
                <w:b/>
                <w:color w:val="000000" w:themeColor="text1"/>
              </w:rPr>
              <w:t>Réponse</w:t>
            </w:r>
          </w:p>
        </w:tc>
        <w:tc>
          <w:tcPr>
            <w:tcW w:w="1860" w:type="dxa"/>
            <w:tcBorders>
              <w:top w:val="single" w:sz="4" w:space="0" w:color="auto"/>
              <w:left w:val="single" w:sz="4" w:space="0" w:color="auto"/>
              <w:bottom w:val="single" w:sz="4" w:space="0" w:color="auto"/>
              <w:right w:val="single" w:sz="4" w:space="0" w:color="auto"/>
            </w:tcBorders>
            <w:hideMark/>
          </w:tcPr>
          <w:p w14:paraId="5A0028B6" w14:textId="77777777" w:rsidR="00C46587" w:rsidRPr="0058432E" w:rsidRDefault="00C46587" w:rsidP="00982118">
            <w:pPr>
              <w:jc w:val="center"/>
              <w:rPr>
                <w:b/>
                <w:color w:val="000000" w:themeColor="text1"/>
              </w:rPr>
            </w:pPr>
            <w:r w:rsidRPr="0058432E">
              <w:rPr>
                <w:b/>
                <w:color w:val="000000" w:themeColor="text1"/>
              </w:rPr>
              <w:t>Placebo</w:t>
            </w:r>
          </w:p>
          <w:p w14:paraId="5326A8B4" w14:textId="77777777" w:rsidR="00C46587" w:rsidRPr="0058432E" w:rsidRDefault="00C46587" w:rsidP="00982118">
            <w:pPr>
              <w:jc w:val="center"/>
              <w:rPr>
                <w:b/>
                <w:color w:val="000000" w:themeColor="text1"/>
              </w:rPr>
            </w:pPr>
            <w:r w:rsidRPr="0058432E">
              <w:rPr>
                <w:b/>
                <w:color w:val="000000" w:themeColor="text1"/>
              </w:rPr>
              <w:t>N = 162</w:t>
            </w:r>
          </w:p>
        </w:tc>
        <w:tc>
          <w:tcPr>
            <w:tcW w:w="1861" w:type="dxa"/>
            <w:tcBorders>
              <w:top w:val="single" w:sz="4" w:space="0" w:color="auto"/>
              <w:left w:val="single" w:sz="4" w:space="0" w:color="auto"/>
              <w:bottom w:val="single" w:sz="4" w:space="0" w:color="auto"/>
              <w:right w:val="single" w:sz="4" w:space="0" w:color="auto"/>
            </w:tcBorders>
            <w:hideMark/>
          </w:tcPr>
          <w:p w14:paraId="0D22F263" w14:textId="77777777" w:rsidR="00C46587" w:rsidRPr="0058432E" w:rsidRDefault="005A4709" w:rsidP="00982118">
            <w:pPr>
              <w:jc w:val="center"/>
              <w:rPr>
                <w:b/>
                <w:color w:val="000000" w:themeColor="text1"/>
              </w:rPr>
            </w:pPr>
            <w:r w:rsidRPr="0058432E">
              <w:rPr>
                <w:b/>
                <w:color w:val="000000" w:themeColor="text1"/>
              </w:rPr>
              <w:t>Adalimumab</w:t>
            </w:r>
          </w:p>
          <w:p w14:paraId="10B97026" w14:textId="77777777" w:rsidR="00C46587" w:rsidRPr="0058432E" w:rsidRDefault="00C46587" w:rsidP="00982118">
            <w:pPr>
              <w:jc w:val="center"/>
              <w:rPr>
                <w:b/>
                <w:color w:val="000000" w:themeColor="text1"/>
              </w:rPr>
            </w:pPr>
            <w:r w:rsidRPr="0058432E">
              <w:rPr>
                <w:b/>
                <w:color w:val="000000" w:themeColor="text1"/>
              </w:rPr>
              <w:t>N = 151</w:t>
            </w:r>
          </w:p>
        </w:tc>
        <w:tc>
          <w:tcPr>
            <w:tcW w:w="1861" w:type="dxa"/>
            <w:tcBorders>
              <w:top w:val="single" w:sz="4" w:space="0" w:color="auto"/>
              <w:left w:val="single" w:sz="4" w:space="0" w:color="auto"/>
              <w:bottom w:val="single" w:sz="4" w:space="0" w:color="auto"/>
              <w:right w:val="single" w:sz="4" w:space="0" w:color="auto"/>
            </w:tcBorders>
            <w:hideMark/>
          </w:tcPr>
          <w:p w14:paraId="35100D6A" w14:textId="77777777" w:rsidR="00C46587" w:rsidRPr="0058432E" w:rsidRDefault="00C46587" w:rsidP="00982118">
            <w:pPr>
              <w:jc w:val="center"/>
              <w:rPr>
                <w:b/>
                <w:color w:val="000000" w:themeColor="text1"/>
              </w:rPr>
            </w:pPr>
            <w:r w:rsidRPr="0058432E">
              <w:rPr>
                <w:b/>
                <w:color w:val="000000" w:themeColor="text1"/>
              </w:rPr>
              <w:t>Placebo</w:t>
            </w:r>
          </w:p>
          <w:p w14:paraId="43DF6A68" w14:textId="77777777" w:rsidR="00C46587" w:rsidRPr="0058432E" w:rsidRDefault="00C46587" w:rsidP="00982118">
            <w:pPr>
              <w:jc w:val="center"/>
              <w:rPr>
                <w:b/>
                <w:color w:val="000000" w:themeColor="text1"/>
              </w:rPr>
            </w:pPr>
            <w:r w:rsidRPr="0058432E">
              <w:rPr>
                <w:b/>
                <w:color w:val="000000" w:themeColor="text1"/>
              </w:rPr>
              <w:t>N = 49</w:t>
            </w:r>
          </w:p>
        </w:tc>
        <w:tc>
          <w:tcPr>
            <w:tcW w:w="1861" w:type="dxa"/>
            <w:tcBorders>
              <w:top w:val="single" w:sz="4" w:space="0" w:color="auto"/>
              <w:left w:val="single" w:sz="4" w:space="0" w:color="auto"/>
              <w:bottom w:val="single" w:sz="4" w:space="0" w:color="auto"/>
              <w:right w:val="single" w:sz="4" w:space="0" w:color="auto"/>
            </w:tcBorders>
            <w:hideMark/>
          </w:tcPr>
          <w:p w14:paraId="6D01FBE2" w14:textId="77777777" w:rsidR="00C46587" w:rsidRPr="0058432E" w:rsidRDefault="005A4709" w:rsidP="00982118">
            <w:pPr>
              <w:jc w:val="center"/>
              <w:rPr>
                <w:b/>
                <w:color w:val="000000" w:themeColor="text1"/>
              </w:rPr>
            </w:pPr>
            <w:r w:rsidRPr="0058432E">
              <w:rPr>
                <w:b/>
                <w:color w:val="000000" w:themeColor="text1"/>
              </w:rPr>
              <w:t>Adalimumab</w:t>
            </w:r>
          </w:p>
          <w:p w14:paraId="002900B8" w14:textId="77777777" w:rsidR="00C46587" w:rsidRPr="0058432E" w:rsidRDefault="00C46587" w:rsidP="00982118">
            <w:pPr>
              <w:jc w:val="center"/>
              <w:rPr>
                <w:b/>
                <w:color w:val="000000" w:themeColor="text1"/>
              </w:rPr>
            </w:pPr>
            <w:r w:rsidRPr="0058432E">
              <w:rPr>
                <w:b/>
                <w:color w:val="000000" w:themeColor="text1"/>
              </w:rPr>
              <w:t>N = 51</w:t>
            </w:r>
          </w:p>
        </w:tc>
      </w:tr>
      <w:tr w:rsidR="00C46587" w:rsidRPr="0058432E" w14:paraId="5ED622B9"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59E1F75B" w14:textId="77777777" w:rsidR="00C46587" w:rsidRPr="0058432E" w:rsidRDefault="00C46587" w:rsidP="00982118">
            <w:pPr>
              <w:rPr>
                <w:color w:val="000000" w:themeColor="text1"/>
              </w:rPr>
            </w:pPr>
            <w:r w:rsidRPr="0058432E">
              <w:rPr>
                <w:color w:val="000000" w:themeColor="text1"/>
              </w:rPr>
              <w:t>ACR 20</w:t>
            </w:r>
          </w:p>
        </w:tc>
        <w:tc>
          <w:tcPr>
            <w:tcW w:w="1860" w:type="dxa"/>
            <w:tcBorders>
              <w:top w:val="single" w:sz="4" w:space="0" w:color="auto"/>
              <w:left w:val="single" w:sz="4" w:space="0" w:color="auto"/>
              <w:bottom w:val="single" w:sz="4" w:space="0" w:color="auto"/>
              <w:right w:val="single" w:sz="4" w:space="0" w:color="auto"/>
            </w:tcBorders>
          </w:tcPr>
          <w:p w14:paraId="4CDB4456"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12D96EC3"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3A7AE84F"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182F04C1" w14:textId="77777777" w:rsidR="00C46587" w:rsidRPr="0058432E" w:rsidRDefault="00C46587" w:rsidP="00982118">
            <w:pPr>
              <w:jc w:val="center"/>
              <w:rPr>
                <w:color w:val="000000" w:themeColor="text1"/>
              </w:rPr>
            </w:pPr>
          </w:p>
        </w:tc>
      </w:tr>
      <w:tr w:rsidR="00C46587" w:rsidRPr="0058432E" w14:paraId="5B0514F9"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57FEFF67" w14:textId="77777777" w:rsidR="00C46587" w:rsidRPr="0058432E" w:rsidRDefault="00C46587" w:rsidP="00982118">
            <w:pPr>
              <w:rPr>
                <w:color w:val="000000" w:themeColor="text1"/>
              </w:rPr>
            </w:pPr>
            <w:r w:rsidRPr="0058432E">
              <w:rPr>
                <w:color w:val="000000" w:themeColor="text1"/>
              </w:rPr>
              <w:tab/>
              <w:t>Semaine 12</w:t>
            </w:r>
          </w:p>
        </w:tc>
        <w:tc>
          <w:tcPr>
            <w:tcW w:w="1860" w:type="dxa"/>
            <w:tcBorders>
              <w:top w:val="single" w:sz="4" w:space="0" w:color="auto"/>
              <w:left w:val="single" w:sz="4" w:space="0" w:color="auto"/>
              <w:bottom w:val="single" w:sz="4" w:space="0" w:color="auto"/>
              <w:right w:val="single" w:sz="4" w:space="0" w:color="auto"/>
            </w:tcBorders>
            <w:hideMark/>
          </w:tcPr>
          <w:p w14:paraId="6C98F758" w14:textId="77777777" w:rsidR="00C46587" w:rsidRPr="0058432E" w:rsidRDefault="00C46587" w:rsidP="00982118">
            <w:pPr>
              <w:jc w:val="center"/>
              <w:rPr>
                <w:color w:val="000000" w:themeColor="text1"/>
              </w:rPr>
            </w:pPr>
            <w:r w:rsidRPr="0058432E">
              <w:rPr>
                <w:color w:val="000000" w:themeColor="text1"/>
              </w:rPr>
              <w:t>14 %</w:t>
            </w:r>
          </w:p>
        </w:tc>
        <w:tc>
          <w:tcPr>
            <w:tcW w:w="1861" w:type="dxa"/>
            <w:tcBorders>
              <w:top w:val="single" w:sz="4" w:space="0" w:color="auto"/>
              <w:left w:val="single" w:sz="4" w:space="0" w:color="auto"/>
              <w:bottom w:val="single" w:sz="4" w:space="0" w:color="auto"/>
              <w:right w:val="single" w:sz="4" w:space="0" w:color="auto"/>
            </w:tcBorders>
            <w:hideMark/>
          </w:tcPr>
          <w:p w14:paraId="4355DE82" w14:textId="77777777" w:rsidR="00C46587" w:rsidRPr="0058432E" w:rsidRDefault="00C46587" w:rsidP="00982118">
            <w:pPr>
              <w:jc w:val="center"/>
              <w:rPr>
                <w:color w:val="000000" w:themeColor="text1"/>
              </w:rPr>
            </w:pPr>
            <w:r w:rsidRPr="0058432E">
              <w:rPr>
                <w:color w:val="000000" w:themeColor="text1"/>
              </w:rPr>
              <w:t>58 %***</w:t>
            </w:r>
          </w:p>
        </w:tc>
        <w:tc>
          <w:tcPr>
            <w:tcW w:w="1861" w:type="dxa"/>
            <w:tcBorders>
              <w:top w:val="single" w:sz="4" w:space="0" w:color="auto"/>
              <w:left w:val="single" w:sz="4" w:space="0" w:color="auto"/>
              <w:bottom w:val="single" w:sz="4" w:space="0" w:color="auto"/>
              <w:right w:val="single" w:sz="4" w:space="0" w:color="auto"/>
            </w:tcBorders>
            <w:hideMark/>
          </w:tcPr>
          <w:p w14:paraId="5045FEA9" w14:textId="77777777" w:rsidR="00C46587" w:rsidRPr="0058432E" w:rsidRDefault="00C46587" w:rsidP="00982118">
            <w:pPr>
              <w:jc w:val="center"/>
              <w:rPr>
                <w:color w:val="000000" w:themeColor="text1"/>
              </w:rPr>
            </w:pPr>
            <w:r w:rsidRPr="0058432E">
              <w:rPr>
                <w:color w:val="000000" w:themeColor="text1"/>
              </w:rPr>
              <w:t>16 %</w:t>
            </w:r>
          </w:p>
        </w:tc>
        <w:tc>
          <w:tcPr>
            <w:tcW w:w="1861" w:type="dxa"/>
            <w:tcBorders>
              <w:top w:val="single" w:sz="4" w:space="0" w:color="auto"/>
              <w:left w:val="single" w:sz="4" w:space="0" w:color="auto"/>
              <w:bottom w:val="single" w:sz="4" w:space="0" w:color="auto"/>
              <w:right w:val="single" w:sz="4" w:space="0" w:color="auto"/>
            </w:tcBorders>
            <w:hideMark/>
          </w:tcPr>
          <w:p w14:paraId="284786A4" w14:textId="77777777" w:rsidR="00C46587" w:rsidRPr="0058432E" w:rsidRDefault="00C46587" w:rsidP="00982118">
            <w:pPr>
              <w:jc w:val="center"/>
              <w:rPr>
                <w:color w:val="000000" w:themeColor="text1"/>
              </w:rPr>
            </w:pPr>
            <w:r w:rsidRPr="0058432E">
              <w:rPr>
                <w:color w:val="000000" w:themeColor="text1"/>
              </w:rPr>
              <w:t>39 %*</w:t>
            </w:r>
          </w:p>
        </w:tc>
      </w:tr>
      <w:tr w:rsidR="00C46587" w:rsidRPr="0058432E" w14:paraId="628468B0"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6D0274AA" w14:textId="77777777" w:rsidR="00C46587" w:rsidRPr="0058432E" w:rsidRDefault="00C46587" w:rsidP="00982118">
            <w:pPr>
              <w:rPr>
                <w:color w:val="000000" w:themeColor="text1"/>
              </w:rPr>
            </w:pPr>
            <w:r w:rsidRPr="0058432E">
              <w:rPr>
                <w:color w:val="000000" w:themeColor="text1"/>
              </w:rPr>
              <w:tab/>
              <w:t>Semaine 24</w:t>
            </w:r>
          </w:p>
        </w:tc>
        <w:tc>
          <w:tcPr>
            <w:tcW w:w="1860" w:type="dxa"/>
            <w:tcBorders>
              <w:top w:val="single" w:sz="4" w:space="0" w:color="auto"/>
              <w:left w:val="single" w:sz="4" w:space="0" w:color="auto"/>
              <w:bottom w:val="single" w:sz="4" w:space="0" w:color="auto"/>
              <w:right w:val="single" w:sz="4" w:space="0" w:color="auto"/>
            </w:tcBorders>
            <w:hideMark/>
          </w:tcPr>
          <w:p w14:paraId="1242804B" w14:textId="77777777" w:rsidR="00C46587" w:rsidRPr="0058432E" w:rsidRDefault="00C46587" w:rsidP="00982118">
            <w:pPr>
              <w:jc w:val="center"/>
              <w:rPr>
                <w:color w:val="000000" w:themeColor="text1"/>
              </w:rPr>
            </w:pPr>
            <w:r w:rsidRPr="0058432E">
              <w:rPr>
                <w:color w:val="000000" w:themeColor="text1"/>
              </w:rPr>
              <w:t>15 %</w:t>
            </w:r>
          </w:p>
        </w:tc>
        <w:tc>
          <w:tcPr>
            <w:tcW w:w="1861" w:type="dxa"/>
            <w:tcBorders>
              <w:top w:val="single" w:sz="4" w:space="0" w:color="auto"/>
              <w:left w:val="single" w:sz="4" w:space="0" w:color="auto"/>
              <w:bottom w:val="single" w:sz="4" w:space="0" w:color="auto"/>
              <w:right w:val="single" w:sz="4" w:space="0" w:color="auto"/>
            </w:tcBorders>
            <w:hideMark/>
          </w:tcPr>
          <w:p w14:paraId="1C406B54" w14:textId="77777777" w:rsidR="00C46587" w:rsidRPr="0058432E" w:rsidRDefault="00C46587" w:rsidP="00982118">
            <w:pPr>
              <w:jc w:val="center"/>
              <w:rPr>
                <w:color w:val="000000" w:themeColor="text1"/>
              </w:rPr>
            </w:pPr>
            <w:r w:rsidRPr="0058432E">
              <w:rPr>
                <w:color w:val="000000" w:themeColor="text1"/>
              </w:rPr>
              <w:t>57 %***</w:t>
            </w:r>
          </w:p>
        </w:tc>
        <w:tc>
          <w:tcPr>
            <w:tcW w:w="1861" w:type="dxa"/>
            <w:tcBorders>
              <w:top w:val="single" w:sz="4" w:space="0" w:color="auto"/>
              <w:left w:val="single" w:sz="4" w:space="0" w:color="auto"/>
              <w:bottom w:val="single" w:sz="4" w:space="0" w:color="auto"/>
              <w:right w:val="single" w:sz="4" w:space="0" w:color="auto"/>
            </w:tcBorders>
            <w:hideMark/>
          </w:tcPr>
          <w:p w14:paraId="6E624430" w14:textId="77777777" w:rsidR="00C46587" w:rsidRPr="0058432E" w:rsidRDefault="00C46587" w:rsidP="00982118">
            <w:pPr>
              <w:jc w:val="center"/>
              <w:rPr>
                <w:color w:val="000000" w:themeColor="text1"/>
              </w:rPr>
            </w:pPr>
            <w:r w:rsidRPr="0058432E">
              <w:rPr>
                <w:color w:val="000000" w:themeColor="text1"/>
              </w:rPr>
              <w:t>N/A</w:t>
            </w:r>
          </w:p>
        </w:tc>
        <w:tc>
          <w:tcPr>
            <w:tcW w:w="1861" w:type="dxa"/>
            <w:tcBorders>
              <w:top w:val="single" w:sz="4" w:space="0" w:color="auto"/>
              <w:left w:val="single" w:sz="4" w:space="0" w:color="auto"/>
              <w:bottom w:val="single" w:sz="4" w:space="0" w:color="auto"/>
              <w:right w:val="single" w:sz="4" w:space="0" w:color="auto"/>
            </w:tcBorders>
            <w:hideMark/>
          </w:tcPr>
          <w:p w14:paraId="4ADEDB00" w14:textId="77777777" w:rsidR="00C46587" w:rsidRPr="0058432E" w:rsidRDefault="00C46587" w:rsidP="00982118">
            <w:pPr>
              <w:jc w:val="center"/>
              <w:rPr>
                <w:color w:val="000000" w:themeColor="text1"/>
              </w:rPr>
            </w:pPr>
            <w:r w:rsidRPr="0058432E">
              <w:rPr>
                <w:color w:val="000000" w:themeColor="text1"/>
              </w:rPr>
              <w:t>N/A</w:t>
            </w:r>
          </w:p>
        </w:tc>
      </w:tr>
      <w:tr w:rsidR="00C46587" w:rsidRPr="0058432E" w14:paraId="37849D8C"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0CB1120A" w14:textId="77777777" w:rsidR="00C46587" w:rsidRPr="0058432E" w:rsidRDefault="00C46587" w:rsidP="00982118">
            <w:pPr>
              <w:rPr>
                <w:color w:val="000000" w:themeColor="text1"/>
              </w:rPr>
            </w:pPr>
            <w:r w:rsidRPr="0058432E">
              <w:rPr>
                <w:color w:val="000000" w:themeColor="text1"/>
              </w:rPr>
              <w:t>ACR 50</w:t>
            </w:r>
          </w:p>
        </w:tc>
        <w:tc>
          <w:tcPr>
            <w:tcW w:w="1860" w:type="dxa"/>
            <w:tcBorders>
              <w:top w:val="single" w:sz="4" w:space="0" w:color="auto"/>
              <w:left w:val="single" w:sz="4" w:space="0" w:color="auto"/>
              <w:bottom w:val="single" w:sz="4" w:space="0" w:color="auto"/>
              <w:right w:val="single" w:sz="4" w:space="0" w:color="auto"/>
            </w:tcBorders>
          </w:tcPr>
          <w:p w14:paraId="000DC4E8"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2B479F65"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75BAB87C"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17446FE0" w14:textId="77777777" w:rsidR="00C46587" w:rsidRPr="0058432E" w:rsidRDefault="00C46587" w:rsidP="00982118">
            <w:pPr>
              <w:jc w:val="center"/>
              <w:rPr>
                <w:color w:val="000000" w:themeColor="text1"/>
              </w:rPr>
            </w:pPr>
          </w:p>
        </w:tc>
      </w:tr>
      <w:tr w:rsidR="00C46587" w:rsidRPr="0058432E" w14:paraId="7CDE5879"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759CCE09" w14:textId="77777777" w:rsidR="00C46587" w:rsidRPr="0058432E" w:rsidRDefault="00C46587" w:rsidP="00982118">
            <w:pPr>
              <w:rPr>
                <w:color w:val="000000" w:themeColor="text1"/>
              </w:rPr>
            </w:pPr>
            <w:r w:rsidRPr="0058432E">
              <w:rPr>
                <w:color w:val="000000" w:themeColor="text1"/>
              </w:rPr>
              <w:tab/>
              <w:t>Semaine 12</w:t>
            </w:r>
          </w:p>
        </w:tc>
        <w:tc>
          <w:tcPr>
            <w:tcW w:w="1860" w:type="dxa"/>
            <w:tcBorders>
              <w:top w:val="single" w:sz="4" w:space="0" w:color="auto"/>
              <w:left w:val="single" w:sz="4" w:space="0" w:color="auto"/>
              <w:bottom w:val="single" w:sz="4" w:space="0" w:color="auto"/>
              <w:right w:val="single" w:sz="4" w:space="0" w:color="auto"/>
            </w:tcBorders>
            <w:hideMark/>
          </w:tcPr>
          <w:p w14:paraId="1B9928BB" w14:textId="77777777" w:rsidR="00C46587" w:rsidRPr="0058432E" w:rsidRDefault="00C46587" w:rsidP="00982118">
            <w:pPr>
              <w:jc w:val="center"/>
              <w:rPr>
                <w:color w:val="000000" w:themeColor="text1"/>
              </w:rPr>
            </w:pPr>
            <w:r w:rsidRPr="0058432E">
              <w:rPr>
                <w:color w:val="000000" w:themeColor="text1"/>
              </w:rPr>
              <w:t>4 %</w:t>
            </w:r>
          </w:p>
        </w:tc>
        <w:tc>
          <w:tcPr>
            <w:tcW w:w="1861" w:type="dxa"/>
            <w:tcBorders>
              <w:top w:val="single" w:sz="4" w:space="0" w:color="auto"/>
              <w:left w:val="single" w:sz="4" w:space="0" w:color="auto"/>
              <w:bottom w:val="single" w:sz="4" w:space="0" w:color="auto"/>
              <w:right w:val="single" w:sz="4" w:space="0" w:color="auto"/>
            </w:tcBorders>
            <w:hideMark/>
          </w:tcPr>
          <w:p w14:paraId="5DBC5257" w14:textId="77777777" w:rsidR="00C46587" w:rsidRPr="0058432E" w:rsidRDefault="00C46587" w:rsidP="00982118">
            <w:pPr>
              <w:jc w:val="center"/>
              <w:rPr>
                <w:color w:val="000000" w:themeColor="text1"/>
              </w:rPr>
            </w:pPr>
            <w:r w:rsidRPr="0058432E">
              <w:rPr>
                <w:color w:val="000000" w:themeColor="text1"/>
              </w:rPr>
              <w:t>36 %***</w:t>
            </w:r>
          </w:p>
        </w:tc>
        <w:tc>
          <w:tcPr>
            <w:tcW w:w="1861" w:type="dxa"/>
            <w:tcBorders>
              <w:top w:val="single" w:sz="4" w:space="0" w:color="auto"/>
              <w:left w:val="single" w:sz="4" w:space="0" w:color="auto"/>
              <w:bottom w:val="single" w:sz="4" w:space="0" w:color="auto"/>
              <w:right w:val="single" w:sz="4" w:space="0" w:color="auto"/>
            </w:tcBorders>
            <w:hideMark/>
          </w:tcPr>
          <w:p w14:paraId="1CAFCD97" w14:textId="77777777" w:rsidR="00C46587" w:rsidRPr="0058432E" w:rsidRDefault="00C46587" w:rsidP="00982118">
            <w:pPr>
              <w:jc w:val="center"/>
              <w:rPr>
                <w:color w:val="000000" w:themeColor="text1"/>
              </w:rPr>
            </w:pPr>
            <w:r w:rsidRPr="0058432E">
              <w:rPr>
                <w:color w:val="000000" w:themeColor="text1"/>
              </w:rPr>
              <w:t>2 %</w:t>
            </w:r>
          </w:p>
        </w:tc>
        <w:tc>
          <w:tcPr>
            <w:tcW w:w="1861" w:type="dxa"/>
            <w:tcBorders>
              <w:top w:val="single" w:sz="4" w:space="0" w:color="auto"/>
              <w:left w:val="single" w:sz="4" w:space="0" w:color="auto"/>
              <w:bottom w:val="single" w:sz="4" w:space="0" w:color="auto"/>
              <w:right w:val="single" w:sz="4" w:space="0" w:color="auto"/>
            </w:tcBorders>
            <w:hideMark/>
          </w:tcPr>
          <w:p w14:paraId="1F6EE89B" w14:textId="77777777" w:rsidR="00C46587" w:rsidRPr="0058432E" w:rsidRDefault="00C46587" w:rsidP="00982118">
            <w:pPr>
              <w:jc w:val="center"/>
              <w:rPr>
                <w:color w:val="000000" w:themeColor="text1"/>
              </w:rPr>
            </w:pPr>
            <w:r w:rsidRPr="0058432E">
              <w:rPr>
                <w:color w:val="000000" w:themeColor="text1"/>
              </w:rPr>
              <w:t>25 %***</w:t>
            </w:r>
          </w:p>
        </w:tc>
      </w:tr>
      <w:tr w:rsidR="00C46587" w:rsidRPr="0058432E" w14:paraId="1961B1DA"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78F515CF" w14:textId="77777777" w:rsidR="00C46587" w:rsidRPr="0058432E" w:rsidRDefault="00C46587" w:rsidP="00982118">
            <w:pPr>
              <w:rPr>
                <w:color w:val="000000" w:themeColor="text1"/>
              </w:rPr>
            </w:pPr>
            <w:r w:rsidRPr="0058432E">
              <w:rPr>
                <w:color w:val="000000" w:themeColor="text1"/>
              </w:rPr>
              <w:tab/>
              <w:t>Semaine 24</w:t>
            </w:r>
          </w:p>
        </w:tc>
        <w:tc>
          <w:tcPr>
            <w:tcW w:w="1860" w:type="dxa"/>
            <w:tcBorders>
              <w:top w:val="single" w:sz="4" w:space="0" w:color="auto"/>
              <w:left w:val="single" w:sz="4" w:space="0" w:color="auto"/>
              <w:bottom w:val="single" w:sz="4" w:space="0" w:color="auto"/>
              <w:right w:val="single" w:sz="4" w:space="0" w:color="auto"/>
            </w:tcBorders>
            <w:hideMark/>
          </w:tcPr>
          <w:p w14:paraId="6D52B024" w14:textId="77777777" w:rsidR="00C46587" w:rsidRPr="0058432E" w:rsidRDefault="00C46587" w:rsidP="00982118">
            <w:pPr>
              <w:jc w:val="center"/>
              <w:rPr>
                <w:color w:val="000000" w:themeColor="text1"/>
              </w:rPr>
            </w:pPr>
            <w:r w:rsidRPr="0058432E">
              <w:rPr>
                <w:color w:val="000000" w:themeColor="text1"/>
              </w:rPr>
              <w:t>6 %</w:t>
            </w:r>
          </w:p>
        </w:tc>
        <w:tc>
          <w:tcPr>
            <w:tcW w:w="1861" w:type="dxa"/>
            <w:tcBorders>
              <w:top w:val="single" w:sz="4" w:space="0" w:color="auto"/>
              <w:left w:val="single" w:sz="4" w:space="0" w:color="auto"/>
              <w:bottom w:val="single" w:sz="4" w:space="0" w:color="auto"/>
              <w:right w:val="single" w:sz="4" w:space="0" w:color="auto"/>
            </w:tcBorders>
            <w:hideMark/>
          </w:tcPr>
          <w:p w14:paraId="183C3E5B" w14:textId="77777777" w:rsidR="00C46587" w:rsidRPr="0058432E" w:rsidRDefault="00C46587" w:rsidP="00982118">
            <w:pPr>
              <w:jc w:val="center"/>
              <w:rPr>
                <w:color w:val="000000" w:themeColor="text1"/>
              </w:rPr>
            </w:pPr>
            <w:r w:rsidRPr="0058432E">
              <w:rPr>
                <w:color w:val="000000" w:themeColor="text1"/>
              </w:rPr>
              <w:t>39 %***</w:t>
            </w:r>
          </w:p>
        </w:tc>
        <w:tc>
          <w:tcPr>
            <w:tcW w:w="1861" w:type="dxa"/>
            <w:tcBorders>
              <w:top w:val="single" w:sz="4" w:space="0" w:color="auto"/>
              <w:left w:val="single" w:sz="4" w:space="0" w:color="auto"/>
              <w:bottom w:val="single" w:sz="4" w:space="0" w:color="auto"/>
              <w:right w:val="single" w:sz="4" w:space="0" w:color="auto"/>
            </w:tcBorders>
            <w:hideMark/>
          </w:tcPr>
          <w:p w14:paraId="5A30E47A" w14:textId="77777777" w:rsidR="00C46587" w:rsidRPr="0058432E" w:rsidRDefault="00C46587" w:rsidP="00982118">
            <w:pPr>
              <w:jc w:val="center"/>
              <w:rPr>
                <w:color w:val="000000" w:themeColor="text1"/>
              </w:rPr>
            </w:pPr>
            <w:r w:rsidRPr="0058432E">
              <w:rPr>
                <w:color w:val="000000" w:themeColor="text1"/>
              </w:rPr>
              <w:t>N/A</w:t>
            </w:r>
          </w:p>
        </w:tc>
        <w:tc>
          <w:tcPr>
            <w:tcW w:w="1861" w:type="dxa"/>
            <w:tcBorders>
              <w:top w:val="single" w:sz="4" w:space="0" w:color="auto"/>
              <w:left w:val="single" w:sz="4" w:space="0" w:color="auto"/>
              <w:bottom w:val="single" w:sz="4" w:space="0" w:color="auto"/>
              <w:right w:val="single" w:sz="4" w:space="0" w:color="auto"/>
            </w:tcBorders>
            <w:hideMark/>
          </w:tcPr>
          <w:p w14:paraId="20B9F7BC" w14:textId="77777777" w:rsidR="00C46587" w:rsidRPr="0058432E" w:rsidRDefault="00C46587" w:rsidP="00982118">
            <w:pPr>
              <w:jc w:val="center"/>
              <w:rPr>
                <w:color w:val="000000" w:themeColor="text1"/>
              </w:rPr>
            </w:pPr>
            <w:r w:rsidRPr="0058432E">
              <w:rPr>
                <w:color w:val="000000" w:themeColor="text1"/>
              </w:rPr>
              <w:t>N/A</w:t>
            </w:r>
          </w:p>
        </w:tc>
      </w:tr>
      <w:tr w:rsidR="00C46587" w:rsidRPr="0058432E" w14:paraId="39F13528"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53F0C7C5" w14:textId="77777777" w:rsidR="00C46587" w:rsidRPr="0058432E" w:rsidRDefault="00C46587" w:rsidP="00982118">
            <w:pPr>
              <w:rPr>
                <w:color w:val="000000" w:themeColor="text1"/>
              </w:rPr>
            </w:pPr>
            <w:r w:rsidRPr="0058432E">
              <w:rPr>
                <w:color w:val="000000" w:themeColor="text1"/>
              </w:rPr>
              <w:t>ACR 70</w:t>
            </w:r>
          </w:p>
        </w:tc>
        <w:tc>
          <w:tcPr>
            <w:tcW w:w="1860" w:type="dxa"/>
            <w:tcBorders>
              <w:top w:val="single" w:sz="4" w:space="0" w:color="auto"/>
              <w:left w:val="single" w:sz="4" w:space="0" w:color="auto"/>
              <w:bottom w:val="single" w:sz="4" w:space="0" w:color="auto"/>
              <w:right w:val="single" w:sz="4" w:space="0" w:color="auto"/>
            </w:tcBorders>
          </w:tcPr>
          <w:p w14:paraId="572CA6A8"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67026FEB"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638C71FF" w14:textId="77777777" w:rsidR="00C46587" w:rsidRPr="0058432E" w:rsidRDefault="00C46587" w:rsidP="00982118">
            <w:pPr>
              <w:jc w:val="center"/>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14:paraId="1DFE257F" w14:textId="77777777" w:rsidR="00C46587" w:rsidRPr="0058432E" w:rsidRDefault="00C46587" w:rsidP="00982118">
            <w:pPr>
              <w:jc w:val="center"/>
              <w:rPr>
                <w:color w:val="000000" w:themeColor="text1"/>
              </w:rPr>
            </w:pPr>
          </w:p>
        </w:tc>
      </w:tr>
      <w:tr w:rsidR="00C46587" w:rsidRPr="0058432E" w14:paraId="64C09521"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759105F6" w14:textId="77777777" w:rsidR="00C46587" w:rsidRPr="0058432E" w:rsidRDefault="00C46587" w:rsidP="00982118">
            <w:pPr>
              <w:rPr>
                <w:color w:val="000000" w:themeColor="text1"/>
              </w:rPr>
            </w:pPr>
            <w:r w:rsidRPr="0058432E">
              <w:rPr>
                <w:color w:val="000000" w:themeColor="text1"/>
              </w:rPr>
              <w:tab/>
              <w:t>Semaine 12</w:t>
            </w:r>
          </w:p>
        </w:tc>
        <w:tc>
          <w:tcPr>
            <w:tcW w:w="1860" w:type="dxa"/>
            <w:tcBorders>
              <w:top w:val="single" w:sz="4" w:space="0" w:color="auto"/>
              <w:left w:val="single" w:sz="4" w:space="0" w:color="auto"/>
              <w:bottom w:val="single" w:sz="4" w:space="0" w:color="auto"/>
              <w:right w:val="single" w:sz="4" w:space="0" w:color="auto"/>
            </w:tcBorders>
            <w:hideMark/>
          </w:tcPr>
          <w:p w14:paraId="579EA4AE" w14:textId="77777777" w:rsidR="00C46587" w:rsidRPr="0058432E" w:rsidRDefault="00C46587" w:rsidP="00982118">
            <w:pPr>
              <w:jc w:val="center"/>
              <w:rPr>
                <w:color w:val="000000" w:themeColor="text1"/>
              </w:rPr>
            </w:pPr>
            <w:r w:rsidRPr="0058432E">
              <w:rPr>
                <w:color w:val="000000" w:themeColor="text1"/>
              </w:rPr>
              <w:t>1 %</w:t>
            </w:r>
          </w:p>
        </w:tc>
        <w:tc>
          <w:tcPr>
            <w:tcW w:w="1861" w:type="dxa"/>
            <w:tcBorders>
              <w:top w:val="single" w:sz="4" w:space="0" w:color="auto"/>
              <w:left w:val="single" w:sz="4" w:space="0" w:color="auto"/>
              <w:bottom w:val="single" w:sz="4" w:space="0" w:color="auto"/>
              <w:right w:val="single" w:sz="4" w:space="0" w:color="auto"/>
            </w:tcBorders>
            <w:hideMark/>
          </w:tcPr>
          <w:p w14:paraId="7C2079DA" w14:textId="77777777" w:rsidR="00C46587" w:rsidRPr="0058432E" w:rsidRDefault="00C46587" w:rsidP="00982118">
            <w:pPr>
              <w:jc w:val="center"/>
              <w:rPr>
                <w:color w:val="000000" w:themeColor="text1"/>
              </w:rPr>
            </w:pPr>
            <w:r w:rsidRPr="0058432E">
              <w:rPr>
                <w:color w:val="000000" w:themeColor="text1"/>
              </w:rPr>
              <w:t>20 %***</w:t>
            </w:r>
          </w:p>
        </w:tc>
        <w:tc>
          <w:tcPr>
            <w:tcW w:w="1861" w:type="dxa"/>
            <w:tcBorders>
              <w:top w:val="single" w:sz="4" w:space="0" w:color="auto"/>
              <w:left w:val="single" w:sz="4" w:space="0" w:color="auto"/>
              <w:bottom w:val="single" w:sz="4" w:space="0" w:color="auto"/>
              <w:right w:val="single" w:sz="4" w:space="0" w:color="auto"/>
            </w:tcBorders>
            <w:hideMark/>
          </w:tcPr>
          <w:p w14:paraId="04EFADD0" w14:textId="77777777" w:rsidR="00C46587" w:rsidRPr="0058432E" w:rsidRDefault="00C46587" w:rsidP="00982118">
            <w:pPr>
              <w:jc w:val="center"/>
              <w:rPr>
                <w:color w:val="000000" w:themeColor="text1"/>
              </w:rPr>
            </w:pPr>
            <w:r w:rsidRPr="0058432E">
              <w:rPr>
                <w:color w:val="000000" w:themeColor="text1"/>
              </w:rPr>
              <w:t>0 %</w:t>
            </w:r>
          </w:p>
        </w:tc>
        <w:tc>
          <w:tcPr>
            <w:tcW w:w="1861" w:type="dxa"/>
            <w:tcBorders>
              <w:top w:val="single" w:sz="4" w:space="0" w:color="auto"/>
              <w:left w:val="single" w:sz="4" w:space="0" w:color="auto"/>
              <w:bottom w:val="single" w:sz="4" w:space="0" w:color="auto"/>
              <w:right w:val="single" w:sz="4" w:space="0" w:color="auto"/>
            </w:tcBorders>
            <w:hideMark/>
          </w:tcPr>
          <w:p w14:paraId="79EBC3B9" w14:textId="77777777" w:rsidR="00C46587" w:rsidRPr="0058432E" w:rsidRDefault="00C46587" w:rsidP="00982118">
            <w:pPr>
              <w:jc w:val="center"/>
              <w:rPr>
                <w:color w:val="000000" w:themeColor="text1"/>
              </w:rPr>
            </w:pPr>
            <w:r w:rsidRPr="0058432E">
              <w:rPr>
                <w:color w:val="000000" w:themeColor="text1"/>
              </w:rPr>
              <w:t>14 %*</w:t>
            </w:r>
          </w:p>
        </w:tc>
      </w:tr>
      <w:tr w:rsidR="00C46587" w:rsidRPr="0058432E" w14:paraId="056B420C" w14:textId="77777777" w:rsidTr="009756D9">
        <w:tc>
          <w:tcPr>
            <w:tcW w:w="1860" w:type="dxa"/>
            <w:tcBorders>
              <w:top w:val="single" w:sz="4" w:space="0" w:color="auto"/>
              <w:left w:val="single" w:sz="4" w:space="0" w:color="auto"/>
              <w:bottom w:val="single" w:sz="4" w:space="0" w:color="auto"/>
              <w:right w:val="single" w:sz="4" w:space="0" w:color="auto"/>
            </w:tcBorders>
            <w:hideMark/>
          </w:tcPr>
          <w:p w14:paraId="4B25F5D1" w14:textId="77777777" w:rsidR="00C46587" w:rsidRPr="0058432E" w:rsidRDefault="00C46587" w:rsidP="00982118">
            <w:pPr>
              <w:rPr>
                <w:color w:val="000000" w:themeColor="text1"/>
              </w:rPr>
            </w:pPr>
            <w:r w:rsidRPr="0058432E">
              <w:rPr>
                <w:color w:val="000000" w:themeColor="text1"/>
              </w:rPr>
              <w:tab/>
              <w:t>Semaine 24</w:t>
            </w:r>
          </w:p>
        </w:tc>
        <w:tc>
          <w:tcPr>
            <w:tcW w:w="1860" w:type="dxa"/>
            <w:tcBorders>
              <w:top w:val="single" w:sz="4" w:space="0" w:color="auto"/>
              <w:left w:val="single" w:sz="4" w:space="0" w:color="auto"/>
              <w:bottom w:val="single" w:sz="4" w:space="0" w:color="auto"/>
              <w:right w:val="single" w:sz="4" w:space="0" w:color="auto"/>
            </w:tcBorders>
            <w:hideMark/>
          </w:tcPr>
          <w:p w14:paraId="0A54432C" w14:textId="77777777" w:rsidR="00C46587" w:rsidRPr="0058432E" w:rsidRDefault="00C46587" w:rsidP="00982118">
            <w:pPr>
              <w:jc w:val="center"/>
              <w:rPr>
                <w:color w:val="000000" w:themeColor="text1"/>
              </w:rPr>
            </w:pPr>
            <w:r w:rsidRPr="0058432E">
              <w:rPr>
                <w:color w:val="000000" w:themeColor="text1"/>
              </w:rPr>
              <w:t>1 %</w:t>
            </w:r>
          </w:p>
        </w:tc>
        <w:tc>
          <w:tcPr>
            <w:tcW w:w="1861" w:type="dxa"/>
            <w:tcBorders>
              <w:top w:val="single" w:sz="4" w:space="0" w:color="auto"/>
              <w:left w:val="single" w:sz="4" w:space="0" w:color="auto"/>
              <w:bottom w:val="single" w:sz="4" w:space="0" w:color="auto"/>
              <w:right w:val="single" w:sz="4" w:space="0" w:color="auto"/>
            </w:tcBorders>
            <w:hideMark/>
          </w:tcPr>
          <w:p w14:paraId="5DA1A634" w14:textId="77777777" w:rsidR="00C46587" w:rsidRPr="0058432E" w:rsidRDefault="00C46587" w:rsidP="00982118">
            <w:pPr>
              <w:jc w:val="center"/>
              <w:rPr>
                <w:color w:val="000000" w:themeColor="text1"/>
              </w:rPr>
            </w:pPr>
            <w:r w:rsidRPr="0058432E">
              <w:rPr>
                <w:color w:val="000000" w:themeColor="text1"/>
              </w:rPr>
              <w:t>23 %***</w:t>
            </w:r>
          </w:p>
        </w:tc>
        <w:tc>
          <w:tcPr>
            <w:tcW w:w="1861" w:type="dxa"/>
            <w:tcBorders>
              <w:top w:val="single" w:sz="4" w:space="0" w:color="auto"/>
              <w:left w:val="single" w:sz="4" w:space="0" w:color="auto"/>
              <w:bottom w:val="single" w:sz="4" w:space="0" w:color="auto"/>
              <w:right w:val="single" w:sz="4" w:space="0" w:color="auto"/>
            </w:tcBorders>
            <w:hideMark/>
          </w:tcPr>
          <w:p w14:paraId="1D721413" w14:textId="77777777" w:rsidR="00C46587" w:rsidRPr="0058432E" w:rsidRDefault="00C46587" w:rsidP="00982118">
            <w:pPr>
              <w:jc w:val="center"/>
              <w:rPr>
                <w:color w:val="000000" w:themeColor="text1"/>
              </w:rPr>
            </w:pPr>
            <w:r w:rsidRPr="0058432E">
              <w:rPr>
                <w:color w:val="000000" w:themeColor="text1"/>
              </w:rPr>
              <w:t>N/A</w:t>
            </w:r>
          </w:p>
        </w:tc>
        <w:tc>
          <w:tcPr>
            <w:tcW w:w="1861" w:type="dxa"/>
            <w:tcBorders>
              <w:top w:val="single" w:sz="4" w:space="0" w:color="auto"/>
              <w:left w:val="single" w:sz="4" w:space="0" w:color="auto"/>
              <w:bottom w:val="single" w:sz="4" w:space="0" w:color="auto"/>
              <w:right w:val="single" w:sz="4" w:space="0" w:color="auto"/>
            </w:tcBorders>
            <w:hideMark/>
          </w:tcPr>
          <w:p w14:paraId="3C78E80E" w14:textId="77777777" w:rsidR="00C46587" w:rsidRPr="0058432E" w:rsidRDefault="00C46587" w:rsidP="00982118">
            <w:pPr>
              <w:jc w:val="center"/>
              <w:rPr>
                <w:color w:val="000000" w:themeColor="text1"/>
              </w:rPr>
            </w:pPr>
            <w:r w:rsidRPr="0058432E">
              <w:rPr>
                <w:color w:val="000000" w:themeColor="text1"/>
              </w:rPr>
              <w:t>N/A</w:t>
            </w:r>
          </w:p>
        </w:tc>
      </w:tr>
      <w:tr w:rsidR="009756D9" w:rsidRPr="0058432E" w14:paraId="3364B13E" w14:textId="77777777" w:rsidTr="009756D9">
        <w:tc>
          <w:tcPr>
            <w:tcW w:w="9303" w:type="dxa"/>
            <w:gridSpan w:val="5"/>
            <w:tcBorders>
              <w:top w:val="single" w:sz="4" w:space="0" w:color="auto"/>
              <w:left w:val="nil"/>
              <w:bottom w:val="nil"/>
              <w:right w:val="nil"/>
            </w:tcBorders>
          </w:tcPr>
          <w:p w14:paraId="7ED17B7B" w14:textId="77777777" w:rsidR="009756D9" w:rsidRPr="0058432E" w:rsidRDefault="009756D9" w:rsidP="003D3F89">
            <w:pPr>
              <w:ind w:left="270" w:hanging="270"/>
              <w:rPr>
                <w:color w:val="000000" w:themeColor="text1"/>
                <w:sz w:val="20"/>
              </w:rPr>
            </w:pPr>
            <w:r w:rsidRPr="0058432E">
              <w:rPr>
                <w:color w:val="000000" w:themeColor="text1"/>
                <w:sz w:val="20"/>
              </w:rPr>
              <w:t xml:space="preserve">*** </w:t>
            </w:r>
            <w:r w:rsidRPr="0058432E">
              <w:rPr>
                <w:i/>
                <w:iCs/>
                <w:color w:val="000000" w:themeColor="text1"/>
                <w:sz w:val="20"/>
              </w:rPr>
              <w:t>p</w:t>
            </w:r>
            <w:r w:rsidRPr="0058432E">
              <w:rPr>
                <w:color w:val="000000" w:themeColor="text1"/>
                <w:sz w:val="20"/>
              </w:rPr>
              <w:t xml:space="preserve"> &lt; 0,001 pour toutes comparaisons entre l’adalimumab et le placebo </w:t>
            </w:r>
          </w:p>
          <w:p w14:paraId="457B1592" w14:textId="77777777" w:rsidR="009756D9" w:rsidRPr="0058432E" w:rsidRDefault="009756D9" w:rsidP="003D3F89">
            <w:pPr>
              <w:ind w:left="270" w:hanging="270"/>
              <w:rPr>
                <w:color w:val="000000" w:themeColor="text1"/>
                <w:sz w:val="20"/>
              </w:rPr>
            </w:pPr>
            <w:r w:rsidRPr="0058432E">
              <w:rPr>
                <w:color w:val="000000" w:themeColor="text1"/>
                <w:sz w:val="20"/>
              </w:rPr>
              <w:t xml:space="preserve">* </w:t>
            </w:r>
            <w:r w:rsidRPr="0058432E">
              <w:rPr>
                <w:i/>
                <w:iCs/>
                <w:color w:val="000000" w:themeColor="text1"/>
                <w:sz w:val="20"/>
              </w:rPr>
              <w:t>p</w:t>
            </w:r>
            <w:r w:rsidRPr="0058432E">
              <w:rPr>
                <w:color w:val="000000" w:themeColor="text1"/>
                <w:sz w:val="20"/>
              </w:rPr>
              <w:t xml:space="preserve"> &lt; 0,05 pour toutes comparaisons entre l’adalimumab et le placebo </w:t>
            </w:r>
          </w:p>
          <w:p w14:paraId="1DF74D7F" w14:textId="77777777" w:rsidR="009756D9" w:rsidRPr="0058432E" w:rsidRDefault="009756D9" w:rsidP="003D3F89">
            <w:pPr>
              <w:tabs>
                <w:tab w:val="left" w:pos="576"/>
              </w:tabs>
              <w:rPr>
                <w:color w:val="000000" w:themeColor="text1"/>
                <w:sz w:val="20"/>
              </w:rPr>
            </w:pPr>
            <w:r w:rsidRPr="0058432E">
              <w:rPr>
                <w:color w:val="000000" w:themeColor="text1"/>
                <w:sz w:val="20"/>
              </w:rPr>
              <w:t>N/A</w:t>
            </w:r>
            <w:r w:rsidRPr="0058432E">
              <w:rPr>
                <w:color w:val="000000" w:themeColor="text1"/>
                <w:sz w:val="20"/>
              </w:rPr>
              <w:tab/>
              <w:t>non applicable</w:t>
            </w:r>
          </w:p>
        </w:tc>
      </w:tr>
    </w:tbl>
    <w:p w14:paraId="38F06287" w14:textId="77777777" w:rsidR="00C46587" w:rsidRPr="0058432E" w:rsidRDefault="00C46587" w:rsidP="00982118">
      <w:pPr>
        <w:rPr>
          <w:color w:val="000000" w:themeColor="text1"/>
        </w:rPr>
      </w:pPr>
    </w:p>
    <w:p w14:paraId="7900A80F" w14:textId="77777777" w:rsidR="00C46587" w:rsidRPr="0058432E" w:rsidRDefault="00C46587" w:rsidP="00982118">
      <w:pPr>
        <w:rPr>
          <w:color w:val="000000" w:themeColor="text1"/>
        </w:rPr>
      </w:pPr>
      <w:r w:rsidRPr="0058432E">
        <w:rPr>
          <w:color w:val="000000" w:themeColor="text1"/>
        </w:rPr>
        <w:t xml:space="preserve">Les réponses ACR dans l'étude I sur le RPs étaient identiques avec ou sans traitement concomitant par le méthotrexate. Les réponses ACR se sont maintenues jusqu’à 136 semaines au cours de l’étude d’extension en ouvert. </w:t>
      </w:r>
    </w:p>
    <w:p w14:paraId="293C518B" w14:textId="77777777" w:rsidR="00C46587" w:rsidRPr="0058432E" w:rsidRDefault="00C46587" w:rsidP="00982118">
      <w:pPr>
        <w:rPr>
          <w:color w:val="000000" w:themeColor="text1"/>
        </w:rPr>
      </w:pPr>
    </w:p>
    <w:p w14:paraId="0A111259" w14:textId="77777777" w:rsidR="00C46587" w:rsidRPr="0058432E" w:rsidRDefault="00C46587" w:rsidP="00982118">
      <w:pPr>
        <w:rPr>
          <w:color w:val="000000" w:themeColor="text1"/>
        </w:rPr>
      </w:pPr>
      <w:r w:rsidRPr="0058432E">
        <w:rPr>
          <w:color w:val="000000" w:themeColor="text1"/>
        </w:rPr>
        <w:t>Les modifications radiographiques ont été évaluées lors des études du rhumatisme psoriasique. Des images radiographiques des mains, des poignets et des pieds ont été obtenues au début de l’étude puis au cours de la semaine 24 de la phase en double insu, au cours de laquelle les patients étaient sous adalimumab ou sous placebo, et de la semaine 48, lorsque tous les patients recevaient l’adalimumab en ouvert. Un score total de Sharp modifié (</w:t>
      </w:r>
      <w:r w:rsidRPr="0058432E">
        <w:rPr>
          <w:i/>
          <w:iCs/>
          <w:color w:val="000000" w:themeColor="text1"/>
        </w:rPr>
        <w:t>modified Total Sharp Score</w:t>
      </w:r>
      <w:r w:rsidRPr="0058432E">
        <w:rPr>
          <w:color w:val="000000" w:themeColor="text1"/>
        </w:rPr>
        <w:t xml:space="preserve">, mTSS), incluant les articulations inter-phalangiennes distales (c’est-à-dire une mesure différente par rapport au TSS utilisé dans les études de la polyarthrite rhumatoïde) a été utilisé. </w:t>
      </w:r>
    </w:p>
    <w:p w14:paraId="4BF9936F" w14:textId="77777777" w:rsidR="00C46587" w:rsidRPr="0058432E" w:rsidRDefault="00C46587" w:rsidP="00982118">
      <w:pPr>
        <w:rPr>
          <w:color w:val="000000" w:themeColor="text1"/>
        </w:rPr>
      </w:pPr>
    </w:p>
    <w:p w14:paraId="4099DE85" w14:textId="77777777" w:rsidR="00C46587" w:rsidRPr="0058432E" w:rsidRDefault="005A4709" w:rsidP="00982118">
      <w:pPr>
        <w:rPr>
          <w:color w:val="000000" w:themeColor="text1"/>
        </w:rPr>
      </w:pPr>
      <w:r w:rsidRPr="0058432E">
        <w:rPr>
          <w:color w:val="000000" w:themeColor="text1"/>
        </w:rPr>
        <w:t xml:space="preserve">Comparativement au placebo, l’adalimumab a ralenti la vitesse de progression des atteintes articulaires périphériques, mesurée par les modifications du mTSS (moyenne ± ET) 0,8 ± 2,5 dans le groupe placebo (à la semaine 24) contre 0,0 ± 1,9 ; (p&lt; 0,001) dans le groupe adalimumab (à la semaine 48). </w:t>
      </w:r>
    </w:p>
    <w:p w14:paraId="69FA5BF2" w14:textId="77777777" w:rsidR="00C46587" w:rsidRPr="0058432E" w:rsidRDefault="00C46587" w:rsidP="00982118">
      <w:pPr>
        <w:rPr>
          <w:color w:val="000000" w:themeColor="text1"/>
        </w:rPr>
      </w:pPr>
    </w:p>
    <w:p w14:paraId="44A645A1" w14:textId="77777777" w:rsidR="00C46587" w:rsidRPr="0058432E" w:rsidRDefault="00C46587" w:rsidP="00982118">
      <w:pPr>
        <w:rPr>
          <w:color w:val="000000" w:themeColor="text1"/>
        </w:rPr>
      </w:pPr>
      <w:r w:rsidRPr="0058432E">
        <w:rPr>
          <w:color w:val="000000" w:themeColor="text1"/>
        </w:rPr>
        <w:t xml:space="preserve">Chez 84 % des 102 patients traités par adalimumab et ne présentant pas de progression radiographique entre le début de l’étude et la semaine 48, cette absence de progression radiographique s’est poursuivie jusqu’au terme des 144 semaines de traitement. Comparativement au placebo, les patients sous adalimumab ont montré une amélioration statistiquement significative des capacités fonctionnelles évaluées par le HAQ et la </w:t>
      </w:r>
      <w:r w:rsidRPr="0058432E">
        <w:rPr>
          <w:i/>
          <w:iCs/>
          <w:color w:val="000000" w:themeColor="text1"/>
        </w:rPr>
        <w:t>Short Form Health Survey</w:t>
      </w:r>
      <w:r w:rsidRPr="0058432E">
        <w:rPr>
          <w:color w:val="000000" w:themeColor="text1"/>
        </w:rPr>
        <w:t xml:space="preserve"> (SF</w:t>
      </w:r>
      <w:r w:rsidR="00D86A3A" w:rsidRPr="0058432E">
        <w:rPr>
          <w:color w:val="000000" w:themeColor="text1"/>
        </w:rPr>
        <w:t>-</w:t>
      </w:r>
      <w:r w:rsidRPr="0058432E">
        <w:rPr>
          <w:color w:val="000000" w:themeColor="text1"/>
        </w:rPr>
        <w:t xml:space="preserve">36) au bout de 24 semaines. Cette amélioration des capacités fonctionnelles s’est maintenue jusqu’à la semaine 136 de l’étude d’extension en ouvert. </w:t>
      </w:r>
    </w:p>
    <w:p w14:paraId="39CA0EDA" w14:textId="77777777" w:rsidR="00C46587" w:rsidRPr="0058432E" w:rsidRDefault="00C46587" w:rsidP="00982118">
      <w:pPr>
        <w:rPr>
          <w:color w:val="000000" w:themeColor="text1"/>
        </w:rPr>
      </w:pPr>
    </w:p>
    <w:p w14:paraId="17A8811D" w14:textId="77777777" w:rsidR="00C46587" w:rsidRPr="0058432E" w:rsidRDefault="00C46587" w:rsidP="00DC3A99">
      <w:pPr>
        <w:keepNext/>
        <w:rPr>
          <w:i/>
          <w:color w:val="000000" w:themeColor="text1"/>
        </w:rPr>
      </w:pPr>
      <w:r w:rsidRPr="0058432E">
        <w:rPr>
          <w:i/>
          <w:color w:val="000000" w:themeColor="text1"/>
        </w:rPr>
        <w:t xml:space="preserve">Psoriasis </w:t>
      </w:r>
    </w:p>
    <w:p w14:paraId="366DE6B0" w14:textId="77777777" w:rsidR="00C46587" w:rsidRPr="0058432E" w:rsidRDefault="00C46587" w:rsidP="00DC3A99">
      <w:pPr>
        <w:keepNext/>
        <w:rPr>
          <w:color w:val="000000" w:themeColor="text1"/>
        </w:rPr>
      </w:pPr>
    </w:p>
    <w:p w14:paraId="3137CDC6" w14:textId="77777777" w:rsidR="00C46587" w:rsidRPr="0058432E" w:rsidRDefault="00C46587" w:rsidP="00982118">
      <w:pPr>
        <w:rPr>
          <w:color w:val="000000" w:themeColor="text1"/>
        </w:rPr>
      </w:pPr>
      <w:r w:rsidRPr="0058432E">
        <w:rPr>
          <w:color w:val="000000" w:themeColor="text1"/>
        </w:rPr>
        <w:t xml:space="preserve">L’efficacité et la </w:t>
      </w:r>
      <w:r w:rsidR="00354DBF" w:rsidRPr="0058432E">
        <w:rPr>
          <w:color w:val="000000" w:themeColor="text1"/>
        </w:rPr>
        <w:t>tolérance</w:t>
      </w:r>
      <w:r w:rsidR="002872A2" w:rsidRPr="0058432E">
        <w:rPr>
          <w:color w:val="000000" w:themeColor="text1"/>
        </w:rPr>
        <w:t xml:space="preserve"> </w:t>
      </w:r>
      <w:r w:rsidRPr="0058432E">
        <w:rPr>
          <w:color w:val="000000" w:themeColor="text1"/>
        </w:rPr>
        <w:t xml:space="preserve">de l’adalimumab ont été étudiées lors d’études randomisées menées en double aveugle chez des patients adultes atteints de </w:t>
      </w:r>
      <w:r w:rsidR="001F37F4" w:rsidRPr="0058432E">
        <w:rPr>
          <w:color w:val="000000" w:themeColor="text1"/>
        </w:rPr>
        <w:t xml:space="preserve">psoriasis en plaques chronique </w:t>
      </w:r>
      <w:r w:rsidRPr="0058432E">
        <w:rPr>
          <w:color w:val="000000" w:themeColor="text1"/>
        </w:rPr>
        <w:t>(intéressant ≥ 10 % de la surface corporelle, avec un indice de sévérité PASI (</w:t>
      </w:r>
      <w:r w:rsidRPr="0058432E">
        <w:rPr>
          <w:i/>
          <w:iCs/>
          <w:color w:val="000000" w:themeColor="text1"/>
        </w:rPr>
        <w:t>Psoriasis Area and Severity Index</w:t>
      </w:r>
      <w:r w:rsidRPr="0058432E">
        <w:rPr>
          <w:color w:val="000000" w:themeColor="text1"/>
        </w:rPr>
        <w:t xml:space="preserve">) ≥ 12 ou ≥ 10) qui étaient candidats à un traitement systémique ou une photothérapie. Au total, 73 % des patients recrutés dans les études I et II sur le psoriasis avaient déjà reçu un traitement systémique ou une photothérapie. L’efficacité et la </w:t>
      </w:r>
      <w:r w:rsidR="007D0396" w:rsidRPr="0058432E">
        <w:rPr>
          <w:color w:val="000000" w:themeColor="text1"/>
        </w:rPr>
        <w:t xml:space="preserve">sécurité </w:t>
      </w:r>
      <w:r w:rsidRPr="0058432E">
        <w:rPr>
          <w:color w:val="000000" w:themeColor="text1"/>
        </w:rPr>
        <w:t xml:space="preserve">de l’adalimumab ont également été étudiées chez des patients adultes atteints de </w:t>
      </w:r>
      <w:r w:rsidR="001F37F4" w:rsidRPr="0058432E">
        <w:rPr>
          <w:color w:val="000000" w:themeColor="text1"/>
        </w:rPr>
        <w:t xml:space="preserve">psoriasis en plaques chronique </w:t>
      </w:r>
      <w:r w:rsidRPr="0058432E">
        <w:rPr>
          <w:color w:val="000000" w:themeColor="text1"/>
        </w:rPr>
        <w:t xml:space="preserve">modéré à sévère avec une atteinte concomitante des mains et/ou des pieds qui étaient candidats à un traitement systémique dans une étude randomisée en double aveugle (étude III sur le psoriasis). </w:t>
      </w:r>
    </w:p>
    <w:p w14:paraId="44DDE49E" w14:textId="77777777" w:rsidR="00C46587" w:rsidRPr="0058432E" w:rsidRDefault="00C46587" w:rsidP="00982118">
      <w:pPr>
        <w:rPr>
          <w:color w:val="000000" w:themeColor="text1"/>
        </w:rPr>
      </w:pPr>
    </w:p>
    <w:p w14:paraId="0F986A60" w14:textId="77777777" w:rsidR="00C46587" w:rsidRPr="0058432E" w:rsidRDefault="00C46587" w:rsidP="00982118">
      <w:pPr>
        <w:rPr>
          <w:color w:val="000000" w:themeColor="text1"/>
        </w:rPr>
      </w:pPr>
      <w:r w:rsidRPr="0058432E">
        <w:rPr>
          <w:color w:val="000000" w:themeColor="text1"/>
        </w:rPr>
        <w:t xml:space="preserve">L’étude I sur le psoriasis (REVEAL) a porté sur 1 212 patients pendant trois périodes de traitement. Durant la période A, les patients recevaient un placebo ou l’adalimumab à la dose initiale de 80 mg, suivie de 40 mg </w:t>
      </w:r>
      <w:r w:rsidR="001B430D" w:rsidRPr="0058432E">
        <w:rPr>
          <w:color w:val="000000" w:themeColor="text1"/>
        </w:rPr>
        <w:t>toutes les deux semaines</w:t>
      </w:r>
      <w:r w:rsidRPr="0058432E">
        <w:rPr>
          <w:color w:val="000000" w:themeColor="text1"/>
        </w:rPr>
        <w:t xml:space="preserve"> à partir d’une semaine après la dose initiale. Au bout de 16</w:t>
      </w:r>
      <w:r w:rsidR="002A7F87" w:rsidRPr="0058432E">
        <w:rPr>
          <w:color w:val="000000" w:themeColor="text1"/>
        </w:rPr>
        <w:t> </w:t>
      </w:r>
      <w:r w:rsidRPr="0058432E">
        <w:rPr>
          <w:color w:val="000000" w:themeColor="text1"/>
        </w:rPr>
        <w:t xml:space="preserve">semaines de traitement, les patients ayant obtenu au minimum une réponse PASI 75 (amélioration d’au moins 75 % du score PASI par rapport aux valeurs initiales), entraient dans la période B et recevaient 40 mg d’adalimumab en ouvert </w:t>
      </w:r>
      <w:r w:rsidR="001B430D" w:rsidRPr="0058432E">
        <w:rPr>
          <w:color w:val="000000" w:themeColor="text1"/>
        </w:rPr>
        <w:t>toutes les deux semaines</w:t>
      </w:r>
      <w:r w:rsidRPr="0058432E">
        <w:rPr>
          <w:color w:val="000000" w:themeColor="text1"/>
        </w:rPr>
        <w:t xml:space="preserve">. Les patients dont la réponse restait ≥ PASI 75 à la semaine 33 et qui avaient été initialement randomisés pour recevoir le traitement actif pendant la période A, ont à nouveau été randomisés pendant la période C pour recevoir 40 mg d’adalimumab </w:t>
      </w:r>
      <w:r w:rsidR="001B430D" w:rsidRPr="0058432E">
        <w:rPr>
          <w:color w:val="000000" w:themeColor="text1"/>
        </w:rPr>
        <w:t>toutes les deux semaines</w:t>
      </w:r>
      <w:r w:rsidRPr="0058432E">
        <w:rPr>
          <w:color w:val="000000" w:themeColor="text1"/>
        </w:rPr>
        <w:t xml:space="preserve"> ou </w:t>
      </w:r>
      <w:proofErr w:type="gramStart"/>
      <w:r w:rsidRPr="0058432E">
        <w:rPr>
          <w:color w:val="000000" w:themeColor="text1"/>
        </w:rPr>
        <w:t>un placebo pendant 19 semaines supplémentaires</w:t>
      </w:r>
      <w:proofErr w:type="gramEnd"/>
      <w:r w:rsidRPr="0058432E">
        <w:rPr>
          <w:color w:val="000000" w:themeColor="text1"/>
        </w:rPr>
        <w:t>. Dans tous les groupes de traitement, le score PASI initial moyen était de 18,9 et le score PGA (</w:t>
      </w:r>
      <w:r w:rsidRPr="0058432E">
        <w:rPr>
          <w:i/>
          <w:iCs/>
          <w:color w:val="000000" w:themeColor="text1"/>
        </w:rPr>
        <w:t>Physician’s Global Assessment</w:t>
      </w:r>
      <w:r w:rsidRPr="0058432E">
        <w:rPr>
          <w:color w:val="000000" w:themeColor="text1"/>
        </w:rPr>
        <w:t>, évaluation initiale globale du médecin) était compris entre « modéré » (53 % des sujets inclus) et « sévère » (41 %), voire « très sévère » (6 %).</w:t>
      </w:r>
    </w:p>
    <w:p w14:paraId="6535AAB5" w14:textId="77777777" w:rsidR="00C46587" w:rsidRPr="0058432E" w:rsidRDefault="00C46587" w:rsidP="00982118">
      <w:pPr>
        <w:rPr>
          <w:color w:val="000000" w:themeColor="text1"/>
        </w:rPr>
      </w:pPr>
    </w:p>
    <w:p w14:paraId="56E2C6AE" w14:textId="77777777" w:rsidR="00C46587" w:rsidRPr="0058432E" w:rsidRDefault="00C46587" w:rsidP="00982118">
      <w:pPr>
        <w:rPr>
          <w:color w:val="000000" w:themeColor="text1"/>
        </w:rPr>
      </w:pPr>
      <w:r w:rsidRPr="0058432E">
        <w:rPr>
          <w:color w:val="000000" w:themeColor="text1"/>
        </w:rPr>
        <w:t xml:space="preserve">L’étude II sur le psoriasis (CHAMPION) a comparé l’efficacité et la </w:t>
      </w:r>
      <w:r w:rsidR="00354DBF" w:rsidRPr="0058432E">
        <w:rPr>
          <w:color w:val="000000" w:themeColor="text1"/>
        </w:rPr>
        <w:t>tolérance</w:t>
      </w:r>
      <w:r w:rsidR="00901624" w:rsidRPr="0058432E">
        <w:rPr>
          <w:color w:val="000000" w:themeColor="text1"/>
        </w:rPr>
        <w:t xml:space="preserve"> </w:t>
      </w:r>
      <w:r w:rsidRPr="0058432E">
        <w:rPr>
          <w:color w:val="000000" w:themeColor="text1"/>
        </w:rPr>
        <w:t xml:space="preserve">de l’adalimumab à celles du méthotrexate et d’un placebo chez 271 patients. Les patients ont reçu un placebo, une dose initiale de MTX à 7,5 mg, augmentée ensuite jusqu’à la semaine 12, la dose maximale étant de 25 mg, ou bien une dose initiale de 80 mg d’adalimumab suivie de 40 mg </w:t>
      </w:r>
      <w:r w:rsidR="001B430D" w:rsidRPr="0058432E">
        <w:rPr>
          <w:color w:val="000000" w:themeColor="text1"/>
        </w:rPr>
        <w:t>toutes les deux semaines</w:t>
      </w:r>
      <w:r w:rsidRPr="0058432E">
        <w:rPr>
          <w:color w:val="000000" w:themeColor="text1"/>
        </w:rPr>
        <w:t xml:space="preserve"> (en commençant une semaine après la semaine initiale) pendant 16 semaines. On ne dispose d’aucune donnée concernant la comparaison entre l’adalimumab et le MTX au-delà de 16 semaines de traitement. Chez les patients sous MTX ayant atteint une réponse ≥ PASI 50 à la semaine 8 et/ou 12, la </w:t>
      </w:r>
      <w:r w:rsidRPr="0058432E">
        <w:rPr>
          <w:color w:val="000000" w:themeColor="text1"/>
        </w:rPr>
        <w:lastRenderedPageBreak/>
        <w:t xml:space="preserve">posologie n’était pas augmentée davantage. Dans tous les groupes de traitement, le score PASI initial moyen était de 19,7 et le score PGA initial allait de « léger » (&lt; 1 %) à « modéré » (48 %), « sévère » (46 %) et « très sévère » (6 %). </w:t>
      </w:r>
    </w:p>
    <w:p w14:paraId="54ECF4C0" w14:textId="77777777" w:rsidR="00C46587" w:rsidRPr="0058432E" w:rsidRDefault="00C46587" w:rsidP="00982118">
      <w:pPr>
        <w:rPr>
          <w:color w:val="000000" w:themeColor="text1"/>
        </w:rPr>
      </w:pPr>
    </w:p>
    <w:p w14:paraId="2176470A" w14:textId="77777777" w:rsidR="00C46587" w:rsidRPr="0058432E" w:rsidRDefault="00C46587" w:rsidP="00982118">
      <w:pPr>
        <w:rPr>
          <w:color w:val="000000" w:themeColor="text1"/>
        </w:rPr>
      </w:pPr>
      <w:r w:rsidRPr="0058432E">
        <w:rPr>
          <w:color w:val="000000" w:themeColor="text1"/>
        </w:rPr>
        <w:t xml:space="preserve">Les patients ayant participé aux études de phase 2 et de phase 3 dans le psoriasis étaient éligibles pour entrer dans une étude d’extension en ouvert, dans laquelle l’adalimumab était administré pendant au moins 108 semaines supplémentaires. </w:t>
      </w:r>
    </w:p>
    <w:p w14:paraId="51900394" w14:textId="77777777" w:rsidR="00C46587" w:rsidRPr="0058432E" w:rsidRDefault="00C46587" w:rsidP="00982118">
      <w:pPr>
        <w:rPr>
          <w:color w:val="000000" w:themeColor="text1"/>
        </w:rPr>
      </w:pPr>
    </w:p>
    <w:p w14:paraId="1CE62068" w14:textId="77777777" w:rsidR="00C46587" w:rsidRPr="0058432E" w:rsidRDefault="00C46587" w:rsidP="00982118">
      <w:pPr>
        <w:rPr>
          <w:color w:val="000000" w:themeColor="text1"/>
        </w:rPr>
      </w:pPr>
      <w:r w:rsidRPr="0058432E">
        <w:rPr>
          <w:color w:val="000000" w:themeColor="text1"/>
        </w:rPr>
        <w:t>L’un des principaux critères d’évaluation des études I et II sur le psoriasis était le pourcentage de patients ayant atteint une réponse PASI 75 entre l’inclusion et la semaine 16 (voir tableaux </w:t>
      </w:r>
      <w:r w:rsidR="00AA1D55" w:rsidRPr="0058432E">
        <w:rPr>
          <w:color w:val="000000" w:themeColor="text1"/>
        </w:rPr>
        <w:t>16</w:t>
      </w:r>
      <w:r w:rsidRPr="0058432E">
        <w:rPr>
          <w:color w:val="000000" w:themeColor="text1"/>
        </w:rPr>
        <w:t xml:space="preserve"> et </w:t>
      </w:r>
      <w:r w:rsidR="00AA1D55" w:rsidRPr="0058432E">
        <w:rPr>
          <w:color w:val="000000" w:themeColor="text1"/>
        </w:rPr>
        <w:t>17</w:t>
      </w:r>
      <w:r w:rsidRPr="0058432E">
        <w:rPr>
          <w:color w:val="000000" w:themeColor="text1"/>
        </w:rPr>
        <w:t xml:space="preserve">). </w:t>
      </w:r>
    </w:p>
    <w:p w14:paraId="4375EEE0" w14:textId="77777777" w:rsidR="00C46587" w:rsidRPr="0058432E" w:rsidRDefault="00C46587" w:rsidP="00982118">
      <w:pPr>
        <w:rPr>
          <w:color w:val="000000" w:themeColor="text1"/>
        </w:rPr>
      </w:pPr>
    </w:p>
    <w:p w14:paraId="1E59F0F4" w14:textId="77777777" w:rsidR="00C46587" w:rsidRPr="0058432E" w:rsidRDefault="00C46587" w:rsidP="00A53E17">
      <w:pPr>
        <w:keepNext/>
        <w:rPr>
          <w:b/>
          <w:color w:val="000000" w:themeColor="text1"/>
        </w:rPr>
      </w:pPr>
      <w:r w:rsidRPr="0058432E">
        <w:rPr>
          <w:b/>
          <w:color w:val="000000" w:themeColor="text1"/>
        </w:rPr>
        <w:t>Tableau </w:t>
      </w:r>
      <w:r w:rsidR="00AA1D55" w:rsidRPr="0058432E">
        <w:rPr>
          <w:b/>
          <w:color w:val="000000" w:themeColor="text1"/>
        </w:rPr>
        <w:t>16</w:t>
      </w:r>
      <w:r w:rsidR="002A7CDF" w:rsidRPr="0058432E">
        <w:rPr>
          <w:b/>
          <w:color w:val="000000" w:themeColor="text1"/>
        </w:rPr>
        <w:t>.</w:t>
      </w:r>
    </w:p>
    <w:p w14:paraId="7B7D717E" w14:textId="77777777" w:rsidR="00C46587" w:rsidRPr="0058432E" w:rsidRDefault="00C46587" w:rsidP="00A53E17">
      <w:pPr>
        <w:keepNext/>
        <w:rPr>
          <w:b/>
          <w:color w:val="000000" w:themeColor="text1"/>
        </w:rPr>
      </w:pPr>
      <w:r w:rsidRPr="0058432E">
        <w:rPr>
          <w:b/>
          <w:color w:val="000000" w:themeColor="text1"/>
        </w:rPr>
        <w:t>Étude I sur le psoriasis (REVEAL) — Résultats d’efficacité à 16 semaines</w:t>
      </w:r>
    </w:p>
    <w:p w14:paraId="1677D919" w14:textId="77777777" w:rsidR="00DD002D" w:rsidRPr="0058432E" w:rsidRDefault="00DD002D" w:rsidP="003146E9">
      <w:pPr>
        <w:pStyle w:val="BodyText"/>
        <w:keepNext/>
        <w:widowControl/>
        <w:kinsoku w:val="0"/>
        <w:overflowPunct w:val="0"/>
        <w:ind w:left="0"/>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DD002D" w:rsidRPr="0058432E" w14:paraId="23BF66FB" w14:textId="77777777" w:rsidTr="009756D9">
        <w:trPr>
          <w:tblHeader/>
        </w:trPr>
        <w:tc>
          <w:tcPr>
            <w:tcW w:w="3193" w:type="dxa"/>
            <w:shd w:val="clear" w:color="auto" w:fill="auto"/>
          </w:tcPr>
          <w:p w14:paraId="0ED06455" w14:textId="77777777" w:rsidR="00DD002D" w:rsidRPr="0058432E" w:rsidRDefault="00DD002D" w:rsidP="003146E9">
            <w:pPr>
              <w:keepNext/>
              <w:rPr>
                <w:rFonts w:eastAsia="Calibri"/>
                <w:color w:val="000000" w:themeColor="text1"/>
              </w:rPr>
            </w:pPr>
          </w:p>
        </w:tc>
        <w:tc>
          <w:tcPr>
            <w:tcW w:w="3055" w:type="dxa"/>
            <w:shd w:val="clear" w:color="auto" w:fill="auto"/>
          </w:tcPr>
          <w:p w14:paraId="6BA5D8F5" w14:textId="77777777" w:rsidR="00DD002D" w:rsidRPr="0058432E" w:rsidRDefault="00DD002D" w:rsidP="003146E9">
            <w:pPr>
              <w:pStyle w:val="TableParagraph"/>
              <w:keepNext/>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Placebo</w:t>
            </w:r>
          </w:p>
          <w:p w14:paraId="5481252A" w14:textId="77777777" w:rsidR="00DD002D" w:rsidRPr="0058432E" w:rsidRDefault="00DD002D" w:rsidP="003146E9">
            <w:pPr>
              <w:pStyle w:val="TableParagraph"/>
              <w:keepNext/>
              <w:widowControl/>
              <w:kinsoku w:val="0"/>
              <w:overflowPunct w:val="0"/>
              <w:ind w:hanging="60"/>
              <w:jc w:val="center"/>
              <w:rPr>
                <w:rFonts w:ascii="Times New Roman" w:hAnsi="Times New Roman"/>
                <w:b/>
                <w:bCs/>
                <w:color w:val="000000" w:themeColor="text1"/>
              </w:rPr>
            </w:pPr>
            <w:r w:rsidRPr="0058432E">
              <w:rPr>
                <w:rFonts w:ascii="Times New Roman" w:hAnsi="Times New Roman"/>
                <w:b/>
                <w:bCs/>
                <w:color w:val="000000" w:themeColor="text1"/>
              </w:rPr>
              <w:t>N = 398</w:t>
            </w:r>
          </w:p>
          <w:p w14:paraId="797BA754" w14:textId="77777777" w:rsidR="00DD002D" w:rsidRPr="0058432E" w:rsidRDefault="00DD002D" w:rsidP="003146E9">
            <w:pPr>
              <w:pStyle w:val="TableParagraph"/>
              <w:keepNext/>
              <w:widowControl/>
              <w:kinsoku w:val="0"/>
              <w:overflowPunct w:val="0"/>
              <w:ind w:hanging="6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3055" w:type="dxa"/>
            <w:shd w:val="clear" w:color="auto" w:fill="auto"/>
          </w:tcPr>
          <w:p w14:paraId="17CF3103" w14:textId="77777777" w:rsidR="00DD002D" w:rsidRPr="0058432E" w:rsidRDefault="00DD002D" w:rsidP="003146E9">
            <w:pPr>
              <w:pStyle w:val="TableParagraph"/>
              <w:keepNext/>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deux</w:t>
            </w:r>
            <w:r w:rsidRPr="0058432E">
              <w:rPr>
                <w:rFonts w:ascii="Times New Roman" w:hAnsi="Times New Roman"/>
                <w:b/>
                <w:bCs/>
                <w:color w:val="000000" w:themeColor="text1"/>
              </w:rPr>
              <w:t> semaines</w:t>
            </w:r>
          </w:p>
          <w:p w14:paraId="0297FE5C" w14:textId="77777777" w:rsidR="00DD002D" w:rsidRPr="0058432E" w:rsidRDefault="00DD002D" w:rsidP="003146E9">
            <w:pPr>
              <w:pStyle w:val="TableParagraph"/>
              <w:keepNext/>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814</w:t>
            </w:r>
          </w:p>
          <w:p w14:paraId="1C05C0BA" w14:textId="77777777" w:rsidR="00DD002D" w:rsidRPr="0058432E" w:rsidRDefault="00DD002D" w:rsidP="003146E9">
            <w:pPr>
              <w:pStyle w:val="TableParagraph"/>
              <w:keepNext/>
              <w:widowControl/>
              <w:kinsoku w:val="0"/>
              <w:overflowPunct w:val="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DD002D" w:rsidRPr="0058432E" w14:paraId="2914F183" w14:textId="77777777" w:rsidTr="009756D9">
        <w:tc>
          <w:tcPr>
            <w:tcW w:w="3193" w:type="dxa"/>
            <w:shd w:val="clear" w:color="auto" w:fill="auto"/>
          </w:tcPr>
          <w:p w14:paraId="00DE79A3" w14:textId="77777777" w:rsidR="00DD002D" w:rsidRPr="0058432E" w:rsidRDefault="00DD002D" w:rsidP="003146E9">
            <w:pPr>
              <w:pStyle w:val="TableParagraph"/>
              <w:keepNext/>
              <w:widowControl/>
              <w:kinsoku w:val="0"/>
              <w:overflowPunct w:val="0"/>
              <w:rPr>
                <w:rFonts w:ascii="Times New Roman" w:hAnsi="Times New Roman"/>
                <w:color w:val="000000" w:themeColor="text1"/>
              </w:rPr>
            </w:pPr>
            <w:r w:rsidRPr="0058432E">
              <w:rPr>
                <w:rFonts w:ascii="Times New Roman" w:hAnsi="Times New Roman"/>
                <w:bCs/>
                <w:color w:val="000000" w:themeColor="text1"/>
              </w:rPr>
              <w:t>≥ PASI 75</w:t>
            </w:r>
            <w:r w:rsidRPr="0058432E">
              <w:rPr>
                <w:rFonts w:ascii="Times New Roman" w:hAnsi="Times New Roman"/>
                <w:bCs/>
                <w:color w:val="000000" w:themeColor="text1"/>
                <w:vertAlign w:val="superscript"/>
              </w:rPr>
              <w:t>a</w:t>
            </w:r>
          </w:p>
        </w:tc>
        <w:tc>
          <w:tcPr>
            <w:tcW w:w="3055" w:type="dxa"/>
            <w:shd w:val="clear" w:color="auto" w:fill="auto"/>
          </w:tcPr>
          <w:p w14:paraId="71ED1C82" w14:textId="77777777" w:rsidR="00DD002D" w:rsidRPr="0058432E" w:rsidRDefault="00DD002D" w:rsidP="003146E9">
            <w:pPr>
              <w:pStyle w:val="TableParagraph"/>
              <w:keepNext/>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26 (6,5)</w:t>
            </w:r>
          </w:p>
        </w:tc>
        <w:tc>
          <w:tcPr>
            <w:tcW w:w="3055" w:type="dxa"/>
            <w:shd w:val="clear" w:color="auto" w:fill="auto"/>
          </w:tcPr>
          <w:p w14:paraId="306B8D35" w14:textId="77777777" w:rsidR="00DD002D" w:rsidRPr="0058432E" w:rsidRDefault="00DD002D" w:rsidP="003146E9">
            <w:pPr>
              <w:pStyle w:val="TableParagraph"/>
              <w:keepNext/>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578 (70,</w:t>
            </w:r>
            <w:proofErr w:type="gramStart"/>
            <w:r w:rsidRPr="0058432E">
              <w:rPr>
                <w:rFonts w:ascii="Times New Roman" w:hAnsi="Times New Roman"/>
                <w:color w:val="000000" w:themeColor="text1"/>
              </w:rPr>
              <w:t>9)</w:t>
            </w:r>
            <w:r w:rsidRPr="0058432E">
              <w:rPr>
                <w:rFonts w:ascii="Times New Roman" w:hAnsi="Times New Roman"/>
                <w:color w:val="000000" w:themeColor="text1"/>
                <w:vertAlign w:val="superscript"/>
              </w:rPr>
              <w:t>b</w:t>
            </w:r>
            <w:proofErr w:type="gramEnd"/>
          </w:p>
        </w:tc>
      </w:tr>
      <w:tr w:rsidR="00DD002D" w:rsidRPr="0058432E" w14:paraId="0251AAC9" w14:textId="77777777" w:rsidTr="009756D9">
        <w:tc>
          <w:tcPr>
            <w:tcW w:w="3193" w:type="dxa"/>
            <w:shd w:val="clear" w:color="auto" w:fill="auto"/>
          </w:tcPr>
          <w:p w14:paraId="2381FE77" w14:textId="77777777" w:rsidR="00DD002D" w:rsidRPr="0058432E" w:rsidRDefault="00DD002D"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PASI 100</w:t>
            </w:r>
          </w:p>
        </w:tc>
        <w:tc>
          <w:tcPr>
            <w:tcW w:w="3055" w:type="dxa"/>
            <w:shd w:val="clear" w:color="auto" w:fill="auto"/>
          </w:tcPr>
          <w:p w14:paraId="4D0BE6D5"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3 (0,8)</w:t>
            </w:r>
          </w:p>
        </w:tc>
        <w:tc>
          <w:tcPr>
            <w:tcW w:w="3055" w:type="dxa"/>
            <w:shd w:val="clear" w:color="auto" w:fill="auto"/>
          </w:tcPr>
          <w:p w14:paraId="5CA35DC8"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163 (20,</w:t>
            </w:r>
            <w:proofErr w:type="gramStart"/>
            <w:r w:rsidRPr="0058432E">
              <w:rPr>
                <w:rFonts w:ascii="Times New Roman" w:hAnsi="Times New Roman"/>
                <w:color w:val="000000" w:themeColor="text1"/>
              </w:rPr>
              <w:t>0)</w:t>
            </w:r>
            <w:r w:rsidRPr="0058432E">
              <w:rPr>
                <w:rFonts w:ascii="Times New Roman" w:hAnsi="Times New Roman"/>
                <w:color w:val="000000" w:themeColor="text1"/>
                <w:vertAlign w:val="superscript"/>
              </w:rPr>
              <w:t>b</w:t>
            </w:r>
            <w:proofErr w:type="gramEnd"/>
          </w:p>
        </w:tc>
      </w:tr>
      <w:tr w:rsidR="00DD002D" w:rsidRPr="0058432E" w14:paraId="3D8271F4" w14:textId="77777777" w:rsidTr="009756D9">
        <w:tc>
          <w:tcPr>
            <w:tcW w:w="3193" w:type="dxa"/>
            <w:tcBorders>
              <w:bottom w:val="single" w:sz="4" w:space="0" w:color="auto"/>
            </w:tcBorders>
            <w:shd w:val="clear" w:color="auto" w:fill="auto"/>
          </w:tcPr>
          <w:p w14:paraId="12118E6E" w14:textId="77777777" w:rsidR="00DD002D" w:rsidRPr="0058432E" w:rsidRDefault="00DD002D" w:rsidP="00AA5839">
            <w:pPr>
              <w:pStyle w:val="TableParagraph"/>
              <w:widowControl/>
              <w:kinsoku w:val="0"/>
              <w:overflowPunct w:val="0"/>
              <w:rPr>
                <w:rFonts w:ascii="Times New Roman" w:hAnsi="Times New Roman"/>
                <w:color w:val="000000" w:themeColor="text1"/>
              </w:rPr>
            </w:pPr>
            <w:r w:rsidRPr="0058432E">
              <w:rPr>
                <w:rFonts w:ascii="Times New Roman" w:hAnsi="Times New Roman"/>
                <w:bCs/>
                <w:color w:val="000000" w:themeColor="text1"/>
              </w:rPr>
              <w:t>PGA : clair/minimal</w:t>
            </w:r>
          </w:p>
        </w:tc>
        <w:tc>
          <w:tcPr>
            <w:tcW w:w="3055" w:type="dxa"/>
            <w:tcBorders>
              <w:bottom w:val="single" w:sz="4" w:space="0" w:color="auto"/>
            </w:tcBorders>
            <w:shd w:val="clear" w:color="auto" w:fill="auto"/>
          </w:tcPr>
          <w:p w14:paraId="4691C849"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17 (4,3)</w:t>
            </w:r>
          </w:p>
        </w:tc>
        <w:tc>
          <w:tcPr>
            <w:tcW w:w="3055" w:type="dxa"/>
            <w:tcBorders>
              <w:bottom w:val="single" w:sz="4" w:space="0" w:color="auto"/>
            </w:tcBorders>
            <w:shd w:val="clear" w:color="auto" w:fill="auto"/>
          </w:tcPr>
          <w:p w14:paraId="61BD7D72" w14:textId="77777777" w:rsidR="00DD002D" w:rsidRPr="0058432E" w:rsidRDefault="00DD002D" w:rsidP="00AA5839">
            <w:pPr>
              <w:pStyle w:val="TableParagraph"/>
              <w:widowControl/>
              <w:kinsoku w:val="0"/>
              <w:overflowPunct w:val="0"/>
              <w:jc w:val="center"/>
              <w:rPr>
                <w:rFonts w:ascii="Times New Roman" w:hAnsi="Times New Roman"/>
                <w:color w:val="000000" w:themeColor="text1"/>
              </w:rPr>
            </w:pPr>
            <w:r w:rsidRPr="0058432E">
              <w:rPr>
                <w:rFonts w:ascii="Times New Roman" w:hAnsi="Times New Roman"/>
                <w:color w:val="000000" w:themeColor="text1"/>
              </w:rPr>
              <w:t>506 (62,</w:t>
            </w:r>
            <w:proofErr w:type="gramStart"/>
            <w:r w:rsidRPr="0058432E">
              <w:rPr>
                <w:rFonts w:ascii="Times New Roman" w:hAnsi="Times New Roman"/>
                <w:color w:val="000000" w:themeColor="text1"/>
              </w:rPr>
              <w:t>2)</w:t>
            </w:r>
            <w:r w:rsidRPr="0058432E">
              <w:rPr>
                <w:rFonts w:ascii="Times New Roman" w:hAnsi="Times New Roman"/>
                <w:color w:val="000000" w:themeColor="text1"/>
                <w:vertAlign w:val="superscript"/>
              </w:rPr>
              <w:t>b</w:t>
            </w:r>
            <w:proofErr w:type="gramEnd"/>
          </w:p>
        </w:tc>
      </w:tr>
      <w:tr w:rsidR="009756D9" w:rsidRPr="0058432E" w14:paraId="137E326C" w14:textId="77777777" w:rsidTr="009756D9">
        <w:tc>
          <w:tcPr>
            <w:tcW w:w="9303" w:type="dxa"/>
            <w:gridSpan w:val="3"/>
            <w:tcBorders>
              <w:left w:val="nil"/>
              <w:bottom w:val="nil"/>
              <w:right w:val="nil"/>
            </w:tcBorders>
            <w:shd w:val="clear" w:color="auto" w:fill="auto"/>
          </w:tcPr>
          <w:p w14:paraId="505A7AED" w14:textId="77777777" w:rsidR="009756D9" w:rsidRPr="0058432E" w:rsidRDefault="009756D9" w:rsidP="009756D9">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a</w:t>
            </w:r>
            <w:proofErr w:type="gramEnd"/>
            <w:r w:rsidRPr="0058432E">
              <w:rPr>
                <w:rFonts w:ascii="Times New Roman" w:hAnsi="Times New Roman"/>
                <w:color w:val="000000" w:themeColor="text1"/>
                <w:sz w:val="20"/>
              </w:rPr>
              <w:t xml:space="preserve"> </w:t>
            </w:r>
            <w:r w:rsidRPr="0058432E">
              <w:rPr>
                <w:rFonts w:ascii="Times New Roman" w:hAnsi="Times New Roman"/>
                <w:color w:val="000000" w:themeColor="text1"/>
                <w:sz w:val="20"/>
              </w:rPr>
              <w:tab/>
              <w:t>Le pourcentage de patients atteignant une réponse PASI 75 a été calculé comme un taux ajusté en fonction du centre d’étude</w:t>
            </w:r>
          </w:p>
          <w:p w14:paraId="3A2AB568" w14:textId="77777777" w:rsidR="009756D9" w:rsidRPr="0058432E" w:rsidRDefault="009756D9" w:rsidP="009756D9">
            <w:pPr>
              <w:pStyle w:val="TableParagraph"/>
              <w:widowControl/>
              <w:kinsoku w:val="0"/>
              <w:overflowPunct w:val="0"/>
              <w:ind w:left="270" w:hanging="270"/>
              <w:rPr>
                <w:rFonts w:ascii="Times New Roman" w:hAnsi="Times New Roman"/>
                <w:color w:val="000000" w:themeColor="text1"/>
                <w:sz w:val="20"/>
              </w:rPr>
            </w:pPr>
            <w:proofErr w:type="gramStart"/>
            <w:r w:rsidRPr="0058432E">
              <w:rPr>
                <w:rFonts w:ascii="Times New Roman" w:hAnsi="Times New Roman"/>
                <w:color w:val="000000" w:themeColor="text1"/>
                <w:sz w:val="20"/>
                <w:vertAlign w:val="superscript"/>
              </w:rPr>
              <w:t>b</w:t>
            </w:r>
            <w:proofErr w:type="gramEnd"/>
            <w:r w:rsidRPr="0058432E">
              <w:rPr>
                <w:rFonts w:ascii="Times New Roman" w:hAnsi="Times New Roman"/>
                <w:color w:val="000000" w:themeColor="text1"/>
                <w:sz w:val="20"/>
                <w:vertAlign w:val="superscript"/>
              </w:rPr>
              <w:t xml:space="preserve"> </w:t>
            </w:r>
            <w:r w:rsidRPr="0058432E">
              <w:rPr>
                <w:rFonts w:ascii="Times New Roman" w:hAnsi="Times New Roman"/>
                <w:color w:val="000000" w:themeColor="text1"/>
                <w:sz w:val="20"/>
                <w:vertAlign w:val="superscript"/>
              </w:rPr>
              <w:tab/>
            </w:r>
            <w:r w:rsidRPr="0058432E">
              <w:rPr>
                <w:rFonts w:ascii="Times New Roman" w:hAnsi="Times New Roman"/>
                <w:color w:val="000000" w:themeColor="text1"/>
                <w:sz w:val="20"/>
              </w:rPr>
              <w:t xml:space="preserve">p &lt; 0,001, adalimumab </w:t>
            </w:r>
            <w:r w:rsidRPr="0058432E">
              <w:rPr>
                <w:rFonts w:ascii="Times New Roman" w:hAnsi="Times New Roman"/>
                <w:i/>
                <w:color w:val="000000" w:themeColor="text1"/>
                <w:sz w:val="20"/>
              </w:rPr>
              <w:t>versus</w:t>
            </w:r>
            <w:r w:rsidRPr="0058432E">
              <w:rPr>
                <w:rFonts w:ascii="Times New Roman" w:hAnsi="Times New Roman"/>
                <w:color w:val="000000" w:themeColor="text1"/>
                <w:sz w:val="20"/>
              </w:rPr>
              <w:t xml:space="preserve"> placebo</w:t>
            </w:r>
          </w:p>
        </w:tc>
      </w:tr>
    </w:tbl>
    <w:p w14:paraId="6B611254" w14:textId="77777777" w:rsidR="00DD002D" w:rsidRPr="0058432E" w:rsidRDefault="00DD002D" w:rsidP="00DD002D">
      <w:pPr>
        <w:pStyle w:val="BodyText"/>
        <w:widowControl/>
        <w:kinsoku w:val="0"/>
        <w:overflowPunct w:val="0"/>
        <w:ind w:left="0"/>
        <w:rPr>
          <w:b/>
          <w:bCs/>
          <w:color w:val="000000" w:themeColor="text1"/>
        </w:rPr>
      </w:pPr>
    </w:p>
    <w:p w14:paraId="06090A18" w14:textId="77777777" w:rsidR="00C46587" w:rsidRPr="0058432E" w:rsidRDefault="00C46587" w:rsidP="00A53E17">
      <w:pPr>
        <w:keepNext/>
        <w:rPr>
          <w:b/>
          <w:color w:val="000000" w:themeColor="text1"/>
        </w:rPr>
      </w:pPr>
      <w:r w:rsidRPr="0058432E">
        <w:rPr>
          <w:b/>
          <w:color w:val="000000" w:themeColor="text1"/>
        </w:rPr>
        <w:t>Tableau </w:t>
      </w:r>
      <w:r w:rsidR="00AA1D55" w:rsidRPr="0058432E">
        <w:rPr>
          <w:b/>
          <w:color w:val="000000" w:themeColor="text1"/>
        </w:rPr>
        <w:t>17</w:t>
      </w:r>
      <w:r w:rsidR="002A7CDF" w:rsidRPr="0058432E">
        <w:rPr>
          <w:b/>
          <w:color w:val="000000" w:themeColor="text1"/>
        </w:rPr>
        <w:t>.</w:t>
      </w:r>
    </w:p>
    <w:p w14:paraId="23D4EBA6" w14:textId="77777777" w:rsidR="00C46587" w:rsidRPr="0058432E" w:rsidRDefault="00C46587" w:rsidP="00A53E17">
      <w:pPr>
        <w:keepNext/>
        <w:rPr>
          <w:b/>
          <w:color w:val="000000" w:themeColor="text1"/>
        </w:rPr>
      </w:pPr>
      <w:r w:rsidRPr="0058432E">
        <w:rPr>
          <w:b/>
          <w:color w:val="000000" w:themeColor="text1"/>
        </w:rPr>
        <w:t>Étude II sur le psoriasis (CHAMPION) — Résultats d’efficacité à 16 semaines</w:t>
      </w:r>
    </w:p>
    <w:p w14:paraId="3A610A3C" w14:textId="77777777" w:rsidR="00DD002D" w:rsidRPr="0058432E" w:rsidRDefault="00DD002D" w:rsidP="00DD002D">
      <w:pPr>
        <w:pStyle w:val="BodyText"/>
        <w:keepNext/>
        <w:widowControl/>
        <w:kinsoku w:val="0"/>
        <w:overflowPunct w:val="0"/>
        <w:ind w:left="0"/>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DD002D" w:rsidRPr="0058432E" w14:paraId="298E9D4E" w14:textId="77777777" w:rsidTr="009756D9">
        <w:trPr>
          <w:tblHeader/>
        </w:trPr>
        <w:tc>
          <w:tcPr>
            <w:tcW w:w="2128" w:type="dxa"/>
            <w:shd w:val="clear" w:color="auto" w:fill="auto"/>
          </w:tcPr>
          <w:p w14:paraId="37D26BDA" w14:textId="77777777" w:rsidR="00DD002D" w:rsidRPr="0058432E" w:rsidRDefault="00DD002D" w:rsidP="00AA5839">
            <w:pPr>
              <w:keepNext/>
              <w:keepLines/>
              <w:rPr>
                <w:rFonts w:eastAsia="Calibri"/>
                <w:color w:val="000000" w:themeColor="text1"/>
              </w:rPr>
            </w:pPr>
          </w:p>
        </w:tc>
        <w:tc>
          <w:tcPr>
            <w:tcW w:w="2391" w:type="dxa"/>
            <w:shd w:val="clear" w:color="auto" w:fill="auto"/>
          </w:tcPr>
          <w:p w14:paraId="1E804BAF"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Placebo </w:t>
            </w:r>
          </w:p>
          <w:p w14:paraId="3AE448F9"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b/>
                <w:bCs/>
                <w:color w:val="000000" w:themeColor="text1"/>
              </w:rPr>
            </w:pPr>
            <w:r w:rsidRPr="0058432E">
              <w:rPr>
                <w:rFonts w:ascii="Times New Roman" w:hAnsi="Times New Roman"/>
                <w:b/>
                <w:bCs/>
                <w:color w:val="000000" w:themeColor="text1"/>
              </w:rPr>
              <w:t xml:space="preserve">N = 53 </w:t>
            </w:r>
          </w:p>
          <w:p w14:paraId="62D04E79" w14:textId="77777777" w:rsidR="00DD002D" w:rsidRPr="0058432E" w:rsidRDefault="00DD002D" w:rsidP="00AA5839">
            <w:pPr>
              <w:pStyle w:val="TableParagraph"/>
              <w:keepNext/>
              <w:keepLines/>
              <w:widowControl/>
              <w:kinsoku w:val="0"/>
              <w:overflowPunct w:val="0"/>
              <w:ind w:hanging="95"/>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6C5F65E0"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MTX </w:t>
            </w:r>
          </w:p>
          <w:p w14:paraId="22D42E20"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b/>
                <w:bCs/>
                <w:color w:val="000000" w:themeColor="text1"/>
              </w:rPr>
            </w:pPr>
            <w:r w:rsidRPr="0058432E">
              <w:rPr>
                <w:rFonts w:ascii="Times New Roman" w:hAnsi="Times New Roman"/>
                <w:b/>
                <w:bCs/>
                <w:color w:val="000000" w:themeColor="text1"/>
              </w:rPr>
              <w:t xml:space="preserve">N = 110 </w:t>
            </w:r>
          </w:p>
          <w:p w14:paraId="40FA3CE5" w14:textId="77777777" w:rsidR="00DD002D" w:rsidRPr="0058432E" w:rsidRDefault="00DD002D" w:rsidP="00AA5839">
            <w:pPr>
              <w:pStyle w:val="TableParagraph"/>
              <w:keepNext/>
              <w:keepLines/>
              <w:widowControl/>
              <w:kinsoku w:val="0"/>
              <w:overflowPunct w:val="0"/>
              <w:ind w:firstLine="50"/>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c>
          <w:tcPr>
            <w:tcW w:w="2392" w:type="dxa"/>
            <w:shd w:val="clear" w:color="auto" w:fill="auto"/>
          </w:tcPr>
          <w:p w14:paraId="5AFEEAAA" w14:textId="77777777" w:rsidR="00DD002D" w:rsidRPr="0058432E" w:rsidRDefault="00DD002D" w:rsidP="00AA5839">
            <w:pPr>
              <w:pStyle w:val="TableParagraph"/>
              <w:keepNext/>
              <w:keepLines/>
              <w:widowControl/>
              <w:kinsoku w:val="0"/>
              <w:overflowPunct w:val="0"/>
              <w:jc w:val="center"/>
              <w:rPr>
                <w:rFonts w:ascii="Times New Roman" w:hAnsi="Times New Roman"/>
                <w:b/>
                <w:bCs/>
                <w:color w:val="000000" w:themeColor="text1"/>
              </w:rPr>
            </w:pPr>
            <w:r w:rsidRPr="0058432E">
              <w:rPr>
                <w:rFonts w:ascii="Times New Roman" w:hAnsi="Times New Roman"/>
                <w:b/>
                <w:bCs/>
                <w:color w:val="000000" w:themeColor="text1"/>
              </w:rPr>
              <w:t>Adalimumab 40</w:t>
            </w:r>
            <w:r w:rsidRPr="0058432E">
              <w:rPr>
                <w:rFonts w:ascii="Times New Roman" w:hAnsi="Times New Roman"/>
                <w:b/>
                <w:color w:val="000000" w:themeColor="text1"/>
              </w:rPr>
              <w:t> </w:t>
            </w:r>
            <w:r w:rsidRPr="0058432E">
              <w:rPr>
                <w:rFonts w:ascii="Times New Roman" w:hAnsi="Times New Roman"/>
                <w:b/>
                <w:bCs/>
                <w:color w:val="000000" w:themeColor="text1"/>
              </w:rPr>
              <w:t xml:space="preserve">mg toutes les </w:t>
            </w:r>
            <w:r w:rsidR="00BA7A54" w:rsidRPr="0058432E">
              <w:rPr>
                <w:rFonts w:ascii="Times New Roman" w:hAnsi="Times New Roman"/>
                <w:b/>
                <w:bCs/>
                <w:color w:val="000000" w:themeColor="text1"/>
              </w:rPr>
              <w:t>deux</w:t>
            </w:r>
            <w:r w:rsidR="00BA7A54" w:rsidRPr="0058432E" w:rsidDel="00BA7A54">
              <w:rPr>
                <w:rFonts w:ascii="Times New Roman" w:hAnsi="Times New Roman"/>
                <w:b/>
                <w:bCs/>
                <w:color w:val="000000" w:themeColor="text1"/>
              </w:rPr>
              <w:t xml:space="preserve"> </w:t>
            </w:r>
            <w:r w:rsidRPr="0058432E">
              <w:rPr>
                <w:rFonts w:ascii="Times New Roman" w:hAnsi="Times New Roman"/>
                <w:b/>
                <w:bCs/>
                <w:color w:val="000000" w:themeColor="text1"/>
              </w:rPr>
              <w:t>semaines</w:t>
            </w:r>
          </w:p>
          <w:p w14:paraId="007D74EC" w14:textId="77777777" w:rsidR="00DD002D" w:rsidRPr="0058432E" w:rsidRDefault="00DD002D" w:rsidP="00AA5839">
            <w:pPr>
              <w:pStyle w:val="TableParagraph"/>
              <w:keepNext/>
              <w:keepLines/>
              <w:widowControl/>
              <w:kinsoku w:val="0"/>
              <w:overflowPunct w:val="0"/>
              <w:jc w:val="center"/>
              <w:rPr>
                <w:rFonts w:ascii="Times New Roman" w:hAnsi="Times New Roman"/>
                <w:color w:val="000000" w:themeColor="text1"/>
              </w:rPr>
            </w:pPr>
            <w:r w:rsidRPr="0058432E">
              <w:rPr>
                <w:rFonts w:ascii="Times New Roman" w:hAnsi="Times New Roman"/>
                <w:b/>
                <w:bCs/>
                <w:color w:val="000000" w:themeColor="text1"/>
              </w:rPr>
              <w:t>N = 108</w:t>
            </w:r>
          </w:p>
          <w:p w14:paraId="67FB2A32" w14:textId="77777777" w:rsidR="00DD002D" w:rsidRPr="0058432E" w:rsidRDefault="00DD002D" w:rsidP="00AA5839">
            <w:pPr>
              <w:pStyle w:val="TableParagraph"/>
              <w:keepNext/>
              <w:keepLines/>
              <w:widowControl/>
              <w:kinsoku w:val="0"/>
              <w:overflowPunct w:val="0"/>
              <w:spacing w:line="252" w:lineRule="exact"/>
              <w:jc w:val="center"/>
              <w:rPr>
                <w:rFonts w:ascii="Times New Roman" w:hAnsi="Times New Roman"/>
                <w:color w:val="000000" w:themeColor="text1"/>
              </w:rPr>
            </w:pPr>
            <w:proofErr w:type="gramStart"/>
            <w:r w:rsidRPr="0058432E">
              <w:rPr>
                <w:rFonts w:ascii="Times New Roman" w:hAnsi="Times New Roman"/>
                <w:b/>
                <w:bCs/>
                <w:color w:val="000000" w:themeColor="text1"/>
              </w:rPr>
              <w:t>n</w:t>
            </w:r>
            <w:proofErr w:type="gramEnd"/>
            <w:r w:rsidRPr="0058432E">
              <w:rPr>
                <w:rFonts w:ascii="Times New Roman" w:hAnsi="Times New Roman"/>
                <w:b/>
                <w:bCs/>
                <w:color w:val="000000" w:themeColor="text1"/>
              </w:rPr>
              <w:t xml:space="preserve"> (%)</w:t>
            </w:r>
          </w:p>
        </w:tc>
      </w:tr>
      <w:tr w:rsidR="00DD002D" w:rsidRPr="0058432E" w14:paraId="64DB7B45" w14:textId="77777777" w:rsidTr="009756D9">
        <w:tc>
          <w:tcPr>
            <w:tcW w:w="2128" w:type="dxa"/>
            <w:shd w:val="clear" w:color="auto" w:fill="auto"/>
          </w:tcPr>
          <w:p w14:paraId="5F356FCF" w14:textId="77777777" w:rsidR="00DD002D" w:rsidRPr="0058432E" w:rsidRDefault="00DD002D" w:rsidP="00AA5839">
            <w:pPr>
              <w:pStyle w:val="TableParagraph"/>
              <w:keepNext/>
              <w:keepLines/>
              <w:widowControl/>
              <w:kinsoku w:val="0"/>
              <w:overflowPunct w:val="0"/>
              <w:spacing w:line="268" w:lineRule="exact"/>
              <w:rPr>
                <w:rFonts w:ascii="Times New Roman" w:hAnsi="Times New Roman"/>
                <w:color w:val="000000" w:themeColor="text1"/>
              </w:rPr>
            </w:pPr>
            <w:r w:rsidRPr="0058432E">
              <w:rPr>
                <w:rFonts w:ascii="Times New Roman" w:hAnsi="Times New Roman"/>
                <w:bCs/>
                <w:color w:val="000000" w:themeColor="text1"/>
              </w:rPr>
              <w:t>≥ PASI 75</w:t>
            </w:r>
          </w:p>
        </w:tc>
        <w:tc>
          <w:tcPr>
            <w:tcW w:w="2391" w:type="dxa"/>
            <w:shd w:val="clear" w:color="auto" w:fill="auto"/>
          </w:tcPr>
          <w:p w14:paraId="200F3410"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10 (18,9)</w:t>
            </w:r>
          </w:p>
        </w:tc>
        <w:tc>
          <w:tcPr>
            <w:tcW w:w="2392" w:type="dxa"/>
            <w:shd w:val="clear" w:color="auto" w:fill="auto"/>
          </w:tcPr>
          <w:p w14:paraId="024D17D1"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39 (35,5)</w:t>
            </w:r>
          </w:p>
        </w:tc>
        <w:tc>
          <w:tcPr>
            <w:tcW w:w="2392" w:type="dxa"/>
            <w:shd w:val="clear" w:color="auto" w:fill="auto"/>
          </w:tcPr>
          <w:p w14:paraId="629763C6"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86 (79,</w:t>
            </w:r>
            <w:proofErr w:type="gramStart"/>
            <w:r w:rsidRPr="0058432E">
              <w:rPr>
                <w:rFonts w:ascii="Times New Roman" w:hAnsi="Times New Roman"/>
                <w:color w:val="000000" w:themeColor="text1"/>
              </w:rPr>
              <w:t>6)</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DD002D" w:rsidRPr="0058432E" w14:paraId="09FA2F8A" w14:textId="77777777" w:rsidTr="009756D9">
        <w:tc>
          <w:tcPr>
            <w:tcW w:w="2128" w:type="dxa"/>
            <w:shd w:val="clear" w:color="auto" w:fill="auto"/>
          </w:tcPr>
          <w:p w14:paraId="5314FCD4" w14:textId="77777777" w:rsidR="00DD002D" w:rsidRPr="0058432E" w:rsidRDefault="00DD002D" w:rsidP="00AA5839">
            <w:pPr>
              <w:pStyle w:val="TableParagraph"/>
              <w:keepNext/>
              <w:keepLines/>
              <w:widowControl/>
              <w:kinsoku w:val="0"/>
              <w:overflowPunct w:val="0"/>
              <w:spacing w:line="252" w:lineRule="exact"/>
              <w:rPr>
                <w:rFonts w:ascii="Times New Roman" w:hAnsi="Times New Roman"/>
                <w:color w:val="000000" w:themeColor="text1"/>
              </w:rPr>
            </w:pPr>
            <w:r w:rsidRPr="0058432E">
              <w:rPr>
                <w:rFonts w:ascii="Times New Roman" w:hAnsi="Times New Roman"/>
                <w:bCs/>
                <w:color w:val="000000" w:themeColor="text1"/>
              </w:rPr>
              <w:t>PASI 100</w:t>
            </w:r>
          </w:p>
        </w:tc>
        <w:tc>
          <w:tcPr>
            <w:tcW w:w="2391" w:type="dxa"/>
            <w:shd w:val="clear" w:color="auto" w:fill="auto"/>
          </w:tcPr>
          <w:p w14:paraId="67342708"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1 (1,9)</w:t>
            </w:r>
          </w:p>
        </w:tc>
        <w:tc>
          <w:tcPr>
            <w:tcW w:w="2392" w:type="dxa"/>
            <w:shd w:val="clear" w:color="auto" w:fill="auto"/>
          </w:tcPr>
          <w:p w14:paraId="56CA4BD3" w14:textId="77777777" w:rsidR="00DD002D" w:rsidRPr="0058432E" w:rsidRDefault="00DD002D" w:rsidP="00AA5839">
            <w:pPr>
              <w:pStyle w:val="TableParagraph"/>
              <w:keepNext/>
              <w:keepLines/>
              <w:widowControl/>
              <w:kinsoku w:val="0"/>
              <w:overflowPunct w:val="0"/>
              <w:spacing w:line="251" w:lineRule="exact"/>
              <w:jc w:val="center"/>
              <w:rPr>
                <w:rFonts w:ascii="Times New Roman" w:hAnsi="Times New Roman"/>
                <w:color w:val="000000" w:themeColor="text1"/>
              </w:rPr>
            </w:pPr>
            <w:r w:rsidRPr="0058432E">
              <w:rPr>
                <w:rFonts w:ascii="Times New Roman" w:hAnsi="Times New Roman"/>
                <w:color w:val="000000" w:themeColor="text1"/>
              </w:rPr>
              <w:t>8 (7,3)</w:t>
            </w:r>
          </w:p>
        </w:tc>
        <w:tc>
          <w:tcPr>
            <w:tcW w:w="2392" w:type="dxa"/>
            <w:shd w:val="clear" w:color="auto" w:fill="auto"/>
          </w:tcPr>
          <w:p w14:paraId="29CBC967"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18 (16,</w:t>
            </w:r>
            <w:proofErr w:type="gramStart"/>
            <w:r w:rsidRPr="0058432E">
              <w:rPr>
                <w:rFonts w:ascii="Times New Roman" w:hAnsi="Times New Roman"/>
                <w:color w:val="000000" w:themeColor="text1"/>
              </w:rPr>
              <w:t>7)</w:t>
            </w:r>
            <w:r w:rsidRPr="0058432E">
              <w:rPr>
                <w:rFonts w:ascii="Times New Roman" w:hAnsi="Times New Roman"/>
                <w:color w:val="000000" w:themeColor="text1"/>
                <w:vertAlign w:val="superscript"/>
              </w:rPr>
              <w:t>c</w:t>
            </w:r>
            <w:proofErr w:type="gramEnd"/>
            <w:r w:rsidRPr="0058432E">
              <w:rPr>
                <w:rFonts w:ascii="Times New Roman" w:hAnsi="Times New Roman"/>
                <w:color w:val="000000" w:themeColor="text1"/>
                <w:vertAlign w:val="superscript"/>
              </w:rPr>
              <w:t>,d</w:t>
            </w:r>
          </w:p>
        </w:tc>
      </w:tr>
      <w:tr w:rsidR="00DD002D" w:rsidRPr="0058432E" w14:paraId="25E88D5E" w14:textId="77777777" w:rsidTr="009756D9">
        <w:tc>
          <w:tcPr>
            <w:tcW w:w="2128" w:type="dxa"/>
            <w:tcBorders>
              <w:bottom w:val="single" w:sz="4" w:space="0" w:color="auto"/>
            </w:tcBorders>
            <w:shd w:val="clear" w:color="auto" w:fill="auto"/>
          </w:tcPr>
          <w:p w14:paraId="5DFE80AC" w14:textId="77777777" w:rsidR="00DD002D" w:rsidRPr="0058432E" w:rsidRDefault="00DD002D" w:rsidP="00AA5839">
            <w:pPr>
              <w:pStyle w:val="TableParagraph"/>
              <w:keepNext/>
              <w:keepLines/>
              <w:widowControl/>
              <w:kinsoku w:val="0"/>
              <w:overflowPunct w:val="0"/>
              <w:spacing w:line="251" w:lineRule="exact"/>
              <w:rPr>
                <w:rFonts w:ascii="Times New Roman" w:hAnsi="Times New Roman"/>
                <w:color w:val="000000" w:themeColor="text1"/>
              </w:rPr>
            </w:pPr>
            <w:r w:rsidRPr="0058432E">
              <w:rPr>
                <w:rFonts w:ascii="Times New Roman" w:hAnsi="Times New Roman"/>
                <w:bCs/>
                <w:color w:val="000000" w:themeColor="text1"/>
              </w:rPr>
              <w:t>PGA :</w:t>
            </w:r>
          </w:p>
          <w:p w14:paraId="079B2187" w14:textId="77777777" w:rsidR="00DD002D" w:rsidRPr="0058432E" w:rsidRDefault="00DD002D" w:rsidP="00AA5839">
            <w:pPr>
              <w:pStyle w:val="TableParagraph"/>
              <w:keepNext/>
              <w:keepLines/>
              <w:widowControl/>
              <w:kinsoku w:val="0"/>
              <w:overflowPunct w:val="0"/>
              <w:rPr>
                <w:rFonts w:ascii="Times New Roman" w:hAnsi="Times New Roman"/>
                <w:color w:val="000000" w:themeColor="text1"/>
              </w:rPr>
            </w:pPr>
            <w:proofErr w:type="gramStart"/>
            <w:r w:rsidRPr="0058432E">
              <w:rPr>
                <w:rFonts w:ascii="Times New Roman" w:hAnsi="Times New Roman"/>
                <w:bCs/>
                <w:color w:val="000000" w:themeColor="text1"/>
              </w:rPr>
              <w:t>clair</w:t>
            </w:r>
            <w:proofErr w:type="gramEnd"/>
            <w:r w:rsidRPr="0058432E">
              <w:rPr>
                <w:rFonts w:ascii="Times New Roman" w:hAnsi="Times New Roman"/>
                <w:bCs/>
                <w:color w:val="000000" w:themeColor="text1"/>
              </w:rPr>
              <w:t>/minimal</w:t>
            </w:r>
          </w:p>
        </w:tc>
        <w:tc>
          <w:tcPr>
            <w:tcW w:w="2391" w:type="dxa"/>
            <w:tcBorders>
              <w:bottom w:val="single" w:sz="4" w:space="0" w:color="auto"/>
            </w:tcBorders>
            <w:shd w:val="clear" w:color="auto" w:fill="auto"/>
          </w:tcPr>
          <w:p w14:paraId="6561DFC1"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6 (11,3)</w:t>
            </w:r>
          </w:p>
        </w:tc>
        <w:tc>
          <w:tcPr>
            <w:tcW w:w="2392" w:type="dxa"/>
            <w:tcBorders>
              <w:bottom w:val="single" w:sz="4" w:space="0" w:color="auto"/>
            </w:tcBorders>
            <w:shd w:val="clear" w:color="auto" w:fill="auto"/>
          </w:tcPr>
          <w:p w14:paraId="76D1D34A"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33 (30,0)</w:t>
            </w:r>
          </w:p>
        </w:tc>
        <w:tc>
          <w:tcPr>
            <w:tcW w:w="2392" w:type="dxa"/>
            <w:tcBorders>
              <w:bottom w:val="single" w:sz="4" w:space="0" w:color="auto"/>
            </w:tcBorders>
            <w:shd w:val="clear" w:color="auto" w:fill="auto"/>
          </w:tcPr>
          <w:p w14:paraId="6AA3B877" w14:textId="77777777" w:rsidR="00DD002D" w:rsidRPr="0058432E" w:rsidRDefault="00DD002D" w:rsidP="00AA5839">
            <w:pPr>
              <w:pStyle w:val="TableParagraph"/>
              <w:keepNext/>
              <w:keepLines/>
              <w:widowControl/>
              <w:kinsoku w:val="0"/>
              <w:overflowPunct w:val="0"/>
              <w:spacing w:line="249" w:lineRule="exact"/>
              <w:jc w:val="center"/>
              <w:rPr>
                <w:rFonts w:ascii="Times New Roman" w:hAnsi="Times New Roman"/>
                <w:color w:val="000000" w:themeColor="text1"/>
              </w:rPr>
            </w:pPr>
            <w:r w:rsidRPr="0058432E">
              <w:rPr>
                <w:rFonts w:ascii="Times New Roman" w:hAnsi="Times New Roman"/>
                <w:color w:val="000000" w:themeColor="text1"/>
              </w:rPr>
              <w:t>79 (73,</w:t>
            </w:r>
            <w:proofErr w:type="gramStart"/>
            <w:r w:rsidRPr="0058432E">
              <w:rPr>
                <w:rFonts w:ascii="Times New Roman" w:hAnsi="Times New Roman"/>
                <w:color w:val="000000" w:themeColor="text1"/>
              </w:rPr>
              <w:t>1)</w:t>
            </w:r>
            <w:r w:rsidRPr="0058432E">
              <w:rPr>
                <w:rFonts w:ascii="Times New Roman" w:hAnsi="Times New Roman"/>
                <w:color w:val="000000" w:themeColor="text1"/>
                <w:vertAlign w:val="superscript"/>
              </w:rPr>
              <w:t>a</w:t>
            </w:r>
            <w:proofErr w:type="gramEnd"/>
            <w:r w:rsidRPr="0058432E">
              <w:rPr>
                <w:rFonts w:ascii="Times New Roman" w:hAnsi="Times New Roman"/>
                <w:color w:val="000000" w:themeColor="text1"/>
                <w:vertAlign w:val="superscript"/>
              </w:rPr>
              <w:t>,b</w:t>
            </w:r>
          </w:p>
        </w:tc>
      </w:tr>
      <w:tr w:rsidR="009756D9" w:rsidRPr="0058432E" w14:paraId="5A9C2CE2" w14:textId="77777777" w:rsidTr="009756D9">
        <w:tc>
          <w:tcPr>
            <w:tcW w:w="9303" w:type="dxa"/>
            <w:gridSpan w:val="4"/>
            <w:tcBorders>
              <w:left w:val="nil"/>
              <w:bottom w:val="nil"/>
              <w:right w:val="nil"/>
            </w:tcBorders>
            <w:shd w:val="clear" w:color="auto" w:fill="auto"/>
          </w:tcPr>
          <w:p w14:paraId="65840458" w14:textId="77777777" w:rsidR="009756D9" w:rsidRPr="0058432E" w:rsidRDefault="009756D9" w:rsidP="009756D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p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14A7A2D3" w14:textId="77777777" w:rsidR="009756D9" w:rsidRPr="0058432E" w:rsidRDefault="009756D9" w:rsidP="009756D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 xml:space="preserve">p &lt; 0,001 adalimumab </w:t>
            </w:r>
            <w:r w:rsidRPr="0058432E">
              <w:rPr>
                <w:i/>
                <w:iCs/>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p w14:paraId="7E1E3FFB" w14:textId="77777777" w:rsidR="009756D9" w:rsidRPr="0058432E" w:rsidRDefault="009756D9" w:rsidP="009756D9">
            <w:pPr>
              <w:pStyle w:val="BodyText"/>
              <w:keepNext/>
              <w:keepLines/>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t xml:space="preserve">p &lt; 0,01 adalimumab </w:t>
            </w:r>
            <w:r w:rsidRPr="0058432E">
              <w:rPr>
                <w:i/>
                <w:iCs/>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p w14:paraId="69897D63" w14:textId="77777777" w:rsidR="009756D9" w:rsidRPr="0058432E" w:rsidRDefault="009756D9" w:rsidP="009756D9">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d</w:t>
            </w:r>
            <w:proofErr w:type="gramEnd"/>
            <w:r w:rsidRPr="0058432E">
              <w:rPr>
                <w:color w:val="000000" w:themeColor="text1"/>
                <w:sz w:val="20"/>
              </w:rPr>
              <w:t xml:space="preserve"> </w:t>
            </w:r>
            <w:r w:rsidRPr="0058432E">
              <w:rPr>
                <w:color w:val="000000" w:themeColor="text1"/>
                <w:sz w:val="20"/>
              </w:rPr>
              <w:tab/>
              <w:t xml:space="preserve">p &lt; 0,05 adalimumab </w:t>
            </w:r>
            <w:r w:rsidRPr="0058432E">
              <w:rPr>
                <w:i/>
                <w:iCs/>
                <w:color w:val="000000" w:themeColor="text1"/>
                <w:sz w:val="20"/>
              </w:rPr>
              <w:t>vs</w:t>
            </w:r>
            <w:r w:rsidRPr="0058432E">
              <w:rPr>
                <w:color w:val="000000" w:themeColor="text1"/>
                <w:sz w:val="20"/>
              </w:rPr>
              <w:t xml:space="preserve">. </w:t>
            </w:r>
            <w:proofErr w:type="gramStart"/>
            <w:r w:rsidRPr="0058432E">
              <w:rPr>
                <w:color w:val="000000" w:themeColor="text1"/>
                <w:sz w:val="20"/>
              </w:rPr>
              <w:t>méthotrexate</w:t>
            </w:r>
            <w:proofErr w:type="gramEnd"/>
          </w:p>
        </w:tc>
      </w:tr>
    </w:tbl>
    <w:p w14:paraId="3472C5D9" w14:textId="77777777" w:rsidR="00005E6C" w:rsidRPr="0058432E" w:rsidRDefault="00005E6C" w:rsidP="00982118">
      <w:pPr>
        <w:rPr>
          <w:color w:val="000000" w:themeColor="text1"/>
        </w:rPr>
      </w:pPr>
    </w:p>
    <w:p w14:paraId="321CF751" w14:textId="77777777" w:rsidR="00C46587" w:rsidRPr="0058432E" w:rsidRDefault="00C46587" w:rsidP="00982118">
      <w:pPr>
        <w:rPr>
          <w:color w:val="000000" w:themeColor="text1"/>
        </w:rPr>
      </w:pPr>
      <w:r w:rsidRPr="0058432E">
        <w:rPr>
          <w:color w:val="000000" w:themeColor="text1"/>
        </w:rPr>
        <w:t xml:space="preserve">Dans l’étude I sur le psoriasis, 28 % des patients ayant présenté une réponse PASI 75 et randomisés à nouveau pour recevoir le placebo à la semaine 33 et 5 % de ceux poursuivant le traitement par adalimumab (p&lt; 0,001), ont présenté « une diminution de la réponse appropriée » (score PASI entre la semaine 33 et la semaine 52 (incluse) se traduisant par une réponse &lt; PASI 50 par rapport à l’inclusion, avec un minimum d’augmentation de 6 points du score PASI par rapport à la semaine 33). Parmi les patients présentant une diminution de la réponse appropriée après la re-randomisation dans le groupe placebo et ensuite recrutés dans l’étude d’extension en ouvert, 38 % (25/66) et 55 % (36/66) ont retrouvé une réponse PASI 75 au bout de respectivement 12 et 24 semaines. </w:t>
      </w:r>
    </w:p>
    <w:p w14:paraId="1C489DF8" w14:textId="77777777" w:rsidR="00C46587" w:rsidRPr="0058432E" w:rsidRDefault="00C46587" w:rsidP="00982118">
      <w:pPr>
        <w:rPr>
          <w:color w:val="000000" w:themeColor="text1"/>
        </w:rPr>
      </w:pPr>
    </w:p>
    <w:p w14:paraId="28E0E7C5" w14:textId="77777777" w:rsidR="00C46587" w:rsidRPr="0058432E" w:rsidRDefault="00C46587" w:rsidP="00982118">
      <w:pPr>
        <w:rPr>
          <w:color w:val="000000" w:themeColor="text1"/>
        </w:rPr>
      </w:pPr>
      <w:r w:rsidRPr="0058432E">
        <w:rPr>
          <w:color w:val="000000" w:themeColor="text1"/>
        </w:rPr>
        <w:t xml:space="preserve">Un total de 233 patients répondeurs PASI 75 à la semaine 16 et à la semaine 33 ont reçu un traitement en continu par adalimumab pendant 52 semaines dans l’étude I et ont poursuivi le traitement par adalimumab dans l’étude d’extension en ouvert. Le taux de réponse PASI 75 et PGA clair ou minimal chez ces patients étaient respectivement de 74,7 % et 59,0 %, après 108 semaines supplémentaires de traitement en ouvert (total de 160 semaines). Dans une analyse où tous les patients sortis d’essai pour effets indésirables ou pour manque d’efficacité ou pour lesquels la dose a été augmentée, ont été </w:t>
      </w:r>
      <w:r w:rsidRPr="0058432E">
        <w:rPr>
          <w:color w:val="000000" w:themeColor="text1"/>
        </w:rPr>
        <w:lastRenderedPageBreak/>
        <w:t xml:space="preserve">considérés comme non-répondeurs, le taux de réponse PASI 75 et PGA clair ou minimal chez ces patients étaient respectivement de 69,6 % et 55,7 %, après 108 semaines supplémentaires de traitement en ouvert (total de 160 semaines). </w:t>
      </w:r>
    </w:p>
    <w:p w14:paraId="57283EA4" w14:textId="77777777" w:rsidR="00C46587" w:rsidRPr="0058432E" w:rsidRDefault="00C46587" w:rsidP="00982118">
      <w:pPr>
        <w:rPr>
          <w:color w:val="000000" w:themeColor="text1"/>
        </w:rPr>
      </w:pPr>
    </w:p>
    <w:p w14:paraId="3DF7FDC2" w14:textId="77777777" w:rsidR="00C46587" w:rsidRPr="0058432E" w:rsidRDefault="00C46587" w:rsidP="00982118">
      <w:pPr>
        <w:rPr>
          <w:color w:val="000000" w:themeColor="text1"/>
        </w:rPr>
      </w:pPr>
      <w:r w:rsidRPr="0058432E">
        <w:rPr>
          <w:color w:val="000000" w:themeColor="text1"/>
        </w:rPr>
        <w:t xml:space="preserve">Un total de 347 patients répondeurs stables </w:t>
      </w:r>
      <w:proofErr w:type="gramStart"/>
      <w:r w:rsidRPr="0058432E">
        <w:rPr>
          <w:color w:val="000000" w:themeColor="text1"/>
        </w:rPr>
        <w:t>ont</w:t>
      </w:r>
      <w:proofErr w:type="gramEnd"/>
      <w:r w:rsidRPr="0058432E">
        <w:rPr>
          <w:color w:val="000000" w:themeColor="text1"/>
        </w:rPr>
        <w:t xml:space="preserve"> participé à une évaluation d’interruption de traitement et de retraitement dans une étude d’extension en ouvert. Durant la période d’interruption de traitement, les symptômes du psoriasis sont réapparus au cours du temps avec un délai médian de rechute (régression vers un PGA « modéré » ou plus sévère) d’environ 5 mois. Aucun patient n’a présenté de rebond durant la phase d’interruption de traitement. 76,5 % (218/285) des patients qui sont entrés dans la période de retraitement ont eu une réponse PGA « clair » ou « minimal » après 16 semaines de retraitement, indépendamment du fait qu’ils aient rechuté ou non durant l’interruption de traitement (69,1 % [123/178] pour les patients qui ont rechuté durant la période d’interruption et 88,8 % [95/107] pour les patients qui n’ont pas rechuté durant la période d’interruption). Un profil de </w:t>
      </w:r>
      <w:r w:rsidR="00354DBF" w:rsidRPr="0058432E">
        <w:rPr>
          <w:color w:val="000000" w:themeColor="text1"/>
        </w:rPr>
        <w:t>tolérance</w:t>
      </w:r>
      <w:r w:rsidR="00554FE3" w:rsidRPr="0058432E">
        <w:rPr>
          <w:color w:val="000000" w:themeColor="text1"/>
        </w:rPr>
        <w:t xml:space="preserve"> </w:t>
      </w:r>
      <w:r w:rsidRPr="0058432E">
        <w:rPr>
          <w:color w:val="000000" w:themeColor="text1"/>
        </w:rPr>
        <w:t xml:space="preserve">similaire a été observé durant le retraitement et avant l’interruption de traitement. </w:t>
      </w:r>
    </w:p>
    <w:p w14:paraId="6DCECFB2" w14:textId="77777777" w:rsidR="00C46587" w:rsidRPr="0058432E" w:rsidRDefault="00C46587" w:rsidP="00982118">
      <w:pPr>
        <w:rPr>
          <w:color w:val="000000" w:themeColor="text1"/>
        </w:rPr>
      </w:pPr>
    </w:p>
    <w:p w14:paraId="3202BFCC" w14:textId="77777777" w:rsidR="00C46587" w:rsidRPr="0058432E" w:rsidRDefault="00C46587" w:rsidP="00982118">
      <w:pPr>
        <w:rPr>
          <w:color w:val="000000" w:themeColor="text1"/>
        </w:rPr>
      </w:pPr>
      <w:r w:rsidRPr="0058432E">
        <w:rPr>
          <w:color w:val="000000" w:themeColor="text1"/>
        </w:rPr>
        <w:t>L’index dermatologique de qualité de vie DLQI (</w:t>
      </w:r>
      <w:r w:rsidRPr="0058432E">
        <w:rPr>
          <w:i/>
          <w:iCs/>
          <w:color w:val="000000" w:themeColor="text1"/>
        </w:rPr>
        <w:t>Dermatology Life Quality Index</w:t>
      </w:r>
      <w:r w:rsidRPr="0058432E">
        <w:rPr>
          <w:color w:val="000000" w:themeColor="text1"/>
        </w:rPr>
        <w:t>) a mis en évidence des améliorations significatives à la semaine 16 par rapport à l’inclusion, comparativement au placebo (études I et II) et au MTX (étude II). Dans l’étude I, les améliorations des scores résumés des composantes physiques et psychologiques du SF</w:t>
      </w:r>
      <w:r w:rsidRPr="0058432E">
        <w:rPr>
          <w:color w:val="000000" w:themeColor="text1"/>
        </w:rPr>
        <w:noBreakHyphen/>
        <w:t xml:space="preserve">36 étaient également significatives par rapport au placebo. </w:t>
      </w:r>
    </w:p>
    <w:p w14:paraId="2E84D0C0" w14:textId="77777777" w:rsidR="00C46587" w:rsidRPr="0058432E" w:rsidRDefault="00C46587" w:rsidP="00982118">
      <w:pPr>
        <w:rPr>
          <w:color w:val="000000" w:themeColor="text1"/>
        </w:rPr>
      </w:pPr>
    </w:p>
    <w:p w14:paraId="38490ED9" w14:textId="77777777" w:rsidR="00C46587" w:rsidRPr="0058432E" w:rsidRDefault="00C46587" w:rsidP="00982118">
      <w:pPr>
        <w:rPr>
          <w:color w:val="000000" w:themeColor="text1"/>
        </w:rPr>
      </w:pPr>
      <w:r w:rsidRPr="0058432E">
        <w:rPr>
          <w:color w:val="000000" w:themeColor="text1"/>
        </w:rPr>
        <w:t xml:space="preserve">Dans une étude d’extension en ouvert chez les patients ayant dû augmenter les doses (de 40 mg </w:t>
      </w:r>
      <w:r w:rsidR="001B430D" w:rsidRPr="0058432E">
        <w:rPr>
          <w:color w:val="000000" w:themeColor="text1"/>
        </w:rPr>
        <w:t>toutes les deux semaines</w:t>
      </w:r>
      <w:r w:rsidRPr="0058432E">
        <w:rPr>
          <w:color w:val="000000" w:themeColor="text1"/>
        </w:rPr>
        <w:t xml:space="preserve"> à 40 mg toutes les semaines) en raison d’une réponse PASI inférieure à 50 %, 26,4 % (92/349) et 37,8 % (132/349) des patients ont atteint une réponse PASI 75 à la semaine 12 et à la semaine 24, respectivement. </w:t>
      </w:r>
    </w:p>
    <w:p w14:paraId="65CB5E0A" w14:textId="77777777" w:rsidR="00C46587" w:rsidRPr="0058432E" w:rsidRDefault="00C46587" w:rsidP="00982118">
      <w:pPr>
        <w:rPr>
          <w:color w:val="000000" w:themeColor="text1"/>
        </w:rPr>
      </w:pPr>
    </w:p>
    <w:p w14:paraId="45E3A336" w14:textId="77777777" w:rsidR="00C46587" w:rsidRPr="0058432E" w:rsidRDefault="00C46587" w:rsidP="00982118">
      <w:pPr>
        <w:rPr>
          <w:color w:val="000000" w:themeColor="text1"/>
        </w:rPr>
      </w:pPr>
      <w:r w:rsidRPr="0058432E">
        <w:rPr>
          <w:color w:val="000000" w:themeColor="text1"/>
        </w:rPr>
        <w:t xml:space="preserve">L’étude III dans le psoriasis (REACH) a comparé l’efficacité et la </w:t>
      </w:r>
      <w:r w:rsidR="00354DBF" w:rsidRPr="0058432E">
        <w:rPr>
          <w:color w:val="000000" w:themeColor="text1"/>
        </w:rPr>
        <w:t>tolérance</w:t>
      </w:r>
      <w:r w:rsidR="00526974" w:rsidRPr="0058432E">
        <w:rPr>
          <w:color w:val="000000" w:themeColor="text1"/>
        </w:rPr>
        <w:t xml:space="preserve"> </w:t>
      </w:r>
      <w:r w:rsidRPr="0058432E">
        <w:rPr>
          <w:color w:val="000000" w:themeColor="text1"/>
        </w:rPr>
        <w:t xml:space="preserve">de l’adalimumab versus placebo chez 72 patients présentant un </w:t>
      </w:r>
      <w:r w:rsidR="001F37F4" w:rsidRPr="0058432E">
        <w:rPr>
          <w:color w:val="000000" w:themeColor="text1"/>
        </w:rPr>
        <w:t xml:space="preserve">psoriasis en plaques chronique </w:t>
      </w:r>
      <w:r w:rsidRPr="0058432E">
        <w:rPr>
          <w:color w:val="000000" w:themeColor="text1"/>
        </w:rPr>
        <w:t xml:space="preserve">modéré à sévère avec une atteinte concomitante des mains et/ou des pieds. Les patients ont reçu une dose initiale de 80 mg d’adalimumab suivi par 40 mg toutes les </w:t>
      </w:r>
      <w:r w:rsidR="00BA7A54" w:rsidRPr="0058432E">
        <w:rPr>
          <w:color w:val="000000" w:themeColor="text1"/>
        </w:rPr>
        <w:t>deux</w:t>
      </w:r>
      <w:r w:rsidRPr="0058432E">
        <w:rPr>
          <w:color w:val="000000" w:themeColor="text1"/>
        </w:rPr>
        <w:t xml:space="preserve"> semaines (en commençant une semaine après la dose initiale) ou le placebo pendant 16 semaines. À la semaine 16, une proportion statistiquement significative plus importante de patients ayant reçu l’adalimumab ont atteint un PGA « clair » ou « pratiquement clair » pour les mains et/ou les pieds par rapport à ceux qui ont reçu le placebo (30,6 % </w:t>
      </w:r>
      <w:r w:rsidRPr="0058432E">
        <w:rPr>
          <w:i/>
          <w:iCs/>
          <w:color w:val="000000" w:themeColor="text1"/>
        </w:rPr>
        <w:t>versus</w:t>
      </w:r>
      <w:r w:rsidRPr="0058432E">
        <w:rPr>
          <w:color w:val="000000" w:themeColor="text1"/>
        </w:rPr>
        <w:t xml:space="preserve"> 4,3 %, respectivement [</w:t>
      </w:r>
      <w:r w:rsidRPr="0058432E">
        <w:rPr>
          <w:i/>
          <w:iCs/>
          <w:color w:val="000000" w:themeColor="text1"/>
        </w:rPr>
        <w:t>p</w:t>
      </w:r>
      <w:r w:rsidRPr="0058432E">
        <w:rPr>
          <w:color w:val="000000" w:themeColor="text1"/>
        </w:rPr>
        <w:t xml:space="preserve"> = 0,014]). </w:t>
      </w:r>
    </w:p>
    <w:p w14:paraId="48F938F1" w14:textId="77777777" w:rsidR="00C46587" w:rsidRPr="0058432E" w:rsidRDefault="00C46587" w:rsidP="00982118">
      <w:pPr>
        <w:rPr>
          <w:color w:val="000000" w:themeColor="text1"/>
        </w:rPr>
      </w:pPr>
    </w:p>
    <w:p w14:paraId="1C0A45BA" w14:textId="77777777" w:rsidR="00C46587" w:rsidRPr="0058432E" w:rsidRDefault="00C46587" w:rsidP="00982118">
      <w:pPr>
        <w:rPr>
          <w:color w:val="000000" w:themeColor="text1"/>
        </w:rPr>
      </w:pPr>
      <w:r w:rsidRPr="0058432E">
        <w:rPr>
          <w:color w:val="000000" w:themeColor="text1"/>
        </w:rPr>
        <w:t xml:space="preserve">L’étude IV dans le psoriasis a comparé l’efficacité et la </w:t>
      </w:r>
      <w:r w:rsidR="00354DBF" w:rsidRPr="0058432E">
        <w:rPr>
          <w:color w:val="000000" w:themeColor="text1"/>
        </w:rPr>
        <w:t>tolérance</w:t>
      </w:r>
      <w:r w:rsidR="00526974" w:rsidRPr="0058432E">
        <w:rPr>
          <w:color w:val="000000" w:themeColor="text1"/>
        </w:rPr>
        <w:t xml:space="preserve"> </w:t>
      </w:r>
      <w:r w:rsidRPr="0058432E">
        <w:rPr>
          <w:color w:val="000000" w:themeColor="text1"/>
        </w:rPr>
        <w:t xml:space="preserve">de l’adalimumab versus placebo chez 217 patients adultes atteints de psoriasis unguéal modéré à sévère. Les patients ont reçu une dose initiale de 80 mg d’adalimumab, suivie par 40 mg toutes les deux semaines (en commençant une semaine après la dose initiale) ou un placebo pendant 26 semaines suivi d’un traitement par adalimumab en ouvert pendant 26 semaines supplémentaires. L’évaluation du psoriasis unguéal a été faite sur la base de l’indice modifié de sévérité du psoriasis unguéal (mNAPSI, </w:t>
      </w:r>
      <w:r w:rsidRPr="0058432E">
        <w:rPr>
          <w:i/>
          <w:iCs/>
          <w:color w:val="000000" w:themeColor="text1"/>
        </w:rPr>
        <w:t>Modified Nail Psoriasis Severity Index</w:t>
      </w:r>
      <w:r w:rsidRPr="0058432E">
        <w:rPr>
          <w:color w:val="000000" w:themeColor="text1"/>
        </w:rPr>
        <w:t xml:space="preserve">), de l’évaluation globale par le médecin de la sévérité du psoriasis des ongles des mains (PGA-F, </w:t>
      </w:r>
      <w:r w:rsidRPr="0058432E">
        <w:rPr>
          <w:i/>
          <w:iCs/>
          <w:color w:val="000000" w:themeColor="text1"/>
        </w:rPr>
        <w:t>Physician’s Global Assessment of Fingernail Psoriasis</w:t>
      </w:r>
      <w:r w:rsidRPr="0058432E">
        <w:rPr>
          <w:color w:val="000000" w:themeColor="text1"/>
        </w:rPr>
        <w:t xml:space="preserve">) et de l’indice de sévérité du psoriasis unguéal (NAPSI, </w:t>
      </w:r>
      <w:r w:rsidRPr="0058432E">
        <w:rPr>
          <w:i/>
          <w:iCs/>
          <w:color w:val="000000" w:themeColor="text1"/>
        </w:rPr>
        <w:t>Nail Psoriasis Severity Index</w:t>
      </w:r>
      <w:r w:rsidRPr="0058432E">
        <w:rPr>
          <w:color w:val="000000" w:themeColor="text1"/>
        </w:rPr>
        <w:t xml:space="preserve">) (voir </w:t>
      </w:r>
      <w:r w:rsidR="00354DBF" w:rsidRPr="0058432E">
        <w:rPr>
          <w:color w:val="000000" w:themeColor="text1"/>
        </w:rPr>
        <w:t>T</w:t>
      </w:r>
      <w:r w:rsidRPr="0058432E">
        <w:rPr>
          <w:color w:val="000000" w:themeColor="text1"/>
        </w:rPr>
        <w:t>ableau </w:t>
      </w:r>
      <w:r w:rsidR="00AA1D55" w:rsidRPr="0058432E">
        <w:rPr>
          <w:color w:val="000000" w:themeColor="text1"/>
        </w:rPr>
        <w:t>18</w:t>
      </w:r>
      <w:r w:rsidRPr="0058432E">
        <w:rPr>
          <w:color w:val="000000" w:themeColor="text1"/>
        </w:rPr>
        <w:t xml:space="preserve">). L’adalimumab a démontré un bénéfice dans le traitement des patients atteints de psoriasis unguéal présentant différents degrés d’atteinte cutanée (Surface Corporelle Atteinte SCA≥ 10 % </w:t>
      </w:r>
      <w:r w:rsidR="00477470" w:rsidRPr="0058432E">
        <w:rPr>
          <w:color w:val="000000" w:themeColor="text1"/>
        </w:rPr>
        <w:t>[</w:t>
      </w:r>
      <w:r w:rsidRPr="0058432E">
        <w:rPr>
          <w:color w:val="000000" w:themeColor="text1"/>
        </w:rPr>
        <w:t>60 % des patients</w:t>
      </w:r>
      <w:r w:rsidR="00477470" w:rsidRPr="0058432E">
        <w:rPr>
          <w:color w:val="000000" w:themeColor="text1"/>
        </w:rPr>
        <w:t>]</w:t>
      </w:r>
      <w:r w:rsidRPr="0058432E">
        <w:rPr>
          <w:color w:val="000000" w:themeColor="text1"/>
        </w:rPr>
        <w:t xml:space="preserve"> et SCA&lt; 10 % et ≥ 5 % </w:t>
      </w:r>
      <w:r w:rsidR="00477470" w:rsidRPr="0058432E">
        <w:rPr>
          <w:color w:val="000000" w:themeColor="text1"/>
        </w:rPr>
        <w:t>[</w:t>
      </w:r>
      <w:r w:rsidRPr="0058432E">
        <w:rPr>
          <w:color w:val="000000" w:themeColor="text1"/>
        </w:rPr>
        <w:t>40 % des patients</w:t>
      </w:r>
      <w:r w:rsidR="00477470" w:rsidRPr="0058432E">
        <w:rPr>
          <w:color w:val="000000" w:themeColor="text1"/>
        </w:rPr>
        <w:t>]</w:t>
      </w:r>
      <w:r w:rsidRPr="0058432E">
        <w:rPr>
          <w:color w:val="000000" w:themeColor="text1"/>
        </w:rPr>
        <w:t xml:space="preserve">). </w:t>
      </w:r>
    </w:p>
    <w:p w14:paraId="5121B1AF" w14:textId="77777777" w:rsidR="00C46587" w:rsidRPr="0058432E" w:rsidRDefault="00C46587" w:rsidP="00982118">
      <w:pPr>
        <w:rPr>
          <w:color w:val="000000" w:themeColor="text1"/>
        </w:rPr>
      </w:pPr>
    </w:p>
    <w:p w14:paraId="14AA5A7F" w14:textId="77777777" w:rsidR="00C46587" w:rsidRPr="0058432E" w:rsidRDefault="00C46587" w:rsidP="00A53E17">
      <w:pPr>
        <w:keepNext/>
        <w:rPr>
          <w:b/>
          <w:color w:val="000000" w:themeColor="text1"/>
        </w:rPr>
      </w:pPr>
      <w:r w:rsidRPr="0058432E">
        <w:rPr>
          <w:b/>
          <w:color w:val="000000" w:themeColor="text1"/>
        </w:rPr>
        <w:lastRenderedPageBreak/>
        <w:t>Tableau </w:t>
      </w:r>
      <w:r w:rsidR="00AA1D55" w:rsidRPr="0058432E">
        <w:rPr>
          <w:b/>
          <w:color w:val="000000" w:themeColor="text1"/>
        </w:rPr>
        <w:t>18</w:t>
      </w:r>
      <w:r w:rsidR="002A7CDF" w:rsidRPr="0058432E">
        <w:rPr>
          <w:b/>
          <w:color w:val="000000" w:themeColor="text1"/>
        </w:rPr>
        <w:t>.</w:t>
      </w:r>
    </w:p>
    <w:p w14:paraId="665E7E65" w14:textId="77777777" w:rsidR="00C46587" w:rsidRPr="0058432E" w:rsidRDefault="00C46587" w:rsidP="00A53E17">
      <w:pPr>
        <w:keepNext/>
        <w:rPr>
          <w:b/>
          <w:color w:val="000000" w:themeColor="text1"/>
        </w:rPr>
      </w:pPr>
      <w:r w:rsidRPr="0058432E">
        <w:rPr>
          <w:b/>
          <w:color w:val="000000" w:themeColor="text1"/>
        </w:rPr>
        <w:t>Étude IV sur le psoriasis — Résultats d’efficacité à 16, 26 et 52 semaines</w:t>
      </w:r>
    </w:p>
    <w:p w14:paraId="5223D4BD" w14:textId="77777777" w:rsidR="00C46587" w:rsidRPr="0058432E" w:rsidRDefault="00C46587" w:rsidP="00982118">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253"/>
        <w:gridCol w:w="1467"/>
        <w:gridCol w:w="1265"/>
        <w:gridCol w:w="1455"/>
        <w:gridCol w:w="1768"/>
      </w:tblGrid>
      <w:tr w:rsidR="00C46587" w:rsidRPr="0058432E" w14:paraId="7C20FCD3" w14:textId="77777777" w:rsidTr="00B51A46">
        <w:trPr>
          <w:cantSplit/>
          <w:tblHeader/>
        </w:trPr>
        <w:tc>
          <w:tcPr>
            <w:tcW w:w="1859" w:type="dxa"/>
            <w:vMerge w:val="restart"/>
            <w:tcBorders>
              <w:top w:val="single" w:sz="4" w:space="0" w:color="auto"/>
              <w:left w:val="single" w:sz="4" w:space="0" w:color="auto"/>
              <w:bottom w:val="single" w:sz="4" w:space="0" w:color="auto"/>
              <w:right w:val="single" w:sz="4" w:space="0" w:color="auto"/>
            </w:tcBorders>
            <w:hideMark/>
          </w:tcPr>
          <w:p w14:paraId="43A52DA7" w14:textId="77777777" w:rsidR="00C46587" w:rsidRPr="0058432E" w:rsidRDefault="00C46587" w:rsidP="00982118">
            <w:pPr>
              <w:keepNext/>
              <w:rPr>
                <w:b/>
                <w:color w:val="000000" w:themeColor="text1"/>
              </w:rPr>
            </w:pPr>
            <w:r w:rsidRPr="0058432E">
              <w:rPr>
                <w:b/>
                <w:color w:val="000000" w:themeColor="text1"/>
              </w:rPr>
              <w:t>Critères</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32D53516" w14:textId="77777777" w:rsidR="00C46587" w:rsidRPr="0058432E" w:rsidRDefault="00C46587" w:rsidP="00982118">
            <w:pPr>
              <w:keepNext/>
              <w:jc w:val="center"/>
              <w:rPr>
                <w:b/>
                <w:color w:val="000000" w:themeColor="text1"/>
              </w:rPr>
            </w:pPr>
            <w:r w:rsidRPr="0058432E">
              <w:rPr>
                <w:b/>
                <w:color w:val="000000" w:themeColor="text1"/>
              </w:rPr>
              <w:t>Semaine 16</w:t>
            </w:r>
          </w:p>
          <w:p w14:paraId="38626988" w14:textId="77777777" w:rsidR="00C46587" w:rsidRPr="0058432E" w:rsidRDefault="00C46587" w:rsidP="00982118">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14:paraId="32774665" w14:textId="77777777" w:rsidR="00C46587" w:rsidRPr="0058432E" w:rsidRDefault="00C46587" w:rsidP="00982118">
            <w:pPr>
              <w:keepNext/>
              <w:jc w:val="center"/>
              <w:rPr>
                <w:b/>
                <w:color w:val="000000" w:themeColor="text1"/>
              </w:rPr>
            </w:pPr>
            <w:r w:rsidRPr="0058432E">
              <w:rPr>
                <w:b/>
                <w:color w:val="000000" w:themeColor="text1"/>
              </w:rPr>
              <w:t>Semaine 26</w:t>
            </w:r>
          </w:p>
          <w:p w14:paraId="24D46F2E" w14:textId="77777777" w:rsidR="00C46587" w:rsidRPr="0058432E" w:rsidRDefault="00C46587" w:rsidP="00982118">
            <w:pPr>
              <w:keepNext/>
              <w:jc w:val="center"/>
              <w:rPr>
                <w:b/>
                <w:color w:val="000000" w:themeColor="text1"/>
              </w:rPr>
            </w:pPr>
            <w:r w:rsidRPr="0058432E">
              <w:rPr>
                <w:b/>
                <w:color w:val="000000" w:themeColor="text1"/>
              </w:rPr>
              <w:t xml:space="preserve">Phase contrôlée </w:t>
            </w:r>
            <w:r w:rsidRPr="0058432E">
              <w:rPr>
                <w:b/>
                <w:i/>
                <w:color w:val="000000" w:themeColor="text1"/>
              </w:rPr>
              <w:t>versus</w:t>
            </w:r>
            <w:r w:rsidRPr="0058432E">
              <w:rPr>
                <w:b/>
                <w:color w:val="000000" w:themeColor="text1"/>
              </w:rPr>
              <w:t xml:space="preserve"> placebo</w:t>
            </w:r>
          </w:p>
        </w:tc>
        <w:tc>
          <w:tcPr>
            <w:tcW w:w="1770" w:type="dxa"/>
            <w:tcBorders>
              <w:top w:val="single" w:sz="4" w:space="0" w:color="auto"/>
              <w:left w:val="single" w:sz="4" w:space="0" w:color="auto"/>
              <w:bottom w:val="single" w:sz="4" w:space="0" w:color="auto"/>
              <w:right w:val="single" w:sz="4" w:space="0" w:color="auto"/>
            </w:tcBorders>
            <w:vAlign w:val="center"/>
            <w:hideMark/>
          </w:tcPr>
          <w:p w14:paraId="04B9ED10" w14:textId="77777777" w:rsidR="00C46587" w:rsidRPr="0058432E" w:rsidRDefault="00C46587" w:rsidP="00982118">
            <w:pPr>
              <w:keepNext/>
              <w:jc w:val="center"/>
              <w:rPr>
                <w:b/>
                <w:color w:val="000000" w:themeColor="text1"/>
              </w:rPr>
            </w:pPr>
            <w:r w:rsidRPr="0058432E">
              <w:rPr>
                <w:b/>
                <w:color w:val="000000" w:themeColor="text1"/>
              </w:rPr>
              <w:t>Semaine 52</w:t>
            </w:r>
          </w:p>
          <w:p w14:paraId="6BC83EE0" w14:textId="77777777" w:rsidR="00C46587" w:rsidRPr="0058432E" w:rsidRDefault="00C46587" w:rsidP="00982118">
            <w:pPr>
              <w:keepNext/>
              <w:jc w:val="center"/>
              <w:rPr>
                <w:b/>
                <w:color w:val="000000" w:themeColor="text1"/>
              </w:rPr>
            </w:pPr>
            <w:r w:rsidRPr="0058432E">
              <w:rPr>
                <w:b/>
                <w:color w:val="000000" w:themeColor="text1"/>
              </w:rPr>
              <w:t>Phase en ouvert</w:t>
            </w:r>
          </w:p>
        </w:tc>
      </w:tr>
      <w:tr w:rsidR="00C46587" w:rsidRPr="0058432E" w14:paraId="2BDE8F64" w14:textId="77777777" w:rsidTr="00B51A46">
        <w:trPr>
          <w:cantSplit/>
          <w:tblHeader/>
        </w:trPr>
        <w:tc>
          <w:tcPr>
            <w:tcW w:w="1859" w:type="dxa"/>
            <w:vMerge/>
            <w:tcBorders>
              <w:top w:val="single" w:sz="4" w:space="0" w:color="auto"/>
              <w:left w:val="single" w:sz="4" w:space="0" w:color="auto"/>
              <w:bottom w:val="single" w:sz="4" w:space="0" w:color="auto"/>
              <w:right w:val="single" w:sz="4" w:space="0" w:color="auto"/>
            </w:tcBorders>
          </w:tcPr>
          <w:p w14:paraId="189028C2" w14:textId="77777777" w:rsidR="00C46587" w:rsidRPr="0058432E" w:rsidRDefault="00C46587" w:rsidP="00982118">
            <w:pPr>
              <w:keepNext/>
              <w:jc w:val="center"/>
              <w:rPr>
                <w:b/>
                <w:color w:val="000000" w:themeColor="text1"/>
              </w:rPr>
            </w:pPr>
          </w:p>
        </w:tc>
        <w:tc>
          <w:tcPr>
            <w:tcW w:w="1255" w:type="dxa"/>
            <w:tcBorders>
              <w:top w:val="single" w:sz="4" w:space="0" w:color="auto"/>
              <w:left w:val="single" w:sz="4" w:space="0" w:color="auto"/>
              <w:bottom w:val="single" w:sz="4" w:space="0" w:color="auto"/>
              <w:right w:val="single" w:sz="4" w:space="0" w:color="auto"/>
            </w:tcBorders>
            <w:hideMark/>
          </w:tcPr>
          <w:p w14:paraId="6D7868ED" w14:textId="77777777" w:rsidR="00C46587" w:rsidRPr="0058432E" w:rsidRDefault="00C46587" w:rsidP="00982118">
            <w:pPr>
              <w:keepNext/>
              <w:jc w:val="center"/>
              <w:rPr>
                <w:b/>
                <w:color w:val="000000" w:themeColor="text1"/>
              </w:rPr>
            </w:pPr>
            <w:r w:rsidRPr="0058432E">
              <w:rPr>
                <w:b/>
                <w:color w:val="000000" w:themeColor="text1"/>
              </w:rPr>
              <w:t>Placebo</w:t>
            </w:r>
          </w:p>
          <w:p w14:paraId="3F5E2CC1" w14:textId="77777777" w:rsidR="00C46587" w:rsidRPr="0058432E" w:rsidRDefault="00C46587" w:rsidP="00982118">
            <w:pPr>
              <w:keepNext/>
              <w:jc w:val="center"/>
              <w:rPr>
                <w:b/>
                <w:color w:val="000000" w:themeColor="text1"/>
              </w:rPr>
            </w:pPr>
            <w:r w:rsidRPr="0058432E">
              <w:rPr>
                <w:b/>
                <w:color w:val="000000" w:themeColor="text1"/>
              </w:rPr>
              <w:t>N = 108</w:t>
            </w:r>
          </w:p>
        </w:tc>
        <w:tc>
          <w:tcPr>
            <w:tcW w:w="1469" w:type="dxa"/>
            <w:tcBorders>
              <w:top w:val="single" w:sz="4" w:space="0" w:color="auto"/>
              <w:left w:val="single" w:sz="4" w:space="0" w:color="auto"/>
              <w:bottom w:val="single" w:sz="4" w:space="0" w:color="auto"/>
              <w:right w:val="single" w:sz="4" w:space="0" w:color="auto"/>
            </w:tcBorders>
            <w:hideMark/>
          </w:tcPr>
          <w:p w14:paraId="1AE7CE3E" w14:textId="77777777" w:rsidR="00C46587" w:rsidRPr="0058432E" w:rsidRDefault="005A4709" w:rsidP="00982118">
            <w:pPr>
              <w:keepNext/>
              <w:jc w:val="center"/>
              <w:rPr>
                <w:b/>
                <w:color w:val="000000" w:themeColor="text1"/>
              </w:rPr>
            </w:pPr>
            <w:r w:rsidRPr="0058432E">
              <w:rPr>
                <w:b/>
                <w:color w:val="000000" w:themeColor="text1"/>
              </w:rPr>
              <w:t>Adalimumab</w:t>
            </w:r>
          </w:p>
          <w:p w14:paraId="49DFEA1A" w14:textId="77777777" w:rsidR="00C46587" w:rsidRPr="0058432E" w:rsidRDefault="00C46587" w:rsidP="00982118">
            <w:pPr>
              <w:keepNext/>
              <w:jc w:val="center"/>
              <w:rPr>
                <w:b/>
                <w:color w:val="000000" w:themeColor="text1"/>
              </w:rPr>
            </w:pPr>
            <w:r w:rsidRPr="0058432E">
              <w:rPr>
                <w:b/>
                <w:color w:val="000000" w:themeColor="text1"/>
              </w:rPr>
              <w:t xml:space="preserve">40 mg </w:t>
            </w:r>
            <w:r w:rsidR="00BA7A54" w:rsidRPr="0058432E">
              <w:rPr>
                <w:b/>
                <w:color w:val="000000" w:themeColor="text1"/>
              </w:rPr>
              <w:t xml:space="preserve">toutes les </w:t>
            </w:r>
            <w:r w:rsidR="00BA7A54" w:rsidRPr="0058432E">
              <w:rPr>
                <w:b/>
                <w:bCs/>
                <w:color w:val="000000" w:themeColor="text1"/>
              </w:rPr>
              <w:t>deux</w:t>
            </w:r>
            <w:r w:rsidR="00BA7A54" w:rsidRPr="0058432E">
              <w:rPr>
                <w:b/>
                <w:color w:val="000000" w:themeColor="text1"/>
              </w:rPr>
              <w:t xml:space="preserve"> semaines</w:t>
            </w:r>
          </w:p>
          <w:p w14:paraId="2E24CF86" w14:textId="77777777" w:rsidR="00C46587" w:rsidRPr="0058432E" w:rsidRDefault="00C46587" w:rsidP="00982118">
            <w:pPr>
              <w:keepNext/>
              <w:jc w:val="center"/>
              <w:rPr>
                <w:b/>
                <w:color w:val="000000" w:themeColor="text1"/>
              </w:rPr>
            </w:pPr>
            <w:r w:rsidRPr="0058432E">
              <w:rPr>
                <w:b/>
                <w:color w:val="000000" w:themeColor="text1"/>
              </w:rPr>
              <w:t>N = 109</w:t>
            </w:r>
          </w:p>
        </w:tc>
        <w:tc>
          <w:tcPr>
            <w:tcW w:w="1267" w:type="dxa"/>
            <w:tcBorders>
              <w:top w:val="single" w:sz="4" w:space="0" w:color="auto"/>
              <w:left w:val="single" w:sz="4" w:space="0" w:color="auto"/>
              <w:bottom w:val="single" w:sz="4" w:space="0" w:color="auto"/>
              <w:right w:val="single" w:sz="4" w:space="0" w:color="auto"/>
            </w:tcBorders>
            <w:hideMark/>
          </w:tcPr>
          <w:p w14:paraId="553A069E" w14:textId="77777777" w:rsidR="00C46587" w:rsidRPr="0058432E" w:rsidRDefault="00C46587" w:rsidP="00982118">
            <w:pPr>
              <w:keepNext/>
              <w:jc w:val="center"/>
              <w:rPr>
                <w:b/>
                <w:color w:val="000000" w:themeColor="text1"/>
              </w:rPr>
            </w:pPr>
            <w:r w:rsidRPr="0058432E">
              <w:rPr>
                <w:b/>
                <w:color w:val="000000" w:themeColor="text1"/>
              </w:rPr>
              <w:t>Placebo</w:t>
            </w:r>
          </w:p>
          <w:p w14:paraId="2E1CCB6B" w14:textId="77777777" w:rsidR="00C46587" w:rsidRPr="0058432E" w:rsidRDefault="00C46587" w:rsidP="00982118">
            <w:pPr>
              <w:keepNext/>
              <w:jc w:val="center"/>
              <w:rPr>
                <w:b/>
                <w:color w:val="000000" w:themeColor="text1"/>
              </w:rPr>
            </w:pPr>
            <w:r w:rsidRPr="0058432E">
              <w:rPr>
                <w:b/>
                <w:color w:val="000000" w:themeColor="text1"/>
              </w:rPr>
              <w:t>N = 108</w:t>
            </w:r>
          </w:p>
        </w:tc>
        <w:tc>
          <w:tcPr>
            <w:tcW w:w="1457" w:type="dxa"/>
            <w:tcBorders>
              <w:top w:val="single" w:sz="4" w:space="0" w:color="auto"/>
              <w:left w:val="single" w:sz="4" w:space="0" w:color="auto"/>
              <w:bottom w:val="single" w:sz="4" w:space="0" w:color="auto"/>
              <w:right w:val="single" w:sz="4" w:space="0" w:color="auto"/>
            </w:tcBorders>
            <w:hideMark/>
          </w:tcPr>
          <w:p w14:paraId="21B4908E" w14:textId="77777777" w:rsidR="00C46587" w:rsidRPr="0058432E" w:rsidRDefault="005A4709" w:rsidP="00982118">
            <w:pPr>
              <w:keepNext/>
              <w:jc w:val="center"/>
              <w:rPr>
                <w:b/>
                <w:color w:val="000000" w:themeColor="text1"/>
              </w:rPr>
            </w:pPr>
            <w:r w:rsidRPr="0058432E">
              <w:rPr>
                <w:b/>
                <w:color w:val="000000" w:themeColor="text1"/>
              </w:rPr>
              <w:t>Adalimumab</w:t>
            </w:r>
          </w:p>
          <w:p w14:paraId="271A5268" w14:textId="77777777" w:rsidR="00C46587" w:rsidRPr="0058432E" w:rsidRDefault="00C46587" w:rsidP="00982118">
            <w:pPr>
              <w:keepNext/>
              <w:jc w:val="center"/>
              <w:rPr>
                <w:b/>
                <w:color w:val="000000" w:themeColor="text1"/>
              </w:rPr>
            </w:pPr>
            <w:r w:rsidRPr="0058432E">
              <w:rPr>
                <w:b/>
                <w:color w:val="000000" w:themeColor="text1"/>
              </w:rPr>
              <w:t xml:space="preserve">40 mg </w:t>
            </w:r>
            <w:r w:rsidR="00BA7A54" w:rsidRPr="0058432E">
              <w:rPr>
                <w:b/>
                <w:color w:val="000000" w:themeColor="text1"/>
              </w:rPr>
              <w:t xml:space="preserve">toutes les </w:t>
            </w:r>
            <w:r w:rsidR="00BA7A54" w:rsidRPr="0058432E">
              <w:rPr>
                <w:b/>
                <w:bCs/>
                <w:color w:val="000000" w:themeColor="text1"/>
              </w:rPr>
              <w:t>deux</w:t>
            </w:r>
            <w:r w:rsidR="00BA7A54" w:rsidRPr="0058432E">
              <w:rPr>
                <w:b/>
                <w:color w:val="000000" w:themeColor="text1"/>
              </w:rPr>
              <w:t xml:space="preserve"> semaines</w:t>
            </w:r>
          </w:p>
          <w:p w14:paraId="37D829D0" w14:textId="77777777" w:rsidR="00C46587" w:rsidRPr="0058432E" w:rsidRDefault="00C46587" w:rsidP="00982118">
            <w:pPr>
              <w:keepNext/>
              <w:jc w:val="center"/>
              <w:rPr>
                <w:b/>
                <w:color w:val="000000" w:themeColor="text1"/>
              </w:rPr>
            </w:pPr>
            <w:r w:rsidRPr="0058432E">
              <w:rPr>
                <w:b/>
                <w:color w:val="000000" w:themeColor="text1"/>
              </w:rPr>
              <w:t>N = 109</w:t>
            </w:r>
          </w:p>
        </w:tc>
        <w:tc>
          <w:tcPr>
            <w:tcW w:w="1770" w:type="dxa"/>
            <w:tcBorders>
              <w:top w:val="single" w:sz="4" w:space="0" w:color="auto"/>
              <w:left w:val="single" w:sz="4" w:space="0" w:color="auto"/>
              <w:bottom w:val="single" w:sz="4" w:space="0" w:color="auto"/>
              <w:right w:val="single" w:sz="4" w:space="0" w:color="auto"/>
            </w:tcBorders>
            <w:hideMark/>
          </w:tcPr>
          <w:p w14:paraId="7AC8D5B8" w14:textId="77777777" w:rsidR="00C46587" w:rsidRPr="0058432E" w:rsidRDefault="005A4709" w:rsidP="00982118">
            <w:pPr>
              <w:keepNext/>
              <w:jc w:val="center"/>
              <w:rPr>
                <w:b/>
                <w:color w:val="000000" w:themeColor="text1"/>
              </w:rPr>
            </w:pPr>
            <w:r w:rsidRPr="0058432E">
              <w:rPr>
                <w:b/>
                <w:color w:val="000000" w:themeColor="text1"/>
              </w:rPr>
              <w:t>Adalimumab</w:t>
            </w:r>
          </w:p>
          <w:p w14:paraId="05BBE6CA" w14:textId="77777777" w:rsidR="00C46587" w:rsidRPr="0058432E" w:rsidRDefault="00C46587" w:rsidP="00982118">
            <w:pPr>
              <w:keepNext/>
              <w:jc w:val="center"/>
              <w:rPr>
                <w:b/>
                <w:color w:val="000000" w:themeColor="text1"/>
              </w:rPr>
            </w:pPr>
            <w:r w:rsidRPr="0058432E">
              <w:rPr>
                <w:b/>
                <w:color w:val="000000" w:themeColor="text1"/>
              </w:rPr>
              <w:t xml:space="preserve">40 mg </w:t>
            </w:r>
            <w:r w:rsidR="00BA7A54" w:rsidRPr="0058432E">
              <w:rPr>
                <w:b/>
                <w:color w:val="000000" w:themeColor="text1"/>
              </w:rPr>
              <w:t xml:space="preserve">toutes les </w:t>
            </w:r>
            <w:r w:rsidR="00BA7A54" w:rsidRPr="0058432E">
              <w:rPr>
                <w:b/>
                <w:bCs/>
                <w:color w:val="000000" w:themeColor="text1"/>
              </w:rPr>
              <w:t>deux</w:t>
            </w:r>
            <w:r w:rsidR="00BA7A54" w:rsidRPr="0058432E">
              <w:rPr>
                <w:b/>
                <w:color w:val="000000" w:themeColor="text1"/>
              </w:rPr>
              <w:t xml:space="preserve"> semaines</w:t>
            </w:r>
          </w:p>
          <w:p w14:paraId="14917913" w14:textId="77777777" w:rsidR="00C46587" w:rsidRPr="0058432E" w:rsidRDefault="00C46587" w:rsidP="00982118">
            <w:pPr>
              <w:keepNext/>
              <w:jc w:val="center"/>
              <w:rPr>
                <w:b/>
                <w:color w:val="000000" w:themeColor="text1"/>
              </w:rPr>
            </w:pPr>
            <w:r w:rsidRPr="0058432E">
              <w:rPr>
                <w:b/>
                <w:color w:val="000000" w:themeColor="text1"/>
              </w:rPr>
              <w:t>N = 80</w:t>
            </w:r>
          </w:p>
        </w:tc>
      </w:tr>
      <w:tr w:rsidR="00C46587" w:rsidRPr="0058432E" w14:paraId="2B1109FC"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142FBFBB" w14:textId="77777777" w:rsidR="00C46587" w:rsidRPr="0058432E" w:rsidRDefault="00C46587" w:rsidP="00005E6C">
            <w:pPr>
              <w:keepNext/>
              <w:rPr>
                <w:color w:val="000000" w:themeColor="text1"/>
              </w:rPr>
            </w:pPr>
            <w:r w:rsidRPr="0058432E">
              <w:rPr>
                <w:color w:val="000000" w:themeColor="text1"/>
              </w:rPr>
              <w:sym w:font="Symbol" w:char="F0B3"/>
            </w:r>
            <w:r w:rsidRPr="0058432E">
              <w:rPr>
                <w:color w:val="000000" w:themeColor="text1"/>
              </w:rPr>
              <w:t> </w:t>
            </w:r>
            <w:proofErr w:type="gramStart"/>
            <w:r w:rsidRPr="0058432E">
              <w:rPr>
                <w:color w:val="000000" w:themeColor="text1"/>
              </w:rPr>
              <w:t>mNAPSI</w:t>
            </w:r>
            <w:proofErr w:type="gramEnd"/>
            <w:r w:rsidRPr="0058432E">
              <w:rPr>
                <w:color w:val="000000" w:themeColor="text1"/>
              </w:rPr>
              <w:t> 75 (%)</w:t>
            </w:r>
          </w:p>
        </w:tc>
        <w:tc>
          <w:tcPr>
            <w:tcW w:w="1255" w:type="dxa"/>
            <w:tcBorders>
              <w:top w:val="single" w:sz="4" w:space="0" w:color="auto"/>
              <w:left w:val="single" w:sz="4" w:space="0" w:color="auto"/>
              <w:bottom w:val="single" w:sz="4" w:space="0" w:color="auto"/>
              <w:right w:val="single" w:sz="4" w:space="0" w:color="auto"/>
            </w:tcBorders>
            <w:hideMark/>
          </w:tcPr>
          <w:p w14:paraId="06DB1898" w14:textId="77777777" w:rsidR="00C46587" w:rsidRPr="0058432E" w:rsidRDefault="00C46587" w:rsidP="00982118">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1E4B206A" w14:textId="77777777" w:rsidR="00C46587" w:rsidRPr="0058432E" w:rsidRDefault="00C46587" w:rsidP="00982118">
            <w:pPr>
              <w:keepNext/>
              <w:jc w:val="center"/>
              <w:rPr>
                <w:color w:val="000000" w:themeColor="text1"/>
              </w:rPr>
            </w:pPr>
            <w:r w:rsidRPr="0058432E">
              <w:rPr>
                <w:color w:val="000000" w:themeColor="text1"/>
              </w:rPr>
              <w:t>26,0</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432747E4" w14:textId="77777777" w:rsidR="00C46587" w:rsidRPr="0058432E" w:rsidRDefault="00C46587" w:rsidP="00982118">
            <w:pPr>
              <w:keepNext/>
              <w:jc w:val="center"/>
              <w:rPr>
                <w:color w:val="000000" w:themeColor="text1"/>
              </w:rPr>
            </w:pPr>
            <w:r w:rsidRPr="0058432E">
              <w:rPr>
                <w:color w:val="000000" w:themeColor="text1"/>
              </w:rPr>
              <w:t>3,4</w:t>
            </w:r>
          </w:p>
        </w:tc>
        <w:tc>
          <w:tcPr>
            <w:tcW w:w="1457" w:type="dxa"/>
            <w:tcBorders>
              <w:top w:val="single" w:sz="4" w:space="0" w:color="auto"/>
              <w:left w:val="single" w:sz="4" w:space="0" w:color="auto"/>
              <w:bottom w:val="single" w:sz="4" w:space="0" w:color="auto"/>
              <w:right w:val="single" w:sz="4" w:space="0" w:color="auto"/>
            </w:tcBorders>
            <w:hideMark/>
          </w:tcPr>
          <w:p w14:paraId="54FDD74F" w14:textId="77777777" w:rsidR="00C46587" w:rsidRPr="0058432E" w:rsidRDefault="00C46587" w:rsidP="00982118">
            <w:pPr>
              <w:keepNext/>
              <w:jc w:val="center"/>
              <w:rPr>
                <w:color w:val="000000" w:themeColor="text1"/>
              </w:rPr>
            </w:pPr>
            <w:r w:rsidRPr="0058432E">
              <w:rPr>
                <w:color w:val="000000" w:themeColor="text1"/>
              </w:rPr>
              <w:t>46,6</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2939D79A" w14:textId="77777777" w:rsidR="00C46587" w:rsidRPr="0058432E" w:rsidRDefault="00C46587" w:rsidP="00982118">
            <w:pPr>
              <w:keepNext/>
              <w:jc w:val="center"/>
              <w:rPr>
                <w:color w:val="000000" w:themeColor="text1"/>
              </w:rPr>
            </w:pPr>
            <w:r w:rsidRPr="0058432E">
              <w:rPr>
                <w:color w:val="000000" w:themeColor="text1"/>
              </w:rPr>
              <w:t>65,0</w:t>
            </w:r>
          </w:p>
        </w:tc>
      </w:tr>
      <w:tr w:rsidR="00C46587" w:rsidRPr="0058432E" w14:paraId="6A86BBA9"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47B8D69F" w14:textId="77777777" w:rsidR="00C46587" w:rsidRPr="0058432E" w:rsidRDefault="00C46587" w:rsidP="00982118">
            <w:pPr>
              <w:keepNext/>
              <w:rPr>
                <w:color w:val="000000" w:themeColor="text1"/>
              </w:rPr>
            </w:pPr>
            <w:r w:rsidRPr="0058432E">
              <w:rPr>
                <w:color w:val="000000" w:themeColor="text1"/>
              </w:rPr>
              <w:t>PGA</w:t>
            </w:r>
            <w:r w:rsidRPr="0058432E">
              <w:rPr>
                <w:color w:val="000000" w:themeColor="text1"/>
              </w:rPr>
              <w:noBreakHyphen/>
              <w:t xml:space="preserve">F clair/minimal et </w:t>
            </w:r>
            <w:r w:rsidRPr="0058432E">
              <w:rPr>
                <w:color w:val="000000" w:themeColor="text1"/>
              </w:rPr>
              <w:sym w:font="Symbol" w:char="F0B3"/>
            </w:r>
            <w:r w:rsidRPr="0058432E">
              <w:rPr>
                <w:color w:val="000000" w:themeColor="text1"/>
              </w:rPr>
              <w:t> 2</w:t>
            </w:r>
            <w:r w:rsidRPr="0058432E">
              <w:rPr>
                <w:color w:val="000000" w:themeColor="text1"/>
              </w:rPr>
              <w:noBreakHyphen/>
              <w:t>grade d’amélioration (%)</w:t>
            </w:r>
          </w:p>
        </w:tc>
        <w:tc>
          <w:tcPr>
            <w:tcW w:w="1255" w:type="dxa"/>
            <w:tcBorders>
              <w:top w:val="single" w:sz="4" w:space="0" w:color="auto"/>
              <w:left w:val="single" w:sz="4" w:space="0" w:color="auto"/>
              <w:bottom w:val="single" w:sz="4" w:space="0" w:color="auto"/>
              <w:right w:val="single" w:sz="4" w:space="0" w:color="auto"/>
            </w:tcBorders>
            <w:hideMark/>
          </w:tcPr>
          <w:p w14:paraId="190E75F2" w14:textId="77777777" w:rsidR="00C46587" w:rsidRPr="0058432E" w:rsidRDefault="00C46587" w:rsidP="00982118">
            <w:pPr>
              <w:keepNext/>
              <w:jc w:val="center"/>
              <w:rPr>
                <w:color w:val="000000" w:themeColor="text1"/>
              </w:rPr>
            </w:pPr>
            <w:r w:rsidRPr="0058432E">
              <w:rPr>
                <w:color w:val="000000" w:themeColor="text1"/>
              </w:rPr>
              <w:t>2,9</w:t>
            </w:r>
          </w:p>
        </w:tc>
        <w:tc>
          <w:tcPr>
            <w:tcW w:w="1469" w:type="dxa"/>
            <w:tcBorders>
              <w:top w:val="single" w:sz="4" w:space="0" w:color="auto"/>
              <w:left w:val="single" w:sz="4" w:space="0" w:color="auto"/>
              <w:bottom w:val="single" w:sz="4" w:space="0" w:color="auto"/>
              <w:right w:val="single" w:sz="4" w:space="0" w:color="auto"/>
            </w:tcBorders>
            <w:hideMark/>
          </w:tcPr>
          <w:p w14:paraId="5ACF72C5" w14:textId="77777777" w:rsidR="00C46587" w:rsidRPr="0058432E" w:rsidRDefault="00C46587" w:rsidP="00982118">
            <w:pPr>
              <w:keepNext/>
              <w:jc w:val="center"/>
              <w:rPr>
                <w:color w:val="000000" w:themeColor="text1"/>
              </w:rPr>
            </w:pPr>
            <w:r w:rsidRPr="0058432E">
              <w:rPr>
                <w:color w:val="000000" w:themeColor="text1"/>
              </w:rPr>
              <w:t>29,7</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6372CFB3" w14:textId="77777777" w:rsidR="00C46587" w:rsidRPr="0058432E" w:rsidRDefault="00C46587" w:rsidP="00982118">
            <w:pPr>
              <w:keepNext/>
              <w:jc w:val="center"/>
              <w:rPr>
                <w:color w:val="000000" w:themeColor="text1"/>
              </w:rPr>
            </w:pPr>
            <w:r w:rsidRPr="0058432E">
              <w:rPr>
                <w:color w:val="000000" w:themeColor="text1"/>
              </w:rPr>
              <w:t>6,9</w:t>
            </w:r>
          </w:p>
        </w:tc>
        <w:tc>
          <w:tcPr>
            <w:tcW w:w="1457" w:type="dxa"/>
            <w:tcBorders>
              <w:top w:val="single" w:sz="4" w:space="0" w:color="auto"/>
              <w:left w:val="single" w:sz="4" w:space="0" w:color="auto"/>
              <w:bottom w:val="single" w:sz="4" w:space="0" w:color="auto"/>
              <w:right w:val="single" w:sz="4" w:space="0" w:color="auto"/>
            </w:tcBorders>
            <w:hideMark/>
          </w:tcPr>
          <w:p w14:paraId="4696E197" w14:textId="77777777" w:rsidR="00C46587" w:rsidRPr="0058432E" w:rsidRDefault="00C46587" w:rsidP="00982118">
            <w:pPr>
              <w:keepNext/>
              <w:jc w:val="center"/>
              <w:rPr>
                <w:color w:val="000000" w:themeColor="text1"/>
              </w:rPr>
            </w:pPr>
            <w:r w:rsidRPr="0058432E">
              <w:rPr>
                <w:color w:val="000000" w:themeColor="text1"/>
              </w:rPr>
              <w:t>48,9</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25593659" w14:textId="77777777" w:rsidR="00C46587" w:rsidRPr="0058432E" w:rsidRDefault="00C46587" w:rsidP="00982118">
            <w:pPr>
              <w:keepNext/>
              <w:jc w:val="center"/>
              <w:rPr>
                <w:color w:val="000000" w:themeColor="text1"/>
              </w:rPr>
            </w:pPr>
            <w:r w:rsidRPr="0058432E">
              <w:rPr>
                <w:color w:val="000000" w:themeColor="text1"/>
              </w:rPr>
              <w:t>61,3</w:t>
            </w:r>
          </w:p>
        </w:tc>
      </w:tr>
      <w:tr w:rsidR="00C46587" w:rsidRPr="0058432E" w14:paraId="6681B2F4" w14:textId="77777777" w:rsidTr="00B51A46">
        <w:trPr>
          <w:cantSplit/>
        </w:trPr>
        <w:tc>
          <w:tcPr>
            <w:tcW w:w="1859" w:type="dxa"/>
            <w:tcBorders>
              <w:top w:val="single" w:sz="4" w:space="0" w:color="auto"/>
              <w:left w:val="single" w:sz="4" w:space="0" w:color="auto"/>
              <w:bottom w:val="single" w:sz="4" w:space="0" w:color="auto"/>
              <w:right w:val="single" w:sz="4" w:space="0" w:color="auto"/>
            </w:tcBorders>
            <w:hideMark/>
          </w:tcPr>
          <w:p w14:paraId="4DDA3F99" w14:textId="77777777" w:rsidR="00C46587" w:rsidRPr="0058432E" w:rsidRDefault="00C46587" w:rsidP="00982118">
            <w:pPr>
              <w:keepNext/>
              <w:rPr>
                <w:color w:val="000000" w:themeColor="text1"/>
              </w:rPr>
            </w:pPr>
            <w:r w:rsidRPr="0058432E">
              <w:rPr>
                <w:color w:val="000000" w:themeColor="text1"/>
              </w:rPr>
              <w:t>Pourcentage de variation du NAPSI des ongles des mains total (%)</w:t>
            </w:r>
          </w:p>
        </w:tc>
        <w:tc>
          <w:tcPr>
            <w:tcW w:w="1255" w:type="dxa"/>
            <w:tcBorders>
              <w:top w:val="single" w:sz="4" w:space="0" w:color="auto"/>
              <w:left w:val="single" w:sz="4" w:space="0" w:color="auto"/>
              <w:bottom w:val="single" w:sz="4" w:space="0" w:color="auto"/>
              <w:right w:val="single" w:sz="4" w:space="0" w:color="auto"/>
            </w:tcBorders>
            <w:hideMark/>
          </w:tcPr>
          <w:p w14:paraId="48C6BE6D" w14:textId="77777777" w:rsidR="00C46587" w:rsidRPr="0058432E" w:rsidRDefault="00C46587" w:rsidP="00982118">
            <w:pPr>
              <w:keepNext/>
              <w:jc w:val="center"/>
              <w:rPr>
                <w:color w:val="000000" w:themeColor="text1"/>
              </w:rPr>
            </w:pPr>
            <w:r w:rsidRPr="0058432E">
              <w:rPr>
                <w:color w:val="000000" w:themeColor="text1"/>
              </w:rPr>
              <w:t>-7,8</w:t>
            </w:r>
          </w:p>
        </w:tc>
        <w:tc>
          <w:tcPr>
            <w:tcW w:w="1469" w:type="dxa"/>
            <w:tcBorders>
              <w:top w:val="single" w:sz="4" w:space="0" w:color="auto"/>
              <w:left w:val="single" w:sz="4" w:space="0" w:color="auto"/>
              <w:bottom w:val="single" w:sz="4" w:space="0" w:color="auto"/>
              <w:right w:val="single" w:sz="4" w:space="0" w:color="auto"/>
            </w:tcBorders>
            <w:hideMark/>
          </w:tcPr>
          <w:p w14:paraId="0B844061" w14:textId="77777777" w:rsidR="00C46587" w:rsidRPr="0058432E" w:rsidRDefault="00C46587" w:rsidP="00982118">
            <w:pPr>
              <w:keepNext/>
              <w:jc w:val="center"/>
              <w:rPr>
                <w:color w:val="000000" w:themeColor="text1"/>
              </w:rPr>
            </w:pPr>
            <w:r w:rsidRPr="0058432E">
              <w:rPr>
                <w:color w:val="000000" w:themeColor="text1"/>
              </w:rPr>
              <w:t>-44,2</w:t>
            </w:r>
            <w:r w:rsidRPr="0058432E">
              <w:rPr>
                <w:color w:val="000000" w:themeColor="text1"/>
                <w:vertAlign w:val="superscript"/>
              </w:rPr>
              <w:t>a</w:t>
            </w:r>
          </w:p>
        </w:tc>
        <w:tc>
          <w:tcPr>
            <w:tcW w:w="1267" w:type="dxa"/>
            <w:tcBorders>
              <w:top w:val="single" w:sz="4" w:space="0" w:color="auto"/>
              <w:left w:val="single" w:sz="4" w:space="0" w:color="auto"/>
              <w:bottom w:val="single" w:sz="4" w:space="0" w:color="auto"/>
              <w:right w:val="single" w:sz="4" w:space="0" w:color="auto"/>
            </w:tcBorders>
            <w:hideMark/>
          </w:tcPr>
          <w:p w14:paraId="6BA6887A" w14:textId="77777777" w:rsidR="00C46587" w:rsidRPr="0058432E" w:rsidRDefault="00C46587" w:rsidP="00982118">
            <w:pPr>
              <w:keepNext/>
              <w:jc w:val="center"/>
              <w:rPr>
                <w:color w:val="000000" w:themeColor="text1"/>
              </w:rPr>
            </w:pPr>
            <w:r w:rsidRPr="0058432E">
              <w:rPr>
                <w:color w:val="000000" w:themeColor="text1"/>
              </w:rPr>
              <w:t>-11,5</w:t>
            </w:r>
          </w:p>
        </w:tc>
        <w:tc>
          <w:tcPr>
            <w:tcW w:w="1457" w:type="dxa"/>
            <w:tcBorders>
              <w:top w:val="single" w:sz="4" w:space="0" w:color="auto"/>
              <w:left w:val="single" w:sz="4" w:space="0" w:color="auto"/>
              <w:bottom w:val="single" w:sz="4" w:space="0" w:color="auto"/>
              <w:right w:val="single" w:sz="4" w:space="0" w:color="auto"/>
            </w:tcBorders>
            <w:hideMark/>
          </w:tcPr>
          <w:p w14:paraId="6ECE95D8" w14:textId="77777777" w:rsidR="00C46587" w:rsidRPr="0058432E" w:rsidRDefault="00C46587" w:rsidP="00982118">
            <w:pPr>
              <w:keepNext/>
              <w:jc w:val="center"/>
              <w:rPr>
                <w:color w:val="000000" w:themeColor="text1"/>
              </w:rPr>
            </w:pPr>
            <w:r w:rsidRPr="0058432E">
              <w:rPr>
                <w:color w:val="000000" w:themeColor="text1"/>
              </w:rPr>
              <w:t>-56,2</w:t>
            </w:r>
            <w:r w:rsidRPr="0058432E">
              <w:rPr>
                <w:color w:val="000000" w:themeColor="text1"/>
                <w:vertAlign w:val="superscript"/>
              </w:rPr>
              <w:t>a</w:t>
            </w:r>
          </w:p>
        </w:tc>
        <w:tc>
          <w:tcPr>
            <w:tcW w:w="1770" w:type="dxa"/>
            <w:tcBorders>
              <w:top w:val="single" w:sz="4" w:space="0" w:color="auto"/>
              <w:left w:val="single" w:sz="4" w:space="0" w:color="auto"/>
              <w:bottom w:val="single" w:sz="4" w:space="0" w:color="auto"/>
              <w:right w:val="single" w:sz="4" w:space="0" w:color="auto"/>
            </w:tcBorders>
            <w:hideMark/>
          </w:tcPr>
          <w:p w14:paraId="06578478" w14:textId="77777777" w:rsidR="00C46587" w:rsidRPr="0058432E" w:rsidRDefault="00C46587" w:rsidP="00982118">
            <w:pPr>
              <w:keepNext/>
              <w:jc w:val="center"/>
              <w:rPr>
                <w:color w:val="000000" w:themeColor="text1"/>
              </w:rPr>
            </w:pPr>
            <w:r w:rsidRPr="0058432E">
              <w:rPr>
                <w:color w:val="000000" w:themeColor="text1"/>
              </w:rPr>
              <w:t>-72,2</w:t>
            </w:r>
          </w:p>
        </w:tc>
      </w:tr>
      <w:tr w:rsidR="008127A0" w:rsidRPr="0058432E" w14:paraId="5DBF90D3" w14:textId="77777777" w:rsidTr="00B51A46">
        <w:trPr>
          <w:cantSplit/>
        </w:trPr>
        <w:tc>
          <w:tcPr>
            <w:tcW w:w="9077" w:type="dxa"/>
            <w:gridSpan w:val="6"/>
            <w:tcBorders>
              <w:top w:val="single" w:sz="4" w:space="0" w:color="auto"/>
              <w:left w:val="nil"/>
              <w:bottom w:val="nil"/>
              <w:right w:val="nil"/>
            </w:tcBorders>
          </w:tcPr>
          <w:p w14:paraId="18BB1FCC" w14:textId="77777777" w:rsidR="008127A0" w:rsidRPr="0058432E" w:rsidRDefault="008127A0" w:rsidP="008127A0">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p &lt; 0,001 adalimumab </w:t>
            </w:r>
            <w:r w:rsidRPr="0058432E">
              <w:rPr>
                <w:i/>
                <w:color w:val="000000" w:themeColor="text1"/>
                <w:sz w:val="20"/>
              </w:rPr>
              <w:t>vs.</w:t>
            </w:r>
            <w:r w:rsidRPr="0058432E">
              <w:rPr>
                <w:color w:val="000000" w:themeColor="text1"/>
                <w:sz w:val="20"/>
              </w:rPr>
              <w:t xml:space="preserve"> </w:t>
            </w:r>
            <w:proofErr w:type="gramStart"/>
            <w:r w:rsidRPr="0058432E">
              <w:rPr>
                <w:color w:val="000000" w:themeColor="text1"/>
                <w:sz w:val="20"/>
              </w:rPr>
              <w:t>placebo</w:t>
            </w:r>
            <w:proofErr w:type="gramEnd"/>
          </w:p>
        </w:tc>
      </w:tr>
    </w:tbl>
    <w:p w14:paraId="1923E5F1" w14:textId="77777777" w:rsidR="00C46587" w:rsidRPr="0058432E" w:rsidRDefault="00C46587" w:rsidP="00982118">
      <w:pPr>
        <w:rPr>
          <w:color w:val="000000" w:themeColor="text1"/>
        </w:rPr>
      </w:pPr>
    </w:p>
    <w:p w14:paraId="113908A0" w14:textId="77777777" w:rsidR="00C46587" w:rsidRPr="0058432E" w:rsidRDefault="005A4709" w:rsidP="00982118">
      <w:pPr>
        <w:rPr>
          <w:color w:val="000000" w:themeColor="text1"/>
        </w:rPr>
      </w:pPr>
      <w:r w:rsidRPr="0058432E">
        <w:rPr>
          <w:color w:val="000000" w:themeColor="text1"/>
        </w:rPr>
        <w:t xml:space="preserve">Les patients traités par adalimumab ont montré des améliorations statistiquement significatives du DLQI à la semaine 26 par rapport au groupe placebo. </w:t>
      </w:r>
    </w:p>
    <w:p w14:paraId="540C8CD5" w14:textId="77777777" w:rsidR="00C46587" w:rsidRPr="0058432E" w:rsidRDefault="00C46587" w:rsidP="00982118">
      <w:pPr>
        <w:rPr>
          <w:color w:val="000000" w:themeColor="text1"/>
        </w:rPr>
      </w:pPr>
    </w:p>
    <w:p w14:paraId="0083B5C1" w14:textId="77777777" w:rsidR="00C46587" w:rsidRPr="0058432E" w:rsidRDefault="00C46587" w:rsidP="00982118">
      <w:pPr>
        <w:keepNext/>
        <w:rPr>
          <w:i/>
          <w:color w:val="000000" w:themeColor="text1"/>
        </w:rPr>
      </w:pPr>
      <w:r w:rsidRPr="0058432E">
        <w:rPr>
          <w:i/>
          <w:color w:val="000000" w:themeColor="text1"/>
        </w:rPr>
        <w:t xml:space="preserve">Hidrosadénite suppurée </w:t>
      </w:r>
    </w:p>
    <w:p w14:paraId="57E04F94" w14:textId="77777777" w:rsidR="00C46587" w:rsidRPr="0058432E" w:rsidRDefault="00C46587" w:rsidP="00DC3A99">
      <w:pPr>
        <w:keepNext/>
        <w:rPr>
          <w:color w:val="000000" w:themeColor="text1"/>
        </w:rPr>
      </w:pPr>
    </w:p>
    <w:p w14:paraId="5359CFE2" w14:textId="77777777" w:rsidR="00C46587" w:rsidRPr="0058432E" w:rsidRDefault="00C46587" w:rsidP="00982118">
      <w:pPr>
        <w:rPr>
          <w:color w:val="000000" w:themeColor="text1"/>
        </w:rPr>
      </w:pPr>
      <w:r w:rsidRPr="0058432E">
        <w:rPr>
          <w:color w:val="000000" w:themeColor="text1"/>
        </w:rPr>
        <w:t xml:space="preserve">La </w:t>
      </w:r>
      <w:r w:rsidR="002756B8" w:rsidRPr="0058432E">
        <w:rPr>
          <w:color w:val="000000" w:themeColor="text1"/>
        </w:rPr>
        <w:t xml:space="preserve">tolérance </w:t>
      </w:r>
      <w:r w:rsidRPr="0058432E">
        <w:rPr>
          <w:color w:val="000000" w:themeColor="text1"/>
        </w:rPr>
        <w:t xml:space="preserve">et l’efficacité d’adalimumab ont été évaluées au cours d’études randomisées, en double-aveugle, contrôlées </w:t>
      </w:r>
      <w:r w:rsidR="002756B8" w:rsidRPr="0058432E">
        <w:rPr>
          <w:color w:val="000000" w:themeColor="text1"/>
        </w:rPr>
        <w:t xml:space="preserve">contre </w:t>
      </w:r>
      <w:r w:rsidRPr="0058432E">
        <w:rPr>
          <w:color w:val="000000" w:themeColor="text1"/>
        </w:rPr>
        <w:t xml:space="preserve">placebo et d’une étude d’extension en ouvert chez des patients adultes atteints d’hidrosadénite suppurée (HS) modérée à sévère ayant présenté une intolérance, une contre-indication ou une réponse insuffisante à un traitement antibiotique systémique de 3 mois minimum. Les patients des études HS-I et HS-II présentaient une maladie de stade II ou III selon la classification de Hurley, avec au moins 3 abcès ou nodules inflammatoires. </w:t>
      </w:r>
    </w:p>
    <w:p w14:paraId="378904B7" w14:textId="77777777" w:rsidR="00C46587" w:rsidRPr="0058432E" w:rsidRDefault="00C46587" w:rsidP="00982118">
      <w:pPr>
        <w:rPr>
          <w:color w:val="000000" w:themeColor="text1"/>
        </w:rPr>
      </w:pPr>
    </w:p>
    <w:p w14:paraId="1E86C4BD" w14:textId="77777777" w:rsidR="00C46587" w:rsidRPr="0058432E" w:rsidRDefault="00C46587" w:rsidP="00982118">
      <w:pPr>
        <w:rPr>
          <w:color w:val="000000" w:themeColor="text1"/>
        </w:rPr>
      </w:pPr>
      <w:r w:rsidRPr="0058432E">
        <w:rPr>
          <w:color w:val="000000" w:themeColor="text1"/>
        </w:rPr>
        <w:t xml:space="preserve">L’étude HS-I (PIONEER I) a évalué 307 patients sur 2 périodes de traitement. Au cours de la période A, les patients recevaient le placebo ou l’adalimumab à une dose initiale de 160 mg à la semaine 0, puis 80 mg à la semaine 2, et 40 mg toutes les semaines de la semaine 4 à la semaine 11. L’utilisation concomitante d’antibiotiques n’était pas autorisée au cours de l’étude. Après 12 semaines de traitement, les patients traités par adalimumab au cours de la période A ont été de nouveau randomisés dans la période B dans l’un des 3 groupes de traitement (adalimumab 40 mg toutes les semaines, adalimumab 40 mg toutes les deux semaines, ou placebo de la semaine 12 à la semaine 35). Les patients randomisés pour recevoir le placebo au cours de la période A ont été affectés au groupe adalimumab 40 mg toutes les semaines de la période B. </w:t>
      </w:r>
    </w:p>
    <w:p w14:paraId="33363B7C" w14:textId="77777777" w:rsidR="00C46587" w:rsidRPr="0058432E" w:rsidRDefault="00C46587" w:rsidP="00982118">
      <w:pPr>
        <w:rPr>
          <w:color w:val="000000" w:themeColor="text1"/>
        </w:rPr>
      </w:pPr>
    </w:p>
    <w:p w14:paraId="4294E00F" w14:textId="77777777" w:rsidR="00C46587" w:rsidRPr="0058432E" w:rsidRDefault="00C46587" w:rsidP="00982118">
      <w:pPr>
        <w:rPr>
          <w:color w:val="000000" w:themeColor="text1"/>
        </w:rPr>
      </w:pPr>
      <w:r w:rsidRPr="0058432E">
        <w:rPr>
          <w:color w:val="000000" w:themeColor="text1"/>
        </w:rPr>
        <w:t>L’étude HS</w:t>
      </w:r>
      <w:r w:rsidRPr="0058432E">
        <w:rPr>
          <w:color w:val="000000" w:themeColor="text1"/>
        </w:rPr>
        <w:noBreakHyphen/>
        <w:t xml:space="preserve">II (PIONEER II) a évalué 326 patients sur 2 périodes de traitement. Au cours de la période A, les patients recevaient le placebo ou l’adalimumab à une dose initiale de 160 mg à la semaine 0, puis 80 mg à la semaine 2, et 40 mg toutes les semaines de la semaine 4 à la semaine 11. 19,3 % des patients ont poursuivi pendant la durée de l’étude le traitement antibiotique oral qu’ils avaient à l’inclusion. Après 12 semaines de traitement, les patients traités par adalimumab au cours de la période A ont été de nouveau randomisés dans la période B dans l’un des 3 groupes de traitement (adalimumab 40 mg toutes les semaines, adalimumab 40 mg toutes les deux semaines, ou placebo de la semaine 12 à la semaine 35). Les patients randomisés pour recevoir le placebo au cours de la période A ont été affectés au groupe placebo de la période B. </w:t>
      </w:r>
    </w:p>
    <w:p w14:paraId="64647B62" w14:textId="77777777" w:rsidR="00C46587" w:rsidRPr="0058432E" w:rsidRDefault="00C46587" w:rsidP="00982118">
      <w:pPr>
        <w:rPr>
          <w:color w:val="000000" w:themeColor="text1"/>
        </w:rPr>
      </w:pPr>
    </w:p>
    <w:p w14:paraId="7DDE59EE" w14:textId="77777777" w:rsidR="00C46587" w:rsidRPr="0058432E" w:rsidRDefault="00C46587" w:rsidP="00982118">
      <w:pPr>
        <w:rPr>
          <w:color w:val="000000" w:themeColor="text1"/>
        </w:rPr>
      </w:pPr>
      <w:r w:rsidRPr="0058432E">
        <w:rPr>
          <w:color w:val="000000" w:themeColor="text1"/>
        </w:rPr>
        <w:lastRenderedPageBreak/>
        <w:t>Les patients des études HS</w:t>
      </w:r>
      <w:r w:rsidRPr="0058432E">
        <w:rPr>
          <w:color w:val="000000" w:themeColor="text1"/>
        </w:rPr>
        <w:noBreakHyphen/>
        <w:t>I et HS</w:t>
      </w:r>
      <w:r w:rsidRPr="0058432E">
        <w:rPr>
          <w:color w:val="000000" w:themeColor="text1"/>
        </w:rPr>
        <w:noBreakHyphen/>
        <w:t xml:space="preserve">II étaient éligibles à l’inclusion dans une étude d’extension en ouvert au cours de laquelle l’adalimumab 40 mg était administré toutes les semaines. L’exposition moyenne dans toute la population traitée </w:t>
      </w:r>
      <w:r w:rsidR="008E7545" w:rsidRPr="0058432E">
        <w:rPr>
          <w:color w:val="000000" w:themeColor="text1"/>
        </w:rPr>
        <w:t>par adalimumab</w:t>
      </w:r>
      <w:r w:rsidRPr="0058432E">
        <w:rPr>
          <w:color w:val="000000" w:themeColor="text1"/>
        </w:rPr>
        <w:t xml:space="preserve"> a été de 762 jours. Tout au long des 3 études, les patients ont utilisé quotidiennement un antiseptique local sur leurs lésions. </w:t>
      </w:r>
    </w:p>
    <w:p w14:paraId="562CFEEA" w14:textId="77777777" w:rsidR="00C46587" w:rsidRPr="0058432E" w:rsidRDefault="00C46587" w:rsidP="00982118">
      <w:pPr>
        <w:rPr>
          <w:color w:val="000000" w:themeColor="text1"/>
        </w:rPr>
      </w:pPr>
    </w:p>
    <w:p w14:paraId="173C2FCD" w14:textId="77777777" w:rsidR="00C46587" w:rsidRPr="0058432E" w:rsidRDefault="001E35BC" w:rsidP="001E35BC">
      <w:pPr>
        <w:keepNext/>
        <w:rPr>
          <w:i/>
          <w:color w:val="000000" w:themeColor="text1"/>
          <w:u w:val="single"/>
        </w:rPr>
      </w:pPr>
      <w:r w:rsidRPr="0058432E">
        <w:rPr>
          <w:i/>
          <w:color w:val="000000" w:themeColor="text1"/>
          <w:u w:val="single"/>
        </w:rPr>
        <w:t>Réponse clinique</w:t>
      </w:r>
    </w:p>
    <w:p w14:paraId="7B028850" w14:textId="77777777" w:rsidR="00C46587" w:rsidRPr="0058432E" w:rsidRDefault="00C46587" w:rsidP="001E35BC">
      <w:pPr>
        <w:keepNext/>
        <w:rPr>
          <w:color w:val="000000" w:themeColor="text1"/>
        </w:rPr>
      </w:pPr>
    </w:p>
    <w:p w14:paraId="2B3451C9" w14:textId="77777777" w:rsidR="00C46587" w:rsidRPr="0058432E" w:rsidRDefault="00C46587" w:rsidP="00982118">
      <w:pPr>
        <w:rPr>
          <w:color w:val="000000" w:themeColor="text1"/>
        </w:rPr>
      </w:pPr>
      <w:r w:rsidRPr="0058432E">
        <w:rPr>
          <w:color w:val="000000" w:themeColor="text1"/>
        </w:rPr>
        <w:t>La réduction des lésions inflammatoires et la prévention de l’aggravation des abcès et des fistules drainantes ont été évaluées à l’aide du score de réponse clinique dans l’hidrosadénite suppurée (</w:t>
      </w:r>
      <w:r w:rsidR="002811F5" w:rsidRPr="0058432E">
        <w:rPr>
          <w:i/>
          <w:iCs/>
          <w:color w:val="000000" w:themeColor="text1"/>
        </w:rPr>
        <w:t>Hidradenitis Suppurativa Clinical Response</w:t>
      </w:r>
      <w:r w:rsidR="002811F5" w:rsidRPr="0058432E">
        <w:rPr>
          <w:color w:val="000000" w:themeColor="text1"/>
        </w:rPr>
        <w:t xml:space="preserve">, </w:t>
      </w:r>
      <w:r w:rsidRPr="0058432E">
        <w:rPr>
          <w:color w:val="000000" w:themeColor="text1"/>
        </w:rPr>
        <w:t xml:space="preserve">HiSCR : réduction d’au-moins 50 % du nombre total d’abcès et de nodules inflammatoires sans augmentation du nombre d’abcès ni du nombre de fistules drainantes par rapport aux valeurs à l’inclusion). La réduction de la douleur cutanée liée à l’HS a été évaluée à l’aide d’une échelle numérique chez les patients de l’étude qui présentaient à l’inclusion un score initial supérieur ou égal à 3 sur une échelle de 11 points. </w:t>
      </w:r>
    </w:p>
    <w:p w14:paraId="11325514" w14:textId="77777777" w:rsidR="00C46587" w:rsidRPr="0058432E" w:rsidRDefault="00C46587" w:rsidP="00982118">
      <w:pPr>
        <w:rPr>
          <w:color w:val="000000" w:themeColor="text1"/>
        </w:rPr>
      </w:pPr>
    </w:p>
    <w:p w14:paraId="52F69790" w14:textId="77777777" w:rsidR="00C46587" w:rsidRPr="0058432E" w:rsidRDefault="00C46587" w:rsidP="00982118">
      <w:pPr>
        <w:rPr>
          <w:color w:val="000000" w:themeColor="text1"/>
        </w:rPr>
      </w:pPr>
      <w:r w:rsidRPr="0058432E">
        <w:rPr>
          <w:color w:val="000000" w:themeColor="text1"/>
        </w:rPr>
        <w:t>À la semaine 12, il y a eu significativement plus de répondeurs HiSCR dans le groupe adalimumab comparativement au groupe placebo. À la semaine 12 de l’étude HS</w:t>
      </w:r>
      <w:r w:rsidRPr="0058432E">
        <w:rPr>
          <w:color w:val="000000" w:themeColor="text1"/>
        </w:rPr>
        <w:noBreakHyphen/>
        <w:t>II, un pourcentage significativement plus élevé de patients a obtenu une réduction cliniquement significative de la douleur liée à l’HS (voir tableau </w:t>
      </w:r>
      <w:r w:rsidR="00AA1D55" w:rsidRPr="0058432E">
        <w:rPr>
          <w:color w:val="000000" w:themeColor="text1"/>
        </w:rPr>
        <w:t>19</w:t>
      </w:r>
      <w:r w:rsidRPr="0058432E">
        <w:rPr>
          <w:color w:val="000000" w:themeColor="text1"/>
        </w:rPr>
        <w:t xml:space="preserve">). Les patients traités par adalimumab présentaient une réduction significative du risque de poussée de la maladie au cours des 12 premières semaines de traitement. </w:t>
      </w:r>
    </w:p>
    <w:p w14:paraId="59214B19" w14:textId="77777777" w:rsidR="00C46587" w:rsidRPr="0058432E" w:rsidRDefault="00C46587" w:rsidP="00982118">
      <w:pPr>
        <w:rPr>
          <w:color w:val="000000" w:themeColor="text1"/>
        </w:rPr>
      </w:pPr>
    </w:p>
    <w:p w14:paraId="6D4AEB7A" w14:textId="77777777" w:rsidR="001E35BC" w:rsidRPr="0058432E" w:rsidRDefault="00C46587" w:rsidP="00A53E17">
      <w:pPr>
        <w:keepNext/>
        <w:rPr>
          <w:b/>
          <w:bCs/>
          <w:color w:val="000000" w:themeColor="text1"/>
        </w:rPr>
      </w:pPr>
      <w:r w:rsidRPr="0058432E">
        <w:rPr>
          <w:b/>
          <w:bCs/>
          <w:color w:val="000000" w:themeColor="text1"/>
        </w:rPr>
        <w:t>Tableau </w:t>
      </w:r>
      <w:r w:rsidR="00AA1D55" w:rsidRPr="0058432E">
        <w:rPr>
          <w:b/>
          <w:bCs/>
          <w:color w:val="000000" w:themeColor="text1"/>
        </w:rPr>
        <w:t>19</w:t>
      </w:r>
      <w:r w:rsidR="002A7CDF" w:rsidRPr="0058432E">
        <w:rPr>
          <w:b/>
          <w:color w:val="000000" w:themeColor="text1"/>
        </w:rPr>
        <w:t>.</w:t>
      </w:r>
      <w:r w:rsidRPr="0058432E">
        <w:rPr>
          <w:b/>
          <w:bCs/>
          <w:color w:val="000000" w:themeColor="text1"/>
        </w:rPr>
        <w:t xml:space="preserve"> </w:t>
      </w:r>
    </w:p>
    <w:p w14:paraId="6E3888A6" w14:textId="77777777" w:rsidR="00C46587" w:rsidRPr="0058432E" w:rsidRDefault="00C46587" w:rsidP="00A53E17">
      <w:pPr>
        <w:keepNext/>
        <w:rPr>
          <w:b/>
          <w:bCs/>
          <w:color w:val="000000" w:themeColor="text1"/>
        </w:rPr>
      </w:pPr>
      <w:r w:rsidRPr="0058432E">
        <w:rPr>
          <w:b/>
          <w:bCs/>
          <w:color w:val="000000" w:themeColor="text1"/>
        </w:rPr>
        <w:t>Résultats d’efficacité à 12 semaines, études HS-I et HS-II</w:t>
      </w:r>
    </w:p>
    <w:p w14:paraId="09DF46B6" w14:textId="77777777" w:rsidR="00C46587" w:rsidRPr="0058432E" w:rsidRDefault="00C46587" w:rsidP="00982118">
      <w:pPr>
        <w:keepNex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60"/>
        <w:gridCol w:w="2257"/>
        <w:gridCol w:w="1163"/>
        <w:gridCol w:w="2355"/>
      </w:tblGrid>
      <w:tr w:rsidR="00A351FC" w:rsidRPr="0058432E" w14:paraId="6B42EE2D" w14:textId="77777777" w:rsidTr="002273C4">
        <w:tc>
          <w:tcPr>
            <w:tcW w:w="2268" w:type="dxa"/>
            <w:vMerge w:val="restart"/>
            <w:tcBorders>
              <w:top w:val="single" w:sz="4" w:space="0" w:color="auto"/>
              <w:left w:val="single" w:sz="4" w:space="0" w:color="auto"/>
              <w:right w:val="single" w:sz="4" w:space="0" w:color="auto"/>
            </w:tcBorders>
          </w:tcPr>
          <w:p w14:paraId="55A87813" w14:textId="77777777" w:rsidR="00A351FC" w:rsidRPr="0058432E" w:rsidRDefault="00A351FC" w:rsidP="00982118">
            <w:pPr>
              <w:keepNext/>
              <w:rPr>
                <w:color w:val="000000" w:themeColor="text1"/>
              </w:rPr>
            </w:pPr>
          </w:p>
        </w:tc>
        <w:tc>
          <w:tcPr>
            <w:tcW w:w="3517" w:type="dxa"/>
            <w:gridSpan w:val="2"/>
            <w:tcBorders>
              <w:top w:val="single" w:sz="4" w:space="0" w:color="auto"/>
              <w:left w:val="single" w:sz="4" w:space="0" w:color="auto"/>
              <w:bottom w:val="single" w:sz="4" w:space="0" w:color="auto"/>
              <w:right w:val="single" w:sz="4" w:space="0" w:color="auto"/>
            </w:tcBorders>
            <w:vAlign w:val="bottom"/>
            <w:hideMark/>
          </w:tcPr>
          <w:p w14:paraId="3B136771" w14:textId="77777777" w:rsidR="00A351FC" w:rsidRPr="0058432E" w:rsidRDefault="00A351FC" w:rsidP="00982118">
            <w:pPr>
              <w:keepNext/>
              <w:jc w:val="center"/>
              <w:rPr>
                <w:b/>
                <w:color w:val="000000" w:themeColor="text1"/>
              </w:rPr>
            </w:pPr>
            <w:r w:rsidRPr="0058432E">
              <w:rPr>
                <w:b/>
                <w:color w:val="000000" w:themeColor="text1"/>
              </w:rPr>
              <w:t>Étude HS-I</w:t>
            </w:r>
          </w:p>
        </w:tc>
        <w:tc>
          <w:tcPr>
            <w:tcW w:w="3518" w:type="dxa"/>
            <w:gridSpan w:val="2"/>
            <w:tcBorders>
              <w:top w:val="single" w:sz="4" w:space="0" w:color="auto"/>
              <w:left w:val="single" w:sz="4" w:space="0" w:color="auto"/>
              <w:bottom w:val="single" w:sz="4" w:space="0" w:color="auto"/>
              <w:right w:val="single" w:sz="4" w:space="0" w:color="auto"/>
            </w:tcBorders>
            <w:vAlign w:val="bottom"/>
            <w:hideMark/>
          </w:tcPr>
          <w:p w14:paraId="72741B29" w14:textId="77777777" w:rsidR="00A351FC" w:rsidRPr="0058432E" w:rsidRDefault="00A351FC" w:rsidP="00982118">
            <w:pPr>
              <w:keepNext/>
              <w:jc w:val="center"/>
              <w:rPr>
                <w:color w:val="000000" w:themeColor="text1"/>
              </w:rPr>
            </w:pPr>
            <w:r w:rsidRPr="0058432E">
              <w:rPr>
                <w:b/>
                <w:color w:val="000000" w:themeColor="text1"/>
              </w:rPr>
              <w:t>Étude HS-II</w:t>
            </w:r>
          </w:p>
        </w:tc>
      </w:tr>
      <w:tr w:rsidR="00A351FC" w:rsidRPr="0058432E" w14:paraId="1258B65E" w14:textId="77777777" w:rsidTr="002273C4">
        <w:tc>
          <w:tcPr>
            <w:tcW w:w="2268" w:type="dxa"/>
            <w:vMerge/>
            <w:tcBorders>
              <w:left w:val="single" w:sz="4" w:space="0" w:color="auto"/>
              <w:bottom w:val="single" w:sz="4" w:space="0" w:color="auto"/>
              <w:right w:val="single" w:sz="4" w:space="0" w:color="auto"/>
            </w:tcBorders>
            <w:vAlign w:val="center"/>
            <w:hideMark/>
          </w:tcPr>
          <w:p w14:paraId="01B81EFA" w14:textId="77777777" w:rsidR="00A351FC" w:rsidRPr="0058432E" w:rsidRDefault="00A351FC" w:rsidP="00982118">
            <w:pPr>
              <w:keepNext/>
              <w:rPr>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bottom"/>
            <w:hideMark/>
          </w:tcPr>
          <w:p w14:paraId="0F88FC38" w14:textId="77777777" w:rsidR="00A351FC" w:rsidRPr="0058432E" w:rsidRDefault="00A351FC" w:rsidP="00982118">
            <w:pPr>
              <w:keepNext/>
              <w:jc w:val="center"/>
              <w:rPr>
                <w:b/>
                <w:color w:val="000000" w:themeColor="text1"/>
              </w:rPr>
            </w:pPr>
            <w:r w:rsidRPr="0058432E">
              <w:rPr>
                <w:b/>
                <w:color w:val="000000" w:themeColor="text1"/>
              </w:rPr>
              <w:t>Placebo</w:t>
            </w:r>
          </w:p>
        </w:tc>
        <w:tc>
          <w:tcPr>
            <w:tcW w:w="2257" w:type="dxa"/>
            <w:tcBorders>
              <w:top w:val="single" w:sz="4" w:space="0" w:color="auto"/>
              <w:left w:val="single" w:sz="4" w:space="0" w:color="auto"/>
              <w:bottom w:val="single" w:sz="4" w:space="0" w:color="auto"/>
              <w:right w:val="single" w:sz="4" w:space="0" w:color="auto"/>
            </w:tcBorders>
            <w:vAlign w:val="bottom"/>
            <w:hideMark/>
          </w:tcPr>
          <w:p w14:paraId="1540A7F2" w14:textId="77777777" w:rsidR="00A351FC" w:rsidRPr="0058432E" w:rsidRDefault="00A351FC" w:rsidP="00982118">
            <w:pPr>
              <w:keepNext/>
              <w:jc w:val="center"/>
              <w:rPr>
                <w:b/>
                <w:color w:val="000000" w:themeColor="text1"/>
              </w:rPr>
            </w:pPr>
            <w:r w:rsidRPr="0058432E">
              <w:rPr>
                <w:b/>
                <w:color w:val="000000" w:themeColor="text1"/>
              </w:rPr>
              <w:t>Adalimumab 40 mg par semaine</w:t>
            </w:r>
          </w:p>
        </w:tc>
        <w:tc>
          <w:tcPr>
            <w:tcW w:w="1163" w:type="dxa"/>
            <w:tcBorders>
              <w:top w:val="single" w:sz="4" w:space="0" w:color="auto"/>
              <w:left w:val="single" w:sz="4" w:space="0" w:color="auto"/>
              <w:bottom w:val="single" w:sz="4" w:space="0" w:color="auto"/>
              <w:right w:val="single" w:sz="4" w:space="0" w:color="auto"/>
            </w:tcBorders>
            <w:vAlign w:val="bottom"/>
            <w:hideMark/>
          </w:tcPr>
          <w:p w14:paraId="6C77B0D9" w14:textId="77777777" w:rsidR="00A351FC" w:rsidRPr="0058432E" w:rsidRDefault="00A351FC" w:rsidP="00982118">
            <w:pPr>
              <w:keepNext/>
              <w:jc w:val="center"/>
              <w:rPr>
                <w:b/>
                <w:color w:val="000000" w:themeColor="text1"/>
              </w:rPr>
            </w:pPr>
            <w:r w:rsidRPr="0058432E">
              <w:rPr>
                <w:b/>
                <w:color w:val="000000" w:themeColor="text1"/>
              </w:rPr>
              <w:t>Placebo</w:t>
            </w:r>
          </w:p>
        </w:tc>
        <w:tc>
          <w:tcPr>
            <w:tcW w:w="2355" w:type="dxa"/>
            <w:tcBorders>
              <w:top w:val="single" w:sz="4" w:space="0" w:color="auto"/>
              <w:left w:val="single" w:sz="4" w:space="0" w:color="auto"/>
              <w:bottom w:val="single" w:sz="4" w:space="0" w:color="auto"/>
              <w:right w:val="single" w:sz="4" w:space="0" w:color="auto"/>
            </w:tcBorders>
            <w:vAlign w:val="bottom"/>
            <w:hideMark/>
          </w:tcPr>
          <w:p w14:paraId="46C86F0A" w14:textId="77777777" w:rsidR="00A351FC" w:rsidRPr="0058432E" w:rsidRDefault="00A351FC" w:rsidP="00982118">
            <w:pPr>
              <w:keepNext/>
              <w:jc w:val="center"/>
              <w:rPr>
                <w:b/>
                <w:color w:val="000000" w:themeColor="text1"/>
              </w:rPr>
            </w:pPr>
            <w:r w:rsidRPr="0058432E">
              <w:rPr>
                <w:b/>
                <w:color w:val="000000" w:themeColor="text1"/>
              </w:rPr>
              <w:t>Adalimumab 40 mg par semaine</w:t>
            </w:r>
          </w:p>
        </w:tc>
      </w:tr>
      <w:tr w:rsidR="00C46587" w:rsidRPr="0058432E" w14:paraId="771A7532" w14:textId="77777777" w:rsidTr="007C0343">
        <w:tc>
          <w:tcPr>
            <w:tcW w:w="2268" w:type="dxa"/>
            <w:tcBorders>
              <w:top w:val="single" w:sz="4" w:space="0" w:color="auto"/>
              <w:left w:val="single" w:sz="4" w:space="0" w:color="auto"/>
              <w:bottom w:val="single" w:sz="4" w:space="0" w:color="auto"/>
              <w:right w:val="single" w:sz="4" w:space="0" w:color="auto"/>
            </w:tcBorders>
            <w:hideMark/>
          </w:tcPr>
          <w:p w14:paraId="7058DE8E" w14:textId="77777777" w:rsidR="00C46587" w:rsidRPr="0058432E" w:rsidRDefault="00C46587" w:rsidP="00982118">
            <w:pPr>
              <w:keepNext/>
              <w:rPr>
                <w:color w:val="000000" w:themeColor="text1"/>
              </w:rPr>
            </w:pPr>
            <w:r w:rsidRPr="0058432E">
              <w:rPr>
                <w:color w:val="000000" w:themeColor="text1"/>
              </w:rPr>
              <w:t>HiSCR</w:t>
            </w:r>
            <w:r w:rsidRPr="0058432E">
              <w:rPr>
                <w:color w:val="000000" w:themeColor="text1"/>
                <w:vertAlign w:val="superscript"/>
              </w:rPr>
              <w:t>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C5EE673" w14:textId="77777777" w:rsidR="00C46587" w:rsidRPr="0058432E" w:rsidRDefault="00C46587" w:rsidP="00982118">
            <w:pPr>
              <w:keepNext/>
              <w:jc w:val="center"/>
              <w:rPr>
                <w:color w:val="000000" w:themeColor="text1"/>
              </w:rPr>
            </w:pPr>
            <w:r w:rsidRPr="0058432E">
              <w:rPr>
                <w:color w:val="000000" w:themeColor="text1"/>
              </w:rPr>
              <w:t>N = 154</w:t>
            </w:r>
          </w:p>
          <w:p w14:paraId="7FBB7CCD" w14:textId="77777777" w:rsidR="00C46587" w:rsidRPr="0058432E" w:rsidRDefault="00C46587" w:rsidP="00982118">
            <w:pPr>
              <w:keepNext/>
              <w:jc w:val="center"/>
              <w:rPr>
                <w:color w:val="000000" w:themeColor="text1"/>
              </w:rPr>
            </w:pPr>
            <w:r w:rsidRPr="0058432E">
              <w:rPr>
                <w:color w:val="000000" w:themeColor="text1"/>
              </w:rPr>
              <w:t>40 (26,0 %)</w:t>
            </w:r>
          </w:p>
        </w:tc>
        <w:tc>
          <w:tcPr>
            <w:tcW w:w="2257" w:type="dxa"/>
            <w:tcBorders>
              <w:top w:val="single" w:sz="4" w:space="0" w:color="auto"/>
              <w:left w:val="single" w:sz="4" w:space="0" w:color="auto"/>
              <w:bottom w:val="single" w:sz="4" w:space="0" w:color="auto"/>
              <w:right w:val="single" w:sz="4" w:space="0" w:color="auto"/>
            </w:tcBorders>
            <w:vAlign w:val="center"/>
            <w:hideMark/>
          </w:tcPr>
          <w:p w14:paraId="56AFB90F" w14:textId="77777777" w:rsidR="00C46587" w:rsidRPr="0058432E" w:rsidRDefault="00C46587" w:rsidP="00982118">
            <w:pPr>
              <w:keepNext/>
              <w:jc w:val="center"/>
              <w:rPr>
                <w:color w:val="000000" w:themeColor="text1"/>
              </w:rPr>
            </w:pPr>
            <w:r w:rsidRPr="0058432E">
              <w:rPr>
                <w:color w:val="000000" w:themeColor="text1"/>
              </w:rPr>
              <w:t>N = 153</w:t>
            </w:r>
          </w:p>
          <w:p w14:paraId="2E5B6691" w14:textId="77777777" w:rsidR="00C46587" w:rsidRPr="0058432E" w:rsidRDefault="00C46587" w:rsidP="00982118">
            <w:pPr>
              <w:keepNext/>
              <w:jc w:val="center"/>
              <w:rPr>
                <w:color w:val="000000" w:themeColor="text1"/>
              </w:rPr>
            </w:pPr>
            <w:r w:rsidRPr="0058432E">
              <w:rPr>
                <w:color w:val="000000" w:themeColor="text1"/>
              </w:rPr>
              <w:t>64 (41,8 </w:t>
            </w:r>
            <w:proofErr w:type="gramStart"/>
            <w:r w:rsidRPr="0058432E">
              <w:rPr>
                <w:color w:val="000000" w:themeColor="text1"/>
              </w:rPr>
              <w:t>%)</w:t>
            </w:r>
            <w:r w:rsidRPr="0058432E">
              <w:rPr>
                <w:color w:val="000000" w:themeColor="text1"/>
                <w:vertAlign w:val="superscript"/>
              </w:rPr>
              <w:t>*</w:t>
            </w:r>
            <w:proofErr w:type="gramEnd"/>
          </w:p>
        </w:tc>
        <w:tc>
          <w:tcPr>
            <w:tcW w:w="1163" w:type="dxa"/>
            <w:tcBorders>
              <w:top w:val="single" w:sz="4" w:space="0" w:color="auto"/>
              <w:left w:val="single" w:sz="4" w:space="0" w:color="auto"/>
              <w:bottom w:val="single" w:sz="4" w:space="0" w:color="auto"/>
              <w:right w:val="single" w:sz="4" w:space="0" w:color="auto"/>
            </w:tcBorders>
            <w:vAlign w:val="center"/>
            <w:hideMark/>
          </w:tcPr>
          <w:p w14:paraId="037A94A8" w14:textId="77777777" w:rsidR="00C46587" w:rsidRPr="0058432E" w:rsidRDefault="00C46587" w:rsidP="00982118">
            <w:pPr>
              <w:keepNext/>
              <w:jc w:val="center"/>
              <w:rPr>
                <w:color w:val="000000" w:themeColor="text1"/>
              </w:rPr>
            </w:pPr>
            <w:r w:rsidRPr="0058432E">
              <w:rPr>
                <w:color w:val="000000" w:themeColor="text1"/>
              </w:rPr>
              <w:t>N = 163</w:t>
            </w:r>
          </w:p>
          <w:p w14:paraId="10A5AB8E" w14:textId="77777777" w:rsidR="00C46587" w:rsidRPr="0058432E" w:rsidRDefault="00C46587" w:rsidP="00982118">
            <w:pPr>
              <w:keepNext/>
              <w:jc w:val="center"/>
              <w:rPr>
                <w:color w:val="000000" w:themeColor="text1"/>
              </w:rPr>
            </w:pPr>
            <w:r w:rsidRPr="0058432E">
              <w:rPr>
                <w:color w:val="000000" w:themeColor="text1"/>
              </w:rPr>
              <w:t>45 (27,6 %)</w:t>
            </w:r>
          </w:p>
        </w:tc>
        <w:tc>
          <w:tcPr>
            <w:tcW w:w="2355" w:type="dxa"/>
            <w:tcBorders>
              <w:top w:val="single" w:sz="4" w:space="0" w:color="auto"/>
              <w:left w:val="single" w:sz="4" w:space="0" w:color="auto"/>
              <w:bottom w:val="single" w:sz="4" w:space="0" w:color="auto"/>
              <w:right w:val="single" w:sz="4" w:space="0" w:color="auto"/>
            </w:tcBorders>
            <w:vAlign w:val="center"/>
            <w:hideMark/>
          </w:tcPr>
          <w:p w14:paraId="3EB314BE" w14:textId="77777777" w:rsidR="00C46587" w:rsidRPr="0058432E" w:rsidRDefault="00C46587" w:rsidP="00982118">
            <w:pPr>
              <w:keepNext/>
              <w:jc w:val="center"/>
              <w:rPr>
                <w:color w:val="000000" w:themeColor="text1"/>
              </w:rPr>
            </w:pPr>
            <w:r w:rsidRPr="0058432E">
              <w:rPr>
                <w:color w:val="000000" w:themeColor="text1"/>
              </w:rPr>
              <w:t>N = 163</w:t>
            </w:r>
          </w:p>
          <w:p w14:paraId="772F92AA" w14:textId="77777777" w:rsidR="00C46587" w:rsidRPr="0058432E" w:rsidRDefault="00C46587" w:rsidP="00982118">
            <w:pPr>
              <w:keepNext/>
              <w:jc w:val="center"/>
              <w:rPr>
                <w:color w:val="000000" w:themeColor="text1"/>
              </w:rPr>
            </w:pPr>
            <w:r w:rsidRPr="0058432E">
              <w:rPr>
                <w:color w:val="000000" w:themeColor="text1"/>
              </w:rPr>
              <w:t>96 (58,9 </w:t>
            </w:r>
            <w:proofErr w:type="gramStart"/>
            <w:r w:rsidRPr="0058432E">
              <w:rPr>
                <w:color w:val="000000" w:themeColor="text1"/>
              </w:rPr>
              <w:t>%)</w:t>
            </w:r>
            <w:r w:rsidRPr="0058432E">
              <w:rPr>
                <w:color w:val="000000" w:themeColor="text1"/>
                <w:vertAlign w:val="superscript"/>
              </w:rPr>
              <w:t>*</w:t>
            </w:r>
            <w:proofErr w:type="gramEnd"/>
            <w:r w:rsidRPr="0058432E">
              <w:rPr>
                <w:color w:val="000000" w:themeColor="text1"/>
                <w:vertAlign w:val="superscript"/>
              </w:rPr>
              <w:t>**</w:t>
            </w:r>
          </w:p>
        </w:tc>
      </w:tr>
      <w:tr w:rsidR="00C46587" w:rsidRPr="0058432E" w14:paraId="1A6E078D" w14:textId="77777777" w:rsidTr="00141962">
        <w:tc>
          <w:tcPr>
            <w:tcW w:w="2268" w:type="dxa"/>
            <w:tcBorders>
              <w:top w:val="single" w:sz="4" w:space="0" w:color="auto"/>
              <w:left w:val="single" w:sz="4" w:space="0" w:color="auto"/>
              <w:bottom w:val="single" w:sz="4" w:space="0" w:color="auto"/>
              <w:right w:val="single" w:sz="4" w:space="0" w:color="auto"/>
            </w:tcBorders>
            <w:hideMark/>
          </w:tcPr>
          <w:p w14:paraId="4D0EFFAA" w14:textId="77777777" w:rsidR="00C46587" w:rsidRPr="0058432E" w:rsidRDefault="00C46587" w:rsidP="00982118">
            <w:pPr>
              <w:keepNext/>
              <w:rPr>
                <w:color w:val="000000" w:themeColor="text1"/>
              </w:rPr>
            </w:pPr>
            <w:r w:rsidRPr="0058432E">
              <w:rPr>
                <w:color w:val="000000" w:themeColor="text1"/>
              </w:rPr>
              <w:t>Réduction ≥ 30 % de la douleur cutanée</w:t>
            </w:r>
            <w:r w:rsidRPr="0058432E">
              <w:rPr>
                <w:color w:val="000000" w:themeColor="text1"/>
                <w:vertAlign w:val="superscript"/>
              </w:rPr>
              <w:t>b</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3730A61" w14:textId="77777777" w:rsidR="00C46587" w:rsidRPr="0058432E" w:rsidRDefault="00C46587" w:rsidP="00982118">
            <w:pPr>
              <w:keepNext/>
              <w:jc w:val="center"/>
              <w:rPr>
                <w:color w:val="000000" w:themeColor="text1"/>
              </w:rPr>
            </w:pPr>
            <w:r w:rsidRPr="0058432E">
              <w:rPr>
                <w:color w:val="000000" w:themeColor="text1"/>
              </w:rPr>
              <w:t>N = 109</w:t>
            </w:r>
          </w:p>
          <w:p w14:paraId="7F61FB1C" w14:textId="77777777" w:rsidR="00C46587" w:rsidRPr="0058432E" w:rsidRDefault="00C46587" w:rsidP="00982118">
            <w:pPr>
              <w:keepNext/>
              <w:jc w:val="center"/>
              <w:rPr>
                <w:color w:val="000000" w:themeColor="text1"/>
              </w:rPr>
            </w:pPr>
            <w:r w:rsidRPr="0058432E">
              <w:rPr>
                <w:color w:val="000000" w:themeColor="text1"/>
              </w:rPr>
              <w:t>27 (24,8 %)</w:t>
            </w:r>
          </w:p>
        </w:tc>
        <w:tc>
          <w:tcPr>
            <w:tcW w:w="2257" w:type="dxa"/>
            <w:tcBorders>
              <w:top w:val="single" w:sz="4" w:space="0" w:color="auto"/>
              <w:left w:val="single" w:sz="4" w:space="0" w:color="auto"/>
              <w:bottom w:val="single" w:sz="4" w:space="0" w:color="auto"/>
              <w:right w:val="single" w:sz="4" w:space="0" w:color="auto"/>
            </w:tcBorders>
            <w:vAlign w:val="center"/>
            <w:hideMark/>
          </w:tcPr>
          <w:p w14:paraId="6CEB5323" w14:textId="77777777" w:rsidR="00C46587" w:rsidRPr="0058432E" w:rsidRDefault="00C46587" w:rsidP="00982118">
            <w:pPr>
              <w:keepNext/>
              <w:jc w:val="center"/>
              <w:rPr>
                <w:color w:val="000000" w:themeColor="text1"/>
              </w:rPr>
            </w:pPr>
            <w:r w:rsidRPr="0058432E">
              <w:rPr>
                <w:color w:val="000000" w:themeColor="text1"/>
              </w:rPr>
              <w:t>N = 122</w:t>
            </w:r>
          </w:p>
          <w:p w14:paraId="1AE14A32" w14:textId="77777777" w:rsidR="00C46587" w:rsidRPr="0058432E" w:rsidRDefault="00C46587" w:rsidP="00982118">
            <w:pPr>
              <w:keepNext/>
              <w:jc w:val="center"/>
              <w:rPr>
                <w:color w:val="000000" w:themeColor="text1"/>
              </w:rPr>
            </w:pPr>
            <w:r w:rsidRPr="0058432E">
              <w:rPr>
                <w:color w:val="000000" w:themeColor="text1"/>
              </w:rPr>
              <w:t>34 (27,9 %)</w:t>
            </w:r>
          </w:p>
        </w:tc>
        <w:tc>
          <w:tcPr>
            <w:tcW w:w="1163" w:type="dxa"/>
            <w:tcBorders>
              <w:top w:val="single" w:sz="4" w:space="0" w:color="auto"/>
              <w:left w:val="single" w:sz="4" w:space="0" w:color="auto"/>
              <w:bottom w:val="single" w:sz="4" w:space="0" w:color="auto"/>
              <w:right w:val="single" w:sz="4" w:space="0" w:color="auto"/>
            </w:tcBorders>
            <w:vAlign w:val="center"/>
            <w:hideMark/>
          </w:tcPr>
          <w:p w14:paraId="4FE829F8" w14:textId="77777777" w:rsidR="00C46587" w:rsidRPr="0058432E" w:rsidRDefault="00C46587" w:rsidP="00982118">
            <w:pPr>
              <w:keepNext/>
              <w:jc w:val="center"/>
              <w:rPr>
                <w:color w:val="000000" w:themeColor="text1"/>
              </w:rPr>
            </w:pPr>
            <w:r w:rsidRPr="0058432E">
              <w:rPr>
                <w:color w:val="000000" w:themeColor="text1"/>
              </w:rPr>
              <w:t>N = 111</w:t>
            </w:r>
          </w:p>
          <w:p w14:paraId="189EE5B7" w14:textId="77777777" w:rsidR="00C46587" w:rsidRPr="0058432E" w:rsidRDefault="00C46587" w:rsidP="00982118">
            <w:pPr>
              <w:keepNext/>
              <w:jc w:val="center"/>
              <w:rPr>
                <w:color w:val="000000" w:themeColor="text1"/>
              </w:rPr>
            </w:pPr>
            <w:r w:rsidRPr="0058432E">
              <w:rPr>
                <w:color w:val="000000" w:themeColor="text1"/>
              </w:rPr>
              <w:t>23 (20,7 %)</w:t>
            </w:r>
          </w:p>
        </w:tc>
        <w:tc>
          <w:tcPr>
            <w:tcW w:w="2355" w:type="dxa"/>
            <w:tcBorders>
              <w:top w:val="single" w:sz="4" w:space="0" w:color="auto"/>
              <w:left w:val="single" w:sz="4" w:space="0" w:color="auto"/>
              <w:bottom w:val="single" w:sz="4" w:space="0" w:color="auto"/>
              <w:right w:val="single" w:sz="4" w:space="0" w:color="auto"/>
            </w:tcBorders>
            <w:vAlign w:val="center"/>
            <w:hideMark/>
          </w:tcPr>
          <w:p w14:paraId="22DF500F" w14:textId="77777777" w:rsidR="00C46587" w:rsidRPr="0058432E" w:rsidRDefault="00C46587" w:rsidP="00982118">
            <w:pPr>
              <w:keepNext/>
              <w:jc w:val="center"/>
              <w:rPr>
                <w:color w:val="000000" w:themeColor="text1"/>
              </w:rPr>
            </w:pPr>
            <w:r w:rsidRPr="0058432E">
              <w:rPr>
                <w:color w:val="000000" w:themeColor="text1"/>
              </w:rPr>
              <w:t>N = 105</w:t>
            </w:r>
          </w:p>
          <w:p w14:paraId="6C0F1A3A" w14:textId="77777777" w:rsidR="00C46587" w:rsidRPr="0058432E" w:rsidRDefault="00C46587" w:rsidP="00982118">
            <w:pPr>
              <w:keepNext/>
              <w:jc w:val="center"/>
              <w:rPr>
                <w:color w:val="000000" w:themeColor="text1"/>
              </w:rPr>
            </w:pPr>
            <w:r w:rsidRPr="0058432E">
              <w:rPr>
                <w:color w:val="000000" w:themeColor="text1"/>
              </w:rPr>
              <w:t>48 (45,7</w:t>
            </w:r>
            <w:r w:rsidR="00154AC8" w:rsidRPr="0058432E">
              <w:rPr>
                <w:color w:val="000000" w:themeColor="text1"/>
              </w:rPr>
              <w:t> </w:t>
            </w:r>
            <w:proofErr w:type="gramStart"/>
            <w:r w:rsidRPr="0058432E">
              <w:rPr>
                <w:color w:val="000000" w:themeColor="text1"/>
              </w:rPr>
              <w:t>%)</w:t>
            </w:r>
            <w:r w:rsidRPr="0058432E">
              <w:rPr>
                <w:color w:val="000000" w:themeColor="text1"/>
                <w:vertAlign w:val="superscript"/>
              </w:rPr>
              <w:t>*</w:t>
            </w:r>
            <w:proofErr w:type="gramEnd"/>
            <w:r w:rsidRPr="0058432E">
              <w:rPr>
                <w:color w:val="000000" w:themeColor="text1"/>
                <w:vertAlign w:val="superscript"/>
              </w:rPr>
              <w:t>**</w:t>
            </w:r>
          </w:p>
        </w:tc>
      </w:tr>
      <w:tr w:rsidR="00696F48" w:rsidRPr="0058432E" w14:paraId="59A228CB" w14:textId="77777777" w:rsidTr="00141962">
        <w:tc>
          <w:tcPr>
            <w:tcW w:w="9303" w:type="dxa"/>
            <w:gridSpan w:val="5"/>
            <w:tcBorders>
              <w:top w:val="single" w:sz="4" w:space="0" w:color="auto"/>
              <w:left w:val="nil"/>
              <w:bottom w:val="nil"/>
              <w:right w:val="nil"/>
            </w:tcBorders>
          </w:tcPr>
          <w:p w14:paraId="0A247608" w14:textId="77777777" w:rsidR="00141962" w:rsidRPr="0058432E" w:rsidRDefault="00141962" w:rsidP="00141962">
            <w:pPr>
              <w:keepNext/>
              <w:rPr>
                <w:color w:val="000000" w:themeColor="text1"/>
                <w:sz w:val="20"/>
              </w:rPr>
            </w:pPr>
            <w:r w:rsidRPr="0058432E">
              <w:rPr>
                <w:color w:val="000000" w:themeColor="text1"/>
                <w:sz w:val="20"/>
              </w:rPr>
              <w:t xml:space="preserve">* </w:t>
            </w:r>
            <w:r w:rsidRPr="0058432E">
              <w:rPr>
                <w:i/>
                <w:color w:val="000000" w:themeColor="text1"/>
                <w:sz w:val="20"/>
              </w:rPr>
              <w:t>P</w:t>
            </w:r>
            <w:r w:rsidRPr="0058432E">
              <w:rPr>
                <w:color w:val="000000" w:themeColor="text1"/>
                <w:sz w:val="20"/>
              </w:rPr>
              <w:t xml:space="preserve"> &lt; 0,05, *** </w:t>
            </w:r>
            <w:r w:rsidRPr="0058432E">
              <w:rPr>
                <w:i/>
                <w:color w:val="000000" w:themeColor="text1"/>
                <w:sz w:val="20"/>
              </w:rPr>
              <w:t>P</w:t>
            </w:r>
            <w:r w:rsidRPr="0058432E">
              <w:rPr>
                <w:color w:val="000000" w:themeColor="text1"/>
                <w:sz w:val="20"/>
              </w:rPr>
              <w:t xml:space="preserve"> &lt; 0,001, adalimumab versus placebo</w:t>
            </w:r>
          </w:p>
          <w:p w14:paraId="33D0C129" w14:textId="77777777" w:rsidR="00141962" w:rsidRPr="0058432E" w:rsidRDefault="00141962" w:rsidP="00141962">
            <w:pPr>
              <w:keepNext/>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Chez tous les patients randomisés.</w:t>
            </w:r>
          </w:p>
          <w:p w14:paraId="6A8F1AD5" w14:textId="77777777" w:rsidR="00141962" w:rsidRPr="0058432E" w:rsidRDefault="00141962" w:rsidP="00141962">
            <w:pPr>
              <w:keepNext/>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t>Chez les patients présentant un score de la douleur cutanée liée à l’HS à l’inclusion ≥ 3, sur la base d’une échelle numérique de 0 à 10, avec 0 = aucune douleur cutanée, 10 = pire douleur cutanée imaginable.</w:t>
            </w:r>
          </w:p>
          <w:p w14:paraId="0F054E86" w14:textId="77777777" w:rsidR="00696F48" w:rsidRPr="0058432E" w:rsidRDefault="00141962" w:rsidP="00141962">
            <w:pPr>
              <w:keepNext/>
              <w:ind w:left="270" w:hanging="270"/>
              <w:rPr>
                <w:color w:val="000000" w:themeColor="text1"/>
                <w:sz w:val="20"/>
              </w:rPr>
            </w:pPr>
            <w:r w:rsidRPr="0058432E">
              <w:rPr>
                <w:color w:val="000000" w:themeColor="text1"/>
                <w:sz w:val="20"/>
              </w:rPr>
              <w:tab/>
            </w:r>
          </w:p>
        </w:tc>
      </w:tr>
    </w:tbl>
    <w:p w14:paraId="3D03E3D7" w14:textId="77777777" w:rsidR="00C46587" w:rsidRPr="0058432E" w:rsidRDefault="00C46587" w:rsidP="00982118">
      <w:pPr>
        <w:rPr>
          <w:color w:val="000000" w:themeColor="text1"/>
        </w:rPr>
      </w:pPr>
    </w:p>
    <w:p w14:paraId="59487EC1" w14:textId="77777777" w:rsidR="00C46587" w:rsidRPr="0058432E" w:rsidRDefault="00C46587" w:rsidP="00982118">
      <w:pPr>
        <w:rPr>
          <w:color w:val="000000" w:themeColor="text1"/>
        </w:rPr>
      </w:pPr>
      <w:r w:rsidRPr="0058432E">
        <w:rPr>
          <w:color w:val="000000" w:themeColor="text1"/>
        </w:rPr>
        <w:t>Le traitement par adalimumab 40 mg toutes les semaines a réduit significativement le risque d’aggravation des abcès et fistules drainantes. Au cours des 12 premières semaines des études HS</w:t>
      </w:r>
      <w:r w:rsidRPr="0058432E">
        <w:rPr>
          <w:color w:val="000000" w:themeColor="text1"/>
        </w:rPr>
        <w:noBreakHyphen/>
        <w:t>I et HS</w:t>
      </w:r>
      <w:r w:rsidRPr="0058432E">
        <w:rPr>
          <w:color w:val="000000" w:themeColor="text1"/>
        </w:rPr>
        <w:noBreakHyphen/>
        <w:t xml:space="preserve">II, environ deux fois plus de patients du groupe placebo ont présenté une aggravation des abcès (23,0 % versus 11,4 %, respectivement) et des fistules drainantes (30,0 % versus 13,9 %, respectivement), comparativement aux groupes adalimumab. </w:t>
      </w:r>
    </w:p>
    <w:p w14:paraId="4D338F2C" w14:textId="77777777" w:rsidR="00C46587" w:rsidRPr="0058432E" w:rsidRDefault="00C46587" w:rsidP="00982118">
      <w:pPr>
        <w:rPr>
          <w:color w:val="000000" w:themeColor="text1"/>
        </w:rPr>
      </w:pPr>
    </w:p>
    <w:p w14:paraId="4E087BC0" w14:textId="77777777" w:rsidR="00C46587" w:rsidRPr="0058432E" w:rsidRDefault="002756B8" w:rsidP="00982118">
      <w:pPr>
        <w:rPr>
          <w:color w:val="000000" w:themeColor="text1"/>
        </w:rPr>
      </w:pPr>
      <w:r w:rsidRPr="0058432E">
        <w:rPr>
          <w:color w:val="000000" w:themeColor="text1"/>
        </w:rPr>
        <w:t xml:space="preserve">Comparé au </w:t>
      </w:r>
      <w:r w:rsidR="00C46587" w:rsidRPr="0058432E">
        <w:rPr>
          <w:color w:val="000000" w:themeColor="text1"/>
        </w:rPr>
        <w:t>placebo, des améliorations plus importantes entre l’inclusion et la semaine 12 ont été observées en termes de qualité de vie liée à la santé spécifique à la peau mesurée par l’indice de qualité de vie dermatologique (DLQI ; études HS</w:t>
      </w:r>
      <w:r w:rsidR="00C46587" w:rsidRPr="0058432E">
        <w:rPr>
          <w:color w:val="000000" w:themeColor="text1"/>
        </w:rPr>
        <w:noBreakHyphen/>
        <w:t>I et HS</w:t>
      </w:r>
      <w:r w:rsidR="00C46587" w:rsidRPr="0058432E">
        <w:rPr>
          <w:color w:val="000000" w:themeColor="text1"/>
        </w:rPr>
        <w:noBreakHyphen/>
        <w:t>II), de satisfaction globale du patient par rapport à son traitement médicamenteux mesurée par le questionnaire de satisfaction relative au traitement médicamenteux (</w:t>
      </w:r>
      <w:r w:rsidR="009D2DF8" w:rsidRPr="0058432E">
        <w:rPr>
          <w:i/>
          <w:iCs/>
          <w:color w:val="000000" w:themeColor="text1"/>
        </w:rPr>
        <w:t xml:space="preserve">Treatment Satisfaction Questionnaire </w:t>
      </w:r>
      <w:r w:rsidR="009D2DF8" w:rsidRPr="0058432E">
        <w:rPr>
          <w:i/>
          <w:iCs/>
          <w:color w:val="000000" w:themeColor="text1"/>
        </w:rPr>
        <w:noBreakHyphen/>
        <w:t xml:space="preserve">medication, </w:t>
      </w:r>
      <w:r w:rsidR="00C46587" w:rsidRPr="0058432E">
        <w:rPr>
          <w:color w:val="000000" w:themeColor="text1"/>
        </w:rPr>
        <w:t>TSQM ; études HS</w:t>
      </w:r>
      <w:r w:rsidR="00C46587" w:rsidRPr="0058432E">
        <w:rPr>
          <w:color w:val="000000" w:themeColor="text1"/>
        </w:rPr>
        <w:noBreakHyphen/>
        <w:t>I et HS</w:t>
      </w:r>
      <w:r w:rsidR="00C46587" w:rsidRPr="0058432E">
        <w:rPr>
          <w:color w:val="000000" w:themeColor="text1"/>
        </w:rPr>
        <w:noBreakHyphen/>
        <w:t>II), et de santé physique mesurée par la composante physique du score SF-36 (étude HS</w:t>
      </w:r>
      <w:r w:rsidR="00C46587" w:rsidRPr="0058432E">
        <w:rPr>
          <w:color w:val="000000" w:themeColor="text1"/>
        </w:rPr>
        <w:noBreakHyphen/>
        <w:t xml:space="preserve">I). </w:t>
      </w:r>
    </w:p>
    <w:p w14:paraId="36805CC0" w14:textId="77777777" w:rsidR="00C46587" w:rsidRPr="0058432E" w:rsidRDefault="00C46587" w:rsidP="00982118">
      <w:pPr>
        <w:rPr>
          <w:color w:val="000000" w:themeColor="text1"/>
        </w:rPr>
      </w:pPr>
    </w:p>
    <w:p w14:paraId="75731015" w14:textId="77777777" w:rsidR="00C46587" w:rsidRPr="0058432E" w:rsidRDefault="00C46587" w:rsidP="00982118">
      <w:pPr>
        <w:rPr>
          <w:color w:val="000000" w:themeColor="text1"/>
        </w:rPr>
      </w:pPr>
      <w:r w:rsidRPr="0058432E">
        <w:rPr>
          <w:color w:val="000000" w:themeColor="text1"/>
        </w:rPr>
        <w:t>Chez les patients présentant au moins une réponse partielle à la semaine 12, traités par adalimumab 40 mg administré toutes les semaines, le taux HiSCR à la semaine 36 était plus élevé chez les patients recevant l’adalimumab toutes les semaines par rapport aux patients chez lesquels la fréquence d’administration était réduite à toutes les deux semaines ou chez lesquels le traitement était interrompu (voir tableau </w:t>
      </w:r>
      <w:r w:rsidR="00AA1D55" w:rsidRPr="0058432E">
        <w:rPr>
          <w:color w:val="000000" w:themeColor="text1"/>
        </w:rPr>
        <w:t>20</w:t>
      </w:r>
      <w:r w:rsidRPr="0058432E">
        <w:rPr>
          <w:color w:val="000000" w:themeColor="text1"/>
        </w:rPr>
        <w:t xml:space="preserve">). </w:t>
      </w:r>
    </w:p>
    <w:p w14:paraId="5A3CE9C4" w14:textId="77777777" w:rsidR="00B60BF3" w:rsidRPr="0058432E" w:rsidRDefault="00B60BF3" w:rsidP="00982118">
      <w:pPr>
        <w:rPr>
          <w:color w:val="000000" w:themeColor="text1"/>
        </w:rPr>
      </w:pPr>
    </w:p>
    <w:p w14:paraId="6DE0F305" w14:textId="77777777" w:rsidR="001E35BC" w:rsidRPr="0058432E" w:rsidRDefault="0098487F" w:rsidP="00A53E17">
      <w:pPr>
        <w:keepNext/>
        <w:rPr>
          <w:b/>
          <w:color w:val="000000" w:themeColor="text1"/>
        </w:rPr>
      </w:pPr>
      <w:r w:rsidRPr="0058432E">
        <w:rPr>
          <w:b/>
          <w:color w:val="000000" w:themeColor="text1"/>
        </w:rPr>
        <w:t>Tableau </w:t>
      </w:r>
      <w:r w:rsidR="00AA1D55" w:rsidRPr="0058432E">
        <w:rPr>
          <w:b/>
          <w:color w:val="000000" w:themeColor="text1"/>
        </w:rPr>
        <w:t>20</w:t>
      </w:r>
      <w:r w:rsidR="002A7CDF" w:rsidRPr="0058432E">
        <w:rPr>
          <w:b/>
          <w:color w:val="000000" w:themeColor="text1"/>
        </w:rPr>
        <w:t>.</w:t>
      </w:r>
    </w:p>
    <w:p w14:paraId="69D7F974" w14:textId="77777777" w:rsidR="0098487F" w:rsidRPr="0058432E" w:rsidRDefault="0098487F" w:rsidP="00A53E17">
      <w:pPr>
        <w:keepNext/>
        <w:rPr>
          <w:b/>
          <w:color w:val="000000" w:themeColor="text1"/>
        </w:rPr>
      </w:pPr>
      <w:r w:rsidRPr="0058432E">
        <w:rPr>
          <w:b/>
          <w:color w:val="000000" w:themeColor="text1"/>
        </w:rPr>
        <w:t>Pourcentage de patients</w:t>
      </w:r>
      <w:r w:rsidRPr="0058432E">
        <w:rPr>
          <w:b/>
          <w:color w:val="000000" w:themeColor="text1"/>
          <w:vertAlign w:val="superscript"/>
        </w:rPr>
        <w:t>a</w:t>
      </w:r>
      <w:r w:rsidRPr="0058432E">
        <w:rPr>
          <w:b/>
          <w:color w:val="000000" w:themeColor="text1"/>
        </w:rPr>
        <w:t xml:space="preserve"> répondeurs HiSCR</w:t>
      </w:r>
      <w:r w:rsidRPr="0058432E">
        <w:rPr>
          <w:b/>
          <w:color w:val="000000" w:themeColor="text1"/>
          <w:vertAlign w:val="superscript"/>
        </w:rPr>
        <w:t>b</w:t>
      </w:r>
      <w:r w:rsidRPr="0058432E">
        <w:rPr>
          <w:b/>
          <w:color w:val="000000" w:themeColor="text1"/>
        </w:rPr>
        <w:t xml:space="preserve"> aux semaines 24 et 36 après re-randomisation des traitements à la semaine 12, patients issus du groupe adalimumab 40 mg par semaine</w:t>
      </w:r>
    </w:p>
    <w:p w14:paraId="1D89D40C" w14:textId="77777777" w:rsidR="0098487F" w:rsidRPr="0058432E" w:rsidRDefault="0098487F" w:rsidP="001E35BC">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2262"/>
        <w:gridCol w:w="2272"/>
        <w:gridCol w:w="2272"/>
      </w:tblGrid>
      <w:tr w:rsidR="0098487F" w:rsidRPr="0058432E" w14:paraId="3708011C" w14:textId="77777777" w:rsidTr="001E35BC">
        <w:trPr>
          <w:tblHeader/>
        </w:trPr>
        <w:tc>
          <w:tcPr>
            <w:tcW w:w="2325" w:type="dxa"/>
            <w:tcBorders>
              <w:top w:val="single" w:sz="4" w:space="0" w:color="auto"/>
              <w:left w:val="single" w:sz="4" w:space="0" w:color="auto"/>
              <w:bottom w:val="single" w:sz="4" w:space="0" w:color="auto"/>
              <w:right w:val="single" w:sz="4" w:space="0" w:color="auto"/>
            </w:tcBorders>
            <w:vAlign w:val="center"/>
          </w:tcPr>
          <w:p w14:paraId="4B98A255" w14:textId="77777777" w:rsidR="0098487F" w:rsidRPr="0058432E" w:rsidRDefault="0098487F" w:rsidP="001E35BC">
            <w:pPr>
              <w:keepNext/>
              <w:jc w:val="center"/>
              <w:rPr>
                <w:b/>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399865C7" w14:textId="77777777" w:rsidR="0098487F" w:rsidRPr="0058432E" w:rsidRDefault="0098487F" w:rsidP="001E35BC">
            <w:pPr>
              <w:keepNext/>
              <w:jc w:val="center"/>
              <w:rPr>
                <w:b/>
                <w:color w:val="000000" w:themeColor="text1"/>
              </w:rPr>
            </w:pPr>
            <w:r w:rsidRPr="0058432E">
              <w:rPr>
                <w:b/>
                <w:color w:val="000000" w:themeColor="text1"/>
              </w:rPr>
              <w:t>Placebo</w:t>
            </w:r>
          </w:p>
          <w:p w14:paraId="26856766" w14:textId="77777777" w:rsidR="0098487F" w:rsidRPr="0058432E" w:rsidRDefault="0098487F" w:rsidP="001E35BC">
            <w:pPr>
              <w:keepNext/>
              <w:jc w:val="center"/>
              <w:rPr>
                <w:b/>
                <w:color w:val="000000" w:themeColor="text1"/>
              </w:rPr>
            </w:pPr>
            <w:r w:rsidRPr="0058432E">
              <w:rPr>
                <w:b/>
                <w:color w:val="000000" w:themeColor="text1"/>
              </w:rPr>
              <w:t>(</w:t>
            </w:r>
            <w:proofErr w:type="gramStart"/>
            <w:r w:rsidRPr="0058432E">
              <w:rPr>
                <w:b/>
                <w:color w:val="000000" w:themeColor="text1"/>
              </w:rPr>
              <w:t>arrêt</w:t>
            </w:r>
            <w:proofErr w:type="gramEnd"/>
            <w:r w:rsidRPr="0058432E">
              <w:rPr>
                <w:b/>
                <w:color w:val="000000" w:themeColor="text1"/>
              </w:rPr>
              <w:t xml:space="preserve"> du traitement)</w:t>
            </w:r>
          </w:p>
          <w:p w14:paraId="66DC814E" w14:textId="77777777" w:rsidR="0098487F" w:rsidRPr="0058432E" w:rsidRDefault="0098487F" w:rsidP="001E35BC">
            <w:pPr>
              <w:keepNext/>
              <w:jc w:val="center"/>
              <w:rPr>
                <w:b/>
                <w:color w:val="000000" w:themeColor="text1"/>
              </w:rPr>
            </w:pPr>
            <w:r w:rsidRPr="0058432E">
              <w:rPr>
                <w:b/>
                <w:color w:val="000000" w:themeColor="text1"/>
              </w:rPr>
              <w:t>N = 73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4597197" w14:textId="77777777" w:rsidR="0098487F" w:rsidRPr="0058432E" w:rsidRDefault="0098487F" w:rsidP="001E35BC">
            <w:pPr>
              <w:keepNext/>
              <w:jc w:val="center"/>
              <w:rPr>
                <w:b/>
                <w:color w:val="000000" w:themeColor="text1"/>
              </w:rPr>
            </w:pPr>
            <w:r w:rsidRPr="0058432E">
              <w:rPr>
                <w:b/>
                <w:color w:val="000000" w:themeColor="text1"/>
              </w:rPr>
              <w:t>Adalimumab 40 mg</w:t>
            </w:r>
          </w:p>
          <w:p w14:paraId="6667890B" w14:textId="77777777" w:rsidR="0098487F" w:rsidRPr="0058432E" w:rsidRDefault="0098487F" w:rsidP="001E35BC">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deux semaines</w:t>
            </w:r>
          </w:p>
          <w:p w14:paraId="2D014702" w14:textId="77777777" w:rsidR="0098487F" w:rsidRPr="0058432E" w:rsidRDefault="0098487F" w:rsidP="001E35BC">
            <w:pPr>
              <w:keepNext/>
              <w:jc w:val="center"/>
              <w:rPr>
                <w:b/>
                <w:color w:val="000000" w:themeColor="text1"/>
              </w:rPr>
            </w:pPr>
            <w:r w:rsidRPr="0058432E">
              <w:rPr>
                <w:b/>
                <w:color w:val="000000" w:themeColor="text1"/>
              </w:rPr>
              <w:t>N = 70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50DF3AA" w14:textId="77777777" w:rsidR="0098487F" w:rsidRPr="0058432E" w:rsidRDefault="0098487F" w:rsidP="001E35BC">
            <w:pPr>
              <w:keepNext/>
              <w:jc w:val="center"/>
              <w:rPr>
                <w:b/>
                <w:color w:val="000000" w:themeColor="text1"/>
              </w:rPr>
            </w:pPr>
            <w:r w:rsidRPr="0058432E">
              <w:rPr>
                <w:b/>
                <w:color w:val="000000" w:themeColor="text1"/>
              </w:rPr>
              <w:t>Adalimumab 40 mg</w:t>
            </w:r>
          </w:p>
          <w:p w14:paraId="234995BB" w14:textId="77777777" w:rsidR="0098487F" w:rsidRPr="0058432E" w:rsidRDefault="0098487F" w:rsidP="001E35BC">
            <w:pPr>
              <w:keepNext/>
              <w:jc w:val="center"/>
              <w:rPr>
                <w:b/>
                <w:color w:val="000000" w:themeColor="text1"/>
              </w:rPr>
            </w:pPr>
            <w:proofErr w:type="gramStart"/>
            <w:r w:rsidRPr="0058432E">
              <w:rPr>
                <w:b/>
                <w:color w:val="000000" w:themeColor="text1"/>
              </w:rPr>
              <w:t>par</w:t>
            </w:r>
            <w:proofErr w:type="gramEnd"/>
            <w:r w:rsidRPr="0058432E">
              <w:rPr>
                <w:b/>
                <w:color w:val="000000" w:themeColor="text1"/>
              </w:rPr>
              <w:t xml:space="preserve"> semaine</w:t>
            </w:r>
          </w:p>
          <w:p w14:paraId="5901D9A9" w14:textId="77777777" w:rsidR="0098487F" w:rsidRPr="0058432E" w:rsidRDefault="0098487F" w:rsidP="001E35BC">
            <w:pPr>
              <w:keepNext/>
              <w:jc w:val="center"/>
              <w:rPr>
                <w:b/>
                <w:color w:val="000000" w:themeColor="text1"/>
              </w:rPr>
            </w:pPr>
            <w:r w:rsidRPr="0058432E">
              <w:rPr>
                <w:b/>
                <w:color w:val="000000" w:themeColor="text1"/>
              </w:rPr>
              <w:t>N = 70</w:t>
            </w:r>
          </w:p>
        </w:tc>
      </w:tr>
      <w:tr w:rsidR="0098487F" w:rsidRPr="0058432E" w14:paraId="34342AF5" w14:textId="77777777" w:rsidTr="001E35BC">
        <w:tc>
          <w:tcPr>
            <w:tcW w:w="2325" w:type="dxa"/>
            <w:tcBorders>
              <w:top w:val="single" w:sz="4" w:space="0" w:color="auto"/>
              <w:left w:val="single" w:sz="4" w:space="0" w:color="auto"/>
              <w:bottom w:val="single" w:sz="4" w:space="0" w:color="auto"/>
              <w:right w:val="single" w:sz="4" w:space="0" w:color="auto"/>
            </w:tcBorders>
            <w:hideMark/>
          </w:tcPr>
          <w:p w14:paraId="491F6B69" w14:textId="77777777" w:rsidR="0098487F" w:rsidRPr="0058432E" w:rsidRDefault="0098487F" w:rsidP="001E35BC">
            <w:pPr>
              <w:keepNext/>
              <w:rPr>
                <w:color w:val="000000" w:themeColor="text1"/>
              </w:rPr>
            </w:pPr>
            <w:r w:rsidRPr="0058432E">
              <w:rPr>
                <w:color w:val="000000" w:themeColor="text1"/>
              </w:rPr>
              <w:t>Semaine 24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568659F" w14:textId="77777777" w:rsidR="0098487F" w:rsidRPr="0058432E" w:rsidRDefault="0098487F" w:rsidP="001E35BC">
            <w:pPr>
              <w:keepNext/>
              <w:jc w:val="center"/>
              <w:rPr>
                <w:color w:val="000000" w:themeColor="text1"/>
              </w:rPr>
            </w:pPr>
            <w:r w:rsidRPr="0058432E">
              <w:rPr>
                <w:color w:val="000000" w:themeColor="text1"/>
              </w:rPr>
              <w:t>24 (32,9 %)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10F73BC" w14:textId="77777777" w:rsidR="0098487F" w:rsidRPr="0058432E" w:rsidRDefault="0098487F" w:rsidP="001E35BC">
            <w:pPr>
              <w:keepNext/>
              <w:jc w:val="center"/>
              <w:rPr>
                <w:color w:val="000000" w:themeColor="text1"/>
              </w:rPr>
            </w:pPr>
            <w:r w:rsidRPr="0058432E">
              <w:rPr>
                <w:color w:val="000000" w:themeColor="text1"/>
              </w:rPr>
              <w:t>36 (51,4 %)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8D7A725" w14:textId="77777777" w:rsidR="0098487F" w:rsidRPr="0058432E" w:rsidRDefault="0098487F" w:rsidP="001E35BC">
            <w:pPr>
              <w:keepNext/>
              <w:jc w:val="center"/>
              <w:rPr>
                <w:color w:val="000000" w:themeColor="text1"/>
              </w:rPr>
            </w:pPr>
            <w:r w:rsidRPr="0058432E">
              <w:rPr>
                <w:color w:val="000000" w:themeColor="text1"/>
              </w:rPr>
              <w:t>40 (57,1 %)</w:t>
            </w:r>
          </w:p>
        </w:tc>
      </w:tr>
      <w:tr w:rsidR="0098487F" w:rsidRPr="0058432E" w14:paraId="74A8F25A" w14:textId="77777777" w:rsidTr="00141962">
        <w:tc>
          <w:tcPr>
            <w:tcW w:w="2325" w:type="dxa"/>
            <w:tcBorders>
              <w:top w:val="single" w:sz="4" w:space="0" w:color="auto"/>
              <w:left w:val="single" w:sz="4" w:space="0" w:color="auto"/>
              <w:bottom w:val="single" w:sz="4" w:space="0" w:color="auto"/>
              <w:right w:val="single" w:sz="4" w:space="0" w:color="auto"/>
            </w:tcBorders>
            <w:hideMark/>
          </w:tcPr>
          <w:p w14:paraId="5060BDCA" w14:textId="77777777" w:rsidR="0098487F" w:rsidRPr="0058432E" w:rsidRDefault="0098487F" w:rsidP="00982118">
            <w:pPr>
              <w:rPr>
                <w:color w:val="000000" w:themeColor="text1"/>
              </w:rPr>
            </w:pPr>
            <w:r w:rsidRPr="0058432E">
              <w:rPr>
                <w:color w:val="000000" w:themeColor="text1"/>
              </w:rPr>
              <w:t>Semaine 36</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A5DBE7C" w14:textId="77777777" w:rsidR="0098487F" w:rsidRPr="0058432E" w:rsidRDefault="0098487F" w:rsidP="00982118">
            <w:pPr>
              <w:jc w:val="center"/>
              <w:rPr>
                <w:color w:val="000000" w:themeColor="text1"/>
              </w:rPr>
            </w:pPr>
            <w:r w:rsidRPr="0058432E">
              <w:rPr>
                <w:color w:val="000000" w:themeColor="text1"/>
              </w:rPr>
              <w:t>22 (30,1 %)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9615530" w14:textId="77777777" w:rsidR="0098487F" w:rsidRPr="0058432E" w:rsidRDefault="0098487F" w:rsidP="00982118">
            <w:pPr>
              <w:jc w:val="center"/>
              <w:rPr>
                <w:color w:val="000000" w:themeColor="text1"/>
              </w:rPr>
            </w:pPr>
            <w:r w:rsidRPr="0058432E">
              <w:rPr>
                <w:color w:val="000000" w:themeColor="text1"/>
              </w:rPr>
              <w:t>28 (40,0 %)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60E10D7" w14:textId="77777777" w:rsidR="0098487F" w:rsidRPr="0058432E" w:rsidRDefault="0098487F" w:rsidP="00982118">
            <w:pPr>
              <w:jc w:val="center"/>
              <w:rPr>
                <w:color w:val="000000" w:themeColor="text1"/>
              </w:rPr>
            </w:pPr>
            <w:r w:rsidRPr="0058432E">
              <w:rPr>
                <w:color w:val="000000" w:themeColor="text1"/>
              </w:rPr>
              <w:t>39 (55,7 %)</w:t>
            </w:r>
          </w:p>
        </w:tc>
      </w:tr>
      <w:tr w:rsidR="00141962" w:rsidRPr="0058432E" w14:paraId="72C0319A" w14:textId="77777777" w:rsidTr="00141962">
        <w:tc>
          <w:tcPr>
            <w:tcW w:w="9303" w:type="dxa"/>
            <w:gridSpan w:val="4"/>
            <w:tcBorders>
              <w:top w:val="single" w:sz="4" w:space="0" w:color="auto"/>
              <w:left w:val="nil"/>
              <w:bottom w:val="nil"/>
              <w:right w:val="nil"/>
            </w:tcBorders>
          </w:tcPr>
          <w:p w14:paraId="10665644" w14:textId="77777777" w:rsidR="00141962" w:rsidRPr="0058432E" w:rsidRDefault="00141962" w:rsidP="00141962">
            <w:pPr>
              <w:tabs>
                <w:tab w:val="left" w:pos="288"/>
              </w:tabs>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Patients ayant présenté au moins une réponse partielle au traitement par adalimumab 40 mg par semaine après 12 semaines.</w:t>
            </w:r>
          </w:p>
          <w:p w14:paraId="41083403" w14:textId="77777777" w:rsidR="00141962" w:rsidRPr="0058432E" w:rsidRDefault="00141962" w:rsidP="00141962">
            <w:pPr>
              <w:tabs>
                <w:tab w:val="left" w:pos="288"/>
              </w:tabs>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ab/>
              <w:t>Les patients répondant aux critères spécifiés dans le protocole en termes de perte de réponse ou d’absence d’amélioration devaient sortir de l’étude et étaient comptabilisés comme non-répondeurs.</w:t>
            </w:r>
          </w:p>
        </w:tc>
      </w:tr>
    </w:tbl>
    <w:p w14:paraId="523BCAF8" w14:textId="77777777" w:rsidR="00C46587" w:rsidRPr="0058432E" w:rsidRDefault="00C46587" w:rsidP="00982118">
      <w:pPr>
        <w:rPr>
          <w:color w:val="000000" w:themeColor="text1"/>
        </w:rPr>
      </w:pPr>
    </w:p>
    <w:p w14:paraId="5AE666D5" w14:textId="77777777" w:rsidR="00C46587" w:rsidRPr="0058432E" w:rsidRDefault="00C46587" w:rsidP="00982118">
      <w:pPr>
        <w:rPr>
          <w:color w:val="000000" w:themeColor="text1"/>
        </w:rPr>
      </w:pPr>
      <w:r w:rsidRPr="0058432E">
        <w:rPr>
          <w:color w:val="000000" w:themeColor="text1"/>
        </w:rPr>
        <w:t xml:space="preserve">Parmi les patients présentant au moins une réponse partielle à la semaine 12 et traités en continu par adalimumab toutes les semaines, le taux de répondeurs HiSCR à la semaine 48 était de 68,3 % et de 65,1 % à la semaine 96. Un traitement à plus long terme par adalimumab 40 mg une fois par semaine pendant 96 semaines n’a identifié aucun nouveau signal de </w:t>
      </w:r>
      <w:r w:rsidR="0022293E" w:rsidRPr="0058432E">
        <w:rPr>
          <w:color w:val="000000" w:themeColor="text1"/>
        </w:rPr>
        <w:t>tolérance</w:t>
      </w:r>
      <w:r w:rsidRPr="0058432E">
        <w:rPr>
          <w:color w:val="000000" w:themeColor="text1"/>
        </w:rPr>
        <w:t xml:space="preserve">. </w:t>
      </w:r>
    </w:p>
    <w:p w14:paraId="5403D1F1" w14:textId="77777777" w:rsidR="00C46587" w:rsidRPr="0058432E" w:rsidRDefault="00C46587" w:rsidP="00982118">
      <w:pPr>
        <w:rPr>
          <w:color w:val="000000" w:themeColor="text1"/>
        </w:rPr>
      </w:pPr>
    </w:p>
    <w:p w14:paraId="3199FF37" w14:textId="77777777" w:rsidR="00C46587" w:rsidRPr="0058432E" w:rsidRDefault="00C46587" w:rsidP="00982118">
      <w:pPr>
        <w:rPr>
          <w:color w:val="000000" w:themeColor="text1"/>
        </w:rPr>
      </w:pPr>
      <w:r w:rsidRPr="0058432E">
        <w:rPr>
          <w:color w:val="000000" w:themeColor="text1"/>
        </w:rPr>
        <w:t>Parmi les patients dont le traitement par adalimumab a été interrompu à la semaine 12 dans les études HS</w:t>
      </w:r>
      <w:r w:rsidRPr="0058432E">
        <w:rPr>
          <w:color w:val="000000" w:themeColor="text1"/>
        </w:rPr>
        <w:noBreakHyphen/>
        <w:t>I et HS</w:t>
      </w:r>
      <w:r w:rsidRPr="0058432E">
        <w:rPr>
          <w:color w:val="000000" w:themeColor="text1"/>
        </w:rPr>
        <w:noBreakHyphen/>
        <w:t xml:space="preserve">II, le taux de répondeurs HiSCR 12 semaines après la ré-introduction de l’adalimumab 40 mg toutes les semaines était revenu à des valeurs similaires à celles observées avant l’interruption du traitement (56,0 %). </w:t>
      </w:r>
    </w:p>
    <w:p w14:paraId="7BE0B3B3" w14:textId="77777777" w:rsidR="00C46587" w:rsidRPr="0058432E" w:rsidRDefault="00C46587" w:rsidP="00982118">
      <w:pPr>
        <w:rPr>
          <w:color w:val="000000" w:themeColor="text1"/>
        </w:rPr>
      </w:pPr>
    </w:p>
    <w:p w14:paraId="765AC83E" w14:textId="77777777" w:rsidR="00C46587" w:rsidRPr="0058432E" w:rsidRDefault="00C46587" w:rsidP="00DC3A99">
      <w:pPr>
        <w:keepNext/>
        <w:rPr>
          <w:i/>
          <w:color w:val="000000" w:themeColor="text1"/>
        </w:rPr>
      </w:pPr>
      <w:r w:rsidRPr="0058432E">
        <w:rPr>
          <w:i/>
          <w:color w:val="000000" w:themeColor="text1"/>
        </w:rPr>
        <w:t xml:space="preserve">Maladie de Crohn </w:t>
      </w:r>
    </w:p>
    <w:p w14:paraId="13C0FA39" w14:textId="77777777" w:rsidR="00C46587" w:rsidRPr="0058432E" w:rsidRDefault="00C46587" w:rsidP="00DC3A99">
      <w:pPr>
        <w:keepNext/>
        <w:rPr>
          <w:color w:val="000000" w:themeColor="text1"/>
        </w:rPr>
      </w:pPr>
    </w:p>
    <w:p w14:paraId="6D4C0E62" w14:textId="77777777" w:rsidR="00C46587" w:rsidRPr="0058432E" w:rsidRDefault="00C46587" w:rsidP="00982118">
      <w:pPr>
        <w:rPr>
          <w:color w:val="000000" w:themeColor="text1"/>
        </w:rPr>
      </w:pPr>
      <w:r w:rsidRPr="0058432E">
        <w:rPr>
          <w:color w:val="000000" w:themeColor="text1"/>
        </w:rPr>
        <w:t xml:space="preserve">La </w:t>
      </w:r>
      <w:r w:rsidR="00354DBF" w:rsidRPr="0058432E">
        <w:rPr>
          <w:color w:val="000000" w:themeColor="text1"/>
        </w:rPr>
        <w:t>tolérance</w:t>
      </w:r>
      <w:r w:rsidR="00482D88" w:rsidRPr="0058432E">
        <w:rPr>
          <w:color w:val="000000" w:themeColor="text1"/>
        </w:rPr>
        <w:t xml:space="preserve"> </w:t>
      </w:r>
      <w:r w:rsidRPr="0058432E">
        <w:rPr>
          <w:color w:val="000000" w:themeColor="text1"/>
        </w:rPr>
        <w:t>et l’efficacité de l’adalimumab ont été évaluées chez plus de 1 500 patients ayant une maladie de Crohn active modérée à sévère (indice d’activité de la maladie de Crohn [</w:t>
      </w:r>
      <w:r w:rsidRPr="0058432E">
        <w:rPr>
          <w:i/>
          <w:iCs/>
          <w:color w:val="000000" w:themeColor="text1"/>
        </w:rPr>
        <w:t>Crohn’s Disease Activity Index</w:t>
      </w:r>
      <w:r w:rsidRPr="0058432E">
        <w:rPr>
          <w:color w:val="000000" w:themeColor="text1"/>
        </w:rPr>
        <w:t xml:space="preserve"> (CDAI)] ≥ 220 et ≤ 450) dans des études randomisées, en double-aveugle, contrôlées </w:t>
      </w:r>
      <w:r w:rsidR="00CA53EA" w:rsidRPr="0058432E">
        <w:rPr>
          <w:color w:val="000000" w:themeColor="text1"/>
        </w:rPr>
        <w:t xml:space="preserve">contre </w:t>
      </w:r>
      <w:r w:rsidRPr="0058432E">
        <w:rPr>
          <w:color w:val="000000" w:themeColor="text1"/>
        </w:rPr>
        <w:t xml:space="preserve">placebo. Des doses stables concomitantes d’aminosalicylés, de corticoïdes et/ou d’immunomodulateurs étaient autorisées et 80 % des patients ont continué à recevoir au moins un de ces médicaments. </w:t>
      </w:r>
    </w:p>
    <w:p w14:paraId="19D0AFDA" w14:textId="77777777" w:rsidR="00C46587" w:rsidRPr="0058432E" w:rsidRDefault="00C46587" w:rsidP="00982118">
      <w:pPr>
        <w:rPr>
          <w:color w:val="000000" w:themeColor="text1"/>
        </w:rPr>
      </w:pPr>
    </w:p>
    <w:p w14:paraId="75F7078C" w14:textId="77777777" w:rsidR="00C46587" w:rsidRPr="0058432E" w:rsidRDefault="00C46587" w:rsidP="00982118">
      <w:pPr>
        <w:rPr>
          <w:color w:val="000000" w:themeColor="text1"/>
        </w:rPr>
      </w:pPr>
      <w:r w:rsidRPr="0058432E">
        <w:rPr>
          <w:color w:val="000000" w:themeColor="text1"/>
        </w:rPr>
        <w:t>L’induction d’une rémission clinique (définie par un indice CDAI &lt; 150) a été évaluée dans deux études, l’étude I sur la MC (CLASSIC I) et l’étude II sur la MC (GAIN). Dans l’étude I sur la MC, 299</w:t>
      </w:r>
      <w:r w:rsidR="002A7F87" w:rsidRPr="0058432E">
        <w:rPr>
          <w:color w:val="000000" w:themeColor="text1"/>
        </w:rPr>
        <w:t> </w:t>
      </w:r>
      <w:r w:rsidRPr="0058432E">
        <w:rPr>
          <w:color w:val="000000" w:themeColor="text1"/>
        </w:rPr>
        <w:t xml:space="preserve">patients non précédemment traités par un </w:t>
      </w:r>
      <w:r w:rsidR="00533435" w:rsidRPr="0058432E">
        <w:rPr>
          <w:color w:val="000000" w:themeColor="text1"/>
        </w:rPr>
        <w:t>antagoniste du TNF</w:t>
      </w:r>
      <w:r w:rsidR="00CA53EA" w:rsidRPr="0058432E">
        <w:rPr>
          <w:color w:val="000000" w:themeColor="text1"/>
        </w:rPr>
        <w:t xml:space="preserve"> </w:t>
      </w:r>
      <w:r w:rsidRPr="0058432E">
        <w:rPr>
          <w:color w:val="000000" w:themeColor="text1"/>
        </w:rPr>
        <w:t>ont été randomisés vers l’un des quatre groupes de traitement de l’étude ; placebo aux semaines 0 et 2, 160 mg d’adalimumab à la semaine 0 et 80 mg à la semaine 2, 80 mg à la semaine 0 et 40 mg à la semaine 2, et 40 mg à la semaine 0 et 20 mg à la semaine 2. Dans l’étude II sur la MC, 325 patients ne répondant plus ou étant intolérants à l’infliximab ont été randomisés pour recevoir soit 160 mg d’adalimumab à la semaine 0 et 80 mg à la semaine 2 soit un placebo aux semaines 0 et 2. Les non</w:t>
      </w:r>
      <w:r w:rsidRPr="0058432E">
        <w:rPr>
          <w:color w:val="000000" w:themeColor="text1"/>
        </w:rPr>
        <w:noBreakHyphen/>
        <w:t xml:space="preserve">répondeurs primaires ont été exclus des études et ces patients n’ont par conséquent pas fait l’objet d’autres évaluations. </w:t>
      </w:r>
    </w:p>
    <w:p w14:paraId="20E97F65" w14:textId="77777777" w:rsidR="00C46587" w:rsidRPr="0058432E" w:rsidRDefault="00C46587" w:rsidP="00982118">
      <w:pPr>
        <w:rPr>
          <w:color w:val="000000" w:themeColor="text1"/>
        </w:rPr>
      </w:pPr>
    </w:p>
    <w:p w14:paraId="38C91125" w14:textId="77777777" w:rsidR="00C46587" w:rsidRPr="0058432E" w:rsidRDefault="00C46587" w:rsidP="00982118">
      <w:pPr>
        <w:rPr>
          <w:color w:val="000000" w:themeColor="text1"/>
        </w:rPr>
      </w:pPr>
      <w:r w:rsidRPr="0058432E">
        <w:rPr>
          <w:color w:val="000000" w:themeColor="text1"/>
        </w:rPr>
        <w:t>Le maintien de la rémission clinique a été évalué dans l’étude III sur la MC (CHARM). Dans l’étude III sur la MC, 854 patients ont reçu en ouvert 80 mg à la semaine 0 et 40 mg à la semaine 2. À la semaine 4, les patients ont été randomisés pour recevoir 40 mg toutes les deux semaines</w:t>
      </w:r>
      <w:r w:rsidR="00CA53EA" w:rsidRPr="0058432E">
        <w:rPr>
          <w:color w:val="000000" w:themeColor="text1"/>
        </w:rPr>
        <w:t>,</w:t>
      </w:r>
      <w:r w:rsidRPr="0058432E">
        <w:rPr>
          <w:color w:val="000000" w:themeColor="text1"/>
        </w:rPr>
        <w:t xml:space="preserve"> 40 mg </w:t>
      </w:r>
      <w:r w:rsidR="00CA53EA" w:rsidRPr="0058432E">
        <w:rPr>
          <w:color w:val="000000" w:themeColor="text1"/>
        </w:rPr>
        <w:t>chaque</w:t>
      </w:r>
      <w:r w:rsidRPr="0058432E">
        <w:rPr>
          <w:color w:val="000000" w:themeColor="text1"/>
        </w:rPr>
        <w:t xml:space="preserve"> semaine</w:t>
      </w:r>
      <w:r w:rsidR="00CA53EA" w:rsidRPr="0058432E">
        <w:rPr>
          <w:color w:val="000000" w:themeColor="text1"/>
        </w:rPr>
        <w:t xml:space="preserve"> ou</w:t>
      </w:r>
      <w:r w:rsidRPr="0058432E">
        <w:rPr>
          <w:color w:val="000000" w:themeColor="text1"/>
        </w:rPr>
        <w:t xml:space="preserve"> un placebo pour une durée totale de 56 semaines. Les patients présentant une réponse clinique (diminution de l’indice CDAI ≥ 70) à la semaine 4 ont été stratifiés et analysés séparément de ceux n’ayant pas présenté de réponse clinique à la semaine 4. La diminution progressive des corticoïdes était autorisée après la semaine 8. </w:t>
      </w:r>
    </w:p>
    <w:p w14:paraId="14A38EE9" w14:textId="77777777" w:rsidR="00C46587" w:rsidRPr="0058432E" w:rsidRDefault="00C46587" w:rsidP="00982118">
      <w:pPr>
        <w:rPr>
          <w:color w:val="000000" w:themeColor="text1"/>
        </w:rPr>
      </w:pPr>
    </w:p>
    <w:p w14:paraId="61AE4BA5" w14:textId="77777777" w:rsidR="00C46587" w:rsidRPr="0058432E" w:rsidRDefault="00C46587" w:rsidP="00982118">
      <w:pPr>
        <w:rPr>
          <w:color w:val="000000" w:themeColor="text1"/>
        </w:rPr>
      </w:pPr>
      <w:r w:rsidRPr="0058432E">
        <w:rPr>
          <w:color w:val="000000" w:themeColor="text1"/>
        </w:rPr>
        <w:t>Les taux d’induction d’une rémission et de réponse enregistrés dans les études I et II sur la MC sont présentés dans le tableau </w:t>
      </w:r>
      <w:r w:rsidR="00AA1D55" w:rsidRPr="0058432E">
        <w:rPr>
          <w:color w:val="000000" w:themeColor="text1"/>
        </w:rPr>
        <w:t>21</w:t>
      </w:r>
      <w:r w:rsidRPr="0058432E">
        <w:rPr>
          <w:color w:val="000000" w:themeColor="text1"/>
        </w:rPr>
        <w:t xml:space="preserve">. </w:t>
      </w:r>
    </w:p>
    <w:p w14:paraId="7698F252" w14:textId="77777777" w:rsidR="00C46587" w:rsidRPr="0058432E" w:rsidRDefault="00C46587" w:rsidP="00982118">
      <w:pPr>
        <w:rPr>
          <w:color w:val="000000" w:themeColor="text1"/>
        </w:rPr>
      </w:pPr>
    </w:p>
    <w:p w14:paraId="64953DE1" w14:textId="77777777" w:rsidR="00C46587" w:rsidRPr="0058432E" w:rsidRDefault="00C46587" w:rsidP="000D3575">
      <w:pPr>
        <w:keepNext/>
        <w:keepLines/>
        <w:rPr>
          <w:b/>
          <w:color w:val="000000" w:themeColor="text1"/>
        </w:rPr>
      </w:pPr>
      <w:r w:rsidRPr="0058432E">
        <w:rPr>
          <w:b/>
          <w:color w:val="000000" w:themeColor="text1"/>
        </w:rPr>
        <w:lastRenderedPageBreak/>
        <w:t>Tableau </w:t>
      </w:r>
      <w:r w:rsidR="00AA1D55" w:rsidRPr="0058432E">
        <w:rPr>
          <w:b/>
          <w:color w:val="000000" w:themeColor="text1"/>
        </w:rPr>
        <w:t>21</w:t>
      </w:r>
      <w:r w:rsidR="002A7CDF" w:rsidRPr="0058432E">
        <w:rPr>
          <w:b/>
          <w:color w:val="000000" w:themeColor="text1"/>
        </w:rPr>
        <w:t>.</w:t>
      </w:r>
    </w:p>
    <w:p w14:paraId="4C73D7F3" w14:textId="77777777" w:rsidR="003B563C" w:rsidRPr="0058432E" w:rsidRDefault="003B563C" w:rsidP="000D3575">
      <w:pPr>
        <w:keepNext/>
        <w:keepLines/>
        <w:rPr>
          <w:b/>
          <w:color w:val="000000" w:themeColor="text1"/>
        </w:rPr>
      </w:pPr>
      <w:r w:rsidRPr="0058432E">
        <w:rPr>
          <w:b/>
          <w:color w:val="000000" w:themeColor="text1"/>
        </w:rPr>
        <w:t>Induction d’une rémission clinique et d’une réponse clinique (pourcentage de patients)</w:t>
      </w:r>
    </w:p>
    <w:p w14:paraId="13305EBF" w14:textId="77777777" w:rsidR="003B563C" w:rsidRPr="0058432E" w:rsidRDefault="003B563C" w:rsidP="000D3575">
      <w:pPr>
        <w:keepNext/>
        <w:keepLines/>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014"/>
        <w:gridCol w:w="1685"/>
        <w:gridCol w:w="1793"/>
        <w:gridCol w:w="1055"/>
        <w:gridCol w:w="1795"/>
      </w:tblGrid>
      <w:tr w:rsidR="003B563C" w:rsidRPr="0058432E" w14:paraId="62B2D358" w14:textId="77777777" w:rsidTr="005B2E82">
        <w:trPr>
          <w:cantSplit/>
          <w:tblHeader/>
        </w:trPr>
        <w:tc>
          <w:tcPr>
            <w:tcW w:w="1770" w:type="dxa"/>
            <w:tcBorders>
              <w:top w:val="single" w:sz="4" w:space="0" w:color="auto"/>
              <w:left w:val="single" w:sz="4" w:space="0" w:color="auto"/>
              <w:bottom w:val="single" w:sz="4" w:space="0" w:color="auto"/>
              <w:right w:val="single" w:sz="4" w:space="0" w:color="auto"/>
            </w:tcBorders>
          </w:tcPr>
          <w:p w14:paraId="41AF7438" w14:textId="77777777" w:rsidR="003B563C" w:rsidRPr="0058432E" w:rsidRDefault="003B563C" w:rsidP="000D3575">
            <w:pPr>
              <w:keepNext/>
              <w:keepLines/>
              <w:rPr>
                <w:color w:val="000000" w:themeColor="text1"/>
              </w:rPr>
            </w:pPr>
          </w:p>
        </w:tc>
        <w:tc>
          <w:tcPr>
            <w:tcW w:w="4609" w:type="dxa"/>
            <w:gridSpan w:val="3"/>
            <w:tcBorders>
              <w:top w:val="single" w:sz="4" w:space="0" w:color="auto"/>
              <w:left w:val="single" w:sz="4" w:space="0" w:color="auto"/>
              <w:bottom w:val="single" w:sz="4" w:space="0" w:color="auto"/>
              <w:right w:val="single" w:sz="4" w:space="0" w:color="auto"/>
            </w:tcBorders>
            <w:hideMark/>
          </w:tcPr>
          <w:p w14:paraId="030A4FFB" w14:textId="77777777" w:rsidR="003B563C" w:rsidRPr="0058432E" w:rsidRDefault="003B563C" w:rsidP="000D3575">
            <w:pPr>
              <w:keepNext/>
              <w:keepLines/>
              <w:rPr>
                <w:color w:val="000000" w:themeColor="text1"/>
              </w:rPr>
            </w:pPr>
            <w:r w:rsidRPr="0058432E">
              <w:rPr>
                <w:b/>
                <w:color w:val="000000" w:themeColor="text1"/>
              </w:rPr>
              <w:t>Étude I sur la MC : patients naïfs d’infliximab</w:t>
            </w:r>
          </w:p>
        </w:tc>
        <w:tc>
          <w:tcPr>
            <w:tcW w:w="2924" w:type="dxa"/>
            <w:gridSpan w:val="2"/>
            <w:tcBorders>
              <w:top w:val="single" w:sz="4" w:space="0" w:color="auto"/>
              <w:left w:val="single" w:sz="4" w:space="0" w:color="auto"/>
              <w:bottom w:val="single" w:sz="4" w:space="0" w:color="auto"/>
              <w:right w:val="single" w:sz="4" w:space="0" w:color="auto"/>
            </w:tcBorders>
            <w:hideMark/>
          </w:tcPr>
          <w:p w14:paraId="3DAAF62C" w14:textId="77777777" w:rsidR="003B563C" w:rsidRPr="0058432E" w:rsidRDefault="003B563C" w:rsidP="000D3575">
            <w:pPr>
              <w:keepNext/>
              <w:keepLines/>
              <w:rPr>
                <w:color w:val="000000" w:themeColor="text1"/>
              </w:rPr>
            </w:pPr>
            <w:r w:rsidRPr="0058432E">
              <w:rPr>
                <w:b/>
                <w:color w:val="000000" w:themeColor="text1"/>
              </w:rPr>
              <w:t>Étude II sur la MC : patients précédemment traités par l’infliximab</w:t>
            </w:r>
          </w:p>
        </w:tc>
      </w:tr>
      <w:tr w:rsidR="003B563C" w:rsidRPr="0058432E" w14:paraId="25CA3C6A" w14:textId="77777777" w:rsidTr="005B2E82">
        <w:trPr>
          <w:cantSplit/>
          <w:tblHeader/>
        </w:trPr>
        <w:tc>
          <w:tcPr>
            <w:tcW w:w="1770" w:type="dxa"/>
            <w:tcBorders>
              <w:top w:val="single" w:sz="4" w:space="0" w:color="auto"/>
              <w:left w:val="single" w:sz="4" w:space="0" w:color="auto"/>
              <w:bottom w:val="single" w:sz="4" w:space="0" w:color="auto"/>
              <w:right w:val="single" w:sz="4" w:space="0" w:color="auto"/>
            </w:tcBorders>
          </w:tcPr>
          <w:p w14:paraId="0162D441" w14:textId="77777777" w:rsidR="003B563C" w:rsidRPr="0058432E" w:rsidRDefault="003B563C" w:rsidP="00764B9A">
            <w:pPr>
              <w:rPr>
                <w:color w:val="000000" w:themeColor="text1"/>
              </w:rPr>
            </w:pPr>
          </w:p>
        </w:tc>
        <w:tc>
          <w:tcPr>
            <w:tcW w:w="1038" w:type="dxa"/>
            <w:tcBorders>
              <w:top w:val="single" w:sz="4" w:space="0" w:color="auto"/>
              <w:left w:val="single" w:sz="4" w:space="0" w:color="auto"/>
              <w:bottom w:val="single" w:sz="4" w:space="0" w:color="auto"/>
              <w:right w:val="single" w:sz="4" w:space="0" w:color="auto"/>
            </w:tcBorders>
            <w:hideMark/>
          </w:tcPr>
          <w:p w14:paraId="477569B3" w14:textId="77777777" w:rsidR="003B563C" w:rsidRPr="0058432E" w:rsidRDefault="003B563C" w:rsidP="00764B9A">
            <w:pPr>
              <w:jc w:val="center"/>
              <w:rPr>
                <w:b/>
                <w:color w:val="000000" w:themeColor="text1"/>
              </w:rPr>
            </w:pPr>
            <w:r w:rsidRPr="0058432E">
              <w:rPr>
                <w:b/>
                <w:color w:val="000000" w:themeColor="text1"/>
              </w:rPr>
              <w:t>Placebo</w:t>
            </w:r>
          </w:p>
          <w:p w14:paraId="7E64D8AF" w14:textId="77777777" w:rsidR="003B563C" w:rsidRPr="0058432E" w:rsidRDefault="003B563C" w:rsidP="00764B9A">
            <w:pPr>
              <w:jc w:val="center"/>
              <w:rPr>
                <w:b/>
                <w:color w:val="000000" w:themeColor="text1"/>
              </w:rPr>
            </w:pPr>
            <w:r w:rsidRPr="0058432E">
              <w:rPr>
                <w:b/>
                <w:color w:val="000000" w:themeColor="text1"/>
              </w:rPr>
              <w:t>N = 74</w:t>
            </w:r>
          </w:p>
        </w:tc>
        <w:tc>
          <w:tcPr>
            <w:tcW w:w="1730" w:type="dxa"/>
            <w:tcBorders>
              <w:top w:val="single" w:sz="4" w:space="0" w:color="auto"/>
              <w:left w:val="single" w:sz="4" w:space="0" w:color="auto"/>
              <w:bottom w:val="single" w:sz="4" w:space="0" w:color="auto"/>
              <w:right w:val="single" w:sz="4" w:space="0" w:color="auto"/>
            </w:tcBorders>
            <w:hideMark/>
          </w:tcPr>
          <w:p w14:paraId="7DD9A303" w14:textId="77777777" w:rsidR="003B563C" w:rsidRPr="0058432E" w:rsidRDefault="003B563C" w:rsidP="00764B9A">
            <w:pPr>
              <w:jc w:val="center"/>
              <w:rPr>
                <w:b/>
                <w:color w:val="000000" w:themeColor="text1"/>
              </w:rPr>
            </w:pPr>
            <w:r w:rsidRPr="0058432E">
              <w:rPr>
                <w:b/>
                <w:color w:val="000000" w:themeColor="text1"/>
              </w:rPr>
              <w:t>Adalimumab</w:t>
            </w:r>
          </w:p>
          <w:p w14:paraId="214FAA98" w14:textId="77777777" w:rsidR="003B563C" w:rsidRPr="0058432E" w:rsidRDefault="003B563C" w:rsidP="00764B9A">
            <w:pPr>
              <w:jc w:val="center"/>
              <w:rPr>
                <w:b/>
                <w:color w:val="000000" w:themeColor="text1"/>
              </w:rPr>
            </w:pPr>
            <w:r w:rsidRPr="0058432E">
              <w:rPr>
                <w:b/>
                <w:color w:val="000000" w:themeColor="text1"/>
              </w:rPr>
              <w:t>80/40 mg</w:t>
            </w:r>
          </w:p>
          <w:p w14:paraId="0850507B" w14:textId="77777777" w:rsidR="003B563C" w:rsidRPr="0058432E" w:rsidRDefault="003B563C" w:rsidP="00764B9A">
            <w:pPr>
              <w:jc w:val="center"/>
              <w:rPr>
                <w:b/>
                <w:color w:val="000000" w:themeColor="text1"/>
              </w:rPr>
            </w:pPr>
            <w:r w:rsidRPr="0058432E">
              <w:rPr>
                <w:b/>
                <w:color w:val="000000" w:themeColor="text1"/>
              </w:rPr>
              <w:t>N = 75</w:t>
            </w:r>
          </w:p>
        </w:tc>
        <w:tc>
          <w:tcPr>
            <w:tcW w:w="1841" w:type="dxa"/>
            <w:tcBorders>
              <w:top w:val="single" w:sz="4" w:space="0" w:color="auto"/>
              <w:left w:val="single" w:sz="4" w:space="0" w:color="auto"/>
              <w:bottom w:val="single" w:sz="4" w:space="0" w:color="auto"/>
              <w:right w:val="single" w:sz="4" w:space="0" w:color="auto"/>
            </w:tcBorders>
            <w:hideMark/>
          </w:tcPr>
          <w:p w14:paraId="0C2C2833" w14:textId="77777777" w:rsidR="003B563C" w:rsidRPr="0058432E" w:rsidRDefault="003B563C" w:rsidP="00764B9A">
            <w:pPr>
              <w:jc w:val="center"/>
              <w:rPr>
                <w:b/>
                <w:color w:val="000000" w:themeColor="text1"/>
              </w:rPr>
            </w:pPr>
            <w:r w:rsidRPr="0058432E">
              <w:rPr>
                <w:b/>
                <w:color w:val="000000" w:themeColor="text1"/>
              </w:rPr>
              <w:t>Adalimumab</w:t>
            </w:r>
          </w:p>
          <w:p w14:paraId="150ED1C5" w14:textId="77777777" w:rsidR="003B563C" w:rsidRPr="0058432E" w:rsidRDefault="003B563C" w:rsidP="00764B9A">
            <w:pPr>
              <w:jc w:val="center"/>
              <w:rPr>
                <w:b/>
                <w:color w:val="000000" w:themeColor="text1"/>
              </w:rPr>
            </w:pPr>
            <w:r w:rsidRPr="0058432E">
              <w:rPr>
                <w:b/>
                <w:color w:val="000000" w:themeColor="text1"/>
              </w:rPr>
              <w:t>160/80 mg</w:t>
            </w:r>
          </w:p>
          <w:p w14:paraId="7492309B" w14:textId="77777777" w:rsidR="003B563C" w:rsidRPr="0058432E" w:rsidRDefault="003B563C" w:rsidP="00764B9A">
            <w:pPr>
              <w:jc w:val="center"/>
              <w:rPr>
                <w:b/>
                <w:color w:val="000000" w:themeColor="text1"/>
              </w:rPr>
            </w:pPr>
            <w:r w:rsidRPr="0058432E">
              <w:rPr>
                <w:b/>
                <w:color w:val="000000" w:themeColor="text1"/>
              </w:rPr>
              <w:t>N = 76</w:t>
            </w:r>
          </w:p>
        </w:tc>
        <w:tc>
          <w:tcPr>
            <w:tcW w:w="1080" w:type="dxa"/>
            <w:tcBorders>
              <w:top w:val="single" w:sz="4" w:space="0" w:color="auto"/>
              <w:left w:val="single" w:sz="4" w:space="0" w:color="auto"/>
              <w:bottom w:val="single" w:sz="4" w:space="0" w:color="auto"/>
              <w:right w:val="single" w:sz="4" w:space="0" w:color="auto"/>
            </w:tcBorders>
            <w:hideMark/>
          </w:tcPr>
          <w:p w14:paraId="275F936F" w14:textId="77777777" w:rsidR="003B563C" w:rsidRPr="0058432E" w:rsidRDefault="003B563C" w:rsidP="00764B9A">
            <w:pPr>
              <w:jc w:val="center"/>
              <w:rPr>
                <w:b/>
                <w:color w:val="000000" w:themeColor="text1"/>
              </w:rPr>
            </w:pPr>
            <w:r w:rsidRPr="0058432E">
              <w:rPr>
                <w:b/>
                <w:color w:val="000000" w:themeColor="text1"/>
              </w:rPr>
              <w:t>Placebo</w:t>
            </w:r>
          </w:p>
          <w:p w14:paraId="18A7DD2C" w14:textId="77777777" w:rsidR="003B563C" w:rsidRPr="0058432E" w:rsidRDefault="003B563C" w:rsidP="00764B9A">
            <w:pPr>
              <w:jc w:val="center"/>
              <w:rPr>
                <w:b/>
                <w:color w:val="000000" w:themeColor="text1"/>
              </w:rPr>
            </w:pPr>
            <w:r w:rsidRPr="0058432E">
              <w:rPr>
                <w:b/>
                <w:color w:val="000000" w:themeColor="text1"/>
              </w:rPr>
              <w:t>N = 166</w:t>
            </w:r>
          </w:p>
        </w:tc>
        <w:tc>
          <w:tcPr>
            <w:tcW w:w="1844" w:type="dxa"/>
            <w:tcBorders>
              <w:top w:val="single" w:sz="4" w:space="0" w:color="auto"/>
              <w:left w:val="single" w:sz="4" w:space="0" w:color="auto"/>
              <w:bottom w:val="single" w:sz="4" w:space="0" w:color="auto"/>
              <w:right w:val="single" w:sz="4" w:space="0" w:color="auto"/>
            </w:tcBorders>
            <w:hideMark/>
          </w:tcPr>
          <w:p w14:paraId="7ADC9E46" w14:textId="77777777" w:rsidR="003B563C" w:rsidRPr="0058432E" w:rsidRDefault="003B563C" w:rsidP="00764B9A">
            <w:pPr>
              <w:jc w:val="center"/>
              <w:rPr>
                <w:b/>
                <w:color w:val="000000" w:themeColor="text1"/>
              </w:rPr>
            </w:pPr>
            <w:r w:rsidRPr="0058432E">
              <w:rPr>
                <w:b/>
                <w:color w:val="000000" w:themeColor="text1"/>
              </w:rPr>
              <w:t>Adalimumab</w:t>
            </w:r>
          </w:p>
          <w:p w14:paraId="7CB0D398" w14:textId="77777777" w:rsidR="003B563C" w:rsidRPr="0058432E" w:rsidRDefault="003B563C" w:rsidP="00764B9A">
            <w:pPr>
              <w:jc w:val="center"/>
              <w:rPr>
                <w:b/>
                <w:color w:val="000000" w:themeColor="text1"/>
              </w:rPr>
            </w:pPr>
            <w:r w:rsidRPr="0058432E">
              <w:rPr>
                <w:b/>
                <w:color w:val="000000" w:themeColor="text1"/>
              </w:rPr>
              <w:t>160/80 mg</w:t>
            </w:r>
          </w:p>
          <w:p w14:paraId="26B26B47" w14:textId="77777777" w:rsidR="003B563C" w:rsidRPr="0058432E" w:rsidRDefault="003B563C" w:rsidP="00764B9A">
            <w:pPr>
              <w:jc w:val="center"/>
              <w:rPr>
                <w:b/>
                <w:color w:val="000000" w:themeColor="text1"/>
              </w:rPr>
            </w:pPr>
            <w:r w:rsidRPr="0058432E">
              <w:rPr>
                <w:b/>
                <w:color w:val="000000" w:themeColor="text1"/>
              </w:rPr>
              <w:t>N = 159</w:t>
            </w:r>
          </w:p>
        </w:tc>
      </w:tr>
      <w:tr w:rsidR="003B563C" w:rsidRPr="0058432E" w14:paraId="1B63F03E" w14:textId="77777777" w:rsidTr="005B2E82">
        <w:trPr>
          <w:cantSplit/>
        </w:trPr>
        <w:tc>
          <w:tcPr>
            <w:tcW w:w="1770" w:type="dxa"/>
            <w:tcBorders>
              <w:top w:val="single" w:sz="4" w:space="0" w:color="auto"/>
              <w:left w:val="single" w:sz="4" w:space="0" w:color="auto"/>
              <w:bottom w:val="single" w:sz="4" w:space="0" w:color="auto"/>
              <w:right w:val="single" w:sz="4" w:space="0" w:color="auto"/>
            </w:tcBorders>
            <w:hideMark/>
          </w:tcPr>
          <w:p w14:paraId="5A7C7C22" w14:textId="77777777" w:rsidR="003B563C" w:rsidRPr="0058432E" w:rsidRDefault="003B563C" w:rsidP="00764B9A">
            <w:pPr>
              <w:rPr>
                <w:color w:val="000000" w:themeColor="text1"/>
              </w:rPr>
            </w:pPr>
            <w:r w:rsidRPr="0058432E">
              <w:rPr>
                <w:color w:val="000000" w:themeColor="text1"/>
              </w:rPr>
              <w:t>Semaine 4</w:t>
            </w:r>
          </w:p>
        </w:tc>
        <w:tc>
          <w:tcPr>
            <w:tcW w:w="1038" w:type="dxa"/>
            <w:tcBorders>
              <w:top w:val="single" w:sz="4" w:space="0" w:color="auto"/>
              <w:left w:val="single" w:sz="4" w:space="0" w:color="auto"/>
              <w:bottom w:val="single" w:sz="4" w:space="0" w:color="auto"/>
              <w:right w:val="single" w:sz="4" w:space="0" w:color="auto"/>
            </w:tcBorders>
          </w:tcPr>
          <w:p w14:paraId="74B30515" w14:textId="77777777" w:rsidR="003B563C" w:rsidRPr="0058432E" w:rsidRDefault="003B563C" w:rsidP="00764B9A">
            <w:pPr>
              <w:rPr>
                <w:color w:val="000000" w:themeColor="text1"/>
              </w:rPr>
            </w:pPr>
          </w:p>
        </w:tc>
        <w:tc>
          <w:tcPr>
            <w:tcW w:w="1730" w:type="dxa"/>
            <w:tcBorders>
              <w:top w:val="single" w:sz="4" w:space="0" w:color="auto"/>
              <w:left w:val="single" w:sz="4" w:space="0" w:color="auto"/>
              <w:bottom w:val="single" w:sz="4" w:space="0" w:color="auto"/>
              <w:right w:val="single" w:sz="4" w:space="0" w:color="auto"/>
            </w:tcBorders>
          </w:tcPr>
          <w:p w14:paraId="12D6E394" w14:textId="77777777" w:rsidR="003B563C" w:rsidRPr="0058432E" w:rsidRDefault="003B563C" w:rsidP="00764B9A">
            <w:pPr>
              <w:rPr>
                <w:color w:val="000000" w:themeColor="text1"/>
              </w:rPr>
            </w:pPr>
          </w:p>
        </w:tc>
        <w:tc>
          <w:tcPr>
            <w:tcW w:w="1841" w:type="dxa"/>
            <w:tcBorders>
              <w:top w:val="single" w:sz="4" w:space="0" w:color="auto"/>
              <w:left w:val="single" w:sz="4" w:space="0" w:color="auto"/>
              <w:bottom w:val="single" w:sz="4" w:space="0" w:color="auto"/>
              <w:right w:val="single" w:sz="4" w:space="0" w:color="auto"/>
            </w:tcBorders>
          </w:tcPr>
          <w:p w14:paraId="58E55C70" w14:textId="77777777" w:rsidR="003B563C" w:rsidRPr="0058432E" w:rsidRDefault="003B563C" w:rsidP="00764B9A">
            <w:pP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72180CF3" w14:textId="77777777" w:rsidR="003B563C" w:rsidRPr="0058432E" w:rsidRDefault="003B563C" w:rsidP="00764B9A">
            <w:pPr>
              <w:rPr>
                <w:color w:val="000000" w:themeColor="text1"/>
              </w:rPr>
            </w:pPr>
          </w:p>
        </w:tc>
        <w:tc>
          <w:tcPr>
            <w:tcW w:w="1844" w:type="dxa"/>
            <w:tcBorders>
              <w:top w:val="single" w:sz="4" w:space="0" w:color="auto"/>
              <w:left w:val="single" w:sz="4" w:space="0" w:color="auto"/>
              <w:bottom w:val="single" w:sz="4" w:space="0" w:color="auto"/>
              <w:right w:val="single" w:sz="4" w:space="0" w:color="auto"/>
            </w:tcBorders>
          </w:tcPr>
          <w:p w14:paraId="1FB5C56F" w14:textId="77777777" w:rsidR="003B563C" w:rsidRPr="0058432E" w:rsidRDefault="003B563C" w:rsidP="00764B9A">
            <w:pPr>
              <w:rPr>
                <w:color w:val="000000" w:themeColor="text1"/>
              </w:rPr>
            </w:pPr>
          </w:p>
        </w:tc>
      </w:tr>
      <w:tr w:rsidR="003B563C" w:rsidRPr="0058432E" w14:paraId="1A927B89" w14:textId="77777777" w:rsidTr="005B2E82">
        <w:trPr>
          <w:cantSplit/>
        </w:trPr>
        <w:tc>
          <w:tcPr>
            <w:tcW w:w="1770" w:type="dxa"/>
            <w:tcBorders>
              <w:top w:val="single" w:sz="4" w:space="0" w:color="auto"/>
              <w:left w:val="single" w:sz="4" w:space="0" w:color="auto"/>
              <w:bottom w:val="single" w:sz="4" w:space="0" w:color="auto"/>
              <w:right w:val="single" w:sz="4" w:space="0" w:color="auto"/>
            </w:tcBorders>
            <w:hideMark/>
          </w:tcPr>
          <w:p w14:paraId="640447D9" w14:textId="77777777" w:rsidR="003B563C" w:rsidRPr="0058432E" w:rsidRDefault="003B563C" w:rsidP="00764B9A">
            <w:pPr>
              <w:rPr>
                <w:color w:val="000000" w:themeColor="text1"/>
              </w:rPr>
            </w:pPr>
            <w:r w:rsidRPr="0058432E">
              <w:rPr>
                <w:color w:val="000000" w:themeColor="text1"/>
              </w:rPr>
              <w:t>Rémission clinique</w:t>
            </w:r>
          </w:p>
        </w:tc>
        <w:tc>
          <w:tcPr>
            <w:tcW w:w="1038" w:type="dxa"/>
            <w:tcBorders>
              <w:top w:val="single" w:sz="4" w:space="0" w:color="auto"/>
              <w:left w:val="single" w:sz="4" w:space="0" w:color="auto"/>
              <w:bottom w:val="single" w:sz="4" w:space="0" w:color="auto"/>
              <w:right w:val="single" w:sz="4" w:space="0" w:color="auto"/>
            </w:tcBorders>
            <w:vAlign w:val="center"/>
            <w:hideMark/>
          </w:tcPr>
          <w:p w14:paraId="13453B0F" w14:textId="77777777" w:rsidR="003B563C" w:rsidRPr="0058432E" w:rsidRDefault="003B563C" w:rsidP="00764B9A">
            <w:pPr>
              <w:jc w:val="center"/>
              <w:rPr>
                <w:color w:val="000000" w:themeColor="text1"/>
              </w:rPr>
            </w:pPr>
            <w:r w:rsidRPr="0058432E">
              <w:rPr>
                <w:color w:val="000000" w:themeColor="text1"/>
              </w:rPr>
              <w:t>12 %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1F75F27" w14:textId="77777777" w:rsidR="003B563C" w:rsidRPr="0058432E" w:rsidRDefault="003B563C" w:rsidP="00764B9A">
            <w:pPr>
              <w:jc w:val="center"/>
              <w:rPr>
                <w:color w:val="000000" w:themeColor="text1"/>
              </w:rPr>
            </w:pPr>
            <w:r w:rsidRPr="0058432E">
              <w:rPr>
                <w:color w:val="000000" w:themeColor="text1"/>
              </w:rPr>
              <w:t>24 %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6A0A378D" w14:textId="77777777" w:rsidR="003B563C" w:rsidRPr="0058432E" w:rsidRDefault="003B563C" w:rsidP="00764B9A">
            <w:pPr>
              <w:jc w:val="center"/>
              <w:rPr>
                <w:color w:val="000000" w:themeColor="text1"/>
              </w:rPr>
            </w:pPr>
            <w:r w:rsidRPr="0058432E">
              <w:rPr>
                <w:color w:val="000000" w:themeColor="text1"/>
              </w:rPr>
              <w:t>36 %*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5021B01" w14:textId="77777777" w:rsidR="003B563C" w:rsidRPr="0058432E" w:rsidRDefault="003B563C" w:rsidP="00764B9A">
            <w:pPr>
              <w:jc w:val="center"/>
              <w:rPr>
                <w:color w:val="000000" w:themeColor="text1"/>
              </w:rPr>
            </w:pPr>
            <w:r w:rsidRPr="0058432E">
              <w:rPr>
                <w:color w:val="000000" w:themeColor="text1"/>
              </w:rPr>
              <w:t>7 %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CD2B5BA" w14:textId="77777777" w:rsidR="003B563C" w:rsidRPr="0058432E" w:rsidRDefault="003B563C" w:rsidP="00764B9A">
            <w:pPr>
              <w:jc w:val="center"/>
              <w:rPr>
                <w:color w:val="000000" w:themeColor="text1"/>
              </w:rPr>
            </w:pPr>
            <w:r w:rsidRPr="0058432E">
              <w:rPr>
                <w:color w:val="000000" w:themeColor="text1"/>
              </w:rPr>
              <w:t>21 %*</w:t>
            </w:r>
          </w:p>
        </w:tc>
      </w:tr>
      <w:tr w:rsidR="003B563C" w:rsidRPr="0058432E" w14:paraId="2A44A30C" w14:textId="77777777" w:rsidTr="00141962">
        <w:trPr>
          <w:cantSplit/>
        </w:trPr>
        <w:tc>
          <w:tcPr>
            <w:tcW w:w="1770" w:type="dxa"/>
            <w:tcBorders>
              <w:top w:val="single" w:sz="4" w:space="0" w:color="auto"/>
              <w:left w:val="single" w:sz="4" w:space="0" w:color="auto"/>
              <w:bottom w:val="single" w:sz="4" w:space="0" w:color="auto"/>
              <w:right w:val="single" w:sz="4" w:space="0" w:color="auto"/>
            </w:tcBorders>
            <w:hideMark/>
          </w:tcPr>
          <w:p w14:paraId="0099FDE1" w14:textId="77777777" w:rsidR="003B563C" w:rsidRPr="0058432E" w:rsidRDefault="003B563C" w:rsidP="00764B9A">
            <w:pPr>
              <w:rPr>
                <w:color w:val="000000" w:themeColor="text1"/>
              </w:rPr>
            </w:pPr>
            <w:r w:rsidRPr="0058432E">
              <w:rPr>
                <w:color w:val="000000" w:themeColor="text1"/>
              </w:rPr>
              <w:t>Réponse clinique (CR</w:t>
            </w:r>
            <w:r w:rsidRPr="0058432E">
              <w:rPr>
                <w:color w:val="000000" w:themeColor="text1"/>
              </w:rPr>
              <w:noBreakHyphen/>
              <w:t>100)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2EAD62AD" w14:textId="77777777" w:rsidR="003B563C" w:rsidRPr="0058432E" w:rsidRDefault="003B563C" w:rsidP="00764B9A">
            <w:pPr>
              <w:jc w:val="center"/>
              <w:rPr>
                <w:color w:val="000000" w:themeColor="text1"/>
              </w:rPr>
            </w:pPr>
            <w:r w:rsidRPr="0058432E">
              <w:rPr>
                <w:color w:val="000000" w:themeColor="text1"/>
              </w:rPr>
              <w:t>24 %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4CAF5AB1" w14:textId="77777777" w:rsidR="003B563C" w:rsidRPr="0058432E" w:rsidRDefault="003B563C" w:rsidP="00764B9A">
            <w:pPr>
              <w:jc w:val="center"/>
              <w:rPr>
                <w:color w:val="000000" w:themeColor="text1"/>
              </w:rPr>
            </w:pPr>
            <w:r w:rsidRPr="0058432E">
              <w:rPr>
                <w:color w:val="000000" w:themeColor="text1"/>
              </w:rPr>
              <w:t>37 %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7E372774" w14:textId="77777777" w:rsidR="003B563C" w:rsidRPr="0058432E" w:rsidRDefault="003B563C" w:rsidP="00764B9A">
            <w:pPr>
              <w:jc w:val="center"/>
              <w:rPr>
                <w:color w:val="000000" w:themeColor="text1"/>
              </w:rPr>
            </w:pPr>
            <w:r w:rsidRPr="0058432E">
              <w:rPr>
                <w:color w:val="000000" w:themeColor="text1"/>
              </w:rPr>
              <w:t>49 %**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4F18BEC" w14:textId="77777777" w:rsidR="003B563C" w:rsidRPr="0058432E" w:rsidRDefault="003B563C" w:rsidP="00764B9A">
            <w:pPr>
              <w:jc w:val="center"/>
              <w:rPr>
                <w:color w:val="000000" w:themeColor="text1"/>
              </w:rPr>
            </w:pPr>
            <w:r w:rsidRPr="0058432E">
              <w:rPr>
                <w:color w:val="000000" w:themeColor="text1"/>
              </w:rPr>
              <w:t>25 %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919D19" w14:textId="77777777" w:rsidR="003B563C" w:rsidRPr="0058432E" w:rsidRDefault="003B563C" w:rsidP="00764B9A">
            <w:pPr>
              <w:jc w:val="center"/>
              <w:rPr>
                <w:color w:val="000000" w:themeColor="text1"/>
              </w:rPr>
            </w:pPr>
            <w:r w:rsidRPr="0058432E">
              <w:rPr>
                <w:color w:val="000000" w:themeColor="text1"/>
              </w:rPr>
              <w:t>38 %**</w:t>
            </w:r>
          </w:p>
        </w:tc>
      </w:tr>
      <w:tr w:rsidR="00141962" w:rsidRPr="0058432E" w14:paraId="766F12E7" w14:textId="77777777" w:rsidTr="00141962">
        <w:trPr>
          <w:cantSplit/>
        </w:trPr>
        <w:tc>
          <w:tcPr>
            <w:tcW w:w="9303" w:type="dxa"/>
            <w:gridSpan w:val="6"/>
            <w:tcBorders>
              <w:top w:val="single" w:sz="4" w:space="0" w:color="auto"/>
              <w:left w:val="nil"/>
              <w:bottom w:val="nil"/>
              <w:right w:val="nil"/>
            </w:tcBorders>
          </w:tcPr>
          <w:p w14:paraId="262FCA78" w14:textId="77777777" w:rsidR="00141962" w:rsidRPr="0058432E" w:rsidRDefault="00141962" w:rsidP="00141962">
            <w:pPr>
              <w:ind w:left="270" w:hanging="270"/>
              <w:rPr>
                <w:color w:val="000000" w:themeColor="text1"/>
                <w:sz w:val="20"/>
              </w:rPr>
            </w:pPr>
            <w:r w:rsidRPr="0058432E">
              <w:rPr>
                <w:color w:val="000000" w:themeColor="text1"/>
                <w:sz w:val="20"/>
              </w:rPr>
              <w:t xml:space="preserve">Toutes les valeurs de </w:t>
            </w:r>
            <w:r w:rsidRPr="0058432E">
              <w:rPr>
                <w:i/>
                <w:iCs/>
                <w:color w:val="000000" w:themeColor="text1"/>
                <w:sz w:val="20"/>
              </w:rPr>
              <w:t>p</w:t>
            </w:r>
            <w:r w:rsidRPr="0058432E">
              <w:rPr>
                <w:color w:val="000000" w:themeColor="text1"/>
                <w:sz w:val="20"/>
              </w:rPr>
              <w:t xml:space="preserve"> correspondent à des comparaisons appariées des pourcentages pour l’adalimumab </w:t>
            </w:r>
            <w:r w:rsidRPr="0058432E">
              <w:rPr>
                <w:i/>
                <w:color w:val="000000" w:themeColor="text1"/>
                <w:sz w:val="20"/>
              </w:rPr>
              <w:t>versus</w:t>
            </w:r>
            <w:r w:rsidRPr="0058432E">
              <w:rPr>
                <w:color w:val="000000" w:themeColor="text1"/>
                <w:sz w:val="20"/>
              </w:rPr>
              <w:t xml:space="preserve"> placebo </w:t>
            </w:r>
          </w:p>
          <w:p w14:paraId="12771F89" w14:textId="77777777" w:rsidR="00141962" w:rsidRPr="0058432E" w:rsidRDefault="00141962" w:rsidP="00141962">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w:t>
            </w:r>
          </w:p>
          <w:p w14:paraId="7F01783F" w14:textId="77777777" w:rsidR="00141962" w:rsidRPr="0058432E" w:rsidRDefault="00141962" w:rsidP="00141962">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0,01 </w:t>
            </w:r>
          </w:p>
        </w:tc>
      </w:tr>
    </w:tbl>
    <w:p w14:paraId="1E35183D" w14:textId="77777777" w:rsidR="00C46587" w:rsidRPr="0058432E" w:rsidRDefault="00C46587" w:rsidP="00982118">
      <w:pPr>
        <w:rPr>
          <w:color w:val="000000" w:themeColor="text1"/>
        </w:rPr>
      </w:pPr>
    </w:p>
    <w:p w14:paraId="75EF9A6C" w14:textId="77777777" w:rsidR="00C46587" w:rsidRPr="0058432E" w:rsidRDefault="00C46587" w:rsidP="00982118">
      <w:pPr>
        <w:rPr>
          <w:color w:val="000000" w:themeColor="text1"/>
        </w:rPr>
      </w:pPr>
      <w:r w:rsidRPr="0058432E">
        <w:rPr>
          <w:color w:val="000000" w:themeColor="text1"/>
        </w:rPr>
        <w:t xml:space="preserve">Des taux de rémission similaires ont été observés pour les schémas d’induction 160/80 mg et 80/40 mg à la semaine 8 et les événements indésirables ont été plus fréquents dans le groupe 160/80 mg. </w:t>
      </w:r>
    </w:p>
    <w:p w14:paraId="04041F45" w14:textId="77777777" w:rsidR="00C46587" w:rsidRPr="0058432E" w:rsidRDefault="00C46587" w:rsidP="00982118">
      <w:pPr>
        <w:rPr>
          <w:color w:val="000000" w:themeColor="text1"/>
        </w:rPr>
      </w:pPr>
    </w:p>
    <w:p w14:paraId="2D303B43" w14:textId="77777777" w:rsidR="00C46587" w:rsidRPr="0058432E" w:rsidRDefault="00C46587" w:rsidP="00982118">
      <w:pPr>
        <w:rPr>
          <w:color w:val="000000" w:themeColor="text1"/>
        </w:rPr>
      </w:pPr>
      <w:r w:rsidRPr="0058432E">
        <w:rPr>
          <w:color w:val="000000" w:themeColor="text1"/>
        </w:rPr>
        <w:t xml:space="preserve">Dans l’étude III sur la MC, 58 % (499/854) des patients présentaient une réponse clinique à la semaine 4 et ont été évalués dans l’analyse principale. Parmi les patients présentant une réponse clinique à la semaine 4, 48 % avaient été préalablement exposés à un autre traitement </w:t>
      </w:r>
      <w:r w:rsidR="00E36C6C" w:rsidRPr="0058432E">
        <w:rPr>
          <w:color w:val="000000" w:themeColor="text1"/>
        </w:rPr>
        <w:t xml:space="preserve">par antagoniste du </w:t>
      </w:r>
      <w:r w:rsidRPr="0058432E">
        <w:rPr>
          <w:color w:val="000000" w:themeColor="text1"/>
        </w:rPr>
        <w:t>TNF. Les taux de maintien de la rémission et de réponse sont présentés dans le tableau </w:t>
      </w:r>
      <w:r w:rsidR="00AA1D55" w:rsidRPr="0058432E">
        <w:rPr>
          <w:color w:val="000000" w:themeColor="text1"/>
        </w:rPr>
        <w:t>22</w:t>
      </w:r>
      <w:r w:rsidRPr="0058432E">
        <w:rPr>
          <w:color w:val="000000" w:themeColor="text1"/>
        </w:rPr>
        <w:t xml:space="preserve">. Les résultats de rémission clinique sont restés relativement constants, indépendamment de l’exposition antérieure à un </w:t>
      </w:r>
      <w:r w:rsidR="00E36C6C" w:rsidRPr="0058432E">
        <w:rPr>
          <w:color w:val="000000" w:themeColor="text1"/>
        </w:rPr>
        <w:t xml:space="preserve">antagoniste du </w:t>
      </w:r>
      <w:r w:rsidRPr="0058432E">
        <w:rPr>
          <w:color w:val="000000" w:themeColor="text1"/>
        </w:rPr>
        <w:t xml:space="preserve">TNF. </w:t>
      </w:r>
    </w:p>
    <w:p w14:paraId="2E5E3EBA" w14:textId="77777777" w:rsidR="00C46587" w:rsidRPr="0058432E" w:rsidRDefault="00C46587" w:rsidP="00982118">
      <w:pPr>
        <w:rPr>
          <w:color w:val="000000" w:themeColor="text1"/>
        </w:rPr>
      </w:pPr>
    </w:p>
    <w:p w14:paraId="709920B0" w14:textId="77777777" w:rsidR="00C46587" w:rsidRPr="0058432E" w:rsidRDefault="00C46587" w:rsidP="00982118">
      <w:pPr>
        <w:rPr>
          <w:color w:val="000000" w:themeColor="text1"/>
        </w:rPr>
      </w:pPr>
      <w:r w:rsidRPr="0058432E">
        <w:rPr>
          <w:color w:val="000000" w:themeColor="text1"/>
        </w:rPr>
        <w:t xml:space="preserve">Les hospitalisations et interventions chirurgicales liées à la maladie ont été réduites de manière statistiquement significative avec l’adalimumab comparé au placebo à la semaine 56. </w:t>
      </w:r>
    </w:p>
    <w:p w14:paraId="3D87E5D7" w14:textId="77777777" w:rsidR="00C46587" w:rsidRPr="0058432E" w:rsidRDefault="00C46587" w:rsidP="00982118">
      <w:pPr>
        <w:rPr>
          <w:color w:val="000000" w:themeColor="text1"/>
        </w:rPr>
      </w:pPr>
    </w:p>
    <w:p w14:paraId="21894425" w14:textId="77777777" w:rsidR="00C46587" w:rsidRPr="0058432E" w:rsidRDefault="00C46587" w:rsidP="00A53E17">
      <w:pPr>
        <w:keepNext/>
        <w:rPr>
          <w:b/>
          <w:color w:val="000000" w:themeColor="text1"/>
        </w:rPr>
      </w:pPr>
      <w:r w:rsidRPr="0058432E">
        <w:rPr>
          <w:b/>
          <w:color w:val="000000" w:themeColor="text1"/>
        </w:rPr>
        <w:t>Tableau </w:t>
      </w:r>
      <w:r w:rsidR="00AA1D55" w:rsidRPr="0058432E">
        <w:rPr>
          <w:b/>
          <w:color w:val="000000" w:themeColor="text1"/>
        </w:rPr>
        <w:t>22</w:t>
      </w:r>
      <w:r w:rsidR="002A7CDF" w:rsidRPr="0058432E">
        <w:rPr>
          <w:b/>
          <w:color w:val="000000" w:themeColor="text1"/>
        </w:rPr>
        <w:t>.</w:t>
      </w:r>
    </w:p>
    <w:p w14:paraId="2A080D85" w14:textId="77777777" w:rsidR="009473C0" w:rsidRPr="0058432E" w:rsidRDefault="009473C0" w:rsidP="00A53E17">
      <w:pPr>
        <w:keepNext/>
        <w:rPr>
          <w:b/>
          <w:color w:val="000000" w:themeColor="text1"/>
        </w:rPr>
      </w:pPr>
      <w:r w:rsidRPr="0058432E">
        <w:rPr>
          <w:b/>
          <w:color w:val="000000" w:themeColor="text1"/>
        </w:rPr>
        <w:t>Maintien de la rémission clinique et de la réponse clinique (pourcentage de patients)</w:t>
      </w:r>
    </w:p>
    <w:p w14:paraId="11FB6523" w14:textId="77777777" w:rsidR="009473C0" w:rsidRPr="0058432E" w:rsidRDefault="009473C0" w:rsidP="009473C0">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087"/>
        <w:gridCol w:w="2128"/>
        <w:gridCol w:w="2128"/>
      </w:tblGrid>
      <w:tr w:rsidR="009473C0" w:rsidRPr="0058432E" w14:paraId="4A2753D1" w14:textId="77777777" w:rsidTr="009473C0">
        <w:trPr>
          <w:tblHeader/>
        </w:trPr>
        <w:tc>
          <w:tcPr>
            <w:tcW w:w="2808" w:type="dxa"/>
            <w:tcBorders>
              <w:top w:val="single" w:sz="4" w:space="0" w:color="auto"/>
              <w:left w:val="single" w:sz="4" w:space="0" w:color="auto"/>
              <w:bottom w:val="single" w:sz="4" w:space="0" w:color="auto"/>
              <w:right w:val="single" w:sz="4" w:space="0" w:color="auto"/>
            </w:tcBorders>
          </w:tcPr>
          <w:p w14:paraId="74639D91" w14:textId="77777777" w:rsidR="009473C0" w:rsidRPr="0058432E" w:rsidRDefault="009473C0" w:rsidP="005A68B9">
            <w:pPr>
              <w:keepNext/>
              <w:rPr>
                <w:b/>
                <w:color w:val="000000" w:themeColor="text1"/>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2CA0CA2C" w14:textId="77777777" w:rsidR="009473C0" w:rsidRPr="0058432E" w:rsidRDefault="009473C0" w:rsidP="005A68B9">
            <w:pPr>
              <w:keepNext/>
              <w:jc w:val="center"/>
              <w:rPr>
                <w:b/>
                <w:color w:val="000000" w:themeColor="text1"/>
              </w:rPr>
            </w:pPr>
            <w:r w:rsidRPr="0058432E">
              <w:rPr>
                <w:b/>
                <w:color w:val="000000" w:themeColor="text1"/>
              </w:rPr>
              <w:t>Placebo</w:t>
            </w:r>
          </w:p>
        </w:tc>
        <w:tc>
          <w:tcPr>
            <w:tcW w:w="2165" w:type="dxa"/>
            <w:tcBorders>
              <w:top w:val="single" w:sz="4" w:space="0" w:color="auto"/>
              <w:left w:val="single" w:sz="4" w:space="0" w:color="auto"/>
              <w:bottom w:val="single" w:sz="4" w:space="0" w:color="auto"/>
              <w:right w:val="single" w:sz="4" w:space="0" w:color="auto"/>
            </w:tcBorders>
            <w:vAlign w:val="center"/>
            <w:hideMark/>
          </w:tcPr>
          <w:p w14:paraId="2F78D59F" w14:textId="77777777" w:rsidR="009473C0" w:rsidRPr="0058432E" w:rsidRDefault="009473C0" w:rsidP="005A68B9">
            <w:pPr>
              <w:keepNext/>
              <w:jc w:val="center"/>
              <w:rPr>
                <w:b/>
                <w:color w:val="000000" w:themeColor="text1"/>
              </w:rPr>
            </w:pPr>
            <w:r w:rsidRPr="0058432E">
              <w:rPr>
                <w:b/>
                <w:color w:val="000000" w:themeColor="text1"/>
              </w:rPr>
              <w:t>40 mg d’adalimumab</w:t>
            </w:r>
          </w:p>
          <w:p w14:paraId="49A81438" w14:textId="77777777" w:rsidR="009473C0" w:rsidRPr="0058432E" w:rsidRDefault="009473C0" w:rsidP="005A68B9">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deux semaines</w:t>
            </w:r>
          </w:p>
        </w:tc>
        <w:tc>
          <w:tcPr>
            <w:tcW w:w="2165" w:type="dxa"/>
            <w:tcBorders>
              <w:top w:val="single" w:sz="4" w:space="0" w:color="auto"/>
              <w:left w:val="single" w:sz="4" w:space="0" w:color="auto"/>
              <w:bottom w:val="single" w:sz="4" w:space="0" w:color="auto"/>
              <w:right w:val="single" w:sz="4" w:space="0" w:color="auto"/>
            </w:tcBorders>
            <w:vAlign w:val="center"/>
            <w:hideMark/>
          </w:tcPr>
          <w:p w14:paraId="501C91EB" w14:textId="77777777" w:rsidR="009473C0" w:rsidRPr="0058432E" w:rsidRDefault="009473C0" w:rsidP="005A68B9">
            <w:pPr>
              <w:keepNext/>
              <w:jc w:val="center"/>
              <w:rPr>
                <w:b/>
                <w:color w:val="000000" w:themeColor="text1"/>
              </w:rPr>
            </w:pPr>
            <w:r w:rsidRPr="0058432E">
              <w:rPr>
                <w:b/>
                <w:color w:val="000000" w:themeColor="text1"/>
              </w:rPr>
              <w:t>40 mg d’adalimumab</w:t>
            </w:r>
          </w:p>
          <w:p w14:paraId="7316BB96" w14:textId="77777777" w:rsidR="009473C0" w:rsidRPr="0058432E" w:rsidRDefault="009473C0" w:rsidP="005A68B9">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semaines</w:t>
            </w:r>
          </w:p>
        </w:tc>
      </w:tr>
      <w:tr w:rsidR="009473C0" w:rsidRPr="0058432E" w14:paraId="70700D7B"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61C7492C" w14:textId="77777777" w:rsidR="009473C0" w:rsidRPr="0058432E" w:rsidRDefault="009473C0" w:rsidP="005A68B9">
            <w:pPr>
              <w:keepNext/>
              <w:rPr>
                <w:b/>
                <w:color w:val="000000" w:themeColor="text1"/>
              </w:rPr>
            </w:pPr>
            <w:r w:rsidRPr="0058432E">
              <w:rPr>
                <w:b/>
                <w:color w:val="000000" w:themeColor="text1"/>
              </w:rPr>
              <w:t>Semaine 26</w:t>
            </w:r>
          </w:p>
        </w:tc>
        <w:tc>
          <w:tcPr>
            <w:tcW w:w="2165" w:type="dxa"/>
            <w:tcBorders>
              <w:top w:val="single" w:sz="4" w:space="0" w:color="auto"/>
              <w:left w:val="single" w:sz="4" w:space="0" w:color="auto"/>
              <w:bottom w:val="single" w:sz="4" w:space="0" w:color="auto"/>
              <w:right w:val="single" w:sz="4" w:space="0" w:color="auto"/>
            </w:tcBorders>
            <w:hideMark/>
          </w:tcPr>
          <w:p w14:paraId="354F0B6E" w14:textId="77777777" w:rsidR="009473C0" w:rsidRPr="0058432E" w:rsidRDefault="009473C0" w:rsidP="005A68B9">
            <w:pPr>
              <w:keepNext/>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34764AC3" w14:textId="77777777" w:rsidR="009473C0" w:rsidRPr="0058432E" w:rsidRDefault="009473C0" w:rsidP="005A68B9">
            <w:pPr>
              <w:keepNext/>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391EDF7A" w14:textId="77777777" w:rsidR="009473C0" w:rsidRPr="0058432E" w:rsidRDefault="009473C0" w:rsidP="005A68B9">
            <w:pPr>
              <w:keepNext/>
              <w:jc w:val="center"/>
              <w:rPr>
                <w:b/>
                <w:color w:val="000000" w:themeColor="text1"/>
              </w:rPr>
            </w:pPr>
            <w:r w:rsidRPr="0058432E">
              <w:rPr>
                <w:b/>
                <w:color w:val="000000" w:themeColor="text1"/>
              </w:rPr>
              <w:t>N = 157</w:t>
            </w:r>
          </w:p>
        </w:tc>
      </w:tr>
      <w:tr w:rsidR="009473C0" w:rsidRPr="0058432E" w14:paraId="23B481EF"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5C21070" w14:textId="77777777" w:rsidR="009473C0" w:rsidRPr="0058432E" w:rsidRDefault="009473C0" w:rsidP="005A68B9">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50FD49C4" w14:textId="77777777" w:rsidR="009473C0" w:rsidRPr="0058432E" w:rsidRDefault="009473C0" w:rsidP="005A68B9">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2003BD12" w14:textId="77777777" w:rsidR="009473C0" w:rsidRPr="0058432E" w:rsidRDefault="009473C0" w:rsidP="005A68B9">
            <w:pPr>
              <w:jc w:val="center"/>
              <w:rPr>
                <w:color w:val="000000" w:themeColor="text1"/>
              </w:rPr>
            </w:pPr>
            <w:r w:rsidRPr="0058432E">
              <w:rPr>
                <w:color w:val="000000" w:themeColor="text1"/>
              </w:rPr>
              <w:t>40 %*</w:t>
            </w:r>
          </w:p>
        </w:tc>
        <w:tc>
          <w:tcPr>
            <w:tcW w:w="2165" w:type="dxa"/>
            <w:tcBorders>
              <w:top w:val="single" w:sz="4" w:space="0" w:color="auto"/>
              <w:left w:val="single" w:sz="4" w:space="0" w:color="auto"/>
              <w:bottom w:val="single" w:sz="4" w:space="0" w:color="auto"/>
              <w:right w:val="single" w:sz="4" w:space="0" w:color="auto"/>
            </w:tcBorders>
            <w:hideMark/>
          </w:tcPr>
          <w:p w14:paraId="4A791F59" w14:textId="77777777" w:rsidR="009473C0" w:rsidRPr="0058432E" w:rsidRDefault="009473C0" w:rsidP="005A68B9">
            <w:pPr>
              <w:jc w:val="center"/>
              <w:rPr>
                <w:color w:val="000000" w:themeColor="text1"/>
              </w:rPr>
            </w:pPr>
            <w:r w:rsidRPr="0058432E">
              <w:rPr>
                <w:color w:val="000000" w:themeColor="text1"/>
              </w:rPr>
              <w:t>47 %*</w:t>
            </w:r>
          </w:p>
        </w:tc>
      </w:tr>
      <w:tr w:rsidR="009473C0" w:rsidRPr="0058432E" w14:paraId="1A98614F"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EE9772D" w14:textId="77777777" w:rsidR="009473C0" w:rsidRPr="0058432E" w:rsidRDefault="009473C0" w:rsidP="005A68B9">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3D8DF2E2" w14:textId="77777777" w:rsidR="009473C0" w:rsidRPr="0058432E" w:rsidRDefault="009473C0" w:rsidP="005A68B9">
            <w:pPr>
              <w:jc w:val="center"/>
              <w:rPr>
                <w:color w:val="000000" w:themeColor="text1"/>
              </w:rPr>
            </w:pPr>
            <w:r w:rsidRPr="0058432E">
              <w:rPr>
                <w:color w:val="000000" w:themeColor="text1"/>
              </w:rPr>
              <w:t>27 %</w:t>
            </w:r>
          </w:p>
        </w:tc>
        <w:tc>
          <w:tcPr>
            <w:tcW w:w="2165" w:type="dxa"/>
            <w:tcBorders>
              <w:top w:val="single" w:sz="4" w:space="0" w:color="auto"/>
              <w:left w:val="single" w:sz="4" w:space="0" w:color="auto"/>
              <w:bottom w:val="single" w:sz="4" w:space="0" w:color="auto"/>
              <w:right w:val="single" w:sz="4" w:space="0" w:color="auto"/>
            </w:tcBorders>
            <w:hideMark/>
          </w:tcPr>
          <w:p w14:paraId="09AB9368" w14:textId="77777777" w:rsidR="009473C0" w:rsidRPr="0058432E" w:rsidRDefault="009473C0" w:rsidP="005A68B9">
            <w:pPr>
              <w:jc w:val="center"/>
              <w:rPr>
                <w:color w:val="000000" w:themeColor="text1"/>
              </w:rPr>
            </w:pPr>
            <w:r w:rsidRPr="0058432E">
              <w:rPr>
                <w:color w:val="000000" w:themeColor="text1"/>
              </w:rPr>
              <w:t>52 %*</w:t>
            </w:r>
          </w:p>
        </w:tc>
        <w:tc>
          <w:tcPr>
            <w:tcW w:w="2165" w:type="dxa"/>
            <w:tcBorders>
              <w:top w:val="single" w:sz="4" w:space="0" w:color="auto"/>
              <w:left w:val="single" w:sz="4" w:space="0" w:color="auto"/>
              <w:bottom w:val="single" w:sz="4" w:space="0" w:color="auto"/>
              <w:right w:val="single" w:sz="4" w:space="0" w:color="auto"/>
            </w:tcBorders>
            <w:hideMark/>
          </w:tcPr>
          <w:p w14:paraId="1642C551" w14:textId="77777777" w:rsidR="009473C0" w:rsidRPr="0058432E" w:rsidRDefault="009473C0" w:rsidP="005A68B9">
            <w:pPr>
              <w:jc w:val="center"/>
              <w:rPr>
                <w:color w:val="000000" w:themeColor="text1"/>
              </w:rPr>
            </w:pPr>
            <w:r w:rsidRPr="0058432E">
              <w:rPr>
                <w:color w:val="000000" w:themeColor="text1"/>
              </w:rPr>
              <w:t>52 %*</w:t>
            </w:r>
          </w:p>
        </w:tc>
      </w:tr>
      <w:tr w:rsidR="009473C0" w:rsidRPr="0058432E" w14:paraId="4B9CCA18"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62D9E5F8" w14:textId="77777777" w:rsidR="009473C0" w:rsidRPr="0058432E" w:rsidRDefault="009473C0" w:rsidP="005A68B9">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5C5845DD" w14:textId="77777777" w:rsidR="009473C0" w:rsidRPr="0058432E" w:rsidRDefault="009473C0" w:rsidP="005A68B9">
            <w:pPr>
              <w:jc w:val="center"/>
              <w:rPr>
                <w:color w:val="000000" w:themeColor="text1"/>
              </w:rPr>
            </w:pPr>
            <w:r w:rsidRPr="0058432E">
              <w:rPr>
                <w:color w:val="000000" w:themeColor="text1"/>
              </w:rPr>
              <w:t>3 % (2/66)</w:t>
            </w:r>
          </w:p>
        </w:tc>
        <w:tc>
          <w:tcPr>
            <w:tcW w:w="2165" w:type="dxa"/>
            <w:tcBorders>
              <w:top w:val="single" w:sz="4" w:space="0" w:color="auto"/>
              <w:left w:val="single" w:sz="4" w:space="0" w:color="auto"/>
              <w:bottom w:val="single" w:sz="4" w:space="0" w:color="auto"/>
              <w:right w:val="single" w:sz="4" w:space="0" w:color="auto"/>
            </w:tcBorders>
            <w:hideMark/>
          </w:tcPr>
          <w:p w14:paraId="417D2945" w14:textId="77777777" w:rsidR="009473C0" w:rsidRPr="0058432E" w:rsidRDefault="009473C0" w:rsidP="005A68B9">
            <w:pPr>
              <w:jc w:val="center"/>
              <w:rPr>
                <w:color w:val="000000" w:themeColor="text1"/>
              </w:rPr>
            </w:pPr>
            <w:r w:rsidRPr="0058432E">
              <w:rPr>
                <w:color w:val="000000" w:themeColor="text1"/>
              </w:rPr>
              <w:t>19 % (11/</w:t>
            </w:r>
            <w:proofErr w:type="gramStart"/>
            <w:r w:rsidRPr="0058432E">
              <w:rPr>
                <w:color w:val="000000" w:themeColor="text1"/>
              </w:rPr>
              <w:t>58)*</w:t>
            </w:r>
            <w:proofErr w:type="gramEnd"/>
            <w:r w:rsidRPr="0058432E">
              <w:rPr>
                <w:color w:val="000000" w:themeColor="text1"/>
              </w:rPr>
              <w:t>*</w:t>
            </w:r>
          </w:p>
        </w:tc>
        <w:tc>
          <w:tcPr>
            <w:tcW w:w="2165" w:type="dxa"/>
            <w:tcBorders>
              <w:top w:val="single" w:sz="4" w:space="0" w:color="auto"/>
              <w:left w:val="single" w:sz="4" w:space="0" w:color="auto"/>
              <w:bottom w:val="single" w:sz="4" w:space="0" w:color="auto"/>
              <w:right w:val="single" w:sz="4" w:space="0" w:color="auto"/>
            </w:tcBorders>
            <w:hideMark/>
          </w:tcPr>
          <w:p w14:paraId="79A50AD0" w14:textId="77777777" w:rsidR="009473C0" w:rsidRPr="0058432E" w:rsidRDefault="009473C0" w:rsidP="005A68B9">
            <w:pPr>
              <w:jc w:val="center"/>
              <w:rPr>
                <w:color w:val="000000" w:themeColor="text1"/>
              </w:rPr>
            </w:pPr>
            <w:r w:rsidRPr="0058432E">
              <w:rPr>
                <w:color w:val="000000" w:themeColor="text1"/>
              </w:rPr>
              <w:t>15 % (11/</w:t>
            </w:r>
            <w:proofErr w:type="gramStart"/>
            <w:r w:rsidRPr="0058432E">
              <w:rPr>
                <w:color w:val="000000" w:themeColor="text1"/>
              </w:rPr>
              <w:t>74)*</w:t>
            </w:r>
            <w:proofErr w:type="gramEnd"/>
            <w:r w:rsidRPr="0058432E">
              <w:rPr>
                <w:color w:val="000000" w:themeColor="text1"/>
              </w:rPr>
              <w:t>*</w:t>
            </w:r>
          </w:p>
        </w:tc>
      </w:tr>
      <w:tr w:rsidR="009473C0" w:rsidRPr="0058432E" w14:paraId="558943C7"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901D05C" w14:textId="77777777" w:rsidR="009473C0" w:rsidRPr="0058432E" w:rsidRDefault="009473C0" w:rsidP="005A68B9">
            <w:pPr>
              <w:rPr>
                <w:b/>
                <w:color w:val="000000" w:themeColor="text1"/>
              </w:rPr>
            </w:pPr>
            <w:r w:rsidRPr="0058432E">
              <w:rPr>
                <w:b/>
                <w:color w:val="000000" w:themeColor="text1"/>
              </w:rPr>
              <w:t>Semaine 56</w:t>
            </w:r>
          </w:p>
        </w:tc>
        <w:tc>
          <w:tcPr>
            <w:tcW w:w="2165" w:type="dxa"/>
            <w:tcBorders>
              <w:top w:val="single" w:sz="4" w:space="0" w:color="auto"/>
              <w:left w:val="single" w:sz="4" w:space="0" w:color="auto"/>
              <w:bottom w:val="single" w:sz="4" w:space="0" w:color="auto"/>
              <w:right w:val="single" w:sz="4" w:space="0" w:color="auto"/>
            </w:tcBorders>
            <w:hideMark/>
          </w:tcPr>
          <w:p w14:paraId="35A34ADD" w14:textId="77777777" w:rsidR="009473C0" w:rsidRPr="0058432E" w:rsidRDefault="009473C0" w:rsidP="005A68B9">
            <w:pPr>
              <w:jc w:val="center"/>
              <w:rPr>
                <w:b/>
                <w:color w:val="000000" w:themeColor="text1"/>
              </w:rPr>
            </w:pPr>
            <w:r w:rsidRPr="0058432E">
              <w:rPr>
                <w:b/>
                <w:color w:val="000000" w:themeColor="text1"/>
              </w:rPr>
              <w:t>N = 170</w:t>
            </w:r>
          </w:p>
        </w:tc>
        <w:tc>
          <w:tcPr>
            <w:tcW w:w="2165" w:type="dxa"/>
            <w:tcBorders>
              <w:top w:val="single" w:sz="4" w:space="0" w:color="auto"/>
              <w:left w:val="single" w:sz="4" w:space="0" w:color="auto"/>
              <w:bottom w:val="single" w:sz="4" w:space="0" w:color="auto"/>
              <w:right w:val="single" w:sz="4" w:space="0" w:color="auto"/>
            </w:tcBorders>
            <w:hideMark/>
          </w:tcPr>
          <w:p w14:paraId="547BDA46" w14:textId="77777777" w:rsidR="009473C0" w:rsidRPr="0058432E" w:rsidRDefault="009473C0" w:rsidP="005A68B9">
            <w:pPr>
              <w:jc w:val="center"/>
              <w:rPr>
                <w:b/>
                <w:color w:val="000000" w:themeColor="text1"/>
              </w:rPr>
            </w:pPr>
            <w:r w:rsidRPr="0058432E">
              <w:rPr>
                <w:b/>
                <w:color w:val="000000" w:themeColor="text1"/>
              </w:rPr>
              <w:t>N = 172</w:t>
            </w:r>
          </w:p>
        </w:tc>
        <w:tc>
          <w:tcPr>
            <w:tcW w:w="2165" w:type="dxa"/>
            <w:tcBorders>
              <w:top w:val="single" w:sz="4" w:space="0" w:color="auto"/>
              <w:left w:val="single" w:sz="4" w:space="0" w:color="auto"/>
              <w:bottom w:val="single" w:sz="4" w:space="0" w:color="auto"/>
              <w:right w:val="single" w:sz="4" w:space="0" w:color="auto"/>
            </w:tcBorders>
            <w:hideMark/>
          </w:tcPr>
          <w:p w14:paraId="2E718F0A" w14:textId="77777777" w:rsidR="009473C0" w:rsidRPr="0058432E" w:rsidRDefault="009473C0" w:rsidP="005A68B9">
            <w:pPr>
              <w:jc w:val="center"/>
              <w:rPr>
                <w:b/>
                <w:color w:val="000000" w:themeColor="text1"/>
              </w:rPr>
            </w:pPr>
            <w:r w:rsidRPr="0058432E">
              <w:rPr>
                <w:b/>
                <w:color w:val="000000" w:themeColor="text1"/>
              </w:rPr>
              <w:t>N = 157</w:t>
            </w:r>
          </w:p>
        </w:tc>
      </w:tr>
      <w:tr w:rsidR="009473C0" w:rsidRPr="0058432E" w14:paraId="46884BF4"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0DFA1EA2" w14:textId="77777777" w:rsidR="009473C0" w:rsidRPr="0058432E" w:rsidRDefault="009473C0" w:rsidP="005A68B9">
            <w:pPr>
              <w:rPr>
                <w:color w:val="000000" w:themeColor="text1"/>
              </w:rPr>
            </w:pPr>
            <w:r w:rsidRPr="0058432E">
              <w:rPr>
                <w:color w:val="000000" w:themeColor="text1"/>
              </w:rPr>
              <w:t>Rémission clinique</w:t>
            </w:r>
          </w:p>
        </w:tc>
        <w:tc>
          <w:tcPr>
            <w:tcW w:w="2165" w:type="dxa"/>
            <w:tcBorders>
              <w:top w:val="single" w:sz="4" w:space="0" w:color="auto"/>
              <w:left w:val="single" w:sz="4" w:space="0" w:color="auto"/>
              <w:bottom w:val="single" w:sz="4" w:space="0" w:color="auto"/>
              <w:right w:val="single" w:sz="4" w:space="0" w:color="auto"/>
            </w:tcBorders>
            <w:hideMark/>
          </w:tcPr>
          <w:p w14:paraId="4F75F18F" w14:textId="77777777" w:rsidR="009473C0" w:rsidRPr="0058432E" w:rsidRDefault="009473C0" w:rsidP="005A68B9">
            <w:pPr>
              <w:jc w:val="center"/>
              <w:rPr>
                <w:color w:val="000000" w:themeColor="text1"/>
              </w:rPr>
            </w:pPr>
            <w:r w:rsidRPr="0058432E">
              <w:rPr>
                <w:color w:val="000000" w:themeColor="text1"/>
              </w:rPr>
              <w:t>12 %</w:t>
            </w:r>
          </w:p>
        </w:tc>
        <w:tc>
          <w:tcPr>
            <w:tcW w:w="2165" w:type="dxa"/>
            <w:tcBorders>
              <w:top w:val="single" w:sz="4" w:space="0" w:color="auto"/>
              <w:left w:val="single" w:sz="4" w:space="0" w:color="auto"/>
              <w:bottom w:val="single" w:sz="4" w:space="0" w:color="auto"/>
              <w:right w:val="single" w:sz="4" w:space="0" w:color="auto"/>
            </w:tcBorders>
            <w:hideMark/>
          </w:tcPr>
          <w:p w14:paraId="7AC0EA70" w14:textId="77777777" w:rsidR="009473C0" w:rsidRPr="0058432E" w:rsidRDefault="009473C0" w:rsidP="005A68B9">
            <w:pPr>
              <w:jc w:val="center"/>
              <w:rPr>
                <w:color w:val="000000" w:themeColor="text1"/>
              </w:rPr>
            </w:pPr>
            <w:r w:rsidRPr="0058432E">
              <w:rPr>
                <w:color w:val="000000" w:themeColor="text1"/>
              </w:rPr>
              <w:t>36 %*</w:t>
            </w:r>
          </w:p>
        </w:tc>
        <w:tc>
          <w:tcPr>
            <w:tcW w:w="2165" w:type="dxa"/>
            <w:tcBorders>
              <w:top w:val="single" w:sz="4" w:space="0" w:color="auto"/>
              <w:left w:val="single" w:sz="4" w:space="0" w:color="auto"/>
              <w:bottom w:val="single" w:sz="4" w:space="0" w:color="auto"/>
              <w:right w:val="single" w:sz="4" w:space="0" w:color="auto"/>
            </w:tcBorders>
            <w:hideMark/>
          </w:tcPr>
          <w:p w14:paraId="55EED5AE" w14:textId="77777777" w:rsidR="009473C0" w:rsidRPr="0058432E" w:rsidRDefault="009473C0" w:rsidP="005A68B9">
            <w:pPr>
              <w:jc w:val="center"/>
              <w:rPr>
                <w:color w:val="000000" w:themeColor="text1"/>
              </w:rPr>
            </w:pPr>
            <w:r w:rsidRPr="0058432E">
              <w:rPr>
                <w:color w:val="000000" w:themeColor="text1"/>
              </w:rPr>
              <w:t>41 %*</w:t>
            </w:r>
          </w:p>
        </w:tc>
      </w:tr>
      <w:tr w:rsidR="009473C0" w:rsidRPr="0058432E" w14:paraId="1FCADB8D"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75D69E03" w14:textId="77777777" w:rsidR="009473C0" w:rsidRPr="0058432E" w:rsidRDefault="009473C0" w:rsidP="005A68B9">
            <w:pPr>
              <w:rPr>
                <w:color w:val="000000" w:themeColor="text1"/>
              </w:rPr>
            </w:pPr>
            <w:r w:rsidRPr="0058432E">
              <w:rPr>
                <w:color w:val="000000" w:themeColor="text1"/>
              </w:rPr>
              <w:t>Réponse clinique (CR</w:t>
            </w:r>
            <w:r w:rsidRPr="0058432E">
              <w:rPr>
                <w:color w:val="000000" w:themeColor="text1"/>
              </w:rPr>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4578D924" w14:textId="77777777" w:rsidR="009473C0" w:rsidRPr="0058432E" w:rsidRDefault="009473C0" w:rsidP="005A68B9">
            <w:pPr>
              <w:jc w:val="center"/>
              <w:rPr>
                <w:color w:val="000000" w:themeColor="text1"/>
              </w:rPr>
            </w:pPr>
            <w:r w:rsidRPr="0058432E">
              <w:rPr>
                <w:color w:val="000000" w:themeColor="text1"/>
              </w:rPr>
              <w:t>17 %</w:t>
            </w:r>
          </w:p>
        </w:tc>
        <w:tc>
          <w:tcPr>
            <w:tcW w:w="2165" w:type="dxa"/>
            <w:tcBorders>
              <w:top w:val="single" w:sz="4" w:space="0" w:color="auto"/>
              <w:left w:val="single" w:sz="4" w:space="0" w:color="auto"/>
              <w:bottom w:val="single" w:sz="4" w:space="0" w:color="auto"/>
              <w:right w:val="single" w:sz="4" w:space="0" w:color="auto"/>
            </w:tcBorders>
            <w:hideMark/>
          </w:tcPr>
          <w:p w14:paraId="482F2440" w14:textId="77777777" w:rsidR="009473C0" w:rsidRPr="0058432E" w:rsidRDefault="009473C0" w:rsidP="005A68B9">
            <w:pPr>
              <w:jc w:val="center"/>
              <w:rPr>
                <w:color w:val="000000" w:themeColor="text1"/>
              </w:rPr>
            </w:pPr>
            <w:r w:rsidRPr="0058432E">
              <w:rPr>
                <w:color w:val="000000" w:themeColor="text1"/>
              </w:rPr>
              <w:t>41 %*</w:t>
            </w:r>
          </w:p>
        </w:tc>
        <w:tc>
          <w:tcPr>
            <w:tcW w:w="2165" w:type="dxa"/>
            <w:tcBorders>
              <w:top w:val="single" w:sz="4" w:space="0" w:color="auto"/>
              <w:left w:val="single" w:sz="4" w:space="0" w:color="auto"/>
              <w:bottom w:val="single" w:sz="4" w:space="0" w:color="auto"/>
              <w:right w:val="single" w:sz="4" w:space="0" w:color="auto"/>
            </w:tcBorders>
            <w:hideMark/>
          </w:tcPr>
          <w:p w14:paraId="538E93D9" w14:textId="77777777" w:rsidR="009473C0" w:rsidRPr="0058432E" w:rsidRDefault="009473C0" w:rsidP="005A68B9">
            <w:pPr>
              <w:jc w:val="center"/>
              <w:rPr>
                <w:color w:val="000000" w:themeColor="text1"/>
              </w:rPr>
            </w:pPr>
            <w:r w:rsidRPr="0058432E">
              <w:rPr>
                <w:color w:val="000000" w:themeColor="text1"/>
              </w:rPr>
              <w:t>48 %*</w:t>
            </w:r>
          </w:p>
        </w:tc>
      </w:tr>
      <w:tr w:rsidR="009473C0" w:rsidRPr="0058432E" w14:paraId="50CB95EB" w14:textId="77777777" w:rsidTr="00141962">
        <w:tc>
          <w:tcPr>
            <w:tcW w:w="2808" w:type="dxa"/>
            <w:tcBorders>
              <w:top w:val="single" w:sz="4" w:space="0" w:color="auto"/>
              <w:left w:val="single" w:sz="4" w:space="0" w:color="auto"/>
              <w:bottom w:val="single" w:sz="4" w:space="0" w:color="auto"/>
              <w:right w:val="single" w:sz="4" w:space="0" w:color="auto"/>
            </w:tcBorders>
            <w:hideMark/>
          </w:tcPr>
          <w:p w14:paraId="44558365" w14:textId="77777777" w:rsidR="009473C0" w:rsidRPr="0058432E" w:rsidRDefault="009473C0" w:rsidP="005A68B9">
            <w:pPr>
              <w:ind w:left="288"/>
              <w:rPr>
                <w:color w:val="000000" w:themeColor="text1"/>
              </w:rPr>
            </w:pPr>
            <w:r w:rsidRPr="0058432E">
              <w:rPr>
                <w:color w:val="000000" w:themeColor="text1"/>
              </w:rPr>
              <w:t>Patients en rémission sans corticoïdes depuis ≥ 90 jours</w:t>
            </w:r>
            <w:r w:rsidRPr="0058432E">
              <w:rPr>
                <w:color w:val="000000" w:themeColor="text1"/>
                <w:vertAlign w:val="superscript"/>
              </w:rPr>
              <w:t>a</w:t>
            </w:r>
          </w:p>
        </w:tc>
        <w:tc>
          <w:tcPr>
            <w:tcW w:w="2165" w:type="dxa"/>
            <w:tcBorders>
              <w:top w:val="single" w:sz="4" w:space="0" w:color="auto"/>
              <w:left w:val="single" w:sz="4" w:space="0" w:color="auto"/>
              <w:bottom w:val="single" w:sz="4" w:space="0" w:color="auto"/>
              <w:right w:val="single" w:sz="4" w:space="0" w:color="auto"/>
            </w:tcBorders>
            <w:hideMark/>
          </w:tcPr>
          <w:p w14:paraId="1F9E84FF" w14:textId="77777777" w:rsidR="009473C0" w:rsidRPr="0058432E" w:rsidRDefault="009473C0" w:rsidP="005A68B9">
            <w:pPr>
              <w:jc w:val="center"/>
              <w:rPr>
                <w:color w:val="000000" w:themeColor="text1"/>
              </w:rPr>
            </w:pPr>
            <w:r w:rsidRPr="0058432E">
              <w:rPr>
                <w:color w:val="000000" w:themeColor="text1"/>
              </w:rPr>
              <w:t>5 % (3/66)</w:t>
            </w:r>
          </w:p>
        </w:tc>
        <w:tc>
          <w:tcPr>
            <w:tcW w:w="2165" w:type="dxa"/>
            <w:tcBorders>
              <w:top w:val="single" w:sz="4" w:space="0" w:color="auto"/>
              <w:left w:val="single" w:sz="4" w:space="0" w:color="auto"/>
              <w:bottom w:val="single" w:sz="4" w:space="0" w:color="auto"/>
              <w:right w:val="single" w:sz="4" w:space="0" w:color="auto"/>
            </w:tcBorders>
            <w:hideMark/>
          </w:tcPr>
          <w:p w14:paraId="1F60F32B" w14:textId="77777777" w:rsidR="009473C0" w:rsidRPr="0058432E" w:rsidRDefault="009473C0" w:rsidP="005A68B9">
            <w:pPr>
              <w:jc w:val="center"/>
              <w:rPr>
                <w:color w:val="000000" w:themeColor="text1"/>
              </w:rPr>
            </w:pPr>
            <w:r w:rsidRPr="0058432E">
              <w:rPr>
                <w:color w:val="000000" w:themeColor="text1"/>
              </w:rPr>
              <w:t>29 % (17/</w:t>
            </w:r>
            <w:proofErr w:type="gramStart"/>
            <w:r w:rsidRPr="0058432E">
              <w:rPr>
                <w:color w:val="000000" w:themeColor="text1"/>
              </w:rPr>
              <w:t>58)*</w:t>
            </w:r>
            <w:proofErr w:type="gramEnd"/>
          </w:p>
        </w:tc>
        <w:tc>
          <w:tcPr>
            <w:tcW w:w="2165" w:type="dxa"/>
            <w:tcBorders>
              <w:top w:val="single" w:sz="4" w:space="0" w:color="auto"/>
              <w:left w:val="single" w:sz="4" w:space="0" w:color="auto"/>
              <w:bottom w:val="single" w:sz="4" w:space="0" w:color="auto"/>
              <w:right w:val="single" w:sz="4" w:space="0" w:color="auto"/>
            </w:tcBorders>
            <w:hideMark/>
          </w:tcPr>
          <w:p w14:paraId="655D8BDD" w14:textId="77777777" w:rsidR="009473C0" w:rsidRPr="0058432E" w:rsidRDefault="009473C0" w:rsidP="005A68B9">
            <w:pPr>
              <w:jc w:val="center"/>
              <w:rPr>
                <w:color w:val="000000" w:themeColor="text1"/>
              </w:rPr>
            </w:pPr>
            <w:r w:rsidRPr="0058432E">
              <w:rPr>
                <w:color w:val="000000" w:themeColor="text1"/>
              </w:rPr>
              <w:t>20 % (15/</w:t>
            </w:r>
            <w:proofErr w:type="gramStart"/>
            <w:r w:rsidRPr="0058432E">
              <w:rPr>
                <w:color w:val="000000" w:themeColor="text1"/>
              </w:rPr>
              <w:t>74)*</w:t>
            </w:r>
            <w:proofErr w:type="gramEnd"/>
            <w:r w:rsidRPr="0058432E">
              <w:rPr>
                <w:color w:val="000000" w:themeColor="text1"/>
              </w:rPr>
              <w:t>*</w:t>
            </w:r>
          </w:p>
        </w:tc>
      </w:tr>
      <w:tr w:rsidR="00141962" w:rsidRPr="0058432E" w14:paraId="0B98347C" w14:textId="77777777" w:rsidTr="00141962">
        <w:tc>
          <w:tcPr>
            <w:tcW w:w="9303" w:type="dxa"/>
            <w:gridSpan w:val="4"/>
            <w:tcBorders>
              <w:top w:val="single" w:sz="4" w:space="0" w:color="auto"/>
              <w:left w:val="nil"/>
              <w:bottom w:val="nil"/>
              <w:right w:val="nil"/>
            </w:tcBorders>
          </w:tcPr>
          <w:p w14:paraId="2D434325" w14:textId="77777777" w:rsidR="00141962" w:rsidRPr="0058432E" w:rsidRDefault="00141962" w:rsidP="00141962">
            <w:pPr>
              <w:ind w:left="270" w:hanging="270"/>
              <w:rPr>
                <w:color w:val="000000" w:themeColor="text1"/>
                <w:sz w:val="20"/>
              </w:rPr>
            </w:pPr>
            <w:r w:rsidRPr="0058432E">
              <w:rPr>
                <w:color w:val="000000" w:themeColor="text1"/>
                <w:sz w:val="20"/>
              </w:rPr>
              <w:t xml:space="preserve">* </w:t>
            </w:r>
            <w:r w:rsidRPr="0058432E">
              <w:rPr>
                <w:color w:val="000000" w:themeColor="text1"/>
                <w:sz w:val="20"/>
              </w:rPr>
              <w:tab/>
              <w:t xml:space="preserve">p &lt; 0,001 pour l’adalimumab </w:t>
            </w:r>
            <w:r w:rsidRPr="0058432E">
              <w:rPr>
                <w:i/>
                <w:color w:val="000000" w:themeColor="text1"/>
                <w:sz w:val="20"/>
              </w:rPr>
              <w:t>versus</w:t>
            </w:r>
            <w:r w:rsidRPr="0058432E">
              <w:rPr>
                <w:color w:val="000000" w:themeColor="text1"/>
                <w:sz w:val="20"/>
              </w:rPr>
              <w:t xml:space="preserve"> placebo, comparaisons </w:t>
            </w:r>
            <w:r w:rsidR="00541C6F" w:rsidRPr="0058432E">
              <w:rPr>
                <w:color w:val="000000" w:themeColor="text1"/>
                <w:sz w:val="20"/>
              </w:rPr>
              <w:t xml:space="preserve">appariées </w:t>
            </w:r>
            <w:r w:rsidRPr="0058432E">
              <w:rPr>
                <w:color w:val="000000" w:themeColor="text1"/>
                <w:sz w:val="20"/>
              </w:rPr>
              <w:t xml:space="preserve">des pourcentages </w:t>
            </w:r>
          </w:p>
          <w:p w14:paraId="0873B611" w14:textId="77777777" w:rsidR="00141962" w:rsidRPr="0058432E" w:rsidRDefault="00141962" w:rsidP="00141962">
            <w:pPr>
              <w:ind w:left="270" w:hanging="270"/>
              <w:rPr>
                <w:color w:val="000000" w:themeColor="text1"/>
                <w:sz w:val="20"/>
              </w:rPr>
            </w:pPr>
            <w:r w:rsidRPr="0058432E">
              <w:rPr>
                <w:color w:val="000000" w:themeColor="text1"/>
                <w:sz w:val="20"/>
              </w:rPr>
              <w:t>**</w:t>
            </w:r>
            <w:r w:rsidRPr="0058432E">
              <w:rPr>
                <w:color w:val="000000" w:themeColor="text1"/>
                <w:sz w:val="20"/>
              </w:rPr>
              <w:tab/>
              <w:t xml:space="preserve">p &lt; 0,02 pour l’adalimumab </w:t>
            </w:r>
            <w:r w:rsidRPr="0058432E">
              <w:rPr>
                <w:i/>
                <w:color w:val="000000" w:themeColor="text1"/>
                <w:sz w:val="20"/>
              </w:rPr>
              <w:t>versus</w:t>
            </w:r>
            <w:r w:rsidRPr="0058432E">
              <w:rPr>
                <w:color w:val="000000" w:themeColor="text1"/>
                <w:sz w:val="20"/>
              </w:rPr>
              <w:t xml:space="preserve"> placebo, comparaisons </w:t>
            </w:r>
            <w:r w:rsidR="00541C6F" w:rsidRPr="0058432E">
              <w:rPr>
                <w:color w:val="000000" w:themeColor="text1"/>
                <w:sz w:val="20"/>
              </w:rPr>
              <w:t xml:space="preserve">appariées </w:t>
            </w:r>
            <w:r w:rsidRPr="0058432E">
              <w:rPr>
                <w:color w:val="000000" w:themeColor="text1"/>
                <w:sz w:val="20"/>
              </w:rPr>
              <w:t xml:space="preserve">des pourcentages </w:t>
            </w:r>
          </w:p>
          <w:p w14:paraId="5A1C5290" w14:textId="77777777" w:rsidR="00141962" w:rsidRPr="0058432E" w:rsidRDefault="00141962" w:rsidP="00141962">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 xml:space="preserve">Parmi ceux initialement traités par corticoïdes </w:t>
            </w:r>
          </w:p>
        </w:tc>
      </w:tr>
    </w:tbl>
    <w:p w14:paraId="6922282D" w14:textId="77777777" w:rsidR="00C46587" w:rsidRPr="0058432E" w:rsidRDefault="00C46587" w:rsidP="00982118">
      <w:pPr>
        <w:rPr>
          <w:color w:val="000000" w:themeColor="text1"/>
        </w:rPr>
      </w:pPr>
    </w:p>
    <w:p w14:paraId="5E6C29DA" w14:textId="77777777" w:rsidR="00C46587" w:rsidRPr="0058432E" w:rsidRDefault="00C46587" w:rsidP="00982118">
      <w:pPr>
        <w:rPr>
          <w:color w:val="000000" w:themeColor="text1"/>
        </w:rPr>
      </w:pPr>
      <w:r w:rsidRPr="0058432E">
        <w:rPr>
          <w:color w:val="000000" w:themeColor="text1"/>
        </w:rPr>
        <w:lastRenderedPageBreak/>
        <w:t xml:space="preserve">Parmi les patients non répondeurs à la semaine 4, 43 % des patients recevant un traitement d’entretien par adalimumab ont répondu à la semaine 12 contre 30 % des patients recevant le placebo en traitement d’entretien. Ces résultats suggèrent que certains patients n’ayant pas répondu à la semaine 4 bénéficient de la poursuite du traitement d’entretien jusqu’à la semaine 12. La poursuite du traitement au-delà de 12 semaines n’est pas significativement associée à plus de réponses (voir rubrique 4.2). </w:t>
      </w:r>
    </w:p>
    <w:p w14:paraId="768E726C" w14:textId="77777777" w:rsidR="00C46587" w:rsidRPr="0058432E" w:rsidRDefault="00C46587" w:rsidP="00982118">
      <w:pPr>
        <w:rPr>
          <w:color w:val="000000" w:themeColor="text1"/>
        </w:rPr>
      </w:pPr>
    </w:p>
    <w:p w14:paraId="51C89E75" w14:textId="77777777" w:rsidR="00C46587" w:rsidRPr="0058432E" w:rsidRDefault="00C46587" w:rsidP="00982118">
      <w:pPr>
        <w:rPr>
          <w:color w:val="000000" w:themeColor="text1"/>
        </w:rPr>
      </w:pPr>
      <w:r w:rsidRPr="0058432E">
        <w:rPr>
          <w:color w:val="000000" w:themeColor="text1"/>
        </w:rPr>
        <w:t xml:space="preserve">117/276 patients de l’étude I sur la MC et 272/777 patients des études II et III sur la MC ont été suivis pendant au moins 3 ans de traitement en ouvert </w:t>
      </w:r>
      <w:r w:rsidR="008E7545" w:rsidRPr="0058432E">
        <w:rPr>
          <w:color w:val="000000" w:themeColor="text1"/>
        </w:rPr>
        <w:t>par adalimumab</w:t>
      </w:r>
      <w:r w:rsidRPr="0058432E">
        <w:rPr>
          <w:color w:val="000000" w:themeColor="text1"/>
        </w:rPr>
        <w:t>. 88 et 189 patients, respectivement, sont restés en rémission clinique. La réponse clinique (CR</w:t>
      </w:r>
      <w:r w:rsidRPr="0058432E">
        <w:rPr>
          <w:color w:val="000000" w:themeColor="text1"/>
        </w:rPr>
        <w:noBreakHyphen/>
        <w:t xml:space="preserve">100) a été maintenue chez 102 et 233 patients, respectivement. </w:t>
      </w:r>
    </w:p>
    <w:p w14:paraId="1873C6D9" w14:textId="77777777" w:rsidR="00C46587" w:rsidRPr="0058432E" w:rsidRDefault="00C46587" w:rsidP="00982118">
      <w:pPr>
        <w:rPr>
          <w:color w:val="000000" w:themeColor="text1"/>
        </w:rPr>
      </w:pPr>
    </w:p>
    <w:p w14:paraId="2CA02C3B" w14:textId="77777777" w:rsidR="00C46587" w:rsidRPr="0058432E" w:rsidRDefault="00C46587" w:rsidP="00DC3A99">
      <w:pPr>
        <w:keepNext/>
        <w:rPr>
          <w:i/>
          <w:color w:val="000000" w:themeColor="text1"/>
          <w:u w:val="single"/>
        </w:rPr>
      </w:pPr>
      <w:r w:rsidRPr="0058432E">
        <w:rPr>
          <w:i/>
          <w:color w:val="000000" w:themeColor="text1"/>
          <w:u w:val="single"/>
        </w:rPr>
        <w:t xml:space="preserve">Qualité de vie </w:t>
      </w:r>
    </w:p>
    <w:p w14:paraId="17CD8C28" w14:textId="77777777" w:rsidR="00C46587" w:rsidRPr="0058432E" w:rsidRDefault="00C46587" w:rsidP="00DC3A99">
      <w:pPr>
        <w:keepNext/>
        <w:rPr>
          <w:color w:val="000000" w:themeColor="text1"/>
        </w:rPr>
      </w:pPr>
    </w:p>
    <w:p w14:paraId="4386A143" w14:textId="77777777" w:rsidR="00C46587" w:rsidRPr="0058432E" w:rsidRDefault="00C46587" w:rsidP="00982118">
      <w:pPr>
        <w:rPr>
          <w:color w:val="000000" w:themeColor="text1"/>
        </w:rPr>
      </w:pPr>
      <w:r w:rsidRPr="0058432E">
        <w:rPr>
          <w:color w:val="000000" w:themeColor="text1"/>
        </w:rPr>
        <w:t xml:space="preserve">Dans les études I et II sur la MC, une amélioration statistiquement significative du score total du questionnaire sur les maladies inflammatoires de l’intestin (IBDQ) spécifique de la maladie a été obtenue à la semaine 4 chez les patients traités par adalimumab 80/40 mg et 160/80 mg versus placebo et également aux semaines 26 et 56 dans l’étude III sur la MC dans tous les groupes traités </w:t>
      </w:r>
      <w:r w:rsidR="008E7545" w:rsidRPr="0058432E">
        <w:rPr>
          <w:color w:val="000000" w:themeColor="text1"/>
        </w:rPr>
        <w:t>par adalimumab</w:t>
      </w:r>
      <w:r w:rsidRPr="0058432E">
        <w:rPr>
          <w:color w:val="000000" w:themeColor="text1"/>
        </w:rPr>
        <w:t xml:space="preserve"> versus placebo. </w:t>
      </w:r>
    </w:p>
    <w:p w14:paraId="1EE5732A" w14:textId="77777777" w:rsidR="00C46587" w:rsidRPr="0058432E" w:rsidRDefault="00C46587" w:rsidP="00982118">
      <w:pPr>
        <w:rPr>
          <w:color w:val="000000" w:themeColor="text1"/>
        </w:rPr>
      </w:pPr>
    </w:p>
    <w:p w14:paraId="637FD458" w14:textId="77777777" w:rsidR="00C46587" w:rsidRPr="0058432E" w:rsidRDefault="00C46587" w:rsidP="00DC3A99">
      <w:pPr>
        <w:keepNext/>
        <w:rPr>
          <w:i/>
          <w:color w:val="000000" w:themeColor="text1"/>
        </w:rPr>
      </w:pPr>
      <w:r w:rsidRPr="0058432E">
        <w:rPr>
          <w:i/>
          <w:color w:val="000000" w:themeColor="text1"/>
        </w:rPr>
        <w:t xml:space="preserve">Rectocolite hémorragique </w:t>
      </w:r>
    </w:p>
    <w:p w14:paraId="3A0215C0" w14:textId="77777777" w:rsidR="00C46587" w:rsidRPr="0058432E" w:rsidRDefault="00C46587" w:rsidP="00DC3A99">
      <w:pPr>
        <w:keepNext/>
        <w:rPr>
          <w:color w:val="000000" w:themeColor="text1"/>
        </w:rPr>
      </w:pPr>
    </w:p>
    <w:p w14:paraId="7D094229" w14:textId="77777777" w:rsidR="00C46587" w:rsidRPr="0058432E" w:rsidRDefault="00C46587" w:rsidP="00982118">
      <w:pPr>
        <w:rPr>
          <w:color w:val="000000" w:themeColor="text1"/>
        </w:rPr>
      </w:pPr>
      <w:r w:rsidRPr="0058432E">
        <w:rPr>
          <w:color w:val="000000" w:themeColor="text1"/>
        </w:rPr>
        <w:t>La tolérance et l’efficacité de doses multiples d’adalimumab ont été évaluées chez des patients adultes atteints de rectocolite hémorragique</w:t>
      </w:r>
      <w:r w:rsidR="00856FE3" w:rsidRPr="0058432E">
        <w:rPr>
          <w:color w:val="000000" w:themeColor="text1"/>
        </w:rPr>
        <w:t xml:space="preserve"> </w:t>
      </w:r>
      <w:r w:rsidR="007B1DF4" w:rsidRPr="0058432E">
        <w:rPr>
          <w:color w:val="000000" w:themeColor="text1"/>
        </w:rPr>
        <w:t>active modérée à sévère</w:t>
      </w:r>
      <w:r w:rsidR="008A656A" w:rsidRPr="0058432E">
        <w:rPr>
          <w:color w:val="000000" w:themeColor="text1"/>
        </w:rPr>
        <w:t xml:space="preserve"> </w:t>
      </w:r>
      <w:r w:rsidRPr="0058432E">
        <w:rPr>
          <w:color w:val="000000" w:themeColor="text1"/>
        </w:rPr>
        <w:t xml:space="preserve">(score Mayo de 6 à 12 avec un sous-score endoscopique de 2 à 3) dans des études randomisées, en double aveugle, contrôlées </w:t>
      </w:r>
      <w:r w:rsidR="00856FE3" w:rsidRPr="0058432E">
        <w:rPr>
          <w:color w:val="000000" w:themeColor="text1"/>
        </w:rPr>
        <w:t xml:space="preserve">contre </w:t>
      </w:r>
      <w:r w:rsidRPr="0058432E">
        <w:rPr>
          <w:color w:val="000000" w:themeColor="text1"/>
        </w:rPr>
        <w:t xml:space="preserve">placebo. </w:t>
      </w:r>
    </w:p>
    <w:p w14:paraId="673C0FCF" w14:textId="77777777" w:rsidR="00C46587" w:rsidRPr="0058432E" w:rsidRDefault="00C46587" w:rsidP="00982118">
      <w:pPr>
        <w:rPr>
          <w:color w:val="000000" w:themeColor="text1"/>
        </w:rPr>
      </w:pPr>
    </w:p>
    <w:p w14:paraId="06376E37" w14:textId="77777777" w:rsidR="00C46587" w:rsidRPr="0058432E" w:rsidRDefault="00C46587" w:rsidP="00982118">
      <w:pPr>
        <w:rPr>
          <w:color w:val="000000" w:themeColor="text1"/>
        </w:rPr>
      </w:pPr>
      <w:r w:rsidRPr="0058432E">
        <w:rPr>
          <w:color w:val="000000" w:themeColor="text1"/>
        </w:rPr>
        <w:t xml:space="preserve">Dans l’étude I sur la </w:t>
      </w:r>
      <w:r w:rsidR="00856FE3" w:rsidRPr="0058432E">
        <w:rPr>
          <w:color w:val="000000" w:themeColor="text1"/>
        </w:rPr>
        <w:t>rectocolite hémorragique (</w:t>
      </w:r>
      <w:r w:rsidRPr="0058432E">
        <w:rPr>
          <w:color w:val="000000" w:themeColor="text1"/>
        </w:rPr>
        <w:t>RCH</w:t>
      </w:r>
      <w:r w:rsidR="00856FE3" w:rsidRPr="0058432E">
        <w:rPr>
          <w:color w:val="000000" w:themeColor="text1"/>
        </w:rPr>
        <w:t>)</w:t>
      </w:r>
      <w:r w:rsidRPr="0058432E">
        <w:rPr>
          <w:color w:val="000000" w:themeColor="text1"/>
        </w:rPr>
        <w:t>, 390</w:t>
      </w:r>
      <w:r w:rsidR="007942A5" w:rsidRPr="0058432E">
        <w:rPr>
          <w:color w:val="000000" w:themeColor="text1"/>
        </w:rPr>
        <w:t> </w:t>
      </w:r>
      <w:r w:rsidRPr="0058432E">
        <w:rPr>
          <w:color w:val="000000" w:themeColor="text1"/>
        </w:rPr>
        <w:t>patients naïfs d’</w:t>
      </w:r>
      <w:r w:rsidR="00533435" w:rsidRPr="0058432E">
        <w:rPr>
          <w:color w:val="000000" w:themeColor="text1"/>
        </w:rPr>
        <w:t>antagoniste du TNF</w:t>
      </w:r>
      <w:r w:rsidR="00FC32E1" w:rsidRPr="0058432E">
        <w:rPr>
          <w:color w:val="000000" w:themeColor="text1"/>
        </w:rPr>
        <w:t xml:space="preserve"> </w:t>
      </w:r>
      <w:r w:rsidRPr="0058432E">
        <w:rPr>
          <w:color w:val="000000" w:themeColor="text1"/>
        </w:rPr>
        <w:t xml:space="preserve">ont été randomisés pour recevoir soit un placebo aux semaines 0 et 2, soit 160 mg d’adalimumab à la semaine 0 suivis de 80 mg à la semaine 2, soit 80 mg d’adalimumab à la semaine 0 suivis de 40 mg à la semaine 2. Après la semaine 2, les patients des deux groupes adalimumab ont reçu 40 mg toutes les </w:t>
      </w:r>
      <w:r w:rsidR="0074448F" w:rsidRPr="0058432E">
        <w:rPr>
          <w:color w:val="000000" w:themeColor="text1"/>
        </w:rPr>
        <w:t>deux</w:t>
      </w:r>
      <w:r w:rsidRPr="0058432E">
        <w:rPr>
          <w:color w:val="000000" w:themeColor="text1"/>
        </w:rPr>
        <w:t xml:space="preserve"> semaines. La rémission clinique (définie par un score Mayo ≤ 2 sans aucun sous-score &gt; 1) a été évaluée à la semaine 8. </w:t>
      </w:r>
    </w:p>
    <w:p w14:paraId="178BEAAE" w14:textId="77777777" w:rsidR="00C46587" w:rsidRPr="0058432E" w:rsidRDefault="00C46587" w:rsidP="00982118">
      <w:pPr>
        <w:rPr>
          <w:color w:val="000000" w:themeColor="text1"/>
        </w:rPr>
      </w:pPr>
    </w:p>
    <w:p w14:paraId="6DB6DF9D" w14:textId="77777777" w:rsidR="00C46587" w:rsidRPr="0058432E" w:rsidRDefault="00C46587" w:rsidP="00982118">
      <w:pPr>
        <w:rPr>
          <w:color w:val="000000" w:themeColor="text1"/>
        </w:rPr>
      </w:pPr>
      <w:r w:rsidRPr="0058432E">
        <w:rPr>
          <w:color w:val="000000" w:themeColor="text1"/>
        </w:rPr>
        <w:t>Dans l’étude II sur la RCH, 248</w:t>
      </w:r>
      <w:r w:rsidR="007942A5" w:rsidRPr="0058432E">
        <w:rPr>
          <w:color w:val="000000" w:themeColor="text1"/>
        </w:rPr>
        <w:t> </w:t>
      </w:r>
      <w:r w:rsidRPr="0058432E">
        <w:rPr>
          <w:color w:val="000000" w:themeColor="text1"/>
        </w:rPr>
        <w:t xml:space="preserve">patients ont reçu 160 mg d’adalimumab à la semaine 0, 80 mg à la semaine 2 puis 40 mg toutes les </w:t>
      </w:r>
      <w:r w:rsidR="00BA7A54" w:rsidRPr="0058432E">
        <w:rPr>
          <w:color w:val="000000" w:themeColor="text1"/>
        </w:rPr>
        <w:t>deux</w:t>
      </w:r>
      <w:r w:rsidRPr="0058432E">
        <w:rPr>
          <w:color w:val="000000" w:themeColor="text1"/>
        </w:rPr>
        <w:t xml:space="preserve"> semaines et 246 patients ont reçu un placebo. Les résultats cliniques ont été évalués en termes d’induction d’une rémission à la semaine 8 et de maintien de la rémission à la semaine 52. </w:t>
      </w:r>
    </w:p>
    <w:p w14:paraId="1BAD720A" w14:textId="77777777" w:rsidR="00C46587" w:rsidRPr="0058432E" w:rsidRDefault="00C46587" w:rsidP="00982118">
      <w:pPr>
        <w:rPr>
          <w:color w:val="000000" w:themeColor="text1"/>
        </w:rPr>
      </w:pPr>
    </w:p>
    <w:p w14:paraId="67FCA19A" w14:textId="77777777" w:rsidR="00C46587" w:rsidRPr="0058432E" w:rsidRDefault="00C46587" w:rsidP="00982118">
      <w:pPr>
        <w:rPr>
          <w:color w:val="000000" w:themeColor="text1"/>
        </w:rPr>
      </w:pPr>
      <w:r w:rsidRPr="0058432E">
        <w:rPr>
          <w:color w:val="000000" w:themeColor="text1"/>
        </w:rPr>
        <w:t xml:space="preserve">Les taux de rémission clinique versus placebo à la semaine 8 ont été significativement plus importants chez les patients ayant reçu un traitement d’induction par 160/80 mg d’adalimumab dans l’étude I sur la RCH (respectivement 18 % </w:t>
      </w:r>
      <w:r w:rsidRPr="0058432E">
        <w:rPr>
          <w:i/>
          <w:color w:val="000000" w:themeColor="text1"/>
        </w:rPr>
        <w:t>versus</w:t>
      </w:r>
      <w:r w:rsidRPr="0058432E">
        <w:rPr>
          <w:color w:val="000000" w:themeColor="text1"/>
        </w:rPr>
        <w:t xml:space="preserve"> 9 %, p = 0,031) et dans l’étude II sur la RCH (respectivement 17 % </w:t>
      </w:r>
      <w:r w:rsidRPr="0058432E">
        <w:rPr>
          <w:i/>
          <w:color w:val="000000" w:themeColor="text1"/>
        </w:rPr>
        <w:t>versus</w:t>
      </w:r>
      <w:r w:rsidRPr="0058432E">
        <w:rPr>
          <w:color w:val="000000" w:themeColor="text1"/>
        </w:rPr>
        <w:t xml:space="preserve"> 9 %, p = 0,019). Dans l’étude II sur la RCH, parmi les patients traités par adalimumab qui étaient en rémission à la semaine 8, 21/41 (51 %) étaient en rémission à la semaine 52. </w:t>
      </w:r>
    </w:p>
    <w:p w14:paraId="61D08515" w14:textId="77777777" w:rsidR="00C46587" w:rsidRPr="0058432E" w:rsidRDefault="00C46587" w:rsidP="00982118">
      <w:pPr>
        <w:rPr>
          <w:color w:val="000000" w:themeColor="text1"/>
        </w:rPr>
      </w:pPr>
    </w:p>
    <w:p w14:paraId="178E654D" w14:textId="77777777" w:rsidR="00C46587" w:rsidRPr="0058432E" w:rsidRDefault="00C46587" w:rsidP="00982118">
      <w:pPr>
        <w:rPr>
          <w:color w:val="000000" w:themeColor="text1"/>
        </w:rPr>
      </w:pPr>
      <w:r w:rsidRPr="0058432E">
        <w:rPr>
          <w:color w:val="000000" w:themeColor="text1"/>
        </w:rPr>
        <w:t>Les résultats de l’ensemble de la population de l’étude II sur la RCH sont présentés dans le tableau </w:t>
      </w:r>
      <w:r w:rsidR="00AA1D55" w:rsidRPr="0058432E">
        <w:rPr>
          <w:color w:val="000000" w:themeColor="text1"/>
        </w:rPr>
        <w:t>23</w:t>
      </w:r>
      <w:r w:rsidRPr="0058432E">
        <w:rPr>
          <w:color w:val="000000" w:themeColor="text1"/>
        </w:rPr>
        <w:t xml:space="preserve">. </w:t>
      </w:r>
    </w:p>
    <w:p w14:paraId="4CD0F950" w14:textId="77777777" w:rsidR="00C46587" w:rsidRPr="0058432E" w:rsidRDefault="00C46587" w:rsidP="00982118">
      <w:pPr>
        <w:rPr>
          <w:color w:val="000000" w:themeColor="text1"/>
        </w:rPr>
      </w:pPr>
    </w:p>
    <w:p w14:paraId="07F950B3" w14:textId="77777777" w:rsidR="00C46587" w:rsidRPr="0058432E" w:rsidRDefault="00C46587" w:rsidP="00A53E17">
      <w:pPr>
        <w:keepNext/>
        <w:rPr>
          <w:b/>
          <w:color w:val="000000" w:themeColor="text1"/>
        </w:rPr>
      </w:pPr>
      <w:r w:rsidRPr="0058432E">
        <w:rPr>
          <w:b/>
          <w:color w:val="000000" w:themeColor="text1"/>
        </w:rPr>
        <w:lastRenderedPageBreak/>
        <w:t>Tableau </w:t>
      </w:r>
      <w:r w:rsidR="00AA1D55" w:rsidRPr="0058432E">
        <w:rPr>
          <w:b/>
          <w:color w:val="000000" w:themeColor="text1"/>
        </w:rPr>
        <w:t>23</w:t>
      </w:r>
      <w:r w:rsidR="002A7CDF" w:rsidRPr="0058432E">
        <w:rPr>
          <w:b/>
          <w:color w:val="000000" w:themeColor="text1"/>
        </w:rPr>
        <w:t>.</w:t>
      </w:r>
    </w:p>
    <w:p w14:paraId="0299A651" w14:textId="77777777" w:rsidR="00C46587" w:rsidRPr="0058432E" w:rsidRDefault="00C46587" w:rsidP="00A53E17">
      <w:pPr>
        <w:keepNext/>
        <w:rPr>
          <w:b/>
          <w:color w:val="000000" w:themeColor="text1"/>
        </w:rPr>
      </w:pPr>
      <w:r w:rsidRPr="0058432E">
        <w:rPr>
          <w:b/>
          <w:color w:val="000000" w:themeColor="text1"/>
        </w:rPr>
        <w:t>Réponse, rémission et cicatrisation de la muqueuse dans l’étude II sur la RCH (pourcentage de patients)</w:t>
      </w:r>
    </w:p>
    <w:p w14:paraId="5B8E293F" w14:textId="77777777" w:rsidR="003B563C" w:rsidRPr="0058432E" w:rsidRDefault="003B563C" w:rsidP="00982118">
      <w:pPr>
        <w:keepNext/>
        <w:jc w:val="center"/>
        <w:rPr>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2948"/>
        <w:gridCol w:w="2216"/>
      </w:tblGrid>
      <w:tr w:rsidR="00C46587" w:rsidRPr="0058432E" w14:paraId="774BED76" w14:textId="77777777" w:rsidTr="00EA7409">
        <w:trPr>
          <w:jc w:val="center"/>
        </w:trPr>
        <w:tc>
          <w:tcPr>
            <w:tcW w:w="4012" w:type="dxa"/>
          </w:tcPr>
          <w:p w14:paraId="77D13C17" w14:textId="77777777" w:rsidR="00C46587" w:rsidRPr="0058432E" w:rsidRDefault="00C46587" w:rsidP="00982118">
            <w:pPr>
              <w:keepNext/>
              <w:jc w:val="center"/>
              <w:rPr>
                <w:color w:val="000000" w:themeColor="text1"/>
              </w:rPr>
            </w:pPr>
          </w:p>
        </w:tc>
        <w:tc>
          <w:tcPr>
            <w:tcW w:w="3038" w:type="dxa"/>
            <w:hideMark/>
          </w:tcPr>
          <w:p w14:paraId="30FB25E8" w14:textId="77777777" w:rsidR="00C46587" w:rsidRPr="0058432E" w:rsidRDefault="00C46587" w:rsidP="00982118">
            <w:pPr>
              <w:keepNext/>
              <w:jc w:val="center"/>
              <w:rPr>
                <w:b/>
                <w:color w:val="000000" w:themeColor="text1"/>
              </w:rPr>
            </w:pPr>
            <w:r w:rsidRPr="0058432E">
              <w:rPr>
                <w:b/>
                <w:color w:val="000000" w:themeColor="text1"/>
              </w:rPr>
              <w:t>Placebo</w:t>
            </w:r>
          </w:p>
        </w:tc>
        <w:tc>
          <w:tcPr>
            <w:tcW w:w="2253" w:type="dxa"/>
            <w:hideMark/>
          </w:tcPr>
          <w:p w14:paraId="2DEA1052" w14:textId="77777777" w:rsidR="00C46587" w:rsidRPr="0058432E" w:rsidRDefault="005A4709" w:rsidP="00982118">
            <w:pPr>
              <w:keepNext/>
              <w:jc w:val="center"/>
              <w:rPr>
                <w:b/>
                <w:color w:val="000000" w:themeColor="text1"/>
              </w:rPr>
            </w:pPr>
            <w:r w:rsidRPr="0058432E">
              <w:rPr>
                <w:b/>
                <w:color w:val="000000" w:themeColor="text1"/>
              </w:rPr>
              <w:t>Adalimumab 40 mg</w:t>
            </w:r>
          </w:p>
          <w:p w14:paraId="0780E7DE" w14:textId="77777777" w:rsidR="00C46587" w:rsidRPr="0058432E" w:rsidRDefault="00C46587" w:rsidP="00982118">
            <w:pPr>
              <w:keepNext/>
              <w:jc w:val="center"/>
              <w:rPr>
                <w:b/>
                <w:color w:val="000000" w:themeColor="text1"/>
              </w:rPr>
            </w:pPr>
            <w:proofErr w:type="gramStart"/>
            <w:r w:rsidRPr="0058432E">
              <w:rPr>
                <w:b/>
                <w:color w:val="000000" w:themeColor="text1"/>
              </w:rPr>
              <w:t>toutes</w:t>
            </w:r>
            <w:proofErr w:type="gramEnd"/>
            <w:r w:rsidRPr="0058432E">
              <w:rPr>
                <w:b/>
                <w:color w:val="000000" w:themeColor="text1"/>
              </w:rPr>
              <w:t xml:space="preserve"> les deux semaines</w:t>
            </w:r>
          </w:p>
        </w:tc>
      </w:tr>
      <w:tr w:rsidR="00C46587" w:rsidRPr="0058432E" w14:paraId="145EB4BF" w14:textId="77777777" w:rsidTr="00EA7409">
        <w:trPr>
          <w:jc w:val="center"/>
        </w:trPr>
        <w:tc>
          <w:tcPr>
            <w:tcW w:w="4012" w:type="dxa"/>
            <w:hideMark/>
          </w:tcPr>
          <w:p w14:paraId="36E1C273" w14:textId="77777777" w:rsidR="00C46587" w:rsidRPr="0058432E" w:rsidRDefault="00C46587" w:rsidP="00982118">
            <w:pPr>
              <w:keepNext/>
              <w:rPr>
                <w:b/>
                <w:color w:val="000000" w:themeColor="text1"/>
              </w:rPr>
            </w:pPr>
            <w:r w:rsidRPr="0058432E">
              <w:rPr>
                <w:b/>
                <w:color w:val="000000" w:themeColor="text1"/>
              </w:rPr>
              <w:t>Semaine 52</w:t>
            </w:r>
          </w:p>
        </w:tc>
        <w:tc>
          <w:tcPr>
            <w:tcW w:w="3038" w:type="dxa"/>
            <w:vAlign w:val="center"/>
            <w:hideMark/>
          </w:tcPr>
          <w:p w14:paraId="0DED95EA" w14:textId="77777777" w:rsidR="00C46587" w:rsidRPr="0058432E" w:rsidRDefault="00C46587" w:rsidP="00982118">
            <w:pPr>
              <w:keepNext/>
              <w:jc w:val="center"/>
              <w:rPr>
                <w:b/>
                <w:color w:val="000000" w:themeColor="text1"/>
              </w:rPr>
            </w:pPr>
            <w:r w:rsidRPr="0058432E">
              <w:rPr>
                <w:b/>
                <w:color w:val="000000" w:themeColor="text1"/>
              </w:rPr>
              <w:t>N = 246</w:t>
            </w:r>
          </w:p>
        </w:tc>
        <w:tc>
          <w:tcPr>
            <w:tcW w:w="2253" w:type="dxa"/>
            <w:vAlign w:val="center"/>
            <w:hideMark/>
          </w:tcPr>
          <w:p w14:paraId="6E9CE734" w14:textId="77777777" w:rsidR="00C46587" w:rsidRPr="0058432E" w:rsidRDefault="00C46587" w:rsidP="00982118">
            <w:pPr>
              <w:keepNext/>
              <w:jc w:val="center"/>
              <w:rPr>
                <w:b/>
                <w:color w:val="000000" w:themeColor="text1"/>
              </w:rPr>
            </w:pPr>
            <w:r w:rsidRPr="0058432E">
              <w:rPr>
                <w:b/>
                <w:color w:val="000000" w:themeColor="text1"/>
              </w:rPr>
              <w:t>N = 248</w:t>
            </w:r>
          </w:p>
        </w:tc>
      </w:tr>
      <w:tr w:rsidR="00C46587" w:rsidRPr="0058432E" w14:paraId="77E7CBD9" w14:textId="77777777" w:rsidTr="00EA7409">
        <w:trPr>
          <w:jc w:val="center"/>
        </w:trPr>
        <w:tc>
          <w:tcPr>
            <w:tcW w:w="4012" w:type="dxa"/>
            <w:hideMark/>
          </w:tcPr>
          <w:p w14:paraId="1048CACC" w14:textId="77777777" w:rsidR="00C46587" w:rsidRPr="0058432E" w:rsidRDefault="00C46587" w:rsidP="00982118">
            <w:pPr>
              <w:keepNext/>
              <w:tabs>
                <w:tab w:val="left" w:pos="288"/>
              </w:tabs>
              <w:ind w:left="252"/>
              <w:rPr>
                <w:color w:val="000000" w:themeColor="text1"/>
              </w:rPr>
            </w:pPr>
            <w:r w:rsidRPr="0058432E">
              <w:rPr>
                <w:color w:val="000000" w:themeColor="text1"/>
              </w:rPr>
              <w:t>Réponse clinique</w:t>
            </w:r>
          </w:p>
        </w:tc>
        <w:tc>
          <w:tcPr>
            <w:tcW w:w="3038" w:type="dxa"/>
            <w:vAlign w:val="center"/>
            <w:hideMark/>
          </w:tcPr>
          <w:p w14:paraId="5398AB8E" w14:textId="77777777" w:rsidR="00C46587" w:rsidRPr="0058432E" w:rsidRDefault="00C46587" w:rsidP="00982118">
            <w:pPr>
              <w:keepNext/>
              <w:jc w:val="center"/>
              <w:rPr>
                <w:color w:val="000000" w:themeColor="text1"/>
              </w:rPr>
            </w:pPr>
            <w:r w:rsidRPr="0058432E">
              <w:rPr>
                <w:color w:val="000000" w:themeColor="text1"/>
              </w:rPr>
              <w:t>18 %</w:t>
            </w:r>
          </w:p>
        </w:tc>
        <w:tc>
          <w:tcPr>
            <w:tcW w:w="2253" w:type="dxa"/>
            <w:vAlign w:val="center"/>
            <w:hideMark/>
          </w:tcPr>
          <w:p w14:paraId="22FA5050" w14:textId="77777777" w:rsidR="00C46587" w:rsidRPr="0058432E" w:rsidRDefault="00C46587" w:rsidP="00982118">
            <w:pPr>
              <w:keepNext/>
              <w:jc w:val="center"/>
              <w:rPr>
                <w:color w:val="000000" w:themeColor="text1"/>
              </w:rPr>
            </w:pPr>
            <w:r w:rsidRPr="0058432E">
              <w:rPr>
                <w:color w:val="000000" w:themeColor="text1"/>
              </w:rPr>
              <w:t>30 %*</w:t>
            </w:r>
          </w:p>
        </w:tc>
      </w:tr>
      <w:tr w:rsidR="00C46587" w:rsidRPr="0058432E" w14:paraId="606577F8" w14:textId="77777777" w:rsidTr="00EA7409">
        <w:trPr>
          <w:jc w:val="center"/>
        </w:trPr>
        <w:tc>
          <w:tcPr>
            <w:tcW w:w="4012" w:type="dxa"/>
            <w:hideMark/>
          </w:tcPr>
          <w:p w14:paraId="12844C48" w14:textId="77777777" w:rsidR="00C46587" w:rsidRPr="0058432E" w:rsidRDefault="00C46587" w:rsidP="00982118">
            <w:pPr>
              <w:keepNext/>
              <w:tabs>
                <w:tab w:val="left" w:pos="288"/>
              </w:tabs>
              <w:ind w:left="252"/>
              <w:rPr>
                <w:color w:val="000000" w:themeColor="text1"/>
              </w:rPr>
            </w:pPr>
            <w:r w:rsidRPr="0058432E">
              <w:rPr>
                <w:color w:val="000000" w:themeColor="text1"/>
              </w:rPr>
              <w:t>Rémission clinique</w:t>
            </w:r>
          </w:p>
        </w:tc>
        <w:tc>
          <w:tcPr>
            <w:tcW w:w="3038" w:type="dxa"/>
            <w:vAlign w:val="center"/>
            <w:hideMark/>
          </w:tcPr>
          <w:p w14:paraId="786F10CA" w14:textId="77777777" w:rsidR="00C46587" w:rsidRPr="0058432E" w:rsidRDefault="00C46587" w:rsidP="00982118">
            <w:pPr>
              <w:keepNext/>
              <w:jc w:val="center"/>
              <w:rPr>
                <w:color w:val="000000" w:themeColor="text1"/>
              </w:rPr>
            </w:pPr>
            <w:r w:rsidRPr="0058432E">
              <w:rPr>
                <w:color w:val="000000" w:themeColor="text1"/>
              </w:rPr>
              <w:t>9 %</w:t>
            </w:r>
          </w:p>
        </w:tc>
        <w:tc>
          <w:tcPr>
            <w:tcW w:w="2253" w:type="dxa"/>
            <w:vAlign w:val="center"/>
            <w:hideMark/>
          </w:tcPr>
          <w:p w14:paraId="57E3FCC8" w14:textId="77777777" w:rsidR="00C46587" w:rsidRPr="0058432E" w:rsidRDefault="00C46587" w:rsidP="00982118">
            <w:pPr>
              <w:keepNext/>
              <w:jc w:val="center"/>
              <w:rPr>
                <w:color w:val="000000" w:themeColor="text1"/>
              </w:rPr>
            </w:pPr>
            <w:r w:rsidRPr="0058432E">
              <w:rPr>
                <w:color w:val="000000" w:themeColor="text1"/>
              </w:rPr>
              <w:t>17 %*</w:t>
            </w:r>
          </w:p>
        </w:tc>
      </w:tr>
      <w:tr w:rsidR="00C46587" w:rsidRPr="0058432E" w14:paraId="611996D7" w14:textId="77777777" w:rsidTr="00EA7409">
        <w:trPr>
          <w:jc w:val="center"/>
        </w:trPr>
        <w:tc>
          <w:tcPr>
            <w:tcW w:w="4012" w:type="dxa"/>
            <w:hideMark/>
          </w:tcPr>
          <w:p w14:paraId="2FB853D7" w14:textId="77777777" w:rsidR="00C46587" w:rsidRPr="0058432E" w:rsidRDefault="00C46587" w:rsidP="00982118">
            <w:pPr>
              <w:keepNext/>
              <w:tabs>
                <w:tab w:val="left" w:pos="288"/>
              </w:tabs>
              <w:ind w:left="252"/>
              <w:rPr>
                <w:color w:val="000000" w:themeColor="text1"/>
              </w:rPr>
            </w:pPr>
            <w:r w:rsidRPr="0058432E">
              <w:rPr>
                <w:color w:val="000000" w:themeColor="text1"/>
              </w:rPr>
              <w:t>Cicatrisation de la muqueuse</w:t>
            </w:r>
          </w:p>
        </w:tc>
        <w:tc>
          <w:tcPr>
            <w:tcW w:w="3038" w:type="dxa"/>
            <w:vAlign w:val="center"/>
            <w:hideMark/>
          </w:tcPr>
          <w:p w14:paraId="4D75246A" w14:textId="77777777" w:rsidR="00C46587" w:rsidRPr="0058432E" w:rsidRDefault="00C46587" w:rsidP="00982118">
            <w:pPr>
              <w:keepNext/>
              <w:jc w:val="center"/>
              <w:rPr>
                <w:color w:val="000000" w:themeColor="text1"/>
              </w:rPr>
            </w:pPr>
            <w:r w:rsidRPr="0058432E">
              <w:rPr>
                <w:color w:val="000000" w:themeColor="text1"/>
              </w:rPr>
              <w:t>15 %</w:t>
            </w:r>
          </w:p>
        </w:tc>
        <w:tc>
          <w:tcPr>
            <w:tcW w:w="2253" w:type="dxa"/>
            <w:vAlign w:val="center"/>
            <w:hideMark/>
          </w:tcPr>
          <w:p w14:paraId="2202D106" w14:textId="77777777" w:rsidR="00C46587" w:rsidRPr="0058432E" w:rsidRDefault="00C46587" w:rsidP="00982118">
            <w:pPr>
              <w:keepNext/>
              <w:jc w:val="center"/>
              <w:rPr>
                <w:color w:val="000000" w:themeColor="text1"/>
              </w:rPr>
            </w:pPr>
            <w:r w:rsidRPr="0058432E">
              <w:rPr>
                <w:color w:val="000000" w:themeColor="text1"/>
              </w:rPr>
              <w:t>25 %*</w:t>
            </w:r>
          </w:p>
        </w:tc>
      </w:tr>
      <w:tr w:rsidR="00C46587" w:rsidRPr="0058432E" w14:paraId="2C0E8D8F" w14:textId="77777777" w:rsidTr="00EA7409">
        <w:trPr>
          <w:jc w:val="center"/>
        </w:trPr>
        <w:tc>
          <w:tcPr>
            <w:tcW w:w="4012" w:type="dxa"/>
            <w:hideMark/>
          </w:tcPr>
          <w:p w14:paraId="2DBC90C5" w14:textId="77777777" w:rsidR="00C46587" w:rsidRPr="0058432E" w:rsidRDefault="00C46587" w:rsidP="00982118">
            <w:pPr>
              <w:keepNext/>
              <w:tabs>
                <w:tab w:val="left" w:pos="288"/>
              </w:tabs>
              <w:ind w:left="252"/>
              <w:rPr>
                <w:color w:val="000000" w:themeColor="text1"/>
              </w:rPr>
            </w:pPr>
            <w:r w:rsidRPr="0058432E">
              <w:rPr>
                <w:color w:val="000000" w:themeColor="text1"/>
              </w:rPr>
              <w:t xml:space="preserve">Rémission sans corticoïdes depuis </w:t>
            </w:r>
            <w:r w:rsidRPr="0058432E">
              <w:rPr>
                <w:color w:val="000000" w:themeColor="text1"/>
              </w:rPr>
              <w:sym w:font="Symbol" w:char="F0B3"/>
            </w:r>
            <w:r w:rsidRPr="0058432E">
              <w:rPr>
                <w:color w:val="000000" w:themeColor="text1"/>
              </w:rPr>
              <w:t> 90 jours</w:t>
            </w:r>
            <w:r w:rsidRPr="0058432E">
              <w:rPr>
                <w:color w:val="000000" w:themeColor="text1"/>
                <w:vertAlign w:val="superscript"/>
              </w:rPr>
              <w:t>a</w:t>
            </w:r>
          </w:p>
        </w:tc>
        <w:tc>
          <w:tcPr>
            <w:tcW w:w="3038" w:type="dxa"/>
            <w:vAlign w:val="center"/>
            <w:hideMark/>
          </w:tcPr>
          <w:p w14:paraId="360AA72A" w14:textId="77777777" w:rsidR="00C46587" w:rsidRPr="0058432E" w:rsidRDefault="00C46587" w:rsidP="00982118">
            <w:pPr>
              <w:keepNext/>
              <w:jc w:val="center"/>
              <w:rPr>
                <w:color w:val="000000" w:themeColor="text1"/>
              </w:rPr>
            </w:pPr>
            <w:r w:rsidRPr="0058432E">
              <w:rPr>
                <w:color w:val="000000" w:themeColor="text1"/>
              </w:rPr>
              <w:t>6 %</w:t>
            </w:r>
          </w:p>
        </w:tc>
        <w:tc>
          <w:tcPr>
            <w:tcW w:w="2253" w:type="dxa"/>
            <w:vAlign w:val="center"/>
            <w:hideMark/>
          </w:tcPr>
          <w:p w14:paraId="51BBC8AE" w14:textId="77777777" w:rsidR="00C46587" w:rsidRPr="0058432E" w:rsidRDefault="00C46587" w:rsidP="00982118">
            <w:pPr>
              <w:keepNext/>
              <w:jc w:val="center"/>
              <w:rPr>
                <w:color w:val="000000" w:themeColor="text1"/>
              </w:rPr>
            </w:pPr>
            <w:r w:rsidRPr="0058432E">
              <w:rPr>
                <w:color w:val="000000" w:themeColor="text1"/>
              </w:rPr>
              <w:t>13 %*</w:t>
            </w:r>
          </w:p>
        </w:tc>
      </w:tr>
      <w:tr w:rsidR="003D5162" w:rsidRPr="0058432E" w14:paraId="3F801869" w14:textId="77777777" w:rsidTr="00EA7409">
        <w:trPr>
          <w:jc w:val="center"/>
        </w:trPr>
        <w:tc>
          <w:tcPr>
            <w:tcW w:w="4012" w:type="dxa"/>
          </w:tcPr>
          <w:p w14:paraId="45597254" w14:textId="77777777" w:rsidR="003D5162" w:rsidRPr="0058432E" w:rsidRDefault="003D5162" w:rsidP="00982118">
            <w:pPr>
              <w:keepNext/>
              <w:rPr>
                <w:color w:val="000000" w:themeColor="text1"/>
              </w:rPr>
            </w:pPr>
          </w:p>
        </w:tc>
        <w:tc>
          <w:tcPr>
            <w:tcW w:w="3038" w:type="dxa"/>
            <w:vAlign w:val="center"/>
          </w:tcPr>
          <w:p w14:paraId="1383D005" w14:textId="77777777" w:rsidR="003D5162" w:rsidRPr="0058432E" w:rsidRDefault="003D5162" w:rsidP="00982118">
            <w:pPr>
              <w:keepNext/>
              <w:jc w:val="center"/>
              <w:rPr>
                <w:color w:val="000000" w:themeColor="text1"/>
              </w:rPr>
            </w:pPr>
          </w:p>
        </w:tc>
        <w:tc>
          <w:tcPr>
            <w:tcW w:w="2253" w:type="dxa"/>
            <w:vAlign w:val="center"/>
          </w:tcPr>
          <w:p w14:paraId="42CFF894" w14:textId="77777777" w:rsidR="003D5162" w:rsidRPr="0058432E" w:rsidRDefault="003D5162" w:rsidP="00982118">
            <w:pPr>
              <w:keepNext/>
              <w:jc w:val="center"/>
              <w:rPr>
                <w:color w:val="000000" w:themeColor="text1"/>
              </w:rPr>
            </w:pPr>
          </w:p>
        </w:tc>
      </w:tr>
      <w:tr w:rsidR="00C46587" w:rsidRPr="0058432E" w14:paraId="5134B5D1" w14:textId="77777777" w:rsidTr="00EA7409">
        <w:trPr>
          <w:jc w:val="center"/>
        </w:trPr>
        <w:tc>
          <w:tcPr>
            <w:tcW w:w="4012" w:type="dxa"/>
          </w:tcPr>
          <w:p w14:paraId="30355B66" w14:textId="77777777" w:rsidR="00C46587" w:rsidRPr="0058432E" w:rsidRDefault="003D5162" w:rsidP="00982118">
            <w:pPr>
              <w:keepNext/>
              <w:rPr>
                <w:b/>
                <w:color w:val="000000" w:themeColor="text1"/>
              </w:rPr>
            </w:pPr>
            <w:r w:rsidRPr="0058432E">
              <w:rPr>
                <w:b/>
                <w:color w:val="000000" w:themeColor="text1"/>
              </w:rPr>
              <w:t>Semaines 8 et 52</w:t>
            </w:r>
          </w:p>
        </w:tc>
        <w:tc>
          <w:tcPr>
            <w:tcW w:w="3038" w:type="dxa"/>
            <w:vAlign w:val="center"/>
            <w:hideMark/>
          </w:tcPr>
          <w:p w14:paraId="0A001713" w14:textId="77777777" w:rsidR="00C46587" w:rsidRPr="0058432E" w:rsidRDefault="00C46587" w:rsidP="00982118">
            <w:pPr>
              <w:keepNext/>
              <w:jc w:val="center"/>
              <w:rPr>
                <w:b/>
                <w:color w:val="000000" w:themeColor="text1"/>
              </w:rPr>
            </w:pPr>
            <w:r w:rsidRPr="0058432E">
              <w:rPr>
                <w:b/>
                <w:color w:val="000000" w:themeColor="text1"/>
              </w:rPr>
              <w:t>(N = 140)</w:t>
            </w:r>
          </w:p>
        </w:tc>
        <w:tc>
          <w:tcPr>
            <w:tcW w:w="2253" w:type="dxa"/>
            <w:vAlign w:val="center"/>
            <w:hideMark/>
          </w:tcPr>
          <w:p w14:paraId="4081DE2A" w14:textId="77777777" w:rsidR="00C46587" w:rsidRPr="0058432E" w:rsidRDefault="00C46587" w:rsidP="00982118">
            <w:pPr>
              <w:keepNext/>
              <w:jc w:val="center"/>
              <w:rPr>
                <w:b/>
                <w:color w:val="000000" w:themeColor="text1"/>
              </w:rPr>
            </w:pPr>
            <w:r w:rsidRPr="0058432E">
              <w:rPr>
                <w:b/>
                <w:color w:val="000000" w:themeColor="text1"/>
              </w:rPr>
              <w:t>(N = 150)</w:t>
            </w:r>
          </w:p>
        </w:tc>
      </w:tr>
      <w:tr w:rsidR="00C46587" w:rsidRPr="0058432E" w14:paraId="17592030" w14:textId="77777777" w:rsidTr="00EA7409">
        <w:trPr>
          <w:jc w:val="center"/>
        </w:trPr>
        <w:tc>
          <w:tcPr>
            <w:tcW w:w="4012" w:type="dxa"/>
            <w:hideMark/>
          </w:tcPr>
          <w:p w14:paraId="6E2FF47B" w14:textId="77777777" w:rsidR="00C46587" w:rsidRPr="0058432E" w:rsidRDefault="00C46587" w:rsidP="00982118">
            <w:pPr>
              <w:keepNext/>
              <w:tabs>
                <w:tab w:val="left" w:pos="288"/>
              </w:tabs>
              <w:ind w:left="252"/>
              <w:rPr>
                <w:color w:val="000000" w:themeColor="text1"/>
              </w:rPr>
            </w:pPr>
            <w:r w:rsidRPr="0058432E">
              <w:rPr>
                <w:color w:val="000000" w:themeColor="text1"/>
              </w:rPr>
              <w:t>Réponse maintenue</w:t>
            </w:r>
          </w:p>
        </w:tc>
        <w:tc>
          <w:tcPr>
            <w:tcW w:w="3038" w:type="dxa"/>
            <w:vAlign w:val="center"/>
            <w:hideMark/>
          </w:tcPr>
          <w:p w14:paraId="40C2FF8E" w14:textId="77777777" w:rsidR="00C46587" w:rsidRPr="0058432E" w:rsidRDefault="00C46587" w:rsidP="00982118">
            <w:pPr>
              <w:keepNext/>
              <w:jc w:val="center"/>
              <w:rPr>
                <w:color w:val="000000" w:themeColor="text1"/>
              </w:rPr>
            </w:pPr>
            <w:r w:rsidRPr="0058432E">
              <w:rPr>
                <w:color w:val="000000" w:themeColor="text1"/>
              </w:rPr>
              <w:t>12 %</w:t>
            </w:r>
          </w:p>
        </w:tc>
        <w:tc>
          <w:tcPr>
            <w:tcW w:w="2253" w:type="dxa"/>
            <w:vAlign w:val="center"/>
            <w:hideMark/>
          </w:tcPr>
          <w:p w14:paraId="13D2C195" w14:textId="77777777" w:rsidR="00C46587" w:rsidRPr="0058432E" w:rsidRDefault="00C46587" w:rsidP="00982118">
            <w:pPr>
              <w:keepNext/>
              <w:jc w:val="center"/>
              <w:rPr>
                <w:color w:val="000000" w:themeColor="text1"/>
              </w:rPr>
            </w:pPr>
            <w:r w:rsidRPr="0058432E">
              <w:rPr>
                <w:color w:val="000000" w:themeColor="text1"/>
              </w:rPr>
              <w:t>24 %**</w:t>
            </w:r>
          </w:p>
        </w:tc>
      </w:tr>
      <w:tr w:rsidR="00C46587" w:rsidRPr="0058432E" w14:paraId="6FA3EB78" w14:textId="77777777" w:rsidTr="00EA7409">
        <w:trPr>
          <w:jc w:val="center"/>
        </w:trPr>
        <w:tc>
          <w:tcPr>
            <w:tcW w:w="4012" w:type="dxa"/>
            <w:hideMark/>
          </w:tcPr>
          <w:p w14:paraId="5134879C" w14:textId="77777777" w:rsidR="00C46587" w:rsidRPr="0058432E" w:rsidRDefault="00C46587" w:rsidP="00982118">
            <w:pPr>
              <w:keepNext/>
              <w:tabs>
                <w:tab w:val="left" w:pos="288"/>
              </w:tabs>
              <w:ind w:left="252"/>
              <w:rPr>
                <w:color w:val="000000" w:themeColor="text1"/>
              </w:rPr>
            </w:pPr>
            <w:r w:rsidRPr="0058432E">
              <w:rPr>
                <w:color w:val="000000" w:themeColor="text1"/>
              </w:rPr>
              <w:t>Rémission maintenue</w:t>
            </w:r>
          </w:p>
        </w:tc>
        <w:tc>
          <w:tcPr>
            <w:tcW w:w="3038" w:type="dxa"/>
            <w:vAlign w:val="center"/>
            <w:hideMark/>
          </w:tcPr>
          <w:p w14:paraId="67435206" w14:textId="77777777" w:rsidR="00C46587" w:rsidRPr="0058432E" w:rsidRDefault="00C46587" w:rsidP="00982118">
            <w:pPr>
              <w:keepNext/>
              <w:jc w:val="center"/>
              <w:rPr>
                <w:color w:val="000000" w:themeColor="text1"/>
              </w:rPr>
            </w:pPr>
            <w:r w:rsidRPr="0058432E">
              <w:rPr>
                <w:color w:val="000000" w:themeColor="text1"/>
              </w:rPr>
              <w:t>4 %</w:t>
            </w:r>
          </w:p>
        </w:tc>
        <w:tc>
          <w:tcPr>
            <w:tcW w:w="2253" w:type="dxa"/>
            <w:vAlign w:val="center"/>
            <w:hideMark/>
          </w:tcPr>
          <w:p w14:paraId="1CAE8EAB" w14:textId="77777777" w:rsidR="00C46587" w:rsidRPr="0058432E" w:rsidRDefault="00C46587" w:rsidP="00982118">
            <w:pPr>
              <w:keepNext/>
              <w:jc w:val="center"/>
              <w:rPr>
                <w:color w:val="000000" w:themeColor="text1"/>
              </w:rPr>
            </w:pPr>
            <w:r w:rsidRPr="0058432E">
              <w:rPr>
                <w:color w:val="000000" w:themeColor="text1"/>
              </w:rPr>
              <w:t>8 %*</w:t>
            </w:r>
          </w:p>
        </w:tc>
      </w:tr>
      <w:tr w:rsidR="00C46587" w:rsidRPr="0058432E" w14:paraId="23C0E599" w14:textId="77777777" w:rsidTr="00EA7409">
        <w:trPr>
          <w:jc w:val="center"/>
        </w:trPr>
        <w:tc>
          <w:tcPr>
            <w:tcW w:w="4012" w:type="dxa"/>
            <w:tcBorders>
              <w:bottom w:val="single" w:sz="4" w:space="0" w:color="auto"/>
            </w:tcBorders>
            <w:hideMark/>
          </w:tcPr>
          <w:p w14:paraId="7E8D4104" w14:textId="77777777" w:rsidR="00C46587" w:rsidRPr="0058432E" w:rsidRDefault="00C46587" w:rsidP="00982118">
            <w:pPr>
              <w:keepNext/>
              <w:tabs>
                <w:tab w:val="left" w:pos="288"/>
              </w:tabs>
              <w:ind w:left="252"/>
              <w:rPr>
                <w:color w:val="000000" w:themeColor="text1"/>
              </w:rPr>
            </w:pPr>
            <w:r w:rsidRPr="0058432E">
              <w:rPr>
                <w:color w:val="000000" w:themeColor="text1"/>
              </w:rPr>
              <w:t>Cicatrisation de la muqueuse maintenue</w:t>
            </w:r>
          </w:p>
        </w:tc>
        <w:tc>
          <w:tcPr>
            <w:tcW w:w="3038" w:type="dxa"/>
            <w:tcBorders>
              <w:bottom w:val="single" w:sz="4" w:space="0" w:color="auto"/>
            </w:tcBorders>
            <w:vAlign w:val="center"/>
            <w:hideMark/>
          </w:tcPr>
          <w:p w14:paraId="0C044259" w14:textId="77777777" w:rsidR="00C46587" w:rsidRPr="0058432E" w:rsidRDefault="00C46587" w:rsidP="00982118">
            <w:pPr>
              <w:keepNext/>
              <w:jc w:val="center"/>
              <w:rPr>
                <w:color w:val="000000" w:themeColor="text1"/>
              </w:rPr>
            </w:pPr>
            <w:r w:rsidRPr="0058432E">
              <w:rPr>
                <w:color w:val="000000" w:themeColor="text1"/>
              </w:rPr>
              <w:t>11 %</w:t>
            </w:r>
          </w:p>
        </w:tc>
        <w:tc>
          <w:tcPr>
            <w:tcW w:w="2253" w:type="dxa"/>
            <w:tcBorders>
              <w:bottom w:val="single" w:sz="4" w:space="0" w:color="auto"/>
            </w:tcBorders>
            <w:vAlign w:val="center"/>
            <w:hideMark/>
          </w:tcPr>
          <w:p w14:paraId="1A72089B" w14:textId="77777777" w:rsidR="00C46587" w:rsidRPr="0058432E" w:rsidRDefault="00C46587" w:rsidP="00982118">
            <w:pPr>
              <w:keepNext/>
              <w:jc w:val="center"/>
              <w:rPr>
                <w:color w:val="000000" w:themeColor="text1"/>
              </w:rPr>
            </w:pPr>
            <w:r w:rsidRPr="0058432E">
              <w:rPr>
                <w:color w:val="000000" w:themeColor="text1"/>
              </w:rPr>
              <w:t>19 %*</w:t>
            </w:r>
          </w:p>
        </w:tc>
      </w:tr>
      <w:tr w:rsidR="00EA7409" w:rsidRPr="0058432E" w14:paraId="06E29978" w14:textId="77777777" w:rsidTr="00EA7409">
        <w:trPr>
          <w:jc w:val="center"/>
        </w:trPr>
        <w:tc>
          <w:tcPr>
            <w:tcW w:w="9303" w:type="dxa"/>
            <w:gridSpan w:val="3"/>
            <w:tcBorders>
              <w:left w:val="nil"/>
              <w:bottom w:val="nil"/>
              <w:right w:val="nil"/>
            </w:tcBorders>
          </w:tcPr>
          <w:p w14:paraId="3A34D667" w14:textId="77777777" w:rsidR="00EA7409" w:rsidRPr="0058432E" w:rsidRDefault="00EA7409" w:rsidP="00EA7409">
            <w:pPr>
              <w:rPr>
                <w:color w:val="000000" w:themeColor="text1"/>
                <w:sz w:val="20"/>
              </w:rPr>
            </w:pPr>
            <w:r w:rsidRPr="0058432E">
              <w:rPr>
                <w:color w:val="000000" w:themeColor="text1"/>
                <w:sz w:val="20"/>
              </w:rPr>
              <w:t>Une rémission clinique est définie par un score Mayo ≤ 2 sans aucun sous-score &gt; 1 ;</w:t>
            </w:r>
          </w:p>
          <w:p w14:paraId="1812139F" w14:textId="77777777" w:rsidR="00EA7409" w:rsidRPr="0058432E" w:rsidRDefault="00EA7409" w:rsidP="00EA7409">
            <w:pPr>
              <w:rPr>
                <w:color w:val="000000" w:themeColor="text1"/>
                <w:sz w:val="20"/>
              </w:rPr>
            </w:pPr>
            <w:r w:rsidRPr="0058432E">
              <w:rPr>
                <w:color w:val="000000" w:themeColor="text1"/>
                <w:sz w:val="20"/>
              </w:rPr>
              <w:t xml:space="preserve">La réponse clinique est une diminution </w:t>
            </w:r>
            <w:r w:rsidR="0041552E" w:rsidRPr="0058432E">
              <w:rPr>
                <w:color w:val="000000" w:themeColor="text1"/>
                <w:sz w:val="20"/>
              </w:rPr>
              <w:t xml:space="preserve">par rapport à la valeur de base </w:t>
            </w:r>
            <w:r w:rsidRPr="0058432E">
              <w:rPr>
                <w:color w:val="000000" w:themeColor="text1"/>
                <w:sz w:val="20"/>
              </w:rPr>
              <w:t>du score Mayo ≥ 3 points et ≥ 30 % associée à une diminution du sous-score de saignement rectal (SSR) ≥ 1 ou une valeur absolue du SSR de 0 ou 1 ;</w:t>
            </w:r>
          </w:p>
          <w:p w14:paraId="08878B50" w14:textId="77777777" w:rsidR="00EA7409" w:rsidRPr="0058432E" w:rsidRDefault="00EA7409" w:rsidP="00EA7409">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0,05 pour l’adalimumab </w:t>
            </w:r>
            <w:r w:rsidRPr="0058432E">
              <w:rPr>
                <w:i/>
                <w:color w:val="000000" w:themeColor="text1"/>
                <w:sz w:val="20"/>
              </w:rPr>
              <w:t>versus</w:t>
            </w:r>
            <w:r w:rsidRPr="0058432E">
              <w:rPr>
                <w:color w:val="000000" w:themeColor="text1"/>
                <w:sz w:val="20"/>
              </w:rPr>
              <w:t xml:space="preserve"> placebo, comparaisons appariées des pourcentages </w:t>
            </w:r>
          </w:p>
          <w:p w14:paraId="52F839A7" w14:textId="77777777" w:rsidR="00EA7409" w:rsidRPr="0058432E" w:rsidRDefault="00EA7409" w:rsidP="00EA7409">
            <w:pPr>
              <w:ind w:left="270" w:hanging="270"/>
              <w:rPr>
                <w:color w:val="000000" w:themeColor="text1"/>
                <w:sz w:val="20"/>
              </w:rPr>
            </w:pPr>
            <w:r w:rsidRPr="0058432E">
              <w:rPr>
                <w:color w:val="000000" w:themeColor="text1"/>
                <w:sz w:val="20"/>
              </w:rPr>
              <w:t>**</w:t>
            </w:r>
            <w:r w:rsidRPr="0058432E">
              <w:rPr>
                <w:color w:val="000000" w:themeColor="text1"/>
                <w:sz w:val="20"/>
              </w:rPr>
              <w:tab/>
            </w:r>
            <w:r w:rsidRPr="0058432E">
              <w:rPr>
                <w:i/>
                <w:iCs/>
                <w:color w:val="000000" w:themeColor="text1"/>
                <w:sz w:val="20"/>
              </w:rPr>
              <w:t>p</w:t>
            </w:r>
            <w:r w:rsidRPr="0058432E">
              <w:rPr>
                <w:color w:val="000000" w:themeColor="text1"/>
                <w:sz w:val="20"/>
              </w:rPr>
              <w:t xml:space="preserve"> &lt; 0,001 pour l’adalimumab </w:t>
            </w:r>
            <w:r w:rsidRPr="0058432E">
              <w:rPr>
                <w:i/>
                <w:color w:val="000000" w:themeColor="text1"/>
                <w:sz w:val="20"/>
              </w:rPr>
              <w:t>versus</w:t>
            </w:r>
            <w:r w:rsidRPr="0058432E">
              <w:rPr>
                <w:color w:val="000000" w:themeColor="text1"/>
                <w:sz w:val="20"/>
              </w:rPr>
              <w:t xml:space="preserve"> placebo, comparaisons appariées des pourcentages </w:t>
            </w:r>
          </w:p>
          <w:p w14:paraId="17C8A159" w14:textId="77777777" w:rsidR="00EA7409" w:rsidRPr="0058432E" w:rsidRDefault="00EA7409" w:rsidP="00EA7409">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Parmi ceux initialement traités par corticoïdes</w:t>
            </w:r>
          </w:p>
        </w:tc>
      </w:tr>
    </w:tbl>
    <w:p w14:paraId="3E2644AB" w14:textId="77777777" w:rsidR="00C46587" w:rsidRPr="0058432E" w:rsidRDefault="00C46587" w:rsidP="00982118">
      <w:pPr>
        <w:rPr>
          <w:color w:val="000000" w:themeColor="text1"/>
        </w:rPr>
      </w:pPr>
    </w:p>
    <w:p w14:paraId="5D25372D" w14:textId="77777777" w:rsidR="00C46587" w:rsidRPr="0058432E" w:rsidRDefault="00C46587" w:rsidP="00982118">
      <w:pPr>
        <w:rPr>
          <w:color w:val="000000" w:themeColor="text1"/>
        </w:rPr>
      </w:pPr>
      <w:r w:rsidRPr="0058432E">
        <w:rPr>
          <w:color w:val="000000" w:themeColor="text1"/>
        </w:rPr>
        <w:t>Parmi les patients ayant une réponse clinique à la 8</w:t>
      </w:r>
      <w:r w:rsidRPr="0058432E">
        <w:rPr>
          <w:color w:val="000000" w:themeColor="text1"/>
          <w:vertAlign w:val="superscript"/>
        </w:rPr>
        <w:t>e</w:t>
      </w:r>
      <w:r w:rsidRPr="0058432E">
        <w:rPr>
          <w:color w:val="000000" w:themeColor="text1"/>
        </w:rPr>
        <w:t xml:space="preserve"> semaine, 47 % étaient en réponse clinique, 29 % étaient en rémission, 41 % avaient une cicatrisation de la muqueuse et 20 % étaient en rémission sans corticoïdes depuis 90 jours </w:t>
      </w:r>
      <w:r w:rsidR="00852D83" w:rsidRPr="0058432E">
        <w:rPr>
          <w:color w:val="000000" w:themeColor="text1"/>
        </w:rPr>
        <w:t xml:space="preserve">ou plus </w:t>
      </w:r>
      <w:r w:rsidRPr="0058432E">
        <w:rPr>
          <w:color w:val="000000" w:themeColor="text1"/>
        </w:rPr>
        <w:t xml:space="preserve">à la semaine 52. </w:t>
      </w:r>
    </w:p>
    <w:p w14:paraId="77C29821" w14:textId="77777777" w:rsidR="00C46587" w:rsidRPr="0058432E" w:rsidRDefault="00C46587" w:rsidP="00982118">
      <w:pPr>
        <w:rPr>
          <w:color w:val="000000" w:themeColor="text1"/>
        </w:rPr>
      </w:pPr>
    </w:p>
    <w:p w14:paraId="7F532192" w14:textId="77777777" w:rsidR="00C46587" w:rsidRPr="0058432E" w:rsidRDefault="00C46587" w:rsidP="00982118">
      <w:pPr>
        <w:rPr>
          <w:color w:val="000000" w:themeColor="text1"/>
        </w:rPr>
      </w:pPr>
      <w:r w:rsidRPr="0058432E">
        <w:rPr>
          <w:color w:val="000000" w:themeColor="text1"/>
        </w:rPr>
        <w:t xml:space="preserve">Environ 40 % des patients de l’étude II sur la RCH étaient en échec à un traitement </w:t>
      </w:r>
      <w:r w:rsidR="00664E72" w:rsidRPr="0058432E">
        <w:rPr>
          <w:color w:val="000000" w:themeColor="text1"/>
        </w:rPr>
        <w:t xml:space="preserve">par </w:t>
      </w:r>
      <w:r w:rsidR="00533435" w:rsidRPr="0058432E">
        <w:rPr>
          <w:color w:val="000000" w:themeColor="text1"/>
        </w:rPr>
        <w:t>antagoniste du TNF</w:t>
      </w:r>
      <w:r w:rsidR="002D366A" w:rsidRPr="0058432E">
        <w:rPr>
          <w:color w:val="000000" w:themeColor="text1"/>
        </w:rPr>
        <w:t xml:space="preserve"> </w:t>
      </w:r>
      <w:r w:rsidRPr="0058432E">
        <w:rPr>
          <w:color w:val="000000" w:themeColor="text1"/>
        </w:rPr>
        <w:t xml:space="preserve">antérieur par l’infliximab. L’efficacité de l’adalimumab chez ces patients était moindre </w:t>
      </w:r>
      <w:r w:rsidRPr="0058432E">
        <w:rPr>
          <w:i/>
          <w:color w:val="000000" w:themeColor="text1"/>
        </w:rPr>
        <w:t>versus</w:t>
      </w:r>
      <w:r w:rsidRPr="0058432E">
        <w:rPr>
          <w:color w:val="000000" w:themeColor="text1"/>
        </w:rPr>
        <w:t xml:space="preserve"> celle chez les patients naïfs d’</w:t>
      </w:r>
      <w:r w:rsidR="00664E72" w:rsidRPr="0058432E">
        <w:rPr>
          <w:color w:val="000000" w:themeColor="text1"/>
        </w:rPr>
        <w:t xml:space="preserve">antagoniste du </w:t>
      </w:r>
      <w:r w:rsidRPr="0058432E">
        <w:rPr>
          <w:color w:val="000000" w:themeColor="text1"/>
        </w:rPr>
        <w:t xml:space="preserve">TNF. Parmi les patients en échec à un traitement </w:t>
      </w:r>
      <w:r w:rsidR="00664E72" w:rsidRPr="0058432E">
        <w:rPr>
          <w:color w:val="000000" w:themeColor="text1"/>
        </w:rPr>
        <w:t xml:space="preserve">par </w:t>
      </w:r>
      <w:r w:rsidR="00533435" w:rsidRPr="0058432E">
        <w:rPr>
          <w:color w:val="000000" w:themeColor="text1"/>
        </w:rPr>
        <w:t>antagoniste du TNF</w:t>
      </w:r>
      <w:r w:rsidR="00664E72" w:rsidRPr="0058432E">
        <w:rPr>
          <w:color w:val="000000" w:themeColor="text1"/>
        </w:rPr>
        <w:t xml:space="preserve"> </w:t>
      </w:r>
      <w:r w:rsidRPr="0058432E">
        <w:rPr>
          <w:color w:val="000000" w:themeColor="text1"/>
        </w:rPr>
        <w:t xml:space="preserve">antérieur, une rémission a été obtenue à la semaine 52 chez 3 % des patients sous placebo et 10 % des patients sous adalimumab. </w:t>
      </w:r>
    </w:p>
    <w:p w14:paraId="333BDA59" w14:textId="77777777" w:rsidR="00C46587" w:rsidRPr="0058432E" w:rsidRDefault="00C46587" w:rsidP="00982118">
      <w:pPr>
        <w:rPr>
          <w:color w:val="000000" w:themeColor="text1"/>
        </w:rPr>
      </w:pPr>
    </w:p>
    <w:p w14:paraId="1A3448FF" w14:textId="77777777" w:rsidR="00C46587" w:rsidRPr="0058432E" w:rsidRDefault="00C46587" w:rsidP="00982118">
      <w:pPr>
        <w:rPr>
          <w:color w:val="000000" w:themeColor="text1"/>
        </w:rPr>
      </w:pPr>
      <w:r w:rsidRPr="0058432E">
        <w:rPr>
          <w:color w:val="000000" w:themeColor="text1"/>
        </w:rPr>
        <w:t xml:space="preserve">Les patients des études I et II sur la RCH avaient la possibilité d’être inclus dans l’étude d’extension à long terme en ouvert (étude III sur la RCH). Après 3 ans de traitement </w:t>
      </w:r>
      <w:r w:rsidR="008E7545" w:rsidRPr="0058432E">
        <w:rPr>
          <w:color w:val="000000" w:themeColor="text1"/>
        </w:rPr>
        <w:t>par adalimumab</w:t>
      </w:r>
      <w:r w:rsidRPr="0058432E">
        <w:rPr>
          <w:color w:val="000000" w:themeColor="text1"/>
        </w:rPr>
        <w:t xml:space="preserve">, 75 % (301/402) continuaient à être en rémission clinique selon le score Mayo partiel. </w:t>
      </w:r>
    </w:p>
    <w:p w14:paraId="62E12F1C" w14:textId="77777777" w:rsidR="00C46587" w:rsidRPr="0058432E" w:rsidRDefault="00C46587" w:rsidP="00982118">
      <w:pPr>
        <w:rPr>
          <w:color w:val="000000" w:themeColor="text1"/>
        </w:rPr>
      </w:pPr>
    </w:p>
    <w:p w14:paraId="73D92228" w14:textId="77777777" w:rsidR="00C46587" w:rsidRPr="0058432E" w:rsidRDefault="00C46587" w:rsidP="00DC3A99">
      <w:pPr>
        <w:keepNext/>
        <w:rPr>
          <w:i/>
          <w:color w:val="000000" w:themeColor="text1"/>
          <w:u w:val="single"/>
        </w:rPr>
      </w:pPr>
      <w:r w:rsidRPr="0058432E">
        <w:rPr>
          <w:i/>
          <w:color w:val="000000" w:themeColor="text1"/>
          <w:u w:val="single"/>
        </w:rPr>
        <w:t xml:space="preserve">Taux d’hospitalisation </w:t>
      </w:r>
    </w:p>
    <w:p w14:paraId="6C004254" w14:textId="77777777" w:rsidR="00C46587" w:rsidRPr="0058432E" w:rsidRDefault="00C46587" w:rsidP="00DC3A99">
      <w:pPr>
        <w:keepNext/>
        <w:rPr>
          <w:color w:val="000000" w:themeColor="text1"/>
        </w:rPr>
      </w:pPr>
    </w:p>
    <w:p w14:paraId="60FD7CA3" w14:textId="77777777" w:rsidR="00C46587" w:rsidRPr="0058432E" w:rsidRDefault="00C46587" w:rsidP="00982118">
      <w:pPr>
        <w:rPr>
          <w:color w:val="000000" w:themeColor="text1"/>
        </w:rPr>
      </w:pPr>
      <w:r w:rsidRPr="0058432E">
        <w:rPr>
          <w:color w:val="000000" w:themeColor="text1"/>
        </w:rPr>
        <w:t xml:space="preserve">Pendant les 52 semaines des études I et II dans la RCH, des taux plus faibles d’hospitalisation toutes causes confondues et d’hospitalisation liée à la RCH ont été observés dans le bras traité </w:t>
      </w:r>
      <w:r w:rsidR="008E7545" w:rsidRPr="0058432E">
        <w:rPr>
          <w:color w:val="000000" w:themeColor="text1"/>
        </w:rPr>
        <w:t>par adalimumab</w:t>
      </w:r>
      <w:r w:rsidRPr="0058432E">
        <w:rPr>
          <w:color w:val="000000" w:themeColor="text1"/>
        </w:rPr>
        <w:t xml:space="preserve"> comparé au bras placebo. Le nombre d’hospitalisations toutes causes confondues dans le groupe traité </w:t>
      </w:r>
      <w:r w:rsidR="008E7545" w:rsidRPr="0058432E">
        <w:rPr>
          <w:color w:val="000000" w:themeColor="text1"/>
        </w:rPr>
        <w:t>par adalimumab</w:t>
      </w:r>
      <w:r w:rsidRPr="0058432E">
        <w:rPr>
          <w:color w:val="000000" w:themeColor="text1"/>
        </w:rPr>
        <w:t xml:space="preserve"> était de 0,18 par patient-année </w:t>
      </w:r>
      <w:r w:rsidRPr="0058432E">
        <w:rPr>
          <w:i/>
          <w:iCs/>
          <w:color w:val="000000" w:themeColor="text1"/>
        </w:rPr>
        <w:t>versus</w:t>
      </w:r>
      <w:r w:rsidRPr="0058432E">
        <w:rPr>
          <w:color w:val="000000" w:themeColor="text1"/>
        </w:rPr>
        <w:t xml:space="preserve"> 0,26 par patient-année dans le groupe placebo et le nombre correspondant d’hospitalisations liées à la RCH était de 0,12 par patient-année </w:t>
      </w:r>
      <w:r w:rsidRPr="0058432E">
        <w:rPr>
          <w:i/>
          <w:color w:val="000000" w:themeColor="text1"/>
        </w:rPr>
        <w:t>versus</w:t>
      </w:r>
      <w:r w:rsidRPr="0058432E">
        <w:rPr>
          <w:color w:val="000000" w:themeColor="text1"/>
        </w:rPr>
        <w:t xml:space="preserve"> 0,22 par patient-année. </w:t>
      </w:r>
    </w:p>
    <w:p w14:paraId="77A3573F" w14:textId="77777777" w:rsidR="00C46587" w:rsidRPr="0058432E" w:rsidRDefault="00C46587" w:rsidP="00982118">
      <w:pPr>
        <w:rPr>
          <w:color w:val="000000" w:themeColor="text1"/>
        </w:rPr>
      </w:pPr>
    </w:p>
    <w:p w14:paraId="50570A84" w14:textId="77777777" w:rsidR="00C46587" w:rsidRPr="0058432E" w:rsidRDefault="00C46587" w:rsidP="00982118">
      <w:pPr>
        <w:keepNext/>
        <w:rPr>
          <w:i/>
          <w:color w:val="000000" w:themeColor="text1"/>
          <w:u w:val="single"/>
        </w:rPr>
      </w:pPr>
      <w:r w:rsidRPr="0058432E">
        <w:rPr>
          <w:i/>
          <w:color w:val="000000" w:themeColor="text1"/>
          <w:u w:val="single"/>
        </w:rPr>
        <w:t xml:space="preserve">Qualité de vie </w:t>
      </w:r>
    </w:p>
    <w:p w14:paraId="363B42E5" w14:textId="77777777" w:rsidR="00C46587" w:rsidRPr="0058432E" w:rsidRDefault="00C46587" w:rsidP="00982118">
      <w:pPr>
        <w:keepNext/>
        <w:rPr>
          <w:color w:val="000000" w:themeColor="text1"/>
        </w:rPr>
      </w:pPr>
    </w:p>
    <w:p w14:paraId="1A8215F9" w14:textId="77777777" w:rsidR="00C46587" w:rsidRPr="0058432E" w:rsidRDefault="00C46587" w:rsidP="00982118">
      <w:pPr>
        <w:rPr>
          <w:color w:val="000000" w:themeColor="text1"/>
        </w:rPr>
      </w:pPr>
      <w:r w:rsidRPr="0058432E">
        <w:rPr>
          <w:color w:val="000000" w:themeColor="text1"/>
        </w:rPr>
        <w:t xml:space="preserve">Dans l’étude II sur la RCH, le traitement par </w:t>
      </w:r>
      <w:r w:rsidR="00EF461F" w:rsidRPr="0058432E">
        <w:rPr>
          <w:color w:val="000000" w:themeColor="text1"/>
        </w:rPr>
        <w:t>adalimumab</w:t>
      </w:r>
      <w:r w:rsidRPr="0058432E">
        <w:rPr>
          <w:color w:val="000000" w:themeColor="text1"/>
        </w:rPr>
        <w:t xml:space="preserve"> entraînait des améliorations du score du questionnaire sur les maladies inflammatoires de l’intestin (IBDQ). </w:t>
      </w:r>
    </w:p>
    <w:p w14:paraId="0B91AF93" w14:textId="77777777" w:rsidR="00C46587" w:rsidRPr="0058432E" w:rsidRDefault="00C46587" w:rsidP="00982118">
      <w:pPr>
        <w:rPr>
          <w:color w:val="000000" w:themeColor="text1"/>
        </w:rPr>
      </w:pPr>
    </w:p>
    <w:p w14:paraId="6F096421" w14:textId="77777777" w:rsidR="00C46587" w:rsidRPr="0058432E" w:rsidRDefault="00C46587" w:rsidP="00DC3A99">
      <w:pPr>
        <w:keepNext/>
        <w:rPr>
          <w:i/>
          <w:color w:val="000000" w:themeColor="text1"/>
        </w:rPr>
      </w:pPr>
      <w:r w:rsidRPr="0058432E">
        <w:rPr>
          <w:i/>
          <w:color w:val="000000" w:themeColor="text1"/>
        </w:rPr>
        <w:lastRenderedPageBreak/>
        <w:t xml:space="preserve">Uvéite </w:t>
      </w:r>
    </w:p>
    <w:p w14:paraId="56533C00" w14:textId="77777777" w:rsidR="00C46587" w:rsidRPr="0058432E" w:rsidRDefault="00C46587" w:rsidP="00DC3A99">
      <w:pPr>
        <w:keepNext/>
        <w:rPr>
          <w:color w:val="000000" w:themeColor="text1"/>
        </w:rPr>
      </w:pPr>
    </w:p>
    <w:p w14:paraId="5231A923" w14:textId="77777777" w:rsidR="00914F4E" w:rsidRPr="0058432E" w:rsidRDefault="00914F4E" w:rsidP="00982118">
      <w:pPr>
        <w:rPr>
          <w:color w:val="000000" w:themeColor="text1"/>
        </w:rPr>
      </w:pPr>
      <w:r w:rsidRPr="0058432E">
        <w:rPr>
          <w:color w:val="000000" w:themeColor="text1"/>
        </w:rPr>
        <w:t xml:space="preserve">La </w:t>
      </w:r>
      <w:r w:rsidR="00354DBF" w:rsidRPr="0058432E">
        <w:rPr>
          <w:color w:val="000000" w:themeColor="text1"/>
        </w:rPr>
        <w:t>tolérance</w:t>
      </w:r>
      <w:r w:rsidRPr="0058432E">
        <w:rPr>
          <w:color w:val="000000" w:themeColor="text1"/>
        </w:rPr>
        <w:t xml:space="preserve"> et l’efficacité de l’adalimumab ont été évaluées chez des patients adultes atteints d’uvéite non infectieuse, intermédiaire, postérieure et de panuvéite, à l’exclusion des patients présentant une uvéite antérieure isolée, dans deux études randomisées, en double aveugle, contrôlées contre placebo (UV I et II). Les patients recevaient un placebo ou l’adalimumab à la dose initiale de 80 mg puis de 40 mg toutes les deux semaines en commençant une semaine après l’administration de la première dose. L’administration concomitante d’un immunosuppresseur non biologique à dose stable était autorisée. </w:t>
      </w:r>
    </w:p>
    <w:p w14:paraId="56327516" w14:textId="77777777" w:rsidR="00914F4E" w:rsidRPr="0058432E" w:rsidRDefault="00914F4E" w:rsidP="00982118">
      <w:pPr>
        <w:rPr>
          <w:color w:val="000000" w:themeColor="text1"/>
        </w:rPr>
      </w:pPr>
    </w:p>
    <w:p w14:paraId="68C2B0DF" w14:textId="77777777" w:rsidR="00914F4E" w:rsidRPr="0058432E" w:rsidRDefault="00914F4E" w:rsidP="00982118">
      <w:pPr>
        <w:rPr>
          <w:color w:val="000000" w:themeColor="text1"/>
        </w:rPr>
      </w:pPr>
      <w:r w:rsidRPr="0058432E">
        <w:rPr>
          <w:color w:val="000000" w:themeColor="text1"/>
        </w:rPr>
        <w:t xml:space="preserve">L’étude UV I a évalué 217 patients présentant une uvéite active malgré un traitement par corticoïdes (prednisone par voie orale à la dose de 10 à 60 mg/jour). Au moment de l’inclusion dans l’étude, tous les patients ont reçu une dose </w:t>
      </w:r>
      <w:r w:rsidR="00B17645" w:rsidRPr="0058432E">
        <w:rPr>
          <w:color w:val="000000" w:themeColor="text1"/>
        </w:rPr>
        <w:t xml:space="preserve">standardisée </w:t>
      </w:r>
      <w:r w:rsidRPr="0058432E">
        <w:rPr>
          <w:color w:val="000000" w:themeColor="text1"/>
        </w:rPr>
        <w:t xml:space="preserve">de 60 mg/jour de prednisone pendant deux semaines, progressivement réduite selon un schéma </w:t>
      </w:r>
      <w:r w:rsidR="00B17645" w:rsidRPr="0058432E">
        <w:rPr>
          <w:color w:val="000000" w:themeColor="text1"/>
        </w:rPr>
        <w:t xml:space="preserve">imposé </w:t>
      </w:r>
      <w:r w:rsidRPr="0058432E">
        <w:rPr>
          <w:color w:val="000000" w:themeColor="text1"/>
        </w:rPr>
        <w:t xml:space="preserve">jusqu’à l’arrêt complet de la corticothérapie à la semaine 15. </w:t>
      </w:r>
    </w:p>
    <w:p w14:paraId="100839B9" w14:textId="77777777" w:rsidR="00914F4E" w:rsidRPr="0058432E" w:rsidRDefault="00914F4E" w:rsidP="00982118">
      <w:pPr>
        <w:rPr>
          <w:color w:val="000000" w:themeColor="text1"/>
        </w:rPr>
      </w:pPr>
    </w:p>
    <w:p w14:paraId="269B3876" w14:textId="77777777" w:rsidR="00914F4E" w:rsidRPr="0058432E" w:rsidRDefault="00914F4E" w:rsidP="00982118">
      <w:pPr>
        <w:rPr>
          <w:color w:val="000000" w:themeColor="text1"/>
        </w:rPr>
      </w:pPr>
      <w:r w:rsidRPr="0058432E">
        <w:rPr>
          <w:color w:val="000000" w:themeColor="text1"/>
        </w:rPr>
        <w:t xml:space="preserve">L’étude UV II a évalué 226 patients présentant une uvéite inactive nécessitant une corticothérapie chronique (prednisone par voie orale à la dose de 10 à 35 mg/jour) au moment de l’inclusion pour contrôler leur maladie. La dose de corticoïdes était progressivement réduite selon un schéma </w:t>
      </w:r>
      <w:r w:rsidR="00B17645" w:rsidRPr="0058432E">
        <w:rPr>
          <w:color w:val="000000" w:themeColor="text1"/>
        </w:rPr>
        <w:t xml:space="preserve">imposé </w:t>
      </w:r>
      <w:r w:rsidRPr="0058432E">
        <w:rPr>
          <w:color w:val="000000" w:themeColor="text1"/>
        </w:rPr>
        <w:t xml:space="preserve">jusqu’à l’arrêt complet de la corticothérapie à la semaine 19. </w:t>
      </w:r>
    </w:p>
    <w:p w14:paraId="2BD1E0EF" w14:textId="77777777" w:rsidR="00914F4E" w:rsidRPr="0058432E" w:rsidRDefault="00914F4E" w:rsidP="00982118">
      <w:pPr>
        <w:rPr>
          <w:color w:val="000000" w:themeColor="text1"/>
        </w:rPr>
      </w:pPr>
    </w:p>
    <w:p w14:paraId="2DAEF10A" w14:textId="77777777" w:rsidR="00914F4E" w:rsidRPr="0058432E" w:rsidRDefault="00914F4E" w:rsidP="00982118">
      <w:pPr>
        <w:rPr>
          <w:color w:val="000000" w:themeColor="text1"/>
        </w:rPr>
      </w:pPr>
      <w:r w:rsidRPr="0058432E">
        <w:rPr>
          <w:color w:val="000000" w:themeColor="text1"/>
        </w:rPr>
        <w:t xml:space="preserve">Le critère </w:t>
      </w:r>
      <w:r w:rsidR="00B17645" w:rsidRPr="0058432E">
        <w:rPr>
          <w:color w:val="000000" w:themeColor="text1"/>
        </w:rPr>
        <w:t xml:space="preserve">d’évaluation </w:t>
      </w:r>
      <w:r w:rsidRPr="0058432E">
        <w:rPr>
          <w:color w:val="000000" w:themeColor="text1"/>
        </w:rPr>
        <w:t xml:space="preserve">principal de l’efficacité dans les deux études était le « délai de survenue de </w:t>
      </w:r>
      <w:r w:rsidR="00B17645" w:rsidRPr="0058432E">
        <w:rPr>
          <w:color w:val="000000" w:themeColor="text1"/>
        </w:rPr>
        <w:t xml:space="preserve">la </w:t>
      </w:r>
      <w:r w:rsidRPr="0058432E">
        <w:rPr>
          <w:color w:val="000000" w:themeColor="text1"/>
        </w:rPr>
        <w:t xml:space="preserve">rechute ». La rechute était définie par un </w:t>
      </w:r>
      <w:r w:rsidR="00B17645" w:rsidRPr="0058432E">
        <w:rPr>
          <w:color w:val="000000" w:themeColor="text1"/>
        </w:rPr>
        <w:t xml:space="preserve">résultat </w:t>
      </w:r>
      <w:r w:rsidRPr="0058432E">
        <w:rPr>
          <w:color w:val="000000" w:themeColor="text1"/>
        </w:rPr>
        <w:t xml:space="preserve">composite basé sur la présence de lésions vasculaires rétiniennes et/ou choriorétiniennes inflammatoires, le Tyndall cellulaire de la chambre antérieure, l’inflammation vitréenne et la meilleure acuité visuelle corrigée. </w:t>
      </w:r>
    </w:p>
    <w:p w14:paraId="2B61D9A9" w14:textId="77777777" w:rsidR="00EF00C8" w:rsidRPr="0058432E" w:rsidRDefault="00EF00C8" w:rsidP="00982118">
      <w:pPr>
        <w:rPr>
          <w:color w:val="000000" w:themeColor="text1"/>
        </w:rPr>
      </w:pPr>
    </w:p>
    <w:p w14:paraId="63E7F7BE" w14:textId="77777777" w:rsidR="002A7CDF" w:rsidRPr="0058432E" w:rsidRDefault="002A7CDF" w:rsidP="002A7CDF">
      <w:pPr>
        <w:pStyle w:val="BodyText"/>
        <w:widowControl/>
        <w:tabs>
          <w:tab w:val="left" w:pos="90"/>
        </w:tabs>
        <w:kinsoku w:val="0"/>
        <w:overflowPunct w:val="0"/>
        <w:ind w:left="0"/>
        <w:rPr>
          <w:color w:val="000000" w:themeColor="text1"/>
        </w:rPr>
      </w:pPr>
      <w:r w:rsidRPr="0058432E">
        <w:rPr>
          <w:color w:val="000000" w:themeColor="text1"/>
        </w:rPr>
        <w:t>Les patients ayant terminé les études UV I et UV II étaient éligible</w:t>
      </w:r>
      <w:r w:rsidR="009A69F5" w:rsidRPr="0058432E">
        <w:rPr>
          <w:color w:val="000000" w:themeColor="text1"/>
        </w:rPr>
        <w:t>s</w:t>
      </w:r>
      <w:r w:rsidRPr="0058432E">
        <w:rPr>
          <w:color w:val="000000" w:themeColor="text1"/>
        </w:rPr>
        <w:t xml:space="preserve"> pour participer à une étude d’extension à long terme non contrôlée d'une durée initialement prévue de 78 semaines. Les patients ont été autorisés à continuer à prendre le médicament de l’étude au-delà de la semaine 78 jusqu'à ce qu'ils aient accès à l'adalimumab.</w:t>
      </w:r>
    </w:p>
    <w:p w14:paraId="55181B93" w14:textId="77777777" w:rsidR="00914F4E" w:rsidRPr="0058432E" w:rsidRDefault="00914F4E" w:rsidP="00982118">
      <w:pPr>
        <w:rPr>
          <w:color w:val="000000" w:themeColor="text1"/>
        </w:rPr>
      </w:pPr>
    </w:p>
    <w:p w14:paraId="18E6B14B" w14:textId="77777777" w:rsidR="00914F4E" w:rsidRPr="0058432E" w:rsidRDefault="00914F4E" w:rsidP="00DC3A99">
      <w:pPr>
        <w:keepNext/>
        <w:rPr>
          <w:i/>
          <w:color w:val="000000" w:themeColor="text1"/>
          <w:u w:val="single"/>
        </w:rPr>
      </w:pPr>
      <w:r w:rsidRPr="0058432E">
        <w:rPr>
          <w:i/>
          <w:color w:val="000000" w:themeColor="text1"/>
          <w:u w:val="single"/>
        </w:rPr>
        <w:t xml:space="preserve">Réponse clinique </w:t>
      </w:r>
    </w:p>
    <w:p w14:paraId="652C4A62" w14:textId="77777777" w:rsidR="00914F4E" w:rsidRPr="0058432E" w:rsidRDefault="00914F4E" w:rsidP="00DC3A99">
      <w:pPr>
        <w:keepNext/>
        <w:rPr>
          <w:color w:val="000000" w:themeColor="text1"/>
        </w:rPr>
      </w:pPr>
    </w:p>
    <w:p w14:paraId="6F2E7E05" w14:textId="77777777" w:rsidR="00914F4E" w:rsidRPr="0058432E" w:rsidRDefault="00914F4E" w:rsidP="00982118">
      <w:pPr>
        <w:rPr>
          <w:color w:val="000000" w:themeColor="text1"/>
        </w:rPr>
      </w:pPr>
      <w:r w:rsidRPr="0058432E">
        <w:rPr>
          <w:color w:val="000000" w:themeColor="text1"/>
        </w:rPr>
        <w:t xml:space="preserve">Les résultats des deux études ont mis en évidence une réduction statistiquement significative du risque de rechute chez les patients traités </w:t>
      </w:r>
      <w:r w:rsidR="008E7545" w:rsidRPr="0058432E">
        <w:rPr>
          <w:color w:val="000000" w:themeColor="text1"/>
        </w:rPr>
        <w:t>par adalimumab</w:t>
      </w:r>
      <w:r w:rsidRPr="0058432E">
        <w:rPr>
          <w:color w:val="000000" w:themeColor="text1"/>
        </w:rPr>
        <w:t xml:space="preserve"> comparativement aux patients recevant le placebo (voir tableau </w:t>
      </w:r>
      <w:r w:rsidR="00AA1D55" w:rsidRPr="0058432E">
        <w:rPr>
          <w:color w:val="000000" w:themeColor="text1"/>
        </w:rPr>
        <w:t>24</w:t>
      </w:r>
      <w:r w:rsidRPr="0058432E">
        <w:rPr>
          <w:color w:val="000000" w:themeColor="text1"/>
        </w:rPr>
        <w:t xml:space="preserve">). Les deux études ont montré un effet précoce et durable sur le taux de rechute sous adalimumab comparativement au placebo (voir figure 2). </w:t>
      </w:r>
    </w:p>
    <w:p w14:paraId="65A57FA6" w14:textId="77777777" w:rsidR="00C46587" w:rsidRPr="0058432E" w:rsidRDefault="00C46587" w:rsidP="00982118">
      <w:pPr>
        <w:rPr>
          <w:color w:val="000000" w:themeColor="text1"/>
        </w:rPr>
      </w:pPr>
    </w:p>
    <w:p w14:paraId="191EEAA2" w14:textId="77777777" w:rsidR="00914F4E" w:rsidRPr="0058432E" w:rsidRDefault="00914F4E" w:rsidP="00A53E17">
      <w:pPr>
        <w:keepNext/>
        <w:rPr>
          <w:b/>
          <w:color w:val="000000" w:themeColor="text1"/>
        </w:rPr>
      </w:pPr>
      <w:r w:rsidRPr="0058432E">
        <w:rPr>
          <w:b/>
          <w:color w:val="000000" w:themeColor="text1"/>
        </w:rPr>
        <w:lastRenderedPageBreak/>
        <w:t>Tableau </w:t>
      </w:r>
      <w:r w:rsidR="00AA1D55" w:rsidRPr="0058432E">
        <w:rPr>
          <w:b/>
          <w:color w:val="000000" w:themeColor="text1"/>
        </w:rPr>
        <w:t>24</w:t>
      </w:r>
      <w:r w:rsidR="002A7CDF" w:rsidRPr="0058432E">
        <w:rPr>
          <w:b/>
          <w:color w:val="000000" w:themeColor="text1"/>
        </w:rPr>
        <w:t>.</w:t>
      </w:r>
    </w:p>
    <w:p w14:paraId="521C0ED5" w14:textId="77777777" w:rsidR="00914F4E" w:rsidRPr="0058432E" w:rsidRDefault="00914F4E" w:rsidP="00A53E17">
      <w:pPr>
        <w:keepNext/>
        <w:rPr>
          <w:b/>
          <w:color w:val="000000" w:themeColor="text1"/>
        </w:rPr>
      </w:pPr>
      <w:r w:rsidRPr="0058432E">
        <w:rPr>
          <w:b/>
          <w:color w:val="000000" w:themeColor="text1"/>
        </w:rPr>
        <w:t>Délai de survenue de la rechute dans les études UV I et UV II</w:t>
      </w:r>
    </w:p>
    <w:p w14:paraId="1971F43F" w14:textId="77777777" w:rsidR="009473C0" w:rsidRPr="0058432E" w:rsidRDefault="009473C0" w:rsidP="00982118">
      <w:pPr>
        <w:keepNext/>
        <w:jc w:val="center"/>
        <w:rPr>
          <w:b/>
          <w:color w:val="000000" w:themeColor="text1"/>
        </w:rPr>
      </w:pP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3"/>
        <w:gridCol w:w="710"/>
        <w:gridCol w:w="1256"/>
        <w:gridCol w:w="1264"/>
        <w:gridCol w:w="1225"/>
        <w:gridCol w:w="1234"/>
        <w:gridCol w:w="1253"/>
      </w:tblGrid>
      <w:tr w:rsidR="00914F4E" w:rsidRPr="0058432E" w14:paraId="35AA7CDC" w14:textId="77777777" w:rsidTr="003D5162">
        <w:tc>
          <w:tcPr>
            <w:tcW w:w="2178" w:type="dxa"/>
            <w:tcBorders>
              <w:top w:val="single" w:sz="4" w:space="0" w:color="auto"/>
              <w:left w:val="nil"/>
              <w:bottom w:val="single" w:sz="4" w:space="0" w:color="auto"/>
              <w:right w:val="nil"/>
            </w:tcBorders>
            <w:hideMark/>
          </w:tcPr>
          <w:p w14:paraId="43B3D9D2" w14:textId="77777777" w:rsidR="00914F4E" w:rsidRPr="0058432E" w:rsidRDefault="00914F4E" w:rsidP="00982118">
            <w:pPr>
              <w:keepNext/>
              <w:rPr>
                <w:b/>
                <w:color w:val="000000" w:themeColor="text1"/>
              </w:rPr>
            </w:pPr>
            <w:r w:rsidRPr="0058432E">
              <w:rPr>
                <w:b/>
                <w:color w:val="000000" w:themeColor="text1"/>
              </w:rPr>
              <w:t>Analyse</w:t>
            </w:r>
          </w:p>
          <w:p w14:paraId="65B82B52" w14:textId="77777777" w:rsidR="00914F4E" w:rsidRPr="0058432E" w:rsidRDefault="009473C0" w:rsidP="00982118">
            <w:pPr>
              <w:keepNext/>
              <w:rPr>
                <w:b/>
                <w:color w:val="000000" w:themeColor="text1"/>
              </w:rPr>
            </w:pPr>
            <w:r w:rsidRPr="0058432E">
              <w:rPr>
                <w:b/>
                <w:color w:val="000000" w:themeColor="text1"/>
              </w:rPr>
              <w:t>     Traitement</w:t>
            </w:r>
          </w:p>
        </w:tc>
        <w:tc>
          <w:tcPr>
            <w:tcW w:w="720" w:type="dxa"/>
            <w:tcBorders>
              <w:top w:val="single" w:sz="4" w:space="0" w:color="auto"/>
              <w:left w:val="nil"/>
              <w:bottom w:val="single" w:sz="4" w:space="0" w:color="auto"/>
              <w:right w:val="nil"/>
            </w:tcBorders>
            <w:hideMark/>
          </w:tcPr>
          <w:p w14:paraId="6562E76A" w14:textId="77777777" w:rsidR="00914F4E" w:rsidRPr="0058432E" w:rsidRDefault="00914F4E" w:rsidP="00982118">
            <w:pPr>
              <w:keepNext/>
              <w:rPr>
                <w:b/>
                <w:color w:val="000000" w:themeColor="text1"/>
              </w:rPr>
            </w:pPr>
            <w:r w:rsidRPr="0058432E">
              <w:rPr>
                <w:b/>
                <w:color w:val="000000" w:themeColor="text1"/>
              </w:rPr>
              <w:t>N</w:t>
            </w:r>
          </w:p>
        </w:tc>
        <w:tc>
          <w:tcPr>
            <w:tcW w:w="1281" w:type="dxa"/>
            <w:tcBorders>
              <w:top w:val="single" w:sz="4" w:space="0" w:color="auto"/>
              <w:left w:val="nil"/>
              <w:bottom w:val="single" w:sz="4" w:space="0" w:color="auto"/>
              <w:right w:val="nil"/>
            </w:tcBorders>
            <w:hideMark/>
          </w:tcPr>
          <w:p w14:paraId="1E54CCAA" w14:textId="77777777" w:rsidR="00914F4E" w:rsidRPr="0058432E" w:rsidRDefault="00914F4E" w:rsidP="00982118">
            <w:pPr>
              <w:keepNext/>
              <w:rPr>
                <w:b/>
                <w:color w:val="000000" w:themeColor="text1"/>
              </w:rPr>
            </w:pPr>
            <w:r w:rsidRPr="0058432E">
              <w:rPr>
                <w:b/>
                <w:color w:val="000000" w:themeColor="text1"/>
              </w:rPr>
              <w:t>Rechute</w:t>
            </w:r>
          </w:p>
          <w:p w14:paraId="363C529A" w14:textId="77777777" w:rsidR="00914F4E" w:rsidRPr="0058432E" w:rsidRDefault="00914F4E" w:rsidP="00982118">
            <w:pPr>
              <w:keepNext/>
              <w:rPr>
                <w:b/>
                <w:color w:val="000000" w:themeColor="text1"/>
              </w:rPr>
            </w:pPr>
            <w:r w:rsidRPr="0058432E">
              <w:rPr>
                <w:b/>
                <w:color w:val="000000" w:themeColor="text1"/>
              </w:rPr>
              <w:t>N (%)</w:t>
            </w:r>
          </w:p>
        </w:tc>
        <w:tc>
          <w:tcPr>
            <w:tcW w:w="1281" w:type="dxa"/>
            <w:tcBorders>
              <w:top w:val="single" w:sz="4" w:space="0" w:color="auto"/>
              <w:left w:val="nil"/>
              <w:bottom w:val="single" w:sz="4" w:space="0" w:color="auto"/>
              <w:right w:val="nil"/>
            </w:tcBorders>
            <w:hideMark/>
          </w:tcPr>
          <w:p w14:paraId="4339A44E" w14:textId="77777777" w:rsidR="00914F4E" w:rsidRPr="0058432E" w:rsidRDefault="00914F4E" w:rsidP="00982118">
            <w:pPr>
              <w:keepNext/>
              <w:rPr>
                <w:b/>
                <w:color w:val="000000" w:themeColor="text1"/>
              </w:rPr>
            </w:pPr>
            <w:r w:rsidRPr="0058432E">
              <w:rPr>
                <w:b/>
                <w:color w:val="000000" w:themeColor="text1"/>
              </w:rPr>
              <w:t>Délai médian de survenue de la rechute (mois)</w:t>
            </w:r>
          </w:p>
        </w:tc>
        <w:tc>
          <w:tcPr>
            <w:tcW w:w="1281" w:type="dxa"/>
            <w:tcBorders>
              <w:top w:val="single" w:sz="4" w:space="0" w:color="auto"/>
              <w:left w:val="nil"/>
              <w:bottom w:val="single" w:sz="4" w:space="0" w:color="auto"/>
              <w:right w:val="nil"/>
            </w:tcBorders>
            <w:hideMark/>
          </w:tcPr>
          <w:p w14:paraId="15610D52" w14:textId="77777777" w:rsidR="00914F4E" w:rsidRPr="0058432E" w:rsidRDefault="00914F4E" w:rsidP="00982118">
            <w:pPr>
              <w:keepNext/>
              <w:rPr>
                <w:b/>
                <w:color w:val="000000" w:themeColor="text1"/>
              </w:rPr>
            </w:pPr>
            <w:r w:rsidRPr="0058432E">
              <w:rPr>
                <w:b/>
                <w:color w:val="000000" w:themeColor="text1"/>
              </w:rPr>
              <w:t>HR</w:t>
            </w:r>
            <w:r w:rsidRPr="0058432E">
              <w:rPr>
                <w:b/>
                <w:color w:val="000000" w:themeColor="text1"/>
                <w:vertAlign w:val="superscript"/>
              </w:rPr>
              <w:t>a</w:t>
            </w:r>
          </w:p>
        </w:tc>
        <w:tc>
          <w:tcPr>
            <w:tcW w:w="1281" w:type="dxa"/>
            <w:tcBorders>
              <w:top w:val="single" w:sz="4" w:space="0" w:color="auto"/>
              <w:left w:val="nil"/>
              <w:bottom w:val="single" w:sz="4" w:space="0" w:color="auto"/>
              <w:right w:val="nil"/>
            </w:tcBorders>
            <w:hideMark/>
          </w:tcPr>
          <w:p w14:paraId="4748B31E" w14:textId="77777777" w:rsidR="00914F4E" w:rsidRPr="0058432E" w:rsidRDefault="00914F4E" w:rsidP="00982118">
            <w:pPr>
              <w:keepNext/>
              <w:rPr>
                <w:b/>
                <w:color w:val="000000" w:themeColor="text1"/>
              </w:rPr>
            </w:pPr>
            <w:r w:rsidRPr="0058432E">
              <w:rPr>
                <w:b/>
                <w:color w:val="000000" w:themeColor="text1"/>
              </w:rPr>
              <w:t>IC à 95 % pour le HR</w:t>
            </w:r>
            <w:r w:rsidRPr="0058432E">
              <w:rPr>
                <w:b/>
                <w:color w:val="000000" w:themeColor="text1"/>
                <w:vertAlign w:val="superscript"/>
              </w:rPr>
              <w:t>a</w:t>
            </w:r>
            <w:r w:rsidRPr="0058432E">
              <w:rPr>
                <w:b/>
                <w:color w:val="000000" w:themeColor="text1"/>
              </w:rPr>
              <w:t xml:space="preserve"> </w:t>
            </w:r>
          </w:p>
        </w:tc>
        <w:tc>
          <w:tcPr>
            <w:tcW w:w="1281" w:type="dxa"/>
            <w:tcBorders>
              <w:top w:val="single" w:sz="4" w:space="0" w:color="auto"/>
              <w:left w:val="nil"/>
              <w:bottom w:val="single" w:sz="4" w:space="0" w:color="auto"/>
              <w:right w:val="nil"/>
            </w:tcBorders>
            <w:hideMark/>
          </w:tcPr>
          <w:p w14:paraId="4B0C65CE" w14:textId="77777777" w:rsidR="00914F4E" w:rsidRPr="0058432E" w:rsidRDefault="00914F4E" w:rsidP="00982118">
            <w:pPr>
              <w:keepNext/>
              <w:rPr>
                <w:b/>
                <w:color w:val="000000" w:themeColor="text1"/>
              </w:rPr>
            </w:pPr>
            <w:r w:rsidRPr="0058432E">
              <w:rPr>
                <w:b/>
                <w:color w:val="000000" w:themeColor="text1"/>
              </w:rPr>
              <w:t xml:space="preserve">Valeur de </w:t>
            </w:r>
            <w:r w:rsidRPr="0058432E">
              <w:rPr>
                <w:b/>
                <w:i/>
                <w:color w:val="000000" w:themeColor="text1"/>
              </w:rPr>
              <w:t>p</w:t>
            </w:r>
            <w:r w:rsidRPr="0058432E">
              <w:rPr>
                <w:b/>
                <w:color w:val="000000" w:themeColor="text1"/>
                <w:vertAlign w:val="superscript"/>
              </w:rPr>
              <w:t>b</w:t>
            </w:r>
          </w:p>
        </w:tc>
      </w:tr>
      <w:tr w:rsidR="00914F4E" w:rsidRPr="0058432E" w14:paraId="482322B7" w14:textId="77777777" w:rsidTr="003D5162">
        <w:tc>
          <w:tcPr>
            <w:tcW w:w="9303" w:type="dxa"/>
            <w:gridSpan w:val="7"/>
            <w:tcBorders>
              <w:top w:val="single" w:sz="4" w:space="0" w:color="auto"/>
              <w:left w:val="nil"/>
              <w:bottom w:val="nil"/>
              <w:right w:val="nil"/>
            </w:tcBorders>
            <w:hideMark/>
          </w:tcPr>
          <w:p w14:paraId="6884C269" w14:textId="77777777" w:rsidR="00914F4E" w:rsidRPr="0058432E" w:rsidRDefault="00914F4E" w:rsidP="00982118">
            <w:pPr>
              <w:keepNext/>
              <w:rPr>
                <w:b/>
                <w:color w:val="000000" w:themeColor="text1"/>
              </w:rPr>
            </w:pPr>
            <w:r w:rsidRPr="0058432E">
              <w:rPr>
                <w:b/>
                <w:color w:val="000000" w:themeColor="text1"/>
              </w:rPr>
              <w:t xml:space="preserve">Délai de survenue de la rechute à ou après la semaine 6 dans l’étude UV I  </w:t>
            </w:r>
          </w:p>
        </w:tc>
      </w:tr>
      <w:tr w:rsidR="00914F4E" w:rsidRPr="0058432E" w14:paraId="65F08E66" w14:textId="77777777" w:rsidTr="003D5162">
        <w:tc>
          <w:tcPr>
            <w:tcW w:w="9303" w:type="dxa"/>
            <w:gridSpan w:val="7"/>
            <w:tcBorders>
              <w:top w:val="nil"/>
              <w:left w:val="nil"/>
              <w:bottom w:val="nil"/>
              <w:right w:val="nil"/>
            </w:tcBorders>
            <w:hideMark/>
          </w:tcPr>
          <w:p w14:paraId="06F7A7E4" w14:textId="77777777" w:rsidR="00914F4E" w:rsidRPr="0058432E" w:rsidRDefault="00914F4E" w:rsidP="00982118">
            <w:pPr>
              <w:keepNext/>
              <w:rPr>
                <w:color w:val="000000" w:themeColor="text1"/>
              </w:rPr>
            </w:pPr>
            <w:r w:rsidRPr="0058432E">
              <w:rPr>
                <w:color w:val="000000" w:themeColor="text1"/>
              </w:rPr>
              <w:t>Analyse principale (ITT)</w:t>
            </w:r>
          </w:p>
        </w:tc>
      </w:tr>
      <w:tr w:rsidR="00914F4E" w:rsidRPr="0058432E" w14:paraId="284248F0" w14:textId="77777777" w:rsidTr="003D5162">
        <w:tc>
          <w:tcPr>
            <w:tcW w:w="2178" w:type="dxa"/>
            <w:tcBorders>
              <w:top w:val="nil"/>
              <w:left w:val="nil"/>
              <w:bottom w:val="nil"/>
              <w:right w:val="nil"/>
            </w:tcBorders>
            <w:hideMark/>
          </w:tcPr>
          <w:p w14:paraId="5893BE36" w14:textId="77777777" w:rsidR="00914F4E" w:rsidRPr="0058432E" w:rsidRDefault="00914F4E" w:rsidP="00982118">
            <w:pPr>
              <w:keepNext/>
              <w:rPr>
                <w:color w:val="000000" w:themeColor="text1"/>
              </w:rPr>
            </w:pPr>
            <w:r w:rsidRPr="0058432E">
              <w:rPr>
                <w:color w:val="000000" w:themeColor="text1"/>
              </w:rPr>
              <w:t>     Placebo</w:t>
            </w:r>
          </w:p>
        </w:tc>
        <w:tc>
          <w:tcPr>
            <w:tcW w:w="720" w:type="dxa"/>
            <w:tcBorders>
              <w:top w:val="nil"/>
              <w:left w:val="nil"/>
              <w:bottom w:val="nil"/>
              <w:right w:val="nil"/>
            </w:tcBorders>
            <w:hideMark/>
          </w:tcPr>
          <w:p w14:paraId="36F511AF" w14:textId="77777777" w:rsidR="00914F4E" w:rsidRPr="0058432E" w:rsidRDefault="00914F4E" w:rsidP="00982118">
            <w:pPr>
              <w:keepNext/>
              <w:rPr>
                <w:color w:val="000000" w:themeColor="text1"/>
              </w:rPr>
            </w:pPr>
            <w:r w:rsidRPr="0058432E">
              <w:rPr>
                <w:color w:val="000000" w:themeColor="text1"/>
              </w:rPr>
              <w:t>107</w:t>
            </w:r>
          </w:p>
        </w:tc>
        <w:tc>
          <w:tcPr>
            <w:tcW w:w="1281" w:type="dxa"/>
            <w:tcBorders>
              <w:top w:val="nil"/>
              <w:left w:val="nil"/>
              <w:bottom w:val="nil"/>
              <w:right w:val="nil"/>
            </w:tcBorders>
            <w:hideMark/>
          </w:tcPr>
          <w:p w14:paraId="72B427E9" w14:textId="77777777" w:rsidR="00914F4E" w:rsidRPr="0058432E" w:rsidRDefault="00914F4E" w:rsidP="00982118">
            <w:pPr>
              <w:keepNext/>
              <w:rPr>
                <w:color w:val="000000" w:themeColor="text1"/>
              </w:rPr>
            </w:pPr>
            <w:r w:rsidRPr="0058432E">
              <w:rPr>
                <w:color w:val="000000" w:themeColor="text1"/>
              </w:rPr>
              <w:t>84 (78,5)</w:t>
            </w:r>
          </w:p>
        </w:tc>
        <w:tc>
          <w:tcPr>
            <w:tcW w:w="1281" w:type="dxa"/>
            <w:tcBorders>
              <w:top w:val="nil"/>
              <w:left w:val="nil"/>
              <w:bottom w:val="nil"/>
              <w:right w:val="nil"/>
            </w:tcBorders>
            <w:hideMark/>
          </w:tcPr>
          <w:p w14:paraId="046BFE79" w14:textId="77777777" w:rsidR="00914F4E" w:rsidRPr="0058432E" w:rsidRDefault="00914F4E" w:rsidP="00982118">
            <w:pPr>
              <w:keepNext/>
              <w:rPr>
                <w:color w:val="000000" w:themeColor="text1"/>
              </w:rPr>
            </w:pPr>
            <w:r w:rsidRPr="0058432E">
              <w:rPr>
                <w:color w:val="000000" w:themeColor="text1"/>
              </w:rPr>
              <w:t>3,0 </w:t>
            </w:r>
          </w:p>
        </w:tc>
        <w:tc>
          <w:tcPr>
            <w:tcW w:w="1281" w:type="dxa"/>
            <w:tcBorders>
              <w:top w:val="nil"/>
              <w:left w:val="nil"/>
              <w:bottom w:val="nil"/>
              <w:right w:val="nil"/>
            </w:tcBorders>
            <w:hideMark/>
          </w:tcPr>
          <w:p w14:paraId="3E0E1FEE"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3EEBBB3D"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747ADB77"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r>
      <w:tr w:rsidR="00914F4E" w:rsidRPr="0058432E" w14:paraId="3993FDCD" w14:textId="77777777" w:rsidTr="003D5162">
        <w:tc>
          <w:tcPr>
            <w:tcW w:w="2178" w:type="dxa"/>
            <w:tcBorders>
              <w:top w:val="nil"/>
              <w:left w:val="nil"/>
              <w:bottom w:val="single" w:sz="4" w:space="0" w:color="auto"/>
              <w:right w:val="nil"/>
            </w:tcBorders>
            <w:hideMark/>
          </w:tcPr>
          <w:p w14:paraId="11F4D776" w14:textId="77777777" w:rsidR="00914F4E" w:rsidRPr="0058432E" w:rsidRDefault="00914F4E" w:rsidP="00982118">
            <w:pPr>
              <w:keepNext/>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78FA8D26" w14:textId="77777777" w:rsidR="00914F4E" w:rsidRPr="0058432E" w:rsidRDefault="00914F4E" w:rsidP="00982118">
            <w:pPr>
              <w:keepNext/>
              <w:rPr>
                <w:color w:val="000000" w:themeColor="text1"/>
              </w:rPr>
            </w:pPr>
            <w:r w:rsidRPr="0058432E">
              <w:rPr>
                <w:color w:val="000000" w:themeColor="text1"/>
              </w:rPr>
              <w:t>110 </w:t>
            </w:r>
          </w:p>
        </w:tc>
        <w:tc>
          <w:tcPr>
            <w:tcW w:w="1281" w:type="dxa"/>
            <w:tcBorders>
              <w:top w:val="nil"/>
              <w:left w:val="nil"/>
              <w:bottom w:val="single" w:sz="4" w:space="0" w:color="auto"/>
              <w:right w:val="nil"/>
            </w:tcBorders>
            <w:hideMark/>
          </w:tcPr>
          <w:p w14:paraId="3F05EF5A" w14:textId="77777777" w:rsidR="00914F4E" w:rsidRPr="0058432E" w:rsidRDefault="00914F4E" w:rsidP="00982118">
            <w:pPr>
              <w:keepNext/>
              <w:rPr>
                <w:color w:val="000000" w:themeColor="text1"/>
              </w:rPr>
            </w:pPr>
            <w:r w:rsidRPr="0058432E">
              <w:rPr>
                <w:color w:val="000000" w:themeColor="text1"/>
              </w:rPr>
              <w:t>60 (54,5)</w:t>
            </w:r>
          </w:p>
        </w:tc>
        <w:tc>
          <w:tcPr>
            <w:tcW w:w="1281" w:type="dxa"/>
            <w:tcBorders>
              <w:top w:val="nil"/>
              <w:left w:val="nil"/>
              <w:bottom w:val="single" w:sz="4" w:space="0" w:color="auto"/>
              <w:right w:val="nil"/>
            </w:tcBorders>
            <w:hideMark/>
          </w:tcPr>
          <w:p w14:paraId="61BC35F8" w14:textId="77777777" w:rsidR="00914F4E" w:rsidRPr="0058432E" w:rsidRDefault="00914F4E" w:rsidP="00982118">
            <w:pPr>
              <w:keepNext/>
              <w:rPr>
                <w:color w:val="000000" w:themeColor="text1"/>
              </w:rPr>
            </w:pPr>
            <w:r w:rsidRPr="0058432E">
              <w:rPr>
                <w:color w:val="000000" w:themeColor="text1"/>
              </w:rPr>
              <w:t>5,6 </w:t>
            </w:r>
          </w:p>
        </w:tc>
        <w:tc>
          <w:tcPr>
            <w:tcW w:w="1281" w:type="dxa"/>
            <w:tcBorders>
              <w:top w:val="nil"/>
              <w:left w:val="nil"/>
              <w:bottom w:val="single" w:sz="4" w:space="0" w:color="auto"/>
              <w:right w:val="nil"/>
            </w:tcBorders>
            <w:hideMark/>
          </w:tcPr>
          <w:p w14:paraId="0C6F68FA" w14:textId="77777777" w:rsidR="00914F4E" w:rsidRPr="0058432E" w:rsidRDefault="00914F4E" w:rsidP="00982118">
            <w:pPr>
              <w:keepNext/>
              <w:rPr>
                <w:color w:val="000000" w:themeColor="text1"/>
              </w:rPr>
            </w:pPr>
            <w:r w:rsidRPr="0058432E">
              <w:rPr>
                <w:color w:val="000000" w:themeColor="text1"/>
              </w:rPr>
              <w:t>0,50</w:t>
            </w:r>
          </w:p>
        </w:tc>
        <w:tc>
          <w:tcPr>
            <w:tcW w:w="1281" w:type="dxa"/>
            <w:tcBorders>
              <w:top w:val="nil"/>
              <w:left w:val="nil"/>
              <w:bottom w:val="single" w:sz="4" w:space="0" w:color="auto"/>
              <w:right w:val="nil"/>
            </w:tcBorders>
            <w:hideMark/>
          </w:tcPr>
          <w:p w14:paraId="291AF84B" w14:textId="77777777" w:rsidR="00914F4E" w:rsidRPr="0058432E" w:rsidRDefault="00914F4E" w:rsidP="00982118">
            <w:pPr>
              <w:keepNext/>
              <w:rPr>
                <w:color w:val="000000" w:themeColor="text1"/>
              </w:rPr>
            </w:pPr>
            <w:r w:rsidRPr="0058432E">
              <w:rPr>
                <w:color w:val="000000" w:themeColor="text1"/>
              </w:rPr>
              <w:t>0,36 ; 0,70 </w:t>
            </w:r>
          </w:p>
        </w:tc>
        <w:tc>
          <w:tcPr>
            <w:tcW w:w="1281" w:type="dxa"/>
            <w:tcBorders>
              <w:top w:val="nil"/>
              <w:left w:val="nil"/>
              <w:bottom w:val="single" w:sz="4" w:space="0" w:color="auto"/>
              <w:right w:val="nil"/>
            </w:tcBorders>
            <w:hideMark/>
          </w:tcPr>
          <w:p w14:paraId="0AB414F0" w14:textId="77777777" w:rsidR="00914F4E" w:rsidRPr="0058432E" w:rsidRDefault="00914F4E" w:rsidP="00982118">
            <w:pPr>
              <w:keepNext/>
              <w:rPr>
                <w:color w:val="000000" w:themeColor="text1"/>
              </w:rPr>
            </w:pPr>
            <w:r w:rsidRPr="0058432E">
              <w:rPr>
                <w:color w:val="000000" w:themeColor="text1"/>
              </w:rPr>
              <w:t>&lt; 0,001 </w:t>
            </w:r>
          </w:p>
        </w:tc>
      </w:tr>
      <w:tr w:rsidR="00914F4E" w:rsidRPr="0058432E" w14:paraId="28940044" w14:textId="77777777" w:rsidTr="003D5162">
        <w:tc>
          <w:tcPr>
            <w:tcW w:w="9303" w:type="dxa"/>
            <w:gridSpan w:val="7"/>
            <w:tcBorders>
              <w:top w:val="single" w:sz="4" w:space="0" w:color="auto"/>
              <w:left w:val="nil"/>
              <w:bottom w:val="nil"/>
              <w:right w:val="nil"/>
            </w:tcBorders>
            <w:hideMark/>
          </w:tcPr>
          <w:p w14:paraId="7D7C674D" w14:textId="77777777" w:rsidR="00914F4E" w:rsidRPr="0058432E" w:rsidRDefault="00914F4E" w:rsidP="00982118">
            <w:pPr>
              <w:keepNext/>
              <w:rPr>
                <w:b/>
                <w:color w:val="000000" w:themeColor="text1"/>
              </w:rPr>
            </w:pPr>
            <w:r w:rsidRPr="0058432E">
              <w:rPr>
                <w:b/>
                <w:color w:val="000000" w:themeColor="text1"/>
              </w:rPr>
              <w:t>Délai de survenue de la rechute à ou après la semaine 2 dans l’étude UV II</w:t>
            </w:r>
          </w:p>
        </w:tc>
      </w:tr>
      <w:tr w:rsidR="00914F4E" w:rsidRPr="0058432E" w14:paraId="7C4D5DE4" w14:textId="77777777" w:rsidTr="003D5162">
        <w:tc>
          <w:tcPr>
            <w:tcW w:w="9303" w:type="dxa"/>
            <w:gridSpan w:val="7"/>
            <w:tcBorders>
              <w:top w:val="nil"/>
              <w:left w:val="nil"/>
              <w:bottom w:val="nil"/>
              <w:right w:val="nil"/>
            </w:tcBorders>
            <w:hideMark/>
          </w:tcPr>
          <w:p w14:paraId="50DAFDF4" w14:textId="77777777" w:rsidR="00914F4E" w:rsidRPr="0058432E" w:rsidRDefault="00914F4E" w:rsidP="00982118">
            <w:pPr>
              <w:keepNext/>
              <w:rPr>
                <w:color w:val="000000" w:themeColor="text1"/>
              </w:rPr>
            </w:pPr>
            <w:r w:rsidRPr="0058432E">
              <w:rPr>
                <w:color w:val="000000" w:themeColor="text1"/>
              </w:rPr>
              <w:t>Analyse principale (ITT)</w:t>
            </w:r>
          </w:p>
        </w:tc>
      </w:tr>
      <w:tr w:rsidR="00914F4E" w:rsidRPr="0058432E" w14:paraId="55F1669D" w14:textId="77777777" w:rsidTr="003D5162">
        <w:tc>
          <w:tcPr>
            <w:tcW w:w="2178" w:type="dxa"/>
            <w:tcBorders>
              <w:top w:val="nil"/>
              <w:left w:val="nil"/>
              <w:bottom w:val="nil"/>
              <w:right w:val="nil"/>
            </w:tcBorders>
            <w:hideMark/>
          </w:tcPr>
          <w:p w14:paraId="3F17F561" w14:textId="77777777" w:rsidR="00914F4E" w:rsidRPr="0058432E" w:rsidRDefault="00914F4E" w:rsidP="00982118">
            <w:pPr>
              <w:keepNext/>
              <w:rPr>
                <w:color w:val="000000" w:themeColor="text1"/>
              </w:rPr>
            </w:pPr>
            <w:r w:rsidRPr="0058432E">
              <w:rPr>
                <w:color w:val="000000" w:themeColor="text1"/>
              </w:rPr>
              <w:t>     Placebo</w:t>
            </w:r>
          </w:p>
        </w:tc>
        <w:tc>
          <w:tcPr>
            <w:tcW w:w="720" w:type="dxa"/>
            <w:tcBorders>
              <w:top w:val="nil"/>
              <w:left w:val="nil"/>
              <w:bottom w:val="nil"/>
              <w:right w:val="nil"/>
            </w:tcBorders>
            <w:hideMark/>
          </w:tcPr>
          <w:p w14:paraId="152D6654" w14:textId="77777777" w:rsidR="00914F4E" w:rsidRPr="0058432E" w:rsidRDefault="00914F4E" w:rsidP="00982118">
            <w:pPr>
              <w:keepNext/>
              <w:rPr>
                <w:color w:val="000000" w:themeColor="text1"/>
              </w:rPr>
            </w:pPr>
            <w:r w:rsidRPr="0058432E">
              <w:rPr>
                <w:color w:val="000000" w:themeColor="text1"/>
              </w:rPr>
              <w:t>111 </w:t>
            </w:r>
          </w:p>
        </w:tc>
        <w:tc>
          <w:tcPr>
            <w:tcW w:w="1281" w:type="dxa"/>
            <w:tcBorders>
              <w:top w:val="nil"/>
              <w:left w:val="nil"/>
              <w:bottom w:val="nil"/>
              <w:right w:val="nil"/>
            </w:tcBorders>
            <w:hideMark/>
          </w:tcPr>
          <w:p w14:paraId="09BB6110" w14:textId="77777777" w:rsidR="00914F4E" w:rsidRPr="0058432E" w:rsidRDefault="00914F4E" w:rsidP="00982118">
            <w:pPr>
              <w:keepNext/>
              <w:rPr>
                <w:color w:val="000000" w:themeColor="text1"/>
              </w:rPr>
            </w:pPr>
            <w:r w:rsidRPr="0058432E">
              <w:rPr>
                <w:color w:val="000000" w:themeColor="text1"/>
              </w:rPr>
              <w:t>61 (55,0)</w:t>
            </w:r>
          </w:p>
        </w:tc>
        <w:tc>
          <w:tcPr>
            <w:tcW w:w="1281" w:type="dxa"/>
            <w:tcBorders>
              <w:top w:val="nil"/>
              <w:left w:val="nil"/>
              <w:bottom w:val="nil"/>
              <w:right w:val="nil"/>
            </w:tcBorders>
            <w:hideMark/>
          </w:tcPr>
          <w:p w14:paraId="74874D4B" w14:textId="77777777" w:rsidR="00914F4E" w:rsidRPr="0058432E" w:rsidRDefault="00914F4E" w:rsidP="00982118">
            <w:pPr>
              <w:keepNext/>
              <w:rPr>
                <w:color w:val="000000" w:themeColor="text1"/>
              </w:rPr>
            </w:pPr>
            <w:r w:rsidRPr="0058432E">
              <w:rPr>
                <w:color w:val="000000" w:themeColor="text1"/>
              </w:rPr>
              <w:t>8,3 </w:t>
            </w:r>
          </w:p>
        </w:tc>
        <w:tc>
          <w:tcPr>
            <w:tcW w:w="1281" w:type="dxa"/>
            <w:tcBorders>
              <w:top w:val="nil"/>
              <w:left w:val="nil"/>
              <w:bottom w:val="nil"/>
              <w:right w:val="nil"/>
            </w:tcBorders>
            <w:hideMark/>
          </w:tcPr>
          <w:p w14:paraId="05AD3614"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61004C3E"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c>
          <w:tcPr>
            <w:tcW w:w="1281" w:type="dxa"/>
            <w:tcBorders>
              <w:top w:val="nil"/>
              <w:left w:val="nil"/>
              <w:bottom w:val="nil"/>
              <w:right w:val="nil"/>
            </w:tcBorders>
            <w:hideMark/>
          </w:tcPr>
          <w:p w14:paraId="6379E274" w14:textId="77777777" w:rsidR="00914F4E" w:rsidRPr="0058432E" w:rsidRDefault="00914F4E" w:rsidP="00982118">
            <w:pPr>
              <w:keepNext/>
              <w:rPr>
                <w:color w:val="000000" w:themeColor="text1"/>
              </w:rPr>
            </w:pPr>
            <w:r w:rsidRPr="0058432E">
              <w:rPr>
                <w:color w:val="000000" w:themeColor="text1"/>
              </w:rPr>
              <w:noBreakHyphen/>
            </w:r>
            <w:r w:rsidRPr="0058432E">
              <w:rPr>
                <w:color w:val="000000" w:themeColor="text1"/>
              </w:rPr>
              <w:noBreakHyphen/>
            </w:r>
          </w:p>
        </w:tc>
      </w:tr>
      <w:tr w:rsidR="00914F4E" w:rsidRPr="0058432E" w14:paraId="052FE667" w14:textId="77777777" w:rsidTr="00EA7409">
        <w:tc>
          <w:tcPr>
            <w:tcW w:w="2178" w:type="dxa"/>
            <w:tcBorders>
              <w:top w:val="nil"/>
              <w:left w:val="nil"/>
              <w:bottom w:val="single" w:sz="4" w:space="0" w:color="auto"/>
              <w:right w:val="nil"/>
            </w:tcBorders>
            <w:hideMark/>
          </w:tcPr>
          <w:p w14:paraId="28FA7326" w14:textId="77777777" w:rsidR="00914F4E" w:rsidRPr="0058432E" w:rsidRDefault="00914F4E" w:rsidP="00982118">
            <w:pPr>
              <w:keepNext/>
              <w:rPr>
                <w:color w:val="000000" w:themeColor="text1"/>
              </w:rPr>
            </w:pPr>
            <w:r w:rsidRPr="0058432E">
              <w:rPr>
                <w:color w:val="000000" w:themeColor="text1"/>
              </w:rPr>
              <w:t>     Adalimumab</w:t>
            </w:r>
          </w:p>
        </w:tc>
        <w:tc>
          <w:tcPr>
            <w:tcW w:w="720" w:type="dxa"/>
            <w:tcBorders>
              <w:top w:val="nil"/>
              <w:left w:val="nil"/>
              <w:bottom w:val="single" w:sz="4" w:space="0" w:color="auto"/>
              <w:right w:val="nil"/>
            </w:tcBorders>
            <w:hideMark/>
          </w:tcPr>
          <w:p w14:paraId="2B2031AD" w14:textId="77777777" w:rsidR="00914F4E" w:rsidRPr="0058432E" w:rsidRDefault="00914F4E" w:rsidP="00982118">
            <w:pPr>
              <w:keepNext/>
              <w:rPr>
                <w:color w:val="000000" w:themeColor="text1"/>
              </w:rPr>
            </w:pPr>
            <w:r w:rsidRPr="0058432E">
              <w:rPr>
                <w:color w:val="000000" w:themeColor="text1"/>
              </w:rPr>
              <w:t>115 </w:t>
            </w:r>
          </w:p>
        </w:tc>
        <w:tc>
          <w:tcPr>
            <w:tcW w:w="1281" w:type="dxa"/>
            <w:tcBorders>
              <w:top w:val="nil"/>
              <w:left w:val="nil"/>
              <w:bottom w:val="single" w:sz="4" w:space="0" w:color="auto"/>
              <w:right w:val="nil"/>
            </w:tcBorders>
            <w:hideMark/>
          </w:tcPr>
          <w:p w14:paraId="0D1E8E85" w14:textId="77777777" w:rsidR="00914F4E" w:rsidRPr="0058432E" w:rsidRDefault="00914F4E" w:rsidP="00982118">
            <w:pPr>
              <w:keepNext/>
              <w:rPr>
                <w:color w:val="000000" w:themeColor="text1"/>
              </w:rPr>
            </w:pPr>
            <w:r w:rsidRPr="0058432E">
              <w:rPr>
                <w:color w:val="000000" w:themeColor="text1"/>
              </w:rPr>
              <w:t>45 (39,1)</w:t>
            </w:r>
          </w:p>
        </w:tc>
        <w:tc>
          <w:tcPr>
            <w:tcW w:w="1281" w:type="dxa"/>
            <w:tcBorders>
              <w:top w:val="nil"/>
              <w:left w:val="nil"/>
              <w:bottom w:val="single" w:sz="4" w:space="0" w:color="auto"/>
              <w:right w:val="nil"/>
            </w:tcBorders>
            <w:hideMark/>
          </w:tcPr>
          <w:p w14:paraId="684E4188" w14:textId="77777777" w:rsidR="00914F4E" w:rsidRPr="0058432E" w:rsidRDefault="00914F4E" w:rsidP="00982118">
            <w:pPr>
              <w:keepNext/>
              <w:rPr>
                <w:color w:val="000000" w:themeColor="text1"/>
              </w:rPr>
            </w:pPr>
            <w:r w:rsidRPr="0058432E">
              <w:rPr>
                <w:color w:val="000000" w:themeColor="text1"/>
              </w:rPr>
              <w:t>NE</w:t>
            </w:r>
            <w:r w:rsidRPr="0058432E">
              <w:rPr>
                <w:color w:val="000000" w:themeColor="text1"/>
                <w:vertAlign w:val="superscript"/>
              </w:rPr>
              <w:t>c</w:t>
            </w:r>
          </w:p>
        </w:tc>
        <w:tc>
          <w:tcPr>
            <w:tcW w:w="1281" w:type="dxa"/>
            <w:tcBorders>
              <w:top w:val="nil"/>
              <w:left w:val="nil"/>
              <w:bottom w:val="single" w:sz="4" w:space="0" w:color="auto"/>
              <w:right w:val="nil"/>
            </w:tcBorders>
            <w:hideMark/>
          </w:tcPr>
          <w:p w14:paraId="1D34E79C" w14:textId="77777777" w:rsidR="00914F4E" w:rsidRPr="0058432E" w:rsidRDefault="00914F4E" w:rsidP="00982118">
            <w:pPr>
              <w:keepNext/>
              <w:rPr>
                <w:color w:val="000000" w:themeColor="text1"/>
              </w:rPr>
            </w:pPr>
            <w:r w:rsidRPr="0058432E">
              <w:rPr>
                <w:color w:val="000000" w:themeColor="text1"/>
              </w:rPr>
              <w:t>0,57</w:t>
            </w:r>
          </w:p>
        </w:tc>
        <w:tc>
          <w:tcPr>
            <w:tcW w:w="1281" w:type="dxa"/>
            <w:tcBorders>
              <w:top w:val="nil"/>
              <w:left w:val="nil"/>
              <w:bottom w:val="single" w:sz="4" w:space="0" w:color="auto"/>
              <w:right w:val="nil"/>
            </w:tcBorders>
            <w:hideMark/>
          </w:tcPr>
          <w:p w14:paraId="11A6000D" w14:textId="77777777" w:rsidR="00914F4E" w:rsidRPr="0058432E" w:rsidRDefault="00914F4E" w:rsidP="00982118">
            <w:pPr>
              <w:keepNext/>
              <w:rPr>
                <w:color w:val="000000" w:themeColor="text1"/>
              </w:rPr>
            </w:pPr>
            <w:r w:rsidRPr="0058432E">
              <w:rPr>
                <w:color w:val="000000" w:themeColor="text1"/>
              </w:rPr>
              <w:t>0,39 ; 0,84</w:t>
            </w:r>
          </w:p>
        </w:tc>
        <w:tc>
          <w:tcPr>
            <w:tcW w:w="1281" w:type="dxa"/>
            <w:tcBorders>
              <w:top w:val="nil"/>
              <w:left w:val="nil"/>
              <w:bottom w:val="single" w:sz="4" w:space="0" w:color="auto"/>
              <w:right w:val="nil"/>
            </w:tcBorders>
            <w:hideMark/>
          </w:tcPr>
          <w:p w14:paraId="285CA4ED" w14:textId="77777777" w:rsidR="00914F4E" w:rsidRPr="0058432E" w:rsidRDefault="00914F4E" w:rsidP="00982118">
            <w:pPr>
              <w:keepNext/>
              <w:rPr>
                <w:color w:val="000000" w:themeColor="text1"/>
              </w:rPr>
            </w:pPr>
            <w:r w:rsidRPr="0058432E">
              <w:rPr>
                <w:color w:val="000000" w:themeColor="text1"/>
              </w:rPr>
              <w:t>0,004 </w:t>
            </w:r>
          </w:p>
        </w:tc>
      </w:tr>
      <w:tr w:rsidR="00EA7409" w:rsidRPr="0058432E" w14:paraId="3406F09A" w14:textId="77777777" w:rsidTr="00EA7409">
        <w:tc>
          <w:tcPr>
            <w:tcW w:w="9303" w:type="dxa"/>
            <w:gridSpan w:val="7"/>
            <w:tcBorders>
              <w:top w:val="single" w:sz="4" w:space="0" w:color="auto"/>
              <w:left w:val="nil"/>
              <w:bottom w:val="nil"/>
              <w:right w:val="nil"/>
            </w:tcBorders>
          </w:tcPr>
          <w:p w14:paraId="19A6A9C7" w14:textId="77777777" w:rsidR="00EA7409" w:rsidRPr="0058432E" w:rsidRDefault="00EA7409" w:rsidP="00EA7409">
            <w:pPr>
              <w:keepNext/>
              <w:rPr>
                <w:color w:val="000000" w:themeColor="text1"/>
                <w:sz w:val="20"/>
              </w:rPr>
            </w:pPr>
            <w:r w:rsidRPr="0058432E">
              <w:rPr>
                <w:color w:val="000000" w:themeColor="text1"/>
                <w:sz w:val="20"/>
              </w:rPr>
              <w:t xml:space="preserve">Remarque : la rechute à ou après la semaine 6 (étude UV I) ou la semaine 2 (étude UV II) était comptabilisée comme un événement. Les sorties d’étude pour d’autres raisons qu’une rechute étaient censurées au moment de la sortie d’étude. </w:t>
            </w:r>
          </w:p>
          <w:p w14:paraId="29CBFF27" w14:textId="77777777" w:rsidR="00EA7409" w:rsidRPr="0058432E" w:rsidRDefault="00EA7409" w:rsidP="00EA7409">
            <w:pPr>
              <w:keepNext/>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ab/>
              <w:t xml:space="preserve">HR pour l’adalimumab </w:t>
            </w:r>
            <w:r w:rsidRPr="0058432E">
              <w:rPr>
                <w:i/>
                <w:iCs/>
                <w:color w:val="000000" w:themeColor="text1"/>
                <w:sz w:val="20"/>
              </w:rPr>
              <w:t>versus</w:t>
            </w:r>
            <w:r w:rsidRPr="0058432E">
              <w:rPr>
                <w:color w:val="000000" w:themeColor="text1"/>
                <w:sz w:val="20"/>
              </w:rPr>
              <w:t xml:space="preserve"> placebo par une analyse de régression à risque proportionnel ajusté sur le traitement. </w:t>
            </w:r>
          </w:p>
          <w:p w14:paraId="12083611" w14:textId="77777777" w:rsidR="00EA7409" w:rsidRPr="0058432E" w:rsidRDefault="00EA7409" w:rsidP="00EA7409">
            <w:pPr>
              <w:keepNext/>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bilatérale selon le test de log-rank. </w:t>
            </w:r>
          </w:p>
          <w:p w14:paraId="600ED4CF" w14:textId="77777777" w:rsidR="00EA7409" w:rsidRPr="0058432E" w:rsidRDefault="00EA7409" w:rsidP="00EA7409">
            <w:pPr>
              <w:keepNext/>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ab/>
              <w:t xml:space="preserve">NE = non estimable. Moins de la moitié des patients à risque ont présenté un événement. </w:t>
            </w:r>
          </w:p>
        </w:tc>
      </w:tr>
    </w:tbl>
    <w:p w14:paraId="094910E6" w14:textId="77777777" w:rsidR="00914F4E" w:rsidRPr="0058432E" w:rsidRDefault="00914F4E" w:rsidP="00982118">
      <w:pPr>
        <w:rPr>
          <w:color w:val="000000" w:themeColor="text1"/>
        </w:rPr>
      </w:pPr>
    </w:p>
    <w:p w14:paraId="531A0FEF" w14:textId="77777777" w:rsidR="00C46587" w:rsidRPr="0058432E" w:rsidRDefault="00464875" w:rsidP="00A53E17">
      <w:pPr>
        <w:keepNext/>
        <w:rPr>
          <w:b/>
          <w:color w:val="000000" w:themeColor="text1"/>
        </w:rPr>
      </w:pPr>
      <w:r w:rsidRPr="0058432E">
        <w:rPr>
          <w:b/>
          <w:color w:val="000000" w:themeColor="text1"/>
        </w:rPr>
        <w:t>Figure 2</w:t>
      </w:r>
      <w:r w:rsidR="004557C0" w:rsidRPr="0058432E">
        <w:rPr>
          <w:b/>
          <w:color w:val="000000" w:themeColor="text1"/>
        </w:rPr>
        <w:t>.</w:t>
      </w:r>
      <w:r w:rsidRPr="0058432E">
        <w:rPr>
          <w:b/>
          <w:color w:val="000000" w:themeColor="text1"/>
        </w:rPr>
        <w:t xml:space="preserve"> Courbes de Kaplan</w:t>
      </w:r>
      <w:r w:rsidRPr="0058432E">
        <w:rPr>
          <w:b/>
          <w:color w:val="000000" w:themeColor="text1"/>
        </w:rPr>
        <w:noBreakHyphen/>
        <w:t>Meier illustrant le délai de survenue de la rechute à ou après la semaine 6 (étude UV I) ou la semaine 2 (étude UV II)</w:t>
      </w:r>
    </w:p>
    <w:p w14:paraId="29E22F7F" w14:textId="77777777" w:rsidR="00C46587" w:rsidRPr="0058432E" w:rsidRDefault="00C46587" w:rsidP="00982118">
      <w:pPr>
        <w:rPr>
          <w:color w:val="000000" w:themeColor="text1"/>
        </w:rPr>
      </w:pPr>
    </w:p>
    <w:p w14:paraId="6544F5A6" w14:textId="77777777" w:rsidR="00651B8A" w:rsidRPr="0058432E" w:rsidRDefault="00651B8A" w:rsidP="00651B8A">
      <w:pPr>
        <w:keepNext/>
        <w:jc w:val="center"/>
        <w:rPr>
          <w:color w:val="000000" w:themeColor="text1"/>
        </w:rPr>
      </w:pPr>
    </w:p>
    <w:p w14:paraId="2190CB55" w14:textId="5437801D" w:rsidR="00651B8A" w:rsidRPr="0058432E" w:rsidRDefault="009D65D0" w:rsidP="00651B8A">
      <w:pPr>
        <w:keepNext/>
        <w:rPr>
          <w:color w:val="000000" w:themeColor="text1"/>
        </w:rPr>
      </w:pPr>
      <w:r w:rsidRPr="0058432E">
        <w:rPr>
          <w:noProof/>
          <w:color w:val="000000" w:themeColor="text1"/>
        </w:rPr>
        <mc:AlternateContent>
          <mc:Choice Requires="wps">
            <w:drawing>
              <wp:anchor distT="0" distB="0" distL="114300" distR="114300" simplePos="0" relativeHeight="251631104" behindDoc="0" locked="0" layoutInCell="1" allowOverlap="1" wp14:anchorId="00848683" wp14:editId="55BD24BE">
                <wp:simplePos x="0" y="0"/>
                <wp:positionH relativeFrom="column">
                  <wp:posOffset>-95250</wp:posOffset>
                </wp:positionH>
                <wp:positionV relativeFrom="paragraph">
                  <wp:posOffset>85725</wp:posOffset>
                </wp:positionV>
                <wp:extent cx="369570" cy="2882265"/>
                <wp:effectExtent l="0" t="0" r="0" b="0"/>
                <wp:wrapNone/>
                <wp:docPr id="91" name="Zone de text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351FBBDF" w14:textId="77777777" w:rsidR="009A26D2" w:rsidRPr="00DD4287" w:rsidRDefault="009A26D2" w:rsidP="00651B8A">
                            <w:pPr>
                              <w:jc w:val="center"/>
                              <w:rPr>
                                <w:b/>
                                <w:bCs/>
                                <w:sz w:val="18"/>
                                <w:szCs w:val="18"/>
                              </w:rPr>
                            </w:pPr>
                            <w:r w:rsidRPr="00D87436">
                              <w:rPr>
                                <w:b/>
                                <w:sz w:val="18"/>
                                <w:szCs w:val="18"/>
                              </w:rPr>
                              <w:t>TAUX DE RECHUTE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48683" id="Zone de texte 69" o:spid="_x0000_s1052" type="#_x0000_t202" style="position:absolute;margin-left:-7.5pt;margin-top:6.75pt;width:29.1pt;height:226.9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" stroked="f">
                <v:textbox style="layout-flow:vertical;mso-layout-flow-alt:bottom-to-top">
                  <w:txbxContent>
                    <w:p w14:paraId="351FBBDF" w14:textId="77777777" w:rsidR="009A26D2" w:rsidRPr="00DD4287" w:rsidRDefault="009A26D2" w:rsidP="00651B8A">
                      <w:pPr>
                        <w:jc w:val="center"/>
                        <w:rPr>
                          <w:b/>
                          <w:bCs/>
                          <w:sz w:val="18"/>
                          <w:szCs w:val="18"/>
                        </w:rPr>
                      </w:pPr>
                      <w:r w:rsidRPr="00D87436">
                        <w:rPr>
                          <w:b/>
                          <w:sz w:val="18"/>
                          <w:szCs w:val="18"/>
                        </w:rPr>
                        <w:t>TAUX DE RECHUTE (%)</w:t>
                      </w:r>
                    </w:p>
                  </w:txbxContent>
                </v:textbox>
              </v:shape>
            </w:pict>
          </mc:Fallback>
        </mc:AlternateContent>
      </w:r>
    </w:p>
    <w:p w14:paraId="4AD5302E" w14:textId="2FF3D4E2" w:rsidR="00651B8A" w:rsidRPr="0058432E" w:rsidRDefault="009D65D0" w:rsidP="00651B8A">
      <w:pPr>
        <w:rPr>
          <w:color w:val="000000" w:themeColor="text1"/>
        </w:rPr>
      </w:pPr>
      <w:r w:rsidRPr="0058432E">
        <w:rPr>
          <w:noProof/>
          <w:color w:val="000000" w:themeColor="text1"/>
        </w:rPr>
        <mc:AlternateContent>
          <mc:Choice Requires="wps">
            <w:drawing>
              <wp:anchor distT="0" distB="0" distL="114300" distR="114300" simplePos="0" relativeHeight="251632128" behindDoc="0" locked="0" layoutInCell="1" allowOverlap="1" wp14:anchorId="77290769" wp14:editId="17D70BFE">
                <wp:simplePos x="0" y="0"/>
                <wp:positionH relativeFrom="column">
                  <wp:posOffset>2434590</wp:posOffset>
                </wp:positionH>
                <wp:positionV relativeFrom="paragraph">
                  <wp:posOffset>2404745</wp:posOffset>
                </wp:positionV>
                <wp:extent cx="1181100" cy="196215"/>
                <wp:effectExtent l="0" t="0" r="0" b="0"/>
                <wp:wrapNone/>
                <wp:docPr id="90" name="Zone de text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002FADD4" w14:textId="77777777" w:rsidR="009A26D2" w:rsidRPr="007C4B2C" w:rsidRDefault="009A26D2" w:rsidP="00651B8A">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90769" id="Zone de texte 73" o:spid="_x0000_s1053" type="#_x0000_t202" style="position:absolute;margin-left:191.7pt;margin-top:189.35pt;width:93pt;height:15.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" stroked="f">
                <v:textbox>
                  <w:txbxContent>
                    <w:p w14:paraId="002FADD4" w14:textId="77777777" w:rsidR="009A26D2" w:rsidRPr="007C4B2C" w:rsidRDefault="009A26D2" w:rsidP="00651B8A">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34176" behindDoc="0" locked="0" layoutInCell="1" allowOverlap="1" wp14:anchorId="7C0E2D58" wp14:editId="75029177">
                <wp:simplePos x="0" y="0"/>
                <wp:positionH relativeFrom="column">
                  <wp:posOffset>3165475</wp:posOffset>
                </wp:positionH>
                <wp:positionV relativeFrom="paragraph">
                  <wp:posOffset>2550160</wp:posOffset>
                </wp:positionV>
                <wp:extent cx="713105" cy="201930"/>
                <wp:effectExtent l="0" t="0" r="0" b="0"/>
                <wp:wrapNone/>
                <wp:docPr id="89" name="Zone de texte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00BD6F40" w14:textId="77777777" w:rsidR="009A26D2" w:rsidRPr="007C4B2C" w:rsidRDefault="009A26D2" w:rsidP="00651B8A">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E2D58" id="Zone de texte 72" o:spid="_x0000_s1054" type="#_x0000_t202" style="position:absolute;margin-left:249.25pt;margin-top:200.8pt;width:56.15pt;height:15.9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" stroked="f">
                <v:textbox>
                  <w:txbxContent>
                    <w:p w14:paraId="00BD6F40" w14:textId="77777777" w:rsidR="009A26D2" w:rsidRPr="007C4B2C" w:rsidRDefault="009A26D2" w:rsidP="00651B8A">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35200" behindDoc="0" locked="0" layoutInCell="1" allowOverlap="1" wp14:anchorId="46EE8B6B" wp14:editId="63E3643C">
                <wp:simplePos x="0" y="0"/>
                <wp:positionH relativeFrom="column">
                  <wp:posOffset>4565650</wp:posOffset>
                </wp:positionH>
                <wp:positionV relativeFrom="paragraph">
                  <wp:posOffset>2537460</wp:posOffset>
                </wp:positionV>
                <wp:extent cx="840740" cy="212725"/>
                <wp:effectExtent l="0" t="0" r="0" b="0"/>
                <wp:wrapNone/>
                <wp:docPr id="88" name="Zone de texte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025CD534" w14:textId="77777777" w:rsidR="009A26D2" w:rsidRPr="007C4B2C" w:rsidRDefault="009A26D2" w:rsidP="00651B8A">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8B6B" id="Zone de texte 70" o:spid="_x0000_s1055" type="#_x0000_t202" style="position:absolute;margin-left:359.5pt;margin-top:199.8pt;width:66.2pt;height:16.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" stroked="f">
                <v:textbox>
                  <w:txbxContent>
                    <w:p w14:paraId="025CD534" w14:textId="77777777" w:rsidR="009A26D2" w:rsidRPr="007C4B2C" w:rsidRDefault="009A26D2" w:rsidP="00651B8A">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33152" behindDoc="0" locked="0" layoutInCell="1" allowOverlap="1" wp14:anchorId="48676ADA" wp14:editId="2E41A549">
                <wp:simplePos x="0" y="0"/>
                <wp:positionH relativeFrom="column">
                  <wp:posOffset>1694815</wp:posOffset>
                </wp:positionH>
                <wp:positionV relativeFrom="paragraph">
                  <wp:posOffset>2547620</wp:posOffset>
                </wp:positionV>
                <wp:extent cx="713105" cy="201930"/>
                <wp:effectExtent l="0" t="0" r="0" b="0"/>
                <wp:wrapNone/>
                <wp:docPr id="87" name="Zone de text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4BFA6419" w14:textId="77777777" w:rsidR="009A26D2" w:rsidRPr="007C4B2C" w:rsidRDefault="009A26D2" w:rsidP="00651B8A">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76ADA" id="Zone de texte 71" o:spid="_x0000_s1056" type="#_x0000_t202" style="position:absolute;margin-left:133.45pt;margin-top:200.6pt;width:56.15pt;height:15.9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" stroked="f">
                <v:textbox>
                  <w:txbxContent>
                    <w:p w14:paraId="4BFA6419" w14:textId="77777777" w:rsidR="009A26D2" w:rsidRPr="007C4B2C" w:rsidRDefault="009A26D2" w:rsidP="00651B8A">
                      <w:pPr>
                        <w:rPr>
                          <w:sz w:val="18"/>
                          <w:szCs w:val="18"/>
                        </w:rPr>
                      </w:pPr>
                      <w:r w:rsidRPr="007C4B2C">
                        <w:rPr>
                          <w:sz w:val="18"/>
                          <w:szCs w:val="18"/>
                        </w:rPr>
                        <w:t>Tra</w:t>
                      </w:r>
                      <w:r>
                        <w:rPr>
                          <w:sz w:val="18"/>
                          <w:szCs w:val="18"/>
                        </w:rPr>
                        <w:t>i</w:t>
                      </w:r>
                      <w:r w:rsidRPr="007C4B2C">
                        <w:rPr>
                          <w:sz w:val="18"/>
                          <w:szCs w:val="18"/>
                        </w:rPr>
                        <w:t>t</w:t>
                      </w:r>
                      <w:r>
                        <w:rPr>
                          <w:sz w:val="18"/>
                          <w:szCs w:val="18"/>
                        </w:rPr>
                        <w:t>e</w:t>
                      </w:r>
                      <w:r w:rsidRPr="007C4B2C">
                        <w:rPr>
                          <w:sz w:val="18"/>
                          <w:szCs w:val="18"/>
                        </w:rPr>
                        <w:t>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36224" behindDoc="0" locked="0" layoutInCell="1" allowOverlap="1" wp14:anchorId="427B0503" wp14:editId="02F6EED8">
                <wp:simplePos x="0" y="0"/>
                <wp:positionH relativeFrom="column">
                  <wp:posOffset>274320</wp:posOffset>
                </wp:positionH>
                <wp:positionV relativeFrom="paragraph">
                  <wp:posOffset>2550160</wp:posOffset>
                </wp:positionV>
                <wp:extent cx="713105" cy="201930"/>
                <wp:effectExtent l="0" t="0" r="0" b="0"/>
                <wp:wrapNone/>
                <wp:docPr id="86" name="Zone de texte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0636CB48" w14:textId="77777777" w:rsidR="009A26D2" w:rsidRPr="007C4B2C" w:rsidRDefault="009A26D2" w:rsidP="00651B8A">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B0503" id="Zone de texte 74" o:spid="_x0000_s1057" type="#_x0000_t202" style="position:absolute;margin-left:21.6pt;margin-top:200.8pt;width:56.15pt;height:15.9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" stroked="f">
                <v:textbox>
                  <w:txbxContent>
                    <w:p w14:paraId="0636CB48" w14:textId="77777777" w:rsidR="009A26D2" w:rsidRPr="007C4B2C" w:rsidRDefault="009A26D2" w:rsidP="00651B8A">
                      <w:pPr>
                        <w:rPr>
                          <w:sz w:val="18"/>
                          <w:szCs w:val="18"/>
                        </w:rPr>
                      </w:pPr>
                      <w:r>
                        <w:rPr>
                          <w:sz w:val="18"/>
                          <w:szCs w:val="18"/>
                        </w:rPr>
                        <w:t>Étude UV 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w:drawing>
          <wp:inline distT="0" distB="0" distL="0" distR="0" wp14:anchorId="25CEC9BC" wp14:editId="677D80D4">
            <wp:extent cx="5767705" cy="2750185"/>
            <wp:effectExtent l="0" t="0" r="0" b="0"/>
            <wp:docPr id="13"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705" cy="2750185"/>
                    </a:xfrm>
                    <a:prstGeom prst="rect">
                      <a:avLst/>
                    </a:prstGeom>
                    <a:noFill/>
                    <a:ln>
                      <a:noFill/>
                    </a:ln>
                  </pic:spPr>
                </pic:pic>
              </a:graphicData>
            </a:graphic>
          </wp:inline>
        </w:drawing>
      </w:r>
    </w:p>
    <w:p w14:paraId="6FA6264E" w14:textId="77777777" w:rsidR="00651B8A" w:rsidRPr="0058432E" w:rsidRDefault="00651B8A" w:rsidP="00651B8A">
      <w:pPr>
        <w:rPr>
          <w:color w:val="000000" w:themeColor="text1"/>
        </w:rPr>
      </w:pPr>
    </w:p>
    <w:p w14:paraId="5418771F" w14:textId="2B0ED1D3" w:rsidR="00651B8A" w:rsidRPr="0058432E" w:rsidRDefault="009D65D0" w:rsidP="00651B8A">
      <w:pPr>
        <w:rPr>
          <w:color w:val="000000" w:themeColor="text1"/>
        </w:rPr>
      </w:pPr>
      <w:r w:rsidRPr="0058432E">
        <w:rPr>
          <w:noProof/>
          <w:color w:val="000000" w:themeColor="text1"/>
        </w:rPr>
        <w:lastRenderedPageBreak/>
        <mc:AlternateContent>
          <mc:Choice Requires="wps">
            <w:drawing>
              <wp:anchor distT="0" distB="0" distL="114300" distR="114300" simplePos="0" relativeHeight="251642368" behindDoc="0" locked="0" layoutInCell="1" allowOverlap="1" wp14:anchorId="047C1970" wp14:editId="76C2D268">
                <wp:simplePos x="0" y="0"/>
                <wp:positionH relativeFrom="column">
                  <wp:posOffset>4612640</wp:posOffset>
                </wp:positionH>
                <wp:positionV relativeFrom="paragraph">
                  <wp:posOffset>2517775</wp:posOffset>
                </wp:positionV>
                <wp:extent cx="814705" cy="204470"/>
                <wp:effectExtent l="0" t="0" r="0" b="0"/>
                <wp:wrapNone/>
                <wp:docPr id="85" name="Zone de text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38708C6A" w14:textId="77777777" w:rsidR="009A26D2" w:rsidRPr="007C4B2C" w:rsidRDefault="009A26D2" w:rsidP="00651B8A">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C1970" id="Zone de texte 75" o:spid="_x0000_s1058" type="#_x0000_t202" style="position:absolute;margin-left:363.2pt;margin-top:198.25pt;width:64.15pt;height:16.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" stroked="f">
                <v:textbox>
                  <w:txbxContent>
                    <w:p w14:paraId="38708C6A" w14:textId="77777777" w:rsidR="009A26D2" w:rsidRPr="007C4B2C" w:rsidRDefault="009A26D2" w:rsidP="00651B8A">
                      <w:pPr>
                        <w:rPr>
                          <w:sz w:val="18"/>
                          <w:szCs w:val="18"/>
                        </w:rPr>
                      </w:pPr>
                      <w:r>
                        <w:rPr>
                          <w:sz w:val="18"/>
                          <w:szCs w:val="18"/>
                        </w:rPr>
                        <w:t>Adalimumab</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41344" behindDoc="0" locked="0" layoutInCell="1" allowOverlap="1" wp14:anchorId="27E88CE5" wp14:editId="3BCF1209">
                <wp:simplePos x="0" y="0"/>
                <wp:positionH relativeFrom="column">
                  <wp:posOffset>3226435</wp:posOffset>
                </wp:positionH>
                <wp:positionV relativeFrom="paragraph">
                  <wp:posOffset>2526030</wp:posOffset>
                </wp:positionV>
                <wp:extent cx="814705" cy="204470"/>
                <wp:effectExtent l="0" t="0" r="0" b="0"/>
                <wp:wrapNone/>
                <wp:docPr id="84" name="Zone de texte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118BBE45" w14:textId="77777777" w:rsidR="009A26D2" w:rsidRPr="007C4B2C" w:rsidRDefault="009A26D2" w:rsidP="00651B8A">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88CE5" id="Zone de texte 76" o:spid="_x0000_s1059" type="#_x0000_t202" style="position:absolute;margin-left:254.05pt;margin-top:198.9pt;width:64.15pt;height:16.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" stroked="f">
                <v:textbox>
                  <w:txbxContent>
                    <w:p w14:paraId="118BBE45" w14:textId="77777777" w:rsidR="009A26D2" w:rsidRPr="007C4B2C" w:rsidRDefault="009A26D2" w:rsidP="00651B8A">
                      <w:pPr>
                        <w:rPr>
                          <w:sz w:val="18"/>
                          <w:szCs w:val="18"/>
                        </w:rPr>
                      </w:pPr>
                      <w:r>
                        <w:rPr>
                          <w:sz w:val="18"/>
                          <w:szCs w:val="18"/>
                        </w:rPr>
                        <w:t>Placebo</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38272" behindDoc="0" locked="0" layoutInCell="1" allowOverlap="1" wp14:anchorId="1F71F14E" wp14:editId="182F4B2F">
                <wp:simplePos x="0" y="0"/>
                <wp:positionH relativeFrom="column">
                  <wp:posOffset>373380</wp:posOffset>
                </wp:positionH>
                <wp:positionV relativeFrom="paragraph">
                  <wp:posOffset>2534285</wp:posOffset>
                </wp:positionV>
                <wp:extent cx="814705" cy="204470"/>
                <wp:effectExtent l="0" t="0" r="0" b="0"/>
                <wp:wrapNone/>
                <wp:docPr id="83" name="Zone de text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12B26DE5" w14:textId="77777777" w:rsidR="009A26D2" w:rsidRPr="007C4B2C" w:rsidRDefault="009A26D2" w:rsidP="00651B8A">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1F14E" id="Zone de texte 77" o:spid="_x0000_s1060" type="#_x0000_t202" style="position:absolute;margin-left:29.4pt;margin-top:199.55pt;width:64.15pt;height:16.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" stroked="f">
                <v:textbox>
                  <w:txbxContent>
                    <w:p w14:paraId="12B26DE5" w14:textId="77777777" w:rsidR="009A26D2" w:rsidRPr="007C4B2C" w:rsidRDefault="009A26D2" w:rsidP="00651B8A">
                      <w:pPr>
                        <w:rPr>
                          <w:sz w:val="18"/>
                          <w:szCs w:val="18"/>
                        </w:rPr>
                      </w:pPr>
                      <w:r>
                        <w:rPr>
                          <w:sz w:val="18"/>
                          <w:szCs w:val="18"/>
                        </w:rPr>
                        <w:t>Étude UV II</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40320" behindDoc="0" locked="0" layoutInCell="1" allowOverlap="1" wp14:anchorId="7142F514" wp14:editId="6FEB3E1B">
                <wp:simplePos x="0" y="0"/>
                <wp:positionH relativeFrom="column">
                  <wp:posOffset>1727200</wp:posOffset>
                </wp:positionH>
                <wp:positionV relativeFrom="paragraph">
                  <wp:posOffset>2542540</wp:posOffset>
                </wp:positionV>
                <wp:extent cx="814705" cy="204470"/>
                <wp:effectExtent l="0" t="0" r="0" b="0"/>
                <wp:wrapNone/>
                <wp:docPr id="82" name="Zone de texte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320A334B" w14:textId="77777777" w:rsidR="009A26D2" w:rsidRPr="007C4B2C" w:rsidRDefault="009A26D2" w:rsidP="00651B8A">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2F514" id="Zone de texte 78" o:spid="_x0000_s1061" type="#_x0000_t202" style="position:absolute;margin-left:136pt;margin-top:200.2pt;width:64.15pt;height:16.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" stroked="f">
                <v:textbox>
                  <w:txbxContent>
                    <w:p w14:paraId="320A334B" w14:textId="77777777" w:rsidR="009A26D2" w:rsidRPr="007C4B2C" w:rsidRDefault="009A26D2" w:rsidP="00651B8A">
                      <w:pPr>
                        <w:rPr>
                          <w:sz w:val="18"/>
                          <w:szCs w:val="18"/>
                        </w:rPr>
                      </w:pPr>
                      <w:r>
                        <w:rPr>
                          <w:sz w:val="18"/>
                          <w:szCs w:val="18"/>
                        </w:rPr>
                        <w:t>Traitement</w:t>
                      </w:r>
                      <w:r w:rsidRPr="007C4B2C">
                        <w:rPr>
                          <w:sz w:val="18"/>
                          <w:szCs w:val="18"/>
                        </w:rPr>
                        <w:tab/>
                      </w:r>
                      <w:r w:rsidRPr="007C4B2C">
                        <w:rPr>
                          <w:sz w:val="18"/>
                          <w:szCs w:val="18"/>
                        </w:rPr>
                        <w:tab/>
                      </w:r>
                      <w:r w:rsidRPr="007C4B2C">
                        <w:rPr>
                          <w:sz w:val="18"/>
                          <w:szCs w:val="18"/>
                        </w:rPr>
                        <w:tab/>
                      </w:r>
                    </w:p>
                  </w:txbxContent>
                </v:textbox>
              </v:shape>
            </w:pict>
          </mc:Fallback>
        </mc:AlternateContent>
      </w:r>
      <w:r w:rsidRPr="0058432E">
        <w:rPr>
          <w:noProof/>
          <w:color w:val="000000" w:themeColor="text1"/>
        </w:rPr>
        <mc:AlternateContent>
          <mc:Choice Requires="wps">
            <w:drawing>
              <wp:anchor distT="0" distB="0" distL="114300" distR="114300" simplePos="0" relativeHeight="251639296" behindDoc="0" locked="0" layoutInCell="1" allowOverlap="1" wp14:anchorId="30C105DD" wp14:editId="789B0087">
                <wp:simplePos x="0" y="0"/>
                <wp:positionH relativeFrom="column">
                  <wp:posOffset>2447925</wp:posOffset>
                </wp:positionH>
                <wp:positionV relativeFrom="paragraph">
                  <wp:posOffset>2378710</wp:posOffset>
                </wp:positionV>
                <wp:extent cx="1181100" cy="196215"/>
                <wp:effectExtent l="0" t="0" r="0" b="0"/>
                <wp:wrapNone/>
                <wp:docPr id="81" name="Zone de text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637F13B3" w14:textId="77777777" w:rsidR="009A26D2" w:rsidRPr="007C4B2C" w:rsidRDefault="009A26D2" w:rsidP="00651B8A">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105DD" id="Zone de texte 79" o:spid="_x0000_s1062" type="#_x0000_t202" style="position:absolute;margin-left:192.75pt;margin-top:187.3pt;width:93pt;height:15.4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" stroked="f">
                <v:textbox>
                  <w:txbxContent>
                    <w:p w14:paraId="637F13B3" w14:textId="77777777" w:rsidR="009A26D2" w:rsidRPr="007C4B2C" w:rsidRDefault="009A26D2" w:rsidP="00651B8A">
                      <w:pPr>
                        <w:rPr>
                          <w:b/>
                          <w:bCs/>
                          <w:sz w:val="16"/>
                          <w:szCs w:val="16"/>
                        </w:rPr>
                      </w:pPr>
                      <w:r>
                        <w:rPr>
                          <w:b/>
                          <w:bCs/>
                          <w:sz w:val="16"/>
                          <w:szCs w:val="16"/>
                        </w:rPr>
                        <w:t>TEMPS</w:t>
                      </w:r>
                      <w:r w:rsidRPr="007C4B2C">
                        <w:rPr>
                          <w:b/>
                          <w:bCs/>
                          <w:sz w:val="16"/>
                          <w:szCs w:val="16"/>
                        </w:rPr>
                        <w:t xml:space="preserve"> (MO</w:t>
                      </w:r>
                      <w:r>
                        <w:rPr>
                          <w:b/>
                          <w:bCs/>
                          <w:sz w:val="16"/>
                          <w:szCs w:val="16"/>
                        </w:rPr>
                        <w:t>I</w:t>
                      </w:r>
                      <w:r w:rsidRPr="007C4B2C">
                        <w:rPr>
                          <w:b/>
                          <w:bCs/>
                          <w:sz w:val="16"/>
                          <w:szCs w:val="16"/>
                        </w:rPr>
                        <w:t>S)</w:t>
                      </w:r>
                    </w:p>
                  </w:txbxContent>
                </v:textbox>
              </v:shape>
            </w:pict>
          </mc:Fallback>
        </mc:AlternateContent>
      </w:r>
      <w:r w:rsidRPr="0058432E">
        <w:rPr>
          <w:noProof/>
          <w:color w:val="000000" w:themeColor="text1"/>
        </w:rPr>
        <mc:AlternateContent>
          <mc:Choice Requires="wps">
            <w:drawing>
              <wp:anchor distT="0" distB="0" distL="114300" distR="114300" simplePos="0" relativeHeight="251637248" behindDoc="0" locked="0" layoutInCell="1" allowOverlap="1" wp14:anchorId="780AC407" wp14:editId="7D731C9F">
                <wp:simplePos x="0" y="0"/>
                <wp:positionH relativeFrom="column">
                  <wp:posOffset>67310</wp:posOffset>
                </wp:positionH>
                <wp:positionV relativeFrom="paragraph">
                  <wp:posOffset>81915</wp:posOffset>
                </wp:positionV>
                <wp:extent cx="306070" cy="2510155"/>
                <wp:effectExtent l="0" t="0" r="0" b="0"/>
                <wp:wrapNone/>
                <wp:docPr id="80" name="Zone de texte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510155"/>
                        </a:xfrm>
                        <a:prstGeom prst="rect">
                          <a:avLst/>
                        </a:prstGeom>
                        <a:solidFill>
                          <a:srgbClr val="FFFFFF"/>
                        </a:solidFill>
                        <a:ln>
                          <a:noFill/>
                        </a:ln>
                      </wps:spPr>
                      <wps:txbx>
                        <w:txbxContent>
                          <w:p w14:paraId="7AB2A8E2" w14:textId="77777777" w:rsidR="009A26D2" w:rsidRPr="00DD4287" w:rsidRDefault="009A26D2" w:rsidP="00651B8A">
                            <w:pPr>
                              <w:jc w:val="center"/>
                              <w:rPr>
                                <w:b/>
                                <w:bCs/>
                                <w:sz w:val="18"/>
                                <w:szCs w:val="18"/>
                              </w:rPr>
                            </w:pPr>
                            <w:r w:rsidRPr="00D87436">
                              <w:rPr>
                                <w:b/>
                                <w:sz w:val="18"/>
                                <w:szCs w:val="18"/>
                              </w:rPr>
                              <w:t>TAUX DE RECHUTE</w:t>
                            </w:r>
                            <w:r w:rsidRPr="00DD4287" w:rsidDel="00DD4287">
                              <w:rPr>
                                <w:b/>
                                <w:bCs/>
                                <w:sz w:val="18"/>
                                <w:szCs w:val="18"/>
                              </w:rPr>
                              <w:t xml:space="preserve"> </w:t>
                            </w:r>
                            <w:r w:rsidRPr="00DD4287">
                              <w:rPr>
                                <w:b/>
                                <w:bCs/>
                                <w:sz w:val="18"/>
                                <w:szCs w:val="18"/>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AC407" id="Zone de texte 80" o:spid="_x0000_s1063" type="#_x0000_t202" style="position:absolute;margin-left:5.3pt;margin-top:6.45pt;width:24.1pt;height:197.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" stroked="f">
                <v:textbox style="layout-flow:vertical;mso-layout-flow-alt:bottom-to-top">
                  <w:txbxContent>
                    <w:p w14:paraId="7AB2A8E2" w14:textId="77777777" w:rsidR="009A26D2" w:rsidRPr="00DD4287" w:rsidRDefault="009A26D2" w:rsidP="00651B8A">
                      <w:pPr>
                        <w:jc w:val="center"/>
                        <w:rPr>
                          <w:b/>
                          <w:bCs/>
                          <w:sz w:val="18"/>
                          <w:szCs w:val="18"/>
                        </w:rPr>
                      </w:pPr>
                      <w:r w:rsidRPr="00D87436">
                        <w:rPr>
                          <w:b/>
                          <w:sz w:val="18"/>
                          <w:szCs w:val="18"/>
                        </w:rPr>
                        <w:t>TAUX DE RECHUTE</w:t>
                      </w:r>
                      <w:r w:rsidRPr="00DD4287" w:rsidDel="00DD4287">
                        <w:rPr>
                          <w:b/>
                          <w:bCs/>
                          <w:sz w:val="18"/>
                          <w:szCs w:val="18"/>
                        </w:rPr>
                        <w:t xml:space="preserve"> </w:t>
                      </w:r>
                      <w:r w:rsidRPr="00DD4287">
                        <w:rPr>
                          <w:b/>
                          <w:bCs/>
                          <w:sz w:val="18"/>
                          <w:szCs w:val="18"/>
                        </w:rPr>
                        <w:t>(%)</w:t>
                      </w:r>
                    </w:p>
                  </w:txbxContent>
                </v:textbox>
              </v:shape>
            </w:pict>
          </mc:Fallback>
        </mc:AlternateContent>
      </w:r>
      <w:r w:rsidRPr="0058432E">
        <w:rPr>
          <w:noProof/>
          <w:color w:val="000000" w:themeColor="text1"/>
        </w:rPr>
        <w:drawing>
          <wp:inline distT="0" distB="0" distL="0" distR="0" wp14:anchorId="091DE992" wp14:editId="1231D341">
            <wp:extent cx="5767705" cy="2715260"/>
            <wp:effectExtent l="0" t="0" r="0" b="0"/>
            <wp:docPr id="14"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7705" cy="2715260"/>
                    </a:xfrm>
                    <a:prstGeom prst="rect">
                      <a:avLst/>
                    </a:prstGeom>
                    <a:noFill/>
                    <a:ln>
                      <a:noFill/>
                    </a:ln>
                  </pic:spPr>
                </pic:pic>
              </a:graphicData>
            </a:graphic>
          </wp:inline>
        </w:drawing>
      </w:r>
    </w:p>
    <w:p w14:paraId="499EB29C" w14:textId="77777777" w:rsidR="00C46587" w:rsidRPr="0058432E" w:rsidRDefault="00C46587" w:rsidP="00982118">
      <w:pPr>
        <w:rPr>
          <w:color w:val="000000" w:themeColor="text1"/>
          <w:sz w:val="20"/>
          <w:szCs w:val="20"/>
        </w:rPr>
      </w:pPr>
      <w:r w:rsidRPr="0058432E">
        <w:rPr>
          <w:color w:val="000000" w:themeColor="text1"/>
          <w:sz w:val="20"/>
          <w:szCs w:val="20"/>
        </w:rPr>
        <w:t>Remarque : P# = Placebo (Nombre d’événements/Nombre de patients à risque) ; A# = Adalimumab (Nombre d’événements/Nombre de patients à risque)</w:t>
      </w:r>
    </w:p>
    <w:p w14:paraId="6836D60C" w14:textId="77777777" w:rsidR="00914F4E" w:rsidRPr="0058432E" w:rsidRDefault="00914F4E" w:rsidP="00982118">
      <w:pPr>
        <w:rPr>
          <w:color w:val="000000" w:themeColor="text1"/>
        </w:rPr>
      </w:pPr>
    </w:p>
    <w:p w14:paraId="1ABE8039" w14:textId="77777777" w:rsidR="00914F4E" w:rsidRPr="0058432E" w:rsidRDefault="00914F4E" w:rsidP="00982118">
      <w:pPr>
        <w:rPr>
          <w:color w:val="000000" w:themeColor="text1"/>
        </w:rPr>
      </w:pPr>
      <w:r w:rsidRPr="0058432E">
        <w:rPr>
          <w:color w:val="000000" w:themeColor="text1"/>
        </w:rPr>
        <w:t xml:space="preserve">Dans l’étude UV I, des différences statistiquement significatives en faveur de l’adalimumab versus placebo ont été observées pour chaque composante du critère de rechute. Dans l’étude UV II, des différences statistiquement significatives ont été observées </w:t>
      </w:r>
      <w:r w:rsidR="00B17645" w:rsidRPr="0058432E">
        <w:rPr>
          <w:color w:val="000000" w:themeColor="text1"/>
        </w:rPr>
        <w:t xml:space="preserve">seulement </w:t>
      </w:r>
      <w:r w:rsidRPr="0058432E">
        <w:rPr>
          <w:color w:val="000000" w:themeColor="text1"/>
        </w:rPr>
        <w:t xml:space="preserve">pour l’acuité visuelle, toutes les autres composantes étaient cependant numériquement en faveur de l’adalimumab. </w:t>
      </w:r>
    </w:p>
    <w:p w14:paraId="1949D9D6" w14:textId="77777777" w:rsidR="00914F4E" w:rsidRPr="0058432E" w:rsidRDefault="00914F4E" w:rsidP="00982118">
      <w:pPr>
        <w:rPr>
          <w:color w:val="000000" w:themeColor="text1"/>
        </w:rPr>
      </w:pPr>
    </w:p>
    <w:p w14:paraId="41369306" w14:textId="77777777" w:rsidR="000A176B" w:rsidRPr="0058432E" w:rsidRDefault="000A176B" w:rsidP="00982118">
      <w:pPr>
        <w:rPr>
          <w:color w:val="000000" w:themeColor="text1"/>
        </w:rPr>
      </w:pPr>
      <w:r w:rsidRPr="0058432E">
        <w:rPr>
          <w:color w:val="000000" w:themeColor="text1"/>
        </w:rPr>
        <w:t>Sur les 4</w:t>
      </w:r>
      <w:r w:rsidR="00F16C11" w:rsidRPr="0058432E">
        <w:rPr>
          <w:color w:val="000000" w:themeColor="text1"/>
        </w:rPr>
        <w:t>24</w:t>
      </w:r>
      <w:r w:rsidRPr="0058432E">
        <w:rPr>
          <w:color w:val="000000" w:themeColor="text1"/>
        </w:rPr>
        <w:t xml:space="preserve"> patients inclus dans l’extension à long-terme non contrôlée des études UV I et UV II, </w:t>
      </w:r>
      <w:r w:rsidR="00F16C11" w:rsidRPr="0058432E">
        <w:rPr>
          <w:color w:val="000000" w:themeColor="text1"/>
        </w:rPr>
        <w:t>60</w:t>
      </w:r>
      <w:r w:rsidR="002A7F87" w:rsidRPr="0058432E">
        <w:rPr>
          <w:color w:val="000000" w:themeColor="text1"/>
        </w:rPr>
        <w:t> </w:t>
      </w:r>
      <w:r w:rsidRPr="0058432E">
        <w:rPr>
          <w:color w:val="000000" w:themeColor="text1"/>
        </w:rPr>
        <w:t>patients ont été considérés inéligibles (</w:t>
      </w:r>
      <w:r w:rsidR="009A69F5" w:rsidRPr="0058432E">
        <w:rPr>
          <w:color w:val="000000" w:themeColor="text1"/>
        </w:rPr>
        <w:t>par ex</w:t>
      </w:r>
      <w:r w:rsidR="00A67736" w:rsidRPr="0058432E">
        <w:rPr>
          <w:color w:val="000000" w:themeColor="text1"/>
        </w:rPr>
        <w:t>emple,</w:t>
      </w:r>
      <w:r w:rsidRPr="0058432E">
        <w:rPr>
          <w:color w:val="000000" w:themeColor="text1"/>
        </w:rPr>
        <w:t xml:space="preserve"> </w:t>
      </w:r>
      <w:r w:rsidR="003A5DC9" w:rsidRPr="0058432E">
        <w:rPr>
          <w:color w:val="000000" w:themeColor="text1"/>
        </w:rPr>
        <w:t xml:space="preserve">en raison </w:t>
      </w:r>
      <w:r w:rsidR="002A7CDF" w:rsidRPr="0058432E">
        <w:rPr>
          <w:color w:val="000000" w:themeColor="text1"/>
        </w:rPr>
        <w:t>de déviations</w:t>
      </w:r>
      <w:r w:rsidR="003A5DC9" w:rsidRPr="0058432E">
        <w:rPr>
          <w:color w:val="000000" w:themeColor="text1"/>
        </w:rPr>
        <w:t xml:space="preserve"> ou en raison de </w:t>
      </w:r>
      <w:r w:rsidRPr="0058432E">
        <w:rPr>
          <w:color w:val="000000" w:themeColor="text1"/>
        </w:rPr>
        <w:t xml:space="preserve">complications secondaires à une rétinopathie diabétique, </w:t>
      </w:r>
      <w:proofErr w:type="gramStart"/>
      <w:r w:rsidRPr="0058432E">
        <w:rPr>
          <w:color w:val="000000" w:themeColor="text1"/>
        </w:rPr>
        <w:t>suite à une</w:t>
      </w:r>
      <w:proofErr w:type="gramEnd"/>
      <w:r w:rsidRPr="0058432E">
        <w:rPr>
          <w:color w:val="000000" w:themeColor="text1"/>
        </w:rPr>
        <w:t xml:space="preserve"> chirurgie de la cataracte ou une vitrectomie) et ont été exclus de l’analyse des critères </w:t>
      </w:r>
      <w:r w:rsidR="00B17645" w:rsidRPr="0058432E">
        <w:rPr>
          <w:color w:val="000000" w:themeColor="text1"/>
        </w:rPr>
        <w:t xml:space="preserve">d’efficacité </w:t>
      </w:r>
      <w:r w:rsidRPr="0058432E">
        <w:rPr>
          <w:color w:val="000000" w:themeColor="text1"/>
        </w:rPr>
        <w:t xml:space="preserve">primaires. Sur les </w:t>
      </w:r>
      <w:r w:rsidR="003A5DC9" w:rsidRPr="0058432E">
        <w:rPr>
          <w:color w:val="000000" w:themeColor="text1"/>
        </w:rPr>
        <w:t>364</w:t>
      </w:r>
      <w:r w:rsidRPr="0058432E">
        <w:rPr>
          <w:color w:val="000000" w:themeColor="text1"/>
        </w:rPr>
        <w:t> patients restants, 2</w:t>
      </w:r>
      <w:r w:rsidR="003A5DC9" w:rsidRPr="0058432E">
        <w:rPr>
          <w:color w:val="000000" w:themeColor="text1"/>
        </w:rPr>
        <w:t>69</w:t>
      </w:r>
      <w:r w:rsidRPr="0058432E">
        <w:rPr>
          <w:color w:val="000000" w:themeColor="text1"/>
        </w:rPr>
        <w:t xml:space="preserve"> patients évaluables</w:t>
      </w:r>
      <w:r w:rsidR="003A5DC9" w:rsidRPr="0058432E">
        <w:rPr>
          <w:color w:val="000000" w:themeColor="text1"/>
        </w:rPr>
        <w:t xml:space="preserve"> (74%)</w:t>
      </w:r>
      <w:r w:rsidRPr="0058432E">
        <w:rPr>
          <w:color w:val="000000" w:themeColor="text1"/>
        </w:rPr>
        <w:t xml:space="preserve"> ont été traités pendant 78 semaines en ouvert </w:t>
      </w:r>
      <w:r w:rsidR="008E7545" w:rsidRPr="0058432E">
        <w:rPr>
          <w:color w:val="000000" w:themeColor="text1"/>
        </w:rPr>
        <w:t>par adalimumab</w:t>
      </w:r>
      <w:r w:rsidRPr="0058432E">
        <w:rPr>
          <w:color w:val="000000" w:themeColor="text1"/>
        </w:rPr>
        <w:t>. Sur la base des données observées, 2</w:t>
      </w:r>
      <w:r w:rsidR="003A5DC9" w:rsidRPr="0058432E">
        <w:rPr>
          <w:color w:val="000000" w:themeColor="text1"/>
        </w:rPr>
        <w:t>16</w:t>
      </w:r>
      <w:r w:rsidRPr="0058432E">
        <w:rPr>
          <w:color w:val="000000" w:themeColor="text1"/>
        </w:rPr>
        <w:t xml:space="preserve"> (80,</w:t>
      </w:r>
      <w:r w:rsidR="003A5DC9" w:rsidRPr="0058432E">
        <w:rPr>
          <w:color w:val="000000" w:themeColor="text1"/>
        </w:rPr>
        <w:t>3</w:t>
      </w:r>
      <w:r w:rsidRPr="0058432E">
        <w:rPr>
          <w:color w:val="000000" w:themeColor="text1"/>
        </w:rPr>
        <w:t> %) étaient en phase de quiescence (absence de lésions inflammatoires actives, Tyndall cellulaire ≤ 0,5+, inflammation vitrée</w:t>
      </w:r>
      <w:r w:rsidR="00B17645" w:rsidRPr="0058432E">
        <w:rPr>
          <w:color w:val="000000" w:themeColor="text1"/>
        </w:rPr>
        <w:t>nne</w:t>
      </w:r>
      <w:r w:rsidR="00354DBF" w:rsidRPr="0058432E">
        <w:rPr>
          <w:color w:val="000000" w:themeColor="text1"/>
        </w:rPr>
        <w:t xml:space="preserve"> de grade </w:t>
      </w:r>
      <w:r w:rsidRPr="0058432E">
        <w:rPr>
          <w:color w:val="000000" w:themeColor="text1"/>
        </w:rPr>
        <w:t xml:space="preserve">≤ 0,5+) avec corticothérapie </w:t>
      </w:r>
      <w:r w:rsidR="00354DBF" w:rsidRPr="0058432E">
        <w:rPr>
          <w:color w:val="000000" w:themeColor="text1"/>
        </w:rPr>
        <w:t>concomitante</w:t>
      </w:r>
      <w:r w:rsidRPr="0058432E">
        <w:rPr>
          <w:color w:val="000000" w:themeColor="text1"/>
        </w:rPr>
        <w:t xml:space="preserve"> à une dose ≤ 7,5 mg par jour, et </w:t>
      </w:r>
      <w:r w:rsidR="003A5DC9" w:rsidRPr="0058432E">
        <w:rPr>
          <w:color w:val="000000" w:themeColor="text1"/>
        </w:rPr>
        <w:t>178</w:t>
      </w:r>
      <w:r w:rsidRPr="0058432E">
        <w:rPr>
          <w:color w:val="000000" w:themeColor="text1"/>
        </w:rPr>
        <w:t xml:space="preserve"> (66,</w:t>
      </w:r>
      <w:r w:rsidR="003A5DC9" w:rsidRPr="0058432E">
        <w:rPr>
          <w:color w:val="000000" w:themeColor="text1"/>
        </w:rPr>
        <w:t>2</w:t>
      </w:r>
      <w:r w:rsidRPr="0058432E">
        <w:rPr>
          <w:color w:val="000000" w:themeColor="text1"/>
        </w:rPr>
        <w:t> %) étaient en phase de quiescence sans corticoïdes. La meilleure acuité visuelle corrigée était soit améliorée soit maintenue (détérioration &lt; 5 lettres) pour 88,</w:t>
      </w:r>
      <w:r w:rsidR="003A5DC9" w:rsidRPr="0058432E">
        <w:rPr>
          <w:color w:val="000000" w:themeColor="text1"/>
        </w:rPr>
        <w:t>6</w:t>
      </w:r>
      <w:r w:rsidRPr="0058432E">
        <w:rPr>
          <w:color w:val="000000" w:themeColor="text1"/>
        </w:rPr>
        <w:t> % des yeux évalués à la semaine 78.</w:t>
      </w:r>
      <w:r w:rsidR="002F444E" w:rsidRPr="0058432E">
        <w:rPr>
          <w:color w:val="000000" w:themeColor="text1"/>
        </w:rPr>
        <w:t xml:space="preserve"> </w:t>
      </w:r>
      <w:r w:rsidR="003A5DC9" w:rsidRPr="0058432E">
        <w:rPr>
          <w:color w:val="000000" w:themeColor="text1"/>
        </w:rPr>
        <w:t xml:space="preserve">Les données au-delà de la semaine 78 concordaient généralement avec ces résultats, mais le nombre de sujets inscrits a diminué après cette période. </w:t>
      </w:r>
      <w:r w:rsidR="00EF00C8" w:rsidRPr="0058432E">
        <w:rPr>
          <w:color w:val="000000" w:themeColor="text1"/>
        </w:rPr>
        <w:t>En général</w:t>
      </w:r>
      <w:r w:rsidR="003A5DC9" w:rsidRPr="0058432E">
        <w:rPr>
          <w:color w:val="000000" w:themeColor="text1"/>
        </w:rPr>
        <w:t xml:space="preserve">, </w:t>
      </w:r>
      <w:r w:rsidR="003A5DC9" w:rsidRPr="0058432E">
        <w:rPr>
          <w:color w:val="000000" w:themeColor="text1"/>
          <w:spacing w:val="-2"/>
        </w:rPr>
        <w:t>p</w:t>
      </w:r>
      <w:r w:rsidR="00354DBF" w:rsidRPr="0058432E">
        <w:rPr>
          <w:color w:val="000000" w:themeColor="text1"/>
          <w:spacing w:val="-2"/>
        </w:rPr>
        <w:t>armi</w:t>
      </w:r>
      <w:r w:rsidR="00354DBF" w:rsidRPr="0058432E">
        <w:rPr>
          <w:color w:val="000000" w:themeColor="text1"/>
        </w:rPr>
        <w:t xml:space="preserve"> </w:t>
      </w:r>
      <w:r w:rsidRPr="0058432E">
        <w:rPr>
          <w:color w:val="000000" w:themeColor="text1"/>
        </w:rPr>
        <w:t>les patients sortis de l’étude, 1</w:t>
      </w:r>
      <w:r w:rsidR="00D10176" w:rsidRPr="0058432E">
        <w:rPr>
          <w:color w:val="000000" w:themeColor="text1"/>
        </w:rPr>
        <w:t>8</w:t>
      </w:r>
      <w:r w:rsidRPr="0058432E">
        <w:rPr>
          <w:color w:val="000000" w:themeColor="text1"/>
        </w:rPr>
        <w:t xml:space="preserve"> % ont arrêté l’étude en raison d’événements indésirables et </w:t>
      </w:r>
      <w:r w:rsidR="00D10176" w:rsidRPr="0058432E">
        <w:rPr>
          <w:color w:val="000000" w:themeColor="text1"/>
        </w:rPr>
        <w:t>8</w:t>
      </w:r>
      <w:r w:rsidRPr="0058432E">
        <w:rPr>
          <w:color w:val="000000" w:themeColor="text1"/>
        </w:rPr>
        <w:t xml:space="preserve"> % en raison d’une réponse insuffisante au traitement </w:t>
      </w:r>
      <w:r w:rsidR="008E7545" w:rsidRPr="0058432E">
        <w:rPr>
          <w:color w:val="000000" w:themeColor="text1"/>
        </w:rPr>
        <w:t>par adalimumab</w:t>
      </w:r>
      <w:r w:rsidRPr="0058432E">
        <w:rPr>
          <w:color w:val="000000" w:themeColor="text1"/>
        </w:rPr>
        <w:t>.</w:t>
      </w:r>
    </w:p>
    <w:p w14:paraId="65B3346E" w14:textId="77777777" w:rsidR="000A176B" w:rsidRPr="0058432E" w:rsidRDefault="000A176B" w:rsidP="00982118">
      <w:pPr>
        <w:rPr>
          <w:color w:val="000000" w:themeColor="text1"/>
        </w:rPr>
      </w:pPr>
    </w:p>
    <w:p w14:paraId="26EF4557" w14:textId="77777777" w:rsidR="000A176B" w:rsidRPr="0058432E" w:rsidRDefault="003D5162" w:rsidP="00DC3A99">
      <w:pPr>
        <w:keepNext/>
        <w:rPr>
          <w:i/>
          <w:color w:val="000000" w:themeColor="text1"/>
          <w:u w:val="single"/>
        </w:rPr>
      </w:pPr>
      <w:r w:rsidRPr="0058432E">
        <w:rPr>
          <w:i/>
          <w:color w:val="000000" w:themeColor="text1"/>
          <w:u w:val="single"/>
        </w:rPr>
        <w:t>Qualité de vie</w:t>
      </w:r>
    </w:p>
    <w:p w14:paraId="4443EB3A" w14:textId="77777777" w:rsidR="000A176B" w:rsidRPr="0058432E" w:rsidRDefault="000A176B" w:rsidP="00DC3A99">
      <w:pPr>
        <w:keepNext/>
        <w:rPr>
          <w:color w:val="000000" w:themeColor="text1"/>
        </w:rPr>
      </w:pPr>
    </w:p>
    <w:p w14:paraId="7CA3FAFD" w14:textId="77777777" w:rsidR="00C46587" w:rsidRPr="0058432E" w:rsidRDefault="000A176B" w:rsidP="00982118">
      <w:pPr>
        <w:rPr>
          <w:color w:val="000000" w:themeColor="text1"/>
        </w:rPr>
      </w:pPr>
      <w:r w:rsidRPr="0058432E">
        <w:rPr>
          <w:color w:val="000000" w:themeColor="text1"/>
        </w:rPr>
        <w:t>Les résultats rapportés par les patients en termes de fonction visuelle ont fait l’objet d’une évaluation dans les deux études cliniques, à l’aide du questionnaire de qualité de vie NEI VFQ</w:t>
      </w:r>
      <w:r w:rsidRPr="0058432E">
        <w:rPr>
          <w:color w:val="000000" w:themeColor="text1"/>
        </w:rPr>
        <w:noBreakHyphen/>
        <w:t>25. La majorité des sous-scores étaient numériquement en faveur de l’adalimumab, avec des différences moyennes statistiquement significatives en termes de vision générale, douleur oculaire, vision de près, santé mentale, et de score total dans l’étude UV I, et en termes de vision générale et santé mentale dans l’étude UV II. Les lié</w:t>
      </w:r>
      <w:r w:rsidR="006D7DBB" w:rsidRPr="0058432E">
        <w:rPr>
          <w:color w:val="000000" w:themeColor="text1"/>
        </w:rPr>
        <w:t>s</w:t>
      </w:r>
      <w:r w:rsidRPr="0058432E">
        <w:rPr>
          <w:color w:val="000000" w:themeColor="text1"/>
        </w:rPr>
        <w:t xml:space="preserve"> à la </w:t>
      </w:r>
      <w:r w:rsidR="006D7DBB" w:rsidRPr="0058432E">
        <w:rPr>
          <w:color w:val="000000" w:themeColor="text1"/>
        </w:rPr>
        <w:t>vision</w:t>
      </w:r>
      <w:r w:rsidRPr="0058432E">
        <w:rPr>
          <w:color w:val="000000" w:themeColor="text1"/>
        </w:rPr>
        <w:t xml:space="preserve"> n’étaient pas numériquement en faveur de l’adalimumab pour </w:t>
      </w:r>
      <w:r w:rsidR="006D7DBB" w:rsidRPr="0058432E">
        <w:rPr>
          <w:color w:val="000000" w:themeColor="text1"/>
        </w:rPr>
        <w:t>la</w:t>
      </w:r>
      <w:r w:rsidRPr="0058432E">
        <w:rPr>
          <w:color w:val="000000" w:themeColor="text1"/>
        </w:rPr>
        <w:t xml:space="preserve"> vision des couleurs dans l’étude UV I et pour </w:t>
      </w:r>
      <w:r w:rsidR="006D7DBB" w:rsidRPr="0058432E">
        <w:rPr>
          <w:color w:val="000000" w:themeColor="text1"/>
        </w:rPr>
        <w:t>la</w:t>
      </w:r>
      <w:r w:rsidRPr="0058432E">
        <w:rPr>
          <w:color w:val="000000" w:themeColor="text1"/>
        </w:rPr>
        <w:t xml:space="preserve"> vision des couleurs, </w:t>
      </w:r>
      <w:r w:rsidR="006D7DBB" w:rsidRPr="0058432E">
        <w:rPr>
          <w:color w:val="000000" w:themeColor="text1"/>
        </w:rPr>
        <w:t xml:space="preserve">la </w:t>
      </w:r>
      <w:r w:rsidRPr="0058432E">
        <w:rPr>
          <w:color w:val="000000" w:themeColor="text1"/>
        </w:rPr>
        <w:t xml:space="preserve">vision périphérique et </w:t>
      </w:r>
      <w:r w:rsidR="006D7DBB" w:rsidRPr="0058432E">
        <w:rPr>
          <w:color w:val="000000" w:themeColor="text1"/>
        </w:rPr>
        <w:t xml:space="preserve">la </w:t>
      </w:r>
      <w:r w:rsidRPr="0058432E">
        <w:rPr>
          <w:color w:val="000000" w:themeColor="text1"/>
        </w:rPr>
        <w:t>vision de près dans l’étude UV II.</w:t>
      </w:r>
    </w:p>
    <w:p w14:paraId="39E0C3D5" w14:textId="77777777" w:rsidR="000A176B" w:rsidRPr="0058432E" w:rsidRDefault="000A176B" w:rsidP="00982118">
      <w:pPr>
        <w:rPr>
          <w:color w:val="000000" w:themeColor="text1"/>
        </w:rPr>
      </w:pPr>
    </w:p>
    <w:p w14:paraId="7EC58908" w14:textId="77777777" w:rsidR="00C46587" w:rsidRPr="0058432E" w:rsidRDefault="003D5162" w:rsidP="00982118">
      <w:pPr>
        <w:keepNext/>
        <w:rPr>
          <w:color w:val="000000" w:themeColor="text1"/>
          <w:u w:val="single"/>
        </w:rPr>
      </w:pPr>
      <w:r w:rsidRPr="0058432E">
        <w:rPr>
          <w:color w:val="000000" w:themeColor="text1"/>
          <w:u w:val="single"/>
        </w:rPr>
        <w:t>Immunogénicité</w:t>
      </w:r>
    </w:p>
    <w:p w14:paraId="7B27031F" w14:textId="77777777" w:rsidR="00C46587" w:rsidRPr="0058432E" w:rsidRDefault="00C46587" w:rsidP="00982118">
      <w:pPr>
        <w:keepNext/>
        <w:rPr>
          <w:color w:val="000000" w:themeColor="text1"/>
        </w:rPr>
      </w:pPr>
    </w:p>
    <w:p w14:paraId="22AFA8FC" w14:textId="77777777" w:rsidR="00C46587" w:rsidRPr="0058432E" w:rsidRDefault="00CD6C45" w:rsidP="00982118">
      <w:pPr>
        <w:rPr>
          <w:color w:val="000000" w:themeColor="text1"/>
        </w:rPr>
      </w:pPr>
      <w:r w:rsidRPr="0058432E">
        <w:rPr>
          <w:color w:val="000000" w:themeColor="text1"/>
        </w:rPr>
        <w:t xml:space="preserve">Des anticorps anti-adalimumab peuvent se développer pendant le traitement </w:t>
      </w:r>
      <w:r w:rsidR="008E7545" w:rsidRPr="0058432E">
        <w:rPr>
          <w:color w:val="000000" w:themeColor="text1"/>
        </w:rPr>
        <w:t>par adalimumab</w:t>
      </w:r>
      <w:r w:rsidRPr="0058432E">
        <w:rPr>
          <w:color w:val="000000" w:themeColor="text1"/>
        </w:rPr>
        <w:t>. La formation d’anticorps anti</w:t>
      </w:r>
      <w:r w:rsidRPr="0058432E">
        <w:rPr>
          <w:color w:val="000000" w:themeColor="text1"/>
        </w:rPr>
        <w:noBreakHyphen/>
        <w:t>adalimumab est associée à une augmentation de la clairance et à une diminution de l’efficacité de l’adalimumab. Il n’y a pas de corrélation apparente entre la présence d’anticorps anti</w:t>
      </w:r>
      <w:r w:rsidRPr="0058432E">
        <w:rPr>
          <w:color w:val="000000" w:themeColor="text1"/>
        </w:rPr>
        <w:noBreakHyphen/>
        <w:t xml:space="preserve">adalimumab et la survenue d’effets indésirables. </w:t>
      </w:r>
    </w:p>
    <w:p w14:paraId="47F2949A" w14:textId="77777777" w:rsidR="00C46587" w:rsidRPr="0058432E" w:rsidRDefault="00C46587" w:rsidP="00982118">
      <w:pPr>
        <w:rPr>
          <w:color w:val="000000" w:themeColor="text1"/>
        </w:rPr>
      </w:pPr>
    </w:p>
    <w:p w14:paraId="403BB59B" w14:textId="77777777" w:rsidR="00C46587" w:rsidRPr="0058432E" w:rsidRDefault="003D5162" w:rsidP="00982118">
      <w:pPr>
        <w:keepNext/>
        <w:rPr>
          <w:color w:val="000000" w:themeColor="text1"/>
          <w:u w:val="single"/>
        </w:rPr>
      </w:pPr>
      <w:r w:rsidRPr="0058432E">
        <w:rPr>
          <w:color w:val="000000" w:themeColor="text1"/>
          <w:u w:val="single"/>
        </w:rPr>
        <w:lastRenderedPageBreak/>
        <w:t>Population pédiatrique</w:t>
      </w:r>
    </w:p>
    <w:p w14:paraId="4DB2D718" w14:textId="77777777" w:rsidR="00C46587" w:rsidRPr="0058432E" w:rsidRDefault="00C46587" w:rsidP="00982118">
      <w:pPr>
        <w:keepNext/>
        <w:rPr>
          <w:color w:val="000000" w:themeColor="text1"/>
        </w:rPr>
      </w:pPr>
    </w:p>
    <w:p w14:paraId="60F2A11D"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Arthrite juvénile idiopathique (AJI)</w:t>
      </w:r>
    </w:p>
    <w:p w14:paraId="571BB6DE" w14:textId="77777777" w:rsidR="001456CD" w:rsidRPr="0058432E" w:rsidRDefault="001456CD" w:rsidP="001456CD">
      <w:pPr>
        <w:pStyle w:val="BodyText"/>
        <w:keepNext/>
        <w:widowControl/>
        <w:kinsoku w:val="0"/>
        <w:overflowPunct w:val="0"/>
        <w:ind w:left="0"/>
        <w:rPr>
          <w:i/>
          <w:iCs/>
          <w:color w:val="000000" w:themeColor="text1"/>
        </w:rPr>
      </w:pPr>
    </w:p>
    <w:p w14:paraId="5D433A9D"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Arthrite juvénile idiopathique polyarticulaire (AJIp)</w:t>
      </w:r>
    </w:p>
    <w:p w14:paraId="772C7C50" w14:textId="77777777" w:rsidR="001456CD" w:rsidRPr="0058432E" w:rsidRDefault="001456CD" w:rsidP="001456CD">
      <w:pPr>
        <w:pStyle w:val="BodyText"/>
        <w:keepNext/>
        <w:widowControl/>
        <w:kinsoku w:val="0"/>
        <w:overflowPunct w:val="0"/>
        <w:ind w:left="0"/>
        <w:rPr>
          <w:i/>
          <w:iCs/>
          <w:color w:val="000000" w:themeColor="text1"/>
        </w:rPr>
      </w:pPr>
    </w:p>
    <w:p w14:paraId="00A9FCC2"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deux études (AJIp I et II) chez des enfants ayant une arthrite juvénile idiopathique polyarticulaire active ou une AJI d’évolution polyarticulaire, qui présentaient différentes formes de début de la maladie (le plus souvent polyarthrite avec facteur rhumatoïde négatif ou positif et oligoarthrite étendue).</w:t>
      </w:r>
    </w:p>
    <w:p w14:paraId="14523CFA" w14:textId="77777777" w:rsidR="001456CD" w:rsidRPr="0058432E" w:rsidRDefault="001456CD" w:rsidP="001456CD">
      <w:pPr>
        <w:pStyle w:val="BodyText"/>
        <w:widowControl/>
        <w:kinsoku w:val="0"/>
        <w:overflowPunct w:val="0"/>
        <w:ind w:left="0"/>
        <w:rPr>
          <w:color w:val="000000" w:themeColor="text1"/>
        </w:rPr>
      </w:pPr>
    </w:p>
    <w:p w14:paraId="31F9F387" w14:textId="77777777" w:rsidR="001456CD" w:rsidRPr="0058432E" w:rsidRDefault="001456CD" w:rsidP="001456CD">
      <w:pPr>
        <w:pStyle w:val="BodyText"/>
        <w:keepNext/>
        <w:widowControl/>
        <w:kinsoku w:val="0"/>
        <w:overflowPunct w:val="0"/>
        <w:ind w:left="0"/>
        <w:rPr>
          <w:color w:val="000000" w:themeColor="text1"/>
        </w:rPr>
      </w:pPr>
      <w:r w:rsidRPr="0058432E">
        <w:rPr>
          <w:color w:val="000000" w:themeColor="text1"/>
        </w:rPr>
        <w:t>AJIp I</w:t>
      </w:r>
    </w:p>
    <w:p w14:paraId="5D004391" w14:textId="77777777" w:rsidR="001456CD" w:rsidRPr="0058432E" w:rsidRDefault="001456CD" w:rsidP="001456CD">
      <w:pPr>
        <w:pStyle w:val="BodyText"/>
        <w:keepNext/>
        <w:widowControl/>
        <w:kinsoku w:val="0"/>
        <w:overflowPunct w:val="0"/>
        <w:ind w:left="0"/>
        <w:rPr>
          <w:color w:val="000000" w:themeColor="text1"/>
        </w:rPr>
      </w:pPr>
    </w:p>
    <w:p w14:paraId="6E2CF8B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multicentrique randomisée en double aveugle en groupes parallèles menée chez 171 enfants (de 4 à 17 ans) présentant une AJI polyarticulaire. Dans la phase de pré-inclusion en ouvert (PI-O), les patients ont été stratifiés en deux groupes : patients traités par MTX (méthotrexate) ou non traités par MTX. Les patients de la strate « sans MTX » étaient naïfs de traitement ou le MTX avait été arrêté deux semaines au moins avant l’administration du médicament à l’étude. Les patients sont restés sous doses stables d’anti-inflammatoires non stéroïdiens (AINS) et/ou de prednisone (≤ 0,2 mg/kg/jour ou 10 mg/jour au maximum). Dans la phase de pré-inclusion en ouvert, tous les patients ont reçu 24 mg/m</w:t>
      </w:r>
      <w:r w:rsidRPr="0058432E">
        <w:rPr>
          <w:color w:val="000000" w:themeColor="text1"/>
          <w:vertAlign w:val="superscript"/>
        </w:rPr>
        <w:t>2</w:t>
      </w:r>
      <w:r w:rsidRPr="0058432E">
        <w:rPr>
          <w:color w:val="000000" w:themeColor="text1"/>
        </w:rPr>
        <w:t xml:space="preserve"> d’adalimumab, jusqu’à un maximum de 40 mg, toutes les deux semaines pendant 16 semaines. Le tableau </w:t>
      </w:r>
      <w:r w:rsidR="00EF7579" w:rsidRPr="0058432E">
        <w:rPr>
          <w:color w:val="000000" w:themeColor="text1"/>
        </w:rPr>
        <w:t>25</w:t>
      </w:r>
      <w:r w:rsidRPr="0058432E">
        <w:rPr>
          <w:color w:val="000000" w:themeColor="text1"/>
        </w:rPr>
        <w:t xml:space="preserve"> présente la distribution des patients par âge et doses minimales, médianes et maximales reçues pendant la phase de pré-inclusion en ouvert.</w:t>
      </w:r>
    </w:p>
    <w:p w14:paraId="4E4F51C3" w14:textId="77777777" w:rsidR="001456CD" w:rsidRPr="0058432E" w:rsidRDefault="001456CD" w:rsidP="001456CD">
      <w:pPr>
        <w:pStyle w:val="BodyText"/>
        <w:widowControl/>
        <w:kinsoku w:val="0"/>
        <w:overflowPunct w:val="0"/>
        <w:ind w:left="0"/>
        <w:rPr>
          <w:color w:val="000000" w:themeColor="text1"/>
        </w:rPr>
      </w:pPr>
    </w:p>
    <w:p w14:paraId="54007D48" w14:textId="77777777" w:rsidR="009A36CB" w:rsidRPr="0058432E" w:rsidRDefault="00EF7579" w:rsidP="00E6521B">
      <w:pPr>
        <w:pStyle w:val="BodyText"/>
        <w:widowControl/>
        <w:kinsoku w:val="0"/>
        <w:overflowPunct w:val="0"/>
        <w:ind w:left="0"/>
        <w:rPr>
          <w:b/>
          <w:color w:val="000000" w:themeColor="text1"/>
        </w:rPr>
      </w:pPr>
      <w:r w:rsidRPr="0058432E">
        <w:rPr>
          <w:b/>
          <w:color w:val="000000" w:themeColor="text1"/>
        </w:rPr>
        <w:t>Tableau 25</w:t>
      </w:r>
      <w:r w:rsidR="001456CD" w:rsidRPr="0058432E">
        <w:rPr>
          <w:b/>
          <w:color w:val="000000" w:themeColor="text1"/>
        </w:rPr>
        <w:t>.</w:t>
      </w:r>
    </w:p>
    <w:p w14:paraId="31D30C06" w14:textId="77777777" w:rsidR="001456CD" w:rsidRPr="0058432E" w:rsidRDefault="001456CD" w:rsidP="00491257">
      <w:pPr>
        <w:pStyle w:val="BodyText"/>
        <w:widowControl/>
        <w:kinsoku w:val="0"/>
        <w:overflowPunct w:val="0"/>
        <w:ind w:left="0"/>
        <w:rPr>
          <w:b/>
          <w:color w:val="000000" w:themeColor="text1"/>
        </w:rPr>
      </w:pPr>
      <w:r w:rsidRPr="0058432E">
        <w:rPr>
          <w:b/>
          <w:color w:val="000000" w:themeColor="text1"/>
        </w:rPr>
        <w:t>Distribution des patients par âge et doses d’adalimumab reçues pendant la phase de pré-inclusion en ouvert</w:t>
      </w:r>
    </w:p>
    <w:p w14:paraId="088105FE" w14:textId="77777777" w:rsidR="001456CD" w:rsidRPr="0058432E" w:rsidRDefault="001456CD" w:rsidP="001456CD">
      <w:pPr>
        <w:pStyle w:val="BodyText"/>
        <w:keepNext/>
        <w:widowControl/>
        <w:kinsoku w:val="0"/>
        <w:overflowPunct w:val="0"/>
        <w:ind w:left="0"/>
        <w:rPr>
          <w:b/>
          <w:bCs/>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3477"/>
        <w:gridCol w:w="3200"/>
      </w:tblGrid>
      <w:tr w:rsidR="001456CD" w:rsidRPr="0058432E" w14:paraId="386BBB24" w14:textId="77777777" w:rsidTr="004A24CF">
        <w:trPr>
          <w:tblHeader/>
        </w:trPr>
        <w:tc>
          <w:tcPr>
            <w:tcW w:w="2397" w:type="dxa"/>
            <w:shd w:val="clear" w:color="auto" w:fill="auto"/>
          </w:tcPr>
          <w:p w14:paraId="58CFA382" w14:textId="77777777" w:rsidR="001456CD" w:rsidRPr="0058432E" w:rsidRDefault="001456CD" w:rsidP="004A24CF">
            <w:pPr>
              <w:pStyle w:val="TableParagraph"/>
              <w:widowControl/>
              <w:kinsoku w:val="0"/>
              <w:overflowPunct w:val="0"/>
              <w:ind w:left="102"/>
              <w:jc w:val="center"/>
              <w:rPr>
                <w:rFonts w:ascii="Times New Roman" w:hAnsi="Times New Roman"/>
                <w:b/>
                <w:color w:val="000000" w:themeColor="text1"/>
              </w:rPr>
            </w:pPr>
            <w:r w:rsidRPr="0058432E">
              <w:rPr>
                <w:rFonts w:ascii="Times New Roman" w:hAnsi="Times New Roman"/>
                <w:b/>
                <w:color w:val="000000" w:themeColor="text1"/>
              </w:rPr>
              <w:t>Groupe d’âge</w:t>
            </w:r>
          </w:p>
        </w:tc>
        <w:tc>
          <w:tcPr>
            <w:tcW w:w="3489" w:type="dxa"/>
            <w:shd w:val="clear" w:color="auto" w:fill="auto"/>
          </w:tcPr>
          <w:p w14:paraId="30C0A1F2" w14:textId="77777777" w:rsidR="001456CD" w:rsidRPr="0058432E" w:rsidRDefault="001456CD" w:rsidP="004A24CF">
            <w:pPr>
              <w:pStyle w:val="TableParagraph"/>
              <w:widowControl/>
              <w:kinsoku w:val="0"/>
              <w:overflowPunct w:val="0"/>
              <w:ind w:left="101" w:right="45"/>
              <w:jc w:val="center"/>
              <w:rPr>
                <w:rFonts w:ascii="Times New Roman" w:hAnsi="Times New Roman"/>
                <w:b/>
                <w:color w:val="000000" w:themeColor="text1"/>
              </w:rPr>
            </w:pPr>
            <w:r w:rsidRPr="0058432E">
              <w:rPr>
                <w:rFonts w:ascii="Times New Roman" w:hAnsi="Times New Roman"/>
                <w:b/>
                <w:color w:val="000000" w:themeColor="text1"/>
              </w:rPr>
              <w:t>Nombre de patients au début de l’étude</w:t>
            </w:r>
          </w:p>
          <w:p w14:paraId="69119415" w14:textId="77777777" w:rsidR="001456CD" w:rsidRPr="0058432E" w:rsidRDefault="001456CD" w:rsidP="004A24CF">
            <w:pPr>
              <w:pStyle w:val="TableParagraph"/>
              <w:widowControl/>
              <w:kinsoku w:val="0"/>
              <w:overflowPunct w:val="0"/>
              <w:ind w:left="101" w:right="45"/>
              <w:jc w:val="center"/>
              <w:rPr>
                <w:rFonts w:ascii="Times New Roman" w:hAnsi="Times New Roman"/>
                <w:b/>
                <w:color w:val="000000" w:themeColor="text1"/>
              </w:rPr>
            </w:pPr>
            <w:proofErr w:type="gramStart"/>
            <w:r w:rsidRPr="0058432E">
              <w:rPr>
                <w:rFonts w:ascii="Times New Roman" w:hAnsi="Times New Roman"/>
                <w:b/>
                <w:color w:val="000000" w:themeColor="text1"/>
              </w:rPr>
              <w:t>n</w:t>
            </w:r>
            <w:proofErr w:type="gramEnd"/>
            <w:r w:rsidRPr="0058432E">
              <w:rPr>
                <w:rFonts w:ascii="Times New Roman" w:hAnsi="Times New Roman"/>
                <w:b/>
                <w:color w:val="000000" w:themeColor="text1"/>
              </w:rPr>
              <w:t xml:space="preserve"> (%)</w:t>
            </w:r>
          </w:p>
        </w:tc>
        <w:tc>
          <w:tcPr>
            <w:tcW w:w="3211" w:type="dxa"/>
            <w:shd w:val="clear" w:color="auto" w:fill="auto"/>
          </w:tcPr>
          <w:p w14:paraId="626ADB4B" w14:textId="77777777" w:rsidR="001456CD" w:rsidRPr="0058432E" w:rsidRDefault="001456CD" w:rsidP="004A24CF">
            <w:pPr>
              <w:pStyle w:val="TableParagraph"/>
              <w:kinsoku w:val="0"/>
              <w:overflowPunct w:val="0"/>
              <w:ind w:left="102" w:right="165"/>
              <w:jc w:val="center"/>
              <w:rPr>
                <w:rFonts w:ascii="Times New Roman" w:hAnsi="Times New Roman"/>
                <w:b/>
                <w:color w:val="000000" w:themeColor="text1"/>
              </w:rPr>
            </w:pPr>
            <w:r w:rsidRPr="0058432E">
              <w:rPr>
                <w:rFonts w:ascii="Times New Roman" w:hAnsi="Times New Roman"/>
                <w:b/>
                <w:color w:val="000000" w:themeColor="text1"/>
              </w:rPr>
              <w:t>Dose minimale, médiane et maximale</w:t>
            </w:r>
          </w:p>
        </w:tc>
      </w:tr>
      <w:tr w:rsidR="001456CD" w:rsidRPr="0058432E" w14:paraId="2456276C" w14:textId="77777777" w:rsidTr="004A24CF">
        <w:tc>
          <w:tcPr>
            <w:tcW w:w="2397" w:type="dxa"/>
            <w:shd w:val="clear" w:color="auto" w:fill="auto"/>
          </w:tcPr>
          <w:p w14:paraId="17F72754"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4 à 7 ans</w:t>
            </w:r>
          </w:p>
        </w:tc>
        <w:tc>
          <w:tcPr>
            <w:tcW w:w="3489" w:type="dxa"/>
            <w:shd w:val="clear" w:color="auto" w:fill="auto"/>
          </w:tcPr>
          <w:p w14:paraId="7FAC6D6C" w14:textId="77777777" w:rsidR="001456CD" w:rsidRPr="0058432E" w:rsidRDefault="001456CD" w:rsidP="004A24CF">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31 (18,1)</w:t>
            </w:r>
          </w:p>
        </w:tc>
        <w:tc>
          <w:tcPr>
            <w:tcW w:w="3211" w:type="dxa"/>
            <w:shd w:val="clear" w:color="auto" w:fill="auto"/>
          </w:tcPr>
          <w:p w14:paraId="14EEB303"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10, 20 et 25 mg</w:t>
            </w:r>
          </w:p>
        </w:tc>
      </w:tr>
      <w:tr w:rsidR="001456CD" w:rsidRPr="0058432E" w14:paraId="6A1FDCF7" w14:textId="77777777" w:rsidTr="004A24CF">
        <w:tc>
          <w:tcPr>
            <w:tcW w:w="2397" w:type="dxa"/>
            <w:shd w:val="clear" w:color="auto" w:fill="auto"/>
          </w:tcPr>
          <w:p w14:paraId="18332FF5"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8 à 12 ans</w:t>
            </w:r>
          </w:p>
        </w:tc>
        <w:tc>
          <w:tcPr>
            <w:tcW w:w="3489" w:type="dxa"/>
            <w:shd w:val="clear" w:color="auto" w:fill="auto"/>
          </w:tcPr>
          <w:p w14:paraId="7EC375AF" w14:textId="77777777" w:rsidR="001456CD" w:rsidRPr="0058432E" w:rsidRDefault="001456CD" w:rsidP="004A24CF">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71 (41,5)</w:t>
            </w:r>
          </w:p>
        </w:tc>
        <w:tc>
          <w:tcPr>
            <w:tcW w:w="3211" w:type="dxa"/>
            <w:shd w:val="clear" w:color="auto" w:fill="auto"/>
          </w:tcPr>
          <w:p w14:paraId="2B86B6CF"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20, 25 et 40 mg</w:t>
            </w:r>
          </w:p>
        </w:tc>
      </w:tr>
      <w:tr w:rsidR="001456CD" w:rsidRPr="0058432E" w14:paraId="2498D7EF" w14:textId="77777777" w:rsidTr="004A24CF">
        <w:tc>
          <w:tcPr>
            <w:tcW w:w="2397" w:type="dxa"/>
            <w:shd w:val="clear" w:color="auto" w:fill="auto"/>
          </w:tcPr>
          <w:p w14:paraId="636CF1A7"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13 à 17 ans</w:t>
            </w:r>
          </w:p>
        </w:tc>
        <w:tc>
          <w:tcPr>
            <w:tcW w:w="3489" w:type="dxa"/>
            <w:shd w:val="clear" w:color="auto" w:fill="auto"/>
          </w:tcPr>
          <w:p w14:paraId="657F9285" w14:textId="77777777" w:rsidR="001456CD" w:rsidRPr="0058432E" w:rsidRDefault="001456CD" w:rsidP="004A24CF">
            <w:pPr>
              <w:pStyle w:val="TableParagraph"/>
              <w:widowControl/>
              <w:kinsoku w:val="0"/>
              <w:overflowPunct w:val="0"/>
              <w:ind w:left="101"/>
              <w:jc w:val="center"/>
              <w:rPr>
                <w:rFonts w:ascii="Times New Roman" w:hAnsi="Times New Roman"/>
                <w:color w:val="000000" w:themeColor="text1"/>
              </w:rPr>
            </w:pPr>
            <w:r w:rsidRPr="0058432E">
              <w:rPr>
                <w:rFonts w:ascii="Times New Roman" w:hAnsi="Times New Roman"/>
                <w:color w:val="000000" w:themeColor="text1"/>
              </w:rPr>
              <w:t>69 (40,4)</w:t>
            </w:r>
          </w:p>
        </w:tc>
        <w:tc>
          <w:tcPr>
            <w:tcW w:w="3211" w:type="dxa"/>
            <w:shd w:val="clear" w:color="auto" w:fill="auto"/>
          </w:tcPr>
          <w:p w14:paraId="6A24E602" w14:textId="77777777" w:rsidR="001456CD" w:rsidRPr="0058432E" w:rsidRDefault="001456CD" w:rsidP="004A24CF">
            <w:pPr>
              <w:pStyle w:val="TableParagraph"/>
              <w:widowControl/>
              <w:kinsoku w:val="0"/>
              <w:overflowPunct w:val="0"/>
              <w:ind w:left="102"/>
              <w:jc w:val="center"/>
              <w:rPr>
                <w:rFonts w:ascii="Times New Roman" w:hAnsi="Times New Roman"/>
                <w:color w:val="000000" w:themeColor="text1"/>
              </w:rPr>
            </w:pPr>
            <w:r w:rsidRPr="0058432E">
              <w:rPr>
                <w:rFonts w:ascii="Times New Roman" w:hAnsi="Times New Roman"/>
                <w:color w:val="000000" w:themeColor="text1"/>
              </w:rPr>
              <w:t>25, 40 et 40 mg</w:t>
            </w:r>
          </w:p>
        </w:tc>
      </w:tr>
    </w:tbl>
    <w:p w14:paraId="16A0B34F" w14:textId="77777777" w:rsidR="001456CD" w:rsidRPr="0058432E" w:rsidRDefault="001456CD" w:rsidP="001456CD">
      <w:pPr>
        <w:pStyle w:val="BodyText"/>
        <w:widowControl/>
        <w:kinsoku w:val="0"/>
        <w:overflowPunct w:val="0"/>
        <w:ind w:left="0"/>
        <w:rPr>
          <w:bCs/>
          <w:color w:val="000000" w:themeColor="text1"/>
        </w:rPr>
      </w:pPr>
    </w:p>
    <w:p w14:paraId="2E0B9C1E"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patients présentant une réponse ACR 30 pédiatrique en semaine 16 étaient éligibles pour être randomisés dans la phase en double aveugle (DA) et ils ont reçu l’adalimumab à raison de 24 mg/m</w:t>
      </w:r>
      <w:r w:rsidRPr="0058432E">
        <w:rPr>
          <w:color w:val="000000" w:themeColor="text1"/>
          <w:vertAlign w:val="superscript"/>
        </w:rPr>
        <w:t>2</w:t>
      </w:r>
      <w:r w:rsidRPr="0058432E">
        <w:rPr>
          <w:color w:val="000000" w:themeColor="text1"/>
        </w:rPr>
        <w:t xml:space="preserve"> jusqu’à un maximum de 40 mg ou le placebo toutes les deux semaines pendant 32 semaines de plus ou jusqu’à une poussée de la maladie. Une poussée était définie comme une aggravation d’au moins 30 % d’au moins 3 des 6 critères du score ACR pédiatrique, la présence d’au moins 2 articulations actives et une amélioration supérieure à 30 % d’un critère seulement sur les six. Après 32 semaines ou au moment d’une poussée de la maladie, les patients étaient éligibles pour entrer dans la phase d’extension en ouvert.</w:t>
      </w:r>
    </w:p>
    <w:p w14:paraId="0E70EA24" w14:textId="77777777" w:rsidR="001456CD" w:rsidRPr="0058432E" w:rsidRDefault="001456CD" w:rsidP="001456CD">
      <w:pPr>
        <w:rPr>
          <w:color w:val="000000" w:themeColor="text1"/>
        </w:rPr>
      </w:pPr>
    </w:p>
    <w:p w14:paraId="1CD3263F" w14:textId="77777777" w:rsidR="00644DA8" w:rsidRPr="0058432E" w:rsidRDefault="001456CD" w:rsidP="001456CD">
      <w:pPr>
        <w:keepNext/>
        <w:rPr>
          <w:b/>
          <w:color w:val="000000" w:themeColor="text1"/>
        </w:rPr>
      </w:pPr>
      <w:r w:rsidRPr="0058432E">
        <w:rPr>
          <w:b/>
          <w:color w:val="000000" w:themeColor="text1"/>
        </w:rPr>
        <w:t>Tableau </w:t>
      </w:r>
      <w:r w:rsidR="00EF7579" w:rsidRPr="0058432E">
        <w:rPr>
          <w:b/>
          <w:color w:val="000000" w:themeColor="text1"/>
        </w:rPr>
        <w:t>26</w:t>
      </w:r>
      <w:r w:rsidRPr="0058432E">
        <w:rPr>
          <w:b/>
          <w:color w:val="000000" w:themeColor="text1"/>
        </w:rPr>
        <w:t>.</w:t>
      </w:r>
    </w:p>
    <w:p w14:paraId="6B6EF715" w14:textId="77777777" w:rsidR="001456CD" w:rsidRPr="0058432E" w:rsidRDefault="001456CD" w:rsidP="001456CD">
      <w:pPr>
        <w:keepNext/>
        <w:rPr>
          <w:b/>
          <w:color w:val="000000" w:themeColor="text1"/>
        </w:rPr>
      </w:pPr>
      <w:r w:rsidRPr="0058432E">
        <w:rPr>
          <w:b/>
          <w:color w:val="000000" w:themeColor="text1"/>
        </w:rPr>
        <w:t>Réponses ACR 30 Pédiatrique dans l’étude de l’AJI</w:t>
      </w:r>
    </w:p>
    <w:p w14:paraId="1B09C350" w14:textId="77777777" w:rsidR="001456CD" w:rsidRPr="0058432E" w:rsidRDefault="001456CD" w:rsidP="001456CD">
      <w:pPr>
        <w:keepNex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359"/>
        <w:gridCol w:w="1915"/>
        <w:gridCol w:w="1654"/>
        <w:gridCol w:w="1826"/>
        <w:gridCol w:w="1311"/>
      </w:tblGrid>
      <w:tr w:rsidR="001456CD" w:rsidRPr="0058432E" w14:paraId="79BB6868" w14:textId="77777777" w:rsidTr="004A24CF">
        <w:trPr>
          <w:tblHeader/>
        </w:trPr>
        <w:tc>
          <w:tcPr>
            <w:tcW w:w="1311" w:type="pct"/>
            <w:tcBorders>
              <w:top w:val="single" w:sz="4" w:space="0" w:color="auto"/>
              <w:left w:val="single" w:sz="4" w:space="0" w:color="auto"/>
              <w:bottom w:val="single" w:sz="4" w:space="0" w:color="auto"/>
              <w:right w:val="single" w:sz="4" w:space="0" w:color="auto"/>
            </w:tcBorders>
            <w:hideMark/>
          </w:tcPr>
          <w:p w14:paraId="60969014" w14:textId="77777777" w:rsidR="001456CD" w:rsidRPr="0058432E" w:rsidRDefault="001456CD" w:rsidP="004A24CF">
            <w:pPr>
              <w:keepNext/>
              <w:rPr>
                <w:b/>
                <w:color w:val="000000" w:themeColor="text1"/>
              </w:rPr>
            </w:pPr>
            <w:r w:rsidRPr="0058432E">
              <w:rPr>
                <w:b/>
                <w:color w:val="000000" w:themeColor="text1"/>
              </w:rPr>
              <w:t>Strate</w:t>
            </w:r>
          </w:p>
        </w:tc>
        <w:tc>
          <w:tcPr>
            <w:tcW w:w="1939" w:type="pct"/>
            <w:gridSpan w:val="2"/>
            <w:tcBorders>
              <w:top w:val="single" w:sz="4" w:space="0" w:color="auto"/>
              <w:left w:val="single" w:sz="4" w:space="0" w:color="auto"/>
              <w:bottom w:val="single" w:sz="4" w:space="0" w:color="auto"/>
              <w:right w:val="single" w:sz="4" w:space="0" w:color="auto"/>
            </w:tcBorders>
            <w:hideMark/>
          </w:tcPr>
          <w:p w14:paraId="0B223C11" w14:textId="77777777" w:rsidR="001456CD" w:rsidRPr="0058432E" w:rsidRDefault="001456CD" w:rsidP="004A24CF">
            <w:pPr>
              <w:keepNext/>
              <w:jc w:val="center"/>
              <w:rPr>
                <w:b/>
                <w:color w:val="000000" w:themeColor="text1"/>
              </w:rPr>
            </w:pPr>
            <w:r w:rsidRPr="0058432E">
              <w:rPr>
                <w:b/>
                <w:color w:val="000000" w:themeColor="text1"/>
              </w:rPr>
              <w:t>MTX</w:t>
            </w:r>
          </w:p>
        </w:tc>
        <w:tc>
          <w:tcPr>
            <w:tcW w:w="1750" w:type="pct"/>
            <w:gridSpan w:val="2"/>
            <w:tcBorders>
              <w:top w:val="single" w:sz="4" w:space="0" w:color="auto"/>
              <w:left w:val="single" w:sz="4" w:space="0" w:color="auto"/>
              <w:bottom w:val="single" w:sz="4" w:space="0" w:color="auto"/>
              <w:right w:val="single" w:sz="4" w:space="0" w:color="auto"/>
            </w:tcBorders>
            <w:hideMark/>
          </w:tcPr>
          <w:p w14:paraId="3B6701C3" w14:textId="77777777" w:rsidR="001456CD" w:rsidRPr="0058432E" w:rsidRDefault="001456CD" w:rsidP="004A24CF">
            <w:pPr>
              <w:keepNext/>
              <w:jc w:val="center"/>
              <w:rPr>
                <w:b/>
                <w:color w:val="000000" w:themeColor="text1"/>
              </w:rPr>
            </w:pPr>
            <w:r w:rsidRPr="0058432E">
              <w:rPr>
                <w:b/>
                <w:color w:val="000000" w:themeColor="text1"/>
              </w:rPr>
              <w:t>Sans MTX</w:t>
            </w:r>
          </w:p>
        </w:tc>
      </w:tr>
      <w:tr w:rsidR="001456CD" w:rsidRPr="0058432E" w14:paraId="745E4CD9" w14:textId="77777777" w:rsidTr="004A24CF">
        <w:trPr>
          <w:tblHeader/>
        </w:trPr>
        <w:tc>
          <w:tcPr>
            <w:tcW w:w="1311" w:type="pct"/>
            <w:tcBorders>
              <w:top w:val="single" w:sz="4" w:space="0" w:color="auto"/>
              <w:left w:val="single" w:sz="4" w:space="0" w:color="auto"/>
              <w:bottom w:val="single" w:sz="4" w:space="0" w:color="auto"/>
              <w:right w:val="single" w:sz="4" w:space="0" w:color="auto"/>
            </w:tcBorders>
            <w:hideMark/>
          </w:tcPr>
          <w:p w14:paraId="25A1646E" w14:textId="77777777" w:rsidR="001456CD" w:rsidRPr="0058432E" w:rsidRDefault="001456CD" w:rsidP="004A24CF">
            <w:pPr>
              <w:keepNext/>
              <w:rPr>
                <w:b/>
                <w:color w:val="000000" w:themeColor="text1"/>
              </w:rPr>
            </w:pPr>
            <w:r w:rsidRPr="0058432E">
              <w:rPr>
                <w:b/>
                <w:color w:val="000000" w:themeColor="text1"/>
              </w:rPr>
              <w:t>Phase</w:t>
            </w:r>
          </w:p>
        </w:tc>
        <w:tc>
          <w:tcPr>
            <w:tcW w:w="1939" w:type="pct"/>
            <w:gridSpan w:val="2"/>
            <w:tcBorders>
              <w:top w:val="single" w:sz="4" w:space="0" w:color="auto"/>
              <w:left w:val="single" w:sz="4" w:space="0" w:color="auto"/>
              <w:bottom w:val="single" w:sz="4" w:space="0" w:color="auto"/>
              <w:right w:val="single" w:sz="4" w:space="0" w:color="auto"/>
            </w:tcBorders>
          </w:tcPr>
          <w:p w14:paraId="3B96932C" w14:textId="77777777" w:rsidR="001456CD" w:rsidRPr="0058432E" w:rsidRDefault="001456CD" w:rsidP="004A24CF">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1A98D634" w14:textId="77777777" w:rsidR="001456CD" w:rsidRPr="0058432E" w:rsidRDefault="001456CD" w:rsidP="004A24CF">
            <w:pPr>
              <w:keepNext/>
              <w:jc w:val="center"/>
              <w:rPr>
                <w:color w:val="000000" w:themeColor="text1"/>
              </w:rPr>
            </w:pPr>
          </w:p>
        </w:tc>
      </w:tr>
      <w:tr w:rsidR="001456CD" w:rsidRPr="0058432E" w14:paraId="2513528D"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60B7175E" w14:textId="77777777" w:rsidR="001456CD" w:rsidRPr="0058432E" w:rsidRDefault="001456CD" w:rsidP="004A24CF">
            <w:pPr>
              <w:keepNext/>
              <w:rPr>
                <w:color w:val="000000" w:themeColor="text1"/>
              </w:rPr>
            </w:pPr>
            <w:r w:rsidRPr="0058432E">
              <w:rPr>
                <w:color w:val="000000" w:themeColor="text1"/>
              </w:rPr>
              <w:t>Pré-inclusion en ouvert de 16 semaines</w:t>
            </w:r>
          </w:p>
        </w:tc>
        <w:tc>
          <w:tcPr>
            <w:tcW w:w="1939" w:type="pct"/>
            <w:gridSpan w:val="2"/>
            <w:tcBorders>
              <w:top w:val="single" w:sz="4" w:space="0" w:color="auto"/>
              <w:left w:val="single" w:sz="4" w:space="0" w:color="auto"/>
              <w:bottom w:val="single" w:sz="4" w:space="0" w:color="auto"/>
              <w:right w:val="single" w:sz="4" w:space="0" w:color="auto"/>
            </w:tcBorders>
          </w:tcPr>
          <w:p w14:paraId="6B0858C6" w14:textId="77777777" w:rsidR="001456CD" w:rsidRPr="0058432E" w:rsidRDefault="001456CD" w:rsidP="004A24CF">
            <w:pPr>
              <w:keepNext/>
              <w:jc w:val="center"/>
              <w:rPr>
                <w:color w:val="000000" w:themeColor="text1"/>
              </w:rPr>
            </w:pPr>
          </w:p>
        </w:tc>
        <w:tc>
          <w:tcPr>
            <w:tcW w:w="1750" w:type="pct"/>
            <w:gridSpan w:val="2"/>
            <w:tcBorders>
              <w:top w:val="single" w:sz="4" w:space="0" w:color="auto"/>
              <w:left w:val="single" w:sz="4" w:space="0" w:color="auto"/>
              <w:bottom w:val="single" w:sz="4" w:space="0" w:color="auto"/>
              <w:right w:val="single" w:sz="4" w:space="0" w:color="auto"/>
            </w:tcBorders>
          </w:tcPr>
          <w:p w14:paraId="3A4285C9" w14:textId="77777777" w:rsidR="001456CD" w:rsidRPr="0058432E" w:rsidRDefault="001456CD" w:rsidP="004A24CF">
            <w:pPr>
              <w:keepNext/>
              <w:jc w:val="center"/>
              <w:rPr>
                <w:color w:val="000000" w:themeColor="text1"/>
              </w:rPr>
            </w:pPr>
          </w:p>
        </w:tc>
      </w:tr>
      <w:tr w:rsidR="001456CD" w:rsidRPr="0058432E" w14:paraId="722F95FB"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7152BF97" w14:textId="77777777" w:rsidR="001456CD" w:rsidRPr="0000463E" w:rsidRDefault="001456CD" w:rsidP="004A24CF">
            <w:pPr>
              <w:keepNext/>
              <w:ind w:left="180"/>
              <w:rPr>
                <w:color w:val="000000" w:themeColor="text1"/>
                <w:lang w:val="pt-PT"/>
              </w:rPr>
            </w:pPr>
            <w:r w:rsidRPr="0000463E">
              <w:rPr>
                <w:color w:val="000000" w:themeColor="text1"/>
                <w:lang w:val="pt-PT"/>
              </w:rPr>
              <w:t>Réponse ACR 30 Péd. (n/N)</w:t>
            </w:r>
          </w:p>
        </w:tc>
        <w:tc>
          <w:tcPr>
            <w:tcW w:w="1939" w:type="pct"/>
            <w:gridSpan w:val="2"/>
            <w:tcBorders>
              <w:top w:val="single" w:sz="4" w:space="0" w:color="auto"/>
              <w:left w:val="single" w:sz="4" w:space="0" w:color="auto"/>
              <w:bottom w:val="single" w:sz="4" w:space="0" w:color="auto"/>
              <w:right w:val="single" w:sz="4" w:space="0" w:color="auto"/>
            </w:tcBorders>
            <w:hideMark/>
          </w:tcPr>
          <w:p w14:paraId="0E8CF1EE" w14:textId="77777777" w:rsidR="001456CD" w:rsidRPr="0058432E" w:rsidRDefault="001456CD" w:rsidP="004A24CF">
            <w:pPr>
              <w:keepNext/>
              <w:jc w:val="center"/>
              <w:rPr>
                <w:color w:val="000000" w:themeColor="text1"/>
              </w:rPr>
            </w:pPr>
            <w:r w:rsidRPr="0058432E">
              <w:rPr>
                <w:color w:val="000000" w:themeColor="text1"/>
              </w:rPr>
              <w:t>94,1 % (80/85)</w:t>
            </w:r>
          </w:p>
        </w:tc>
        <w:tc>
          <w:tcPr>
            <w:tcW w:w="1750" w:type="pct"/>
            <w:gridSpan w:val="2"/>
            <w:tcBorders>
              <w:top w:val="single" w:sz="4" w:space="0" w:color="auto"/>
              <w:left w:val="single" w:sz="4" w:space="0" w:color="auto"/>
              <w:bottom w:val="single" w:sz="4" w:space="0" w:color="auto"/>
              <w:right w:val="single" w:sz="4" w:space="0" w:color="auto"/>
            </w:tcBorders>
            <w:hideMark/>
          </w:tcPr>
          <w:p w14:paraId="5029E47E" w14:textId="77777777" w:rsidR="001456CD" w:rsidRPr="0058432E" w:rsidRDefault="001456CD" w:rsidP="004A24CF">
            <w:pPr>
              <w:keepNext/>
              <w:jc w:val="center"/>
              <w:rPr>
                <w:color w:val="000000" w:themeColor="text1"/>
              </w:rPr>
            </w:pPr>
            <w:r w:rsidRPr="0058432E">
              <w:rPr>
                <w:color w:val="000000" w:themeColor="text1"/>
              </w:rPr>
              <w:t>74,4 % (64/86)</w:t>
            </w:r>
          </w:p>
        </w:tc>
      </w:tr>
      <w:tr w:rsidR="001456CD" w:rsidRPr="0058432E" w14:paraId="6EB760EC" w14:textId="77777777" w:rsidTr="004A24CF">
        <w:tc>
          <w:tcPr>
            <w:tcW w:w="5000" w:type="pct"/>
            <w:gridSpan w:val="5"/>
            <w:tcBorders>
              <w:top w:val="single" w:sz="4" w:space="0" w:color="auto"/>
              <w:left w:val="single" w:sz="4" w:space="0" w:color="auto"/>
              <w:bottom w:val="single" w:sz="4" w:space="0" w:color="auto"/>
              <w:right w:val="single" w:sz="4" w:space="0" w:color="auto"/>
            </w:tcBorders>
            <w:hideMark/>
          </w:tcPr>
          <w:p w14:paraId="2699A0B7" w14:textId="77777777" w:rsidR="001456CD" w:rsidRPr="0058432E" w:rsidRDefault="00533C4E" w:rsidP="004A24CF">
            <w:pPr>
              <w:jc w:val="center"/>
              <w:rPr>
                <w:color w:val="000000" w:themeColor="text1"/>
              </w:rPr>
            </w:pPr>
            <w:r w:rsidRPr="0058432E">
              <w:rPr>
                <w:color w:val="000000" w:themeColor="text1"/>
              </w:rPr>
              <w:t xml:space="preserve">Résultats </w:t>
            </w:r>
            <w:r w:rsidR="001456CD" w:rsidRPr="0058432E">
              <w:rPr>
                <w:color w:val="000000" w:themeColor="text1"/>
              </w:rPr>
              <w:t>d’efficacité</w:t>
            </w:r>
          </w:p>
        </w:tc>
      </w:tr>
      <w:tr w:rsidR="001456CD" w:rsidRPr="0058432E" w14:paraId="4181AF68"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0C0E32C7" w14:textId="77777777" w:rsidR="001456CD" w:rsidRPr="0058432E" w:rsidRDefault="001456CD" w:rsidP="004A24CF">
            <w:pPr>
              <w:rPr>
                <w:color w:val="000000" w:themeColor="text1"/>
              </w:rPr>
            </w:pPr>
            <w:r w:rsidRPr="0058432E">
              <w:rPr>
                <w:color w:val="000000" w:themeColor="text1"/>
              </w:rPr>
              <w:t>Phase en double aveugle de 32 semaines</w:t>
            </w:r>
          </w:p>
        </w:tc>
        <w:tc>
          <w:tcPr>
            <w:tcW w:w="1017" w:type="pct"/>
            <w:tcBorders>
              <w:top w:val="single" w:sz="4" w:space="0" w:color="auto"/>
              <w:left w:val="single" w:sz="4" w:space="0" w:color="auto"/>
              <w:bottom w:val="single" w:sz="4" w:space="0" w:color="auto"/>
              <w:right w:val="single" w:sz="4" w:space="0" w:color="auto"/>
            </w:tcBorders>
            <w:hideMark/>
          </w:tcPr>
          <w:p w14:paraId="17BEA548" w14:textId="77777777" w:rsidR="001456CD" w:rsidRPr="0058432E" w:rsidRDefault="001456CD" w:rsidP="004A24CF">
            <w:pPr>
              <w:jc w:val="center"/>
              <w:rPr>
                <w:color w:val="000000" w:themeColor="text1"/>
              </w:rPr>
            </w:pPr>
            <w:r w:rsidRPr="0058432E">
              <w:rPr>
                <w:color w:val="000000" w:themeColor="text1"/>
              </w:rPr>
              <w:t>Adalimumab/MTX</w:t>
            </w:r>
          </w:p>
          <w:p w14:paraId="07D77C59" w14:textId="77777777" w:rsidR="001456CD" w:rsidRPr="0058432E" w:rsidRDefault="001456CD" w:rsidP="004A24CF">
            <w:pPr>
              <w:jc w:val="center"/>
              <w:rPr>
                <w:color w:val="000000" w:themeColor="text1"/>
              </w:rPr>
            </w:pPr>
            <w:r w:rsidRPr="0058432E">
              <w:rPr>
                <w:color w:val="000000" w:themeColor="text1"/>
              </w:rPr>
              <w:t>(N = 38)</w:t>
            </w:r>
          </w:p>
        </w:tc>
        <w:tc>
          <w:tcPr>
            <w:tcW w:w="922" w:type="pct"/>
            <w:tcBorders>
              <w:top w:val="single" w:sz="4" w:space="0" w:color="auto"/>
              <w:left w:val="single" w:sz="4" w:space="0" w:color="auto"/>
              <w:bottom w:val="single" w:sz="4" w:space="0" w:color="auto"/>
              <w:right w:val="single" w:sz="4" w:space="0" w:color="auto"/>
            </w:tcBorders>
            <w:hideMark/>
          </w:tcPr>
          <w:p w14:paraId="70CA16DB" w14:textId="77777777" w:rsidR="001456CD" w:rsidRPr="0058432E" w:rsidRDefault="001456CD" w:rsidP="004A24CF">
            <w:pPr>
              <w:jc w:val="center"/>
              <w:rPr>
                <w:color w:val="000000" w:themeColor="text1"/>
              </w:rPr>
            </w:pPr>
            <w:r w:rsidRPr="0058432E">
              <w:rPr>
                <w:color w:val="000000" w:themeColor="text1"/>
              </w:rPr>
              <w:t>Placebo/MTX</w:t>
            </w:r>
          </w:p>
          <w:p w14:paraId="13DBB610" w14:textId="77777777" w:rsidR="001456CD" w:rsidRPr="0058432E" w:rsidRDefault="001456CD" w:rsidP="004A24CF">
            <w:pPr>
              <w:jc w:val="center"/>
              <w:rPr>
                <w:color w:val="000000" w:themeColor="text1"/>
              </w:rPr>
            </w:pPr>
            <w:r w:rsidRPr="0058432E">
              <w:rPr>
                <w:color w:val="000000" w:themeColor="text1"/>
              </w:rPr>
              <w:t>(N = 37)</w:t>
            </w:r>
          </w:p>
        </w:tc>
        <w:tc>
          <w:tcPr>
            <w:tcW w:w="1017" w:type="pct"/>
            <w:tcBorders>
              <w:top w:val="single" w:sz="4" w:space="0" w:color="auto"/>
              <w:left w:val="single" w:sz="4" w:space="0" w:color="auto"/>
              <w:bottom w:val="single" w:sz="4" w:space="0" w:color="auto"/>
              <w:right w:val="single" w:sz="4" w:space="0" w:color="auto"/>
            </w:tcBorders>
            <w:hideMark/>
          </w:tcPr>
          <w:p w14:paraId="6EE449DE" w14:textId="77777777" w:rsidR="001456CD" w:rsidRPr="0058432E" w:rsidRDefault="001456CD" w:rsidP="004A24CF">
            <w:pPr>
              <w:jc w:val="center"/>
              <w:rPr>
                <w:color w:val="000000" w:themeColor="text1"/>
              </w:rPr>
            </w:pPr>
            <w:r w:rsidRPr="0058432E">
              <w:rPr>
                <w:color w:val="000000" w:themeColor="text1"/>
              </w:rPr>
              <w:t>Adalimumab</w:t>
            </w:r>
          </w:p>
          <w:p w14:paraId="46F2C37B" w14:textId="77777777" w:rsidR="001456CD" w:rsidRPr="0058432E" w:rsidRDefault="001456CD" w:rsidP="004A24CF">
            <w:pPr>
              <w:jc w:val="center"/>
              <w:rPr>
                <w:color w:val="000000" w:themeColor="text1"/>
              </w:rPr>
            </w:pPr>
            <w:r w:rsidRPr="0058432E">
              <w:rPr>
                <w:color w:val="000000" w:themeColor="text1"/>
              </w:rPr>
              <w:t>(N = 30)</w:t>
            </w:r>
          </w:p>
        </w:tc>
        <w:tc>
          <w:tcPr>
            <w:tcW w:w="733" w:type="pct"/>
            <w:tcBorders>
              <w:top w:val="single" w:sz="4" w:space="0" w:color="auto"/>
              <w:left w:val="single" w:sz="4" w:space="0" w:color="auto"/>
              <w:bottom w:val="single" w:sz="4" w:space="0" w:color="auto"/>
              <w:right w:val="single" w:sz="4" w:space="0" w:color="auto"/>
            </w:tcBorders>
            <w:hideMark/>
          </w:tcPr>
          <w:p w14:paraId="6A422D02" w14:textId="77777777" w:rsidR="001456CD" w:rsidRPr="0058432E" w:rsidRDefault="001456CD" w:rsidP="004A24CF">
            <w:pPr>
              <w:jc w:val="center"/>
              <w:rPr>
                <w:color w:val="000000" w:themeColor="text1"/>
              </w:rPr>
            </w:pPr>
            <w:r w:rsidRPr="0058432E">
              <w:rPr>
                <w:color w:val="000000" w:themeColor="text1"/>
              </w:rPr>
              <w:t>Placebo</w:t>
            </w:r>
          </w:p>
          <w:p w14:paraId="07C59214" w14:textId="77777777" w:rsidR="001456CD" w:rsidRPr="0058432E" w:rsidRDefault="001456CD" w:rsidP="004A24CF">
            <w:pPr>
              <w:jc w:val="center"/>
              <w:rPr>
                <w:color w:val="000000" w:themeColor="text1"/>
              </w:rPr>
            </w:pPr>
            <w:r w:rsidRPr="0058432E">
              <w:rPr>
                <w:color w:val="000000" w:themeColor="text1"/>
              </w:rPr>
              <w:t>(N = 28)</w:t>
            </w:r>
          </w:p>
        </w:tc>
      </w:tr>
      <w:tr w:rsidR="001456CD" w:rsidRPr="0058432E" w14:paraId="5D213B4E"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2732EDB8" w14:textId="77777777" w:rsidR="001456CD" w:rsidRPr="0058432E" w:rsidRDefault="001456CD" w:rsidP="004A24CF">
            <w:pPr>
              <w:ind w:left="180"/>
              <w:rPr>
                <w:color w:val="000000" w:themeColor="text1"/>
              </w:rPr>
            </w:pPr>
            <w:r w:rsidRPr="0058432E">
              <w:rPr>
                <w:color w:val="000000" w:themeColor="text1"/>
              </w:rPr>
              <w:lastRenderedPageBreak/>
              <w:t>Poussées de la maladie à la fin des 32 semaines</w:t>
            </w:r>
            <w:r w:rsidRPr="0058432E">
              <w:rPr>
                <w:color w:val="000000" w:themeColor="text1"/>
                <w:vertAlign w:val="superscript"/>
              </w:rPr>
              <w:t>a</w:t>
            </w:r>
            <w:r w:rsidRPr="0058432E">
              <w:rPr>
                <w:color w:val="000000" w:themeColor="text1"/>
              </w:rPr>
              <w:t xml:space="preserve"> (n/N)</w:t>
            </w:r>
          </w:p>
        </w:tc>
        <w:tc>
          <w:tcPr>
            <w:tcW w:w="1017" w:type="pct"/>
            <w:tcBorders>
              <w:top w:val="single" w:sz="4" w:space="0" w:color="auto"/>
              <w:left w:val="single" w:sz="4" w:space="0" w:color="auto"/>
              <w:bottom w:val="single" w:sz="4" w:space="0" w:color="auto"/>
              <w:right w:val="single" w:sz="4" w:space="0" w:color="auto"/>
            </w:tcBorders>
            <w:hideMark/>
          </w:tcPr>
          <w:p w14:paraId="67D66383" w14:textId="77777777" w:rsidR="001456CD" w:rsidRPr="0058432E" w:rsidRDefault="001456CD" w:rsidP="004A24CF">
            <w:pPr>
              <w:jc w:val="center"/>
              <w:rPr>
                <w:color w:val="000000" w:themeColor="text1"/>
              </w:rPr>
            </w:pPr>
            <w:r w:rsidRPr="0058432E">
              <w:rPr>
                <w:color w:val="000000" w:themeColor="text1"/>
              </w:rPr>
              <w:t>36,8 % (14/38)</w:t>
            </w:r>
          </w:p>
        </w:tc>
        <w:tc>
          <w:tcPr>
            <w:tcW w:w="922" w:type="pct"/>
            <w:tcBorders>
              <w:top w:val="single" w:sz="4" w:space="0" w:color="auto"/>
              <w:left w:val="single" w:sz="4" w:space="0" w:color="auto"/>
              <w:bottom w:val="single" w:sz="4" w:space="0" w:color="auto"/>
              <w:right w:val="single" w:sz="4" w:space="0" w:color="auto"/>
            </w:tcBorders>
            <w:hideMark/>
          </w:tcPr>
          <w:p w14:paraId="26B49738" w14:textId="77777777" w:rsidR="001456CD" w:rsidRPr="0058432E" w:rsidRDefault="001456CD" w:rsidP="004A24CF">
            <w:pPr>
              <w:jc w:val="center"/>
              <w:rPr>
                <w:color w:val="000000" w:themeColor="text1"/>
              </w:rPr>
            </w:pPr>
            <w:r w:rsidRPr="0058432E">
              <w:rPr>
                <w:color w:val="000000" w:themeColor="text1"/>
              </w:rPr>
              <w:t>64,9 % (24/</w:t>
            </w:r>
            <w:proofErr w:type="gramStart"/>
            <w:r w:rsidRPr="0058432E">
              <w:rPr>
                <w:color w:val="000000" w:themeColor="text1"/>
              </w:rPr>
              <w:t>37)</w:t>
            </w:r>
            <w:r w:rsidRPr="0058432E">
              <w:rPr>
                <w:color w:val="000000" w:themeColor="text1"/>
                <w:vertAlign w:val="superscript"/>
              </w:rPr>
              <w:t>b</w:t>
            </w:r>
            <w:proofErr w:type="gramEnd"/>
          </w:p>
        </w:tc>
        <w:tc>
          <w:tcPr>
            <w:tcW w:w="1017" w:type="pct"/>
            <w:tcBorders>
              <w:top w:val="single" w:sz="4" w:space="0" w:color="auto"/>
              <w:left w:val="single" w:sz="4" w:space="0" w:color="auto"/>
              <w:bottom w:val="single" w:sz="4" w:space="0" w:color="auto"/>
              <w:right w:val="single" w:sz="4" w:space="0" w:color="auto"/>
            </w:tcBorders>
            <w:hideMark/>
          </w:tcPr>
          <w:p w14:paraId="791A1821" w14:textId="77777777" w:rsidR="001456CD" w:rsidRPr="0058432E" w:rsidRDefault="001456CD" w:rsidP="004A24CF">
            <w:pPr>
              <w:jc w:val="center"/>
              <w:rPr>
                <w:color w:val="000000" w:themeColor="text1"/>
              </w:rPr>
            </w:pPr>
            <w:r w:rsidRPr="0058432E">
              <w:rPr>
                <w:color w:val="000000" w:themeColor="text1"/>
              </w:rPr>
              <w:t>43,3 % (13/30)</w:t>
            </w:r>
          </w:p>
        </w:tc>
        <w:tc>
          <w:tcPr>
            <w:tcW w:w="733" w:type="pct"/>
            <w:tcBorders>
              <w:top w:val="single" w:sz="4" w:space="0" w:color="auto"/>
              <w:left w:val="single" w:sz="4" w:space="0" w:color="auto"/>
              <w:bottom w:val="single" w:sz="4" w:space="0" w:color="auto"/>
              <w:right w:val="single" w:sz="4" w:space="0" w:color="auto"/>
            </w:tcBorders>
            <w:hideMark/>
          </w:tcPr>
          <w:p w14:paraId="791CB38E" w14:textId="77777777" w:rsidR="001456CD" w:rsidRPr="0058432E" w:rsidRDefault="001456CD" w:rsidP="004A24CF">
            <w:pPr>
              <w:jc w:val="center"/>
              <w:rPr>
                <w:color w:val="000000" w:themeColor="text1"/>
              </w:rPr>
            </w:pPr>
            <w:r w:rsidRPr="0058432E">
              <w:rPr>
                <w:color w:val="000000" w:themeColor="text1"/>
              </w:rPr>
              <w:t>71,4 % (20/</w:t>
            </w:r>
            <w:proofErr w:type="gramStart"/>
            <w:r w:rsidRPr="0058432E">
              <w:rPr>
                <w:color w:val="000000" w:themeColor="text1"/>
              </w:rPr>
              <w:t>28)</w:t>
            </w:r>
            <w:r w:rsidRPr="0058432E">
              <w:rPr>
                <w:color w:val="000000" w:themeColor="text1"/>
                <w:vertAlign w:val="superscript"/>
              </w:rPr>
              <w:t>c</w:t>
            </w:r>
            <w:proofErr w:type="gramEnd"/>
          </w:p>
        </w:tc>
      </w:tr>
      <w:tr w:rsidR="001456CD" w:rsidRPr="0058432E" w14:paraId="025CF4B9" w14:textId="77777777" w:rsidTr="004A24CF">
        <w:tc>
          <w:tcPr>
            <w:tcW w:w="1311" w:type="pct"/>
            <w:tcBorders>
              <w:top w:val="single" w:sz="4" w:space="0" w:color="auto"/>
              <w:left w:val="single" w:sz="4" w:space="0" w:color="auto"/>
              <w:bottom w:val="single" w:sz="4" w:space="0" w:color="auto"/>
              <w:right w:val="single" w:sz="4" w:space="0" w:color="auto"/>
            </w:tcBorders>
            <w:hideMark/>
          </w:tcPr>
          <w:p w14:paraId="5EED0EC1" w14:textId="77777777" w:rsidR="001456CD" w:rsidRPr="0058432E" w:rsidRDefault="001456CD" w:rsidP="004A24CF">
            <w:pPr>
              <w:ind w:left="180"/>
              <w:rPr>
                <w:color w:val="000000" w:themeColor="text1"/>
              </w:rPr>
            </w:pPr>
            <w:r w:rsidRPr="0058432E">
              <w:rPr>
                <w:color w:val="000000" w:themeColor="text1"/>
              </w:rPr>
              <w:t>Délai médian jusqu’à une poussée de la maladie</w:t>
            </w:r>
          </w:p>
        </w:tc>
        <w:tc>
          <w:tcPr>
            <w:tcW w:w="1017" w:type="pct"/>
            <w:tcBorders>
              <w:top w:val="single" w:sz="4" w:space="0" w:color="auto"/>
              <w:left w:val="single" w:sz="4" w:space="0" w:color="auto"/>
              <w:bottom w:val="single" w:sz="4" w:space="0" w:color="auto"/>
              <w:right w:val="single" w:sz="4" w:space="0" w:color="auto"/>
            </w:tcBorders>
            <w:hideMark/>
          </w:tcPr>
          <w:p w14:paraId="475BDFC6" w14:textId="77777777" w:rsidR="001456CD" w:rsidRPr="0058432E" w:rsidRDefault="001456CD" w:rsidP="004A24CF">
            <w:pPr>
              <w:jc w:val="center"/>
              <w:rPr>
                <w:color w:val="000000" w:themeColor="text1"/>
              </w:rPr>
            </w:pPr>
            <w:r w:rsidRPr="0058432E">
              <w:rPr>
                <w:color w:val="000000" w:themeColor="text1"/>
              </w:rPr>
              <w:t>&gt; 32 semaines</w:t>
            </w:r>
          </w:p>
        </w:tc>
        <w:tc>
          <w:tcPr>
            <w:tcW w:w="922" w:type="pct"/>
            <w:tcBorders>
              <w:top w:val="single" w:sz="4" w:space="0" w:color="auto"/>
              <w:left w:val="single" w:sz="4" w:space="0" w:color="auto"/>
              <w:bottom w:val="single" w:sz="4" w:space="0" w:color="auto"/>
              <w:right w:val="single" w:sz="4" w:space="0" w:color="auto"/>
            </w:tcBorders>
            <w:hideMark/>
          </w:tcPr>
          <w:p w14:paraId="2AA48AB8" w14:textId="77777777" w:rsidR="001456CD" w:rsidRPr="0058432E" w:rsidRDefault="001456CD" w:rsidP="004A24CF">
            <w:pPr>
              <w:jc w:val="center"/>
              <w:rPr>
                <w:color w:val="000000" w:themeColor="text1"/>
              </w:rPr>
            </w:pPr>
            <w:r w:rsidRPr="0058432E">
              <w:rPr>
                <w:color w:val="000000" w:themeColor="text1"/>
              </w:rPr>
              <w:t>20 semaines</w:t>
            </w:r>
          </w:p>
        </w:tc>
        <w:tc>
          <w:tcPr>
            <w:tcW w:w="1017" w:type="pct"/>
            <w:tcBorders>
              <w:top w:val="single" w:sz="4" w:space="0" w:color="auto"/>
              <w:left w:val="single" w:sz="4" w:space="0" w:color="auto"/>
              <w:bottom w:val="single" w:sz="4" w:space="0" w:color="auto"/>
              <w:right w:val="single" w:sz="4" w:space="0" w:color="auto"/>
            </w:tcBorders>
            <w:hideMark/>
          </w:tcPr>
          <w:p w14:paraId="056A7BE1" w14:textId="77777777" w:rsidR="001456CD" w:rsidRPr="0058432E" w:rsidRDefault="001456CD" w:rsidP="004A24CF">
            <w:pPr>
              <w:jc w:val="center"/>
              <w:rPr>
                <w:color w:val="000000" w:themeColor="text1"/>
              </w:rPr>
            </w:pPr>
            <w:r w:rsidRPr="0058432E">
              <w:rPr>
                <w:color w:val="000000" w:themeColor="text1"/>
              </w:rPr>
              <w:t>&gt; 32 semaines</w:t>
            </w:r>
          </w:p>
        </w:tc>
        <w:tc>
          <w:tcPr>
            <w:tcW w:w="733" w:type="pct"/>
            <w:tcBorders>
              <w:top w:val="single" w:sz="4" w:space="0" w:color="auto"/>
              <w:left w:val="single" w:sz="4" w:space="0" w:color="auto"/>
              <w:bottom w:val="single" w:sz="4" w:space="0" w:color="auto"/>
              <w:right w:val="single" w:sz="4" w:space="0" w:color="auto"/>
            </w:tcBorders>
            <w:hideMark/>
          </w:tcPr>
          <w:p w14:paraId="611F21B5" w14:textId="77777777" w:rsidR="001456CD" w:rsidRPr="0058432E" w:rsidRDefault="001456CD" w:rsidP="004A24CF">
            <w:pPr>
              <w:jc w:val="center"/>
              <w:rPr>
                <w:color w:val="000000" w:themeColor="text1"/>
              </w:rPr>
            </w:pPr>
            <w:r w:rsidRPr="0058432E">
              <w:rPr>
                <w:color w:val="000000" w:themeColor="text1"/>
              </w:rPr>
              <w:t>14 semaines</w:t>
            </w:r>
          </w:p>
        </w:tc>
      </w:tr>
      <w:tr w:rsidR="001456CD" w:rsidRPr="0058432E" w14:paraId="322E38DE" w14:textId="77777777" w:rsidTr="004A24CF">
        <w:tc>
          <w:tcPr>
            <w:tcW w:w="5000" w:type="pct"/>
            <w:gridSpan w:val="5"/>
            <w:tcBorders>
              <w:top w:val="single" w:sz="4" w:space="0" w:color="auto"/>
              <w:left w:val="nil"/>
              <w:bottom w:val="nil"/>
              <w:right w:val="nil"/>
            </w:tcBorders>
          </w:tcPr>
          <w:p w14:paraId="43251A20" w14:textId="77777777" w:rsidR="001456CD" w:rsidRPr="0058432E" w:rsidRDefault="001456CD" w:rsidP="004A24CF">
            <w:pPr>
              <w:pStyle w:val="BodyText"/>
              <w:kinsoku w:val="0"/>
              <w:overflowPunct w:val="0"/>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Réponses ACR Péd. 30/50/70 en semaine 48 significativement plus élevées que celles des patients sous placebo</w:t>
            </w:r>
          </w:p>
          <w:p w14:paraId="01680AF5" w14:textId="77777777" w:rsidR="001456CD" w:rsidRPr="0058432E" w:rsidRDefault="001456CD" w:rsidP="004A24CF">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0,015</w:t>
            </w:r>
          </w:p>
          <w:p w14:paraId="0F790E82" w14:textId="77777777" w:rsidR="001456CD" w:rsidRPr="0058432E" w:rsidRDefault="001456CD" w:rsidP="004A24CF">
            <w:pPr>
              <w:pStyle w:val="BodyText"/>
              <w:widowControl/>
              <w:kinsoku w:val="0"/>
              <w:overflowPunct w:val="0"/>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Pr="0058432E">
              <w:rPr>
                <w:i/>
                <w:color w:val="000000" w:themeColor="text1"/>
                <w:sz w:val="20"/>
              </w:rPr>
              <w:t>p</w:t>
            </w:r>
            <w:r w:rsidRPr="0058432E">
              <w:rPr>
                <w:color w:val="000000" w:themeColor="text1"/>
                <w:sz w:val="20"/>
              </w:rPr>
              <w:t> = 0,031</w:t>
            </w:r>
          </w:p>
        </w:tc>
      </w:tr>
    </w:tbl>
    <w:p w14:paraId="32485F00" w14:textId="77777777" w:rsidR="001456CD" w:rsidRPr="0058432E" w:rsidRDefault="001456CD" w:rsidP="001456CD">
      <w:pPr>
        <w:pStyle w:val="BodyText"/>
        <w:widowControl/>
        <w:kinsoku w:val="0"/>
        <w:overflowPunct w:val="0"/>
        <w:ind w:left="0"/>
        <w:rPr>
          <w:color w:val="000000" w:themeColor="text1"/>
        </w:rPr>
      </w:pPr>
    </w:p>
    <w:p w14:paraId="1D7143A1"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Chez les sujets qui avaient répondu en semaine 16 (n = 144), les réponses ACR pédiatriques 30/50/70/90 ont été maintenues pendant des durées allant jusqu’à six ans dans la phase d’extension en ouvert chez les patients qui avaient reçu l’adalimumab pendant toute l’étude. Dix-neuf patients dont 11 du groupe d’âge de 4 à 12 ans et 8 du groupe d’âge de 13 à 17 ans ont été traités pendant 6 ans ou plus.</w:t>
      </w:r>
    </w:p>
    <w:p w14:paraId="1D3C314C" w14:textId="77777777" w:rsidR="001456CD" w:rsidRPr="0058432E" w:rsidRDefault="001456CD" w:rsidP="001456CD">
      <w:pPr>
        <w:pStyle w:val="BodyText"/>
        <w:widowControl/>
        <w:kinsoku w:val="0"/>
        <w:overflowPunct w:val="0"/>
        <w:ind w:left="0"/>
        <w:rPr>
          <w:color w:val="000000" w:themeColor="text1"/>
        </w:rPr>
      </w:pPr>
    </w:p>
    <w:p w14:paraId="293BFC7A"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réponses globales ont été généralement supérieures et le nombre de patients ayant développé des anticorps a été plus faible avec l’association adalimumab plus MTX qu’avec l’adalimumab en monothérapie. En tenant compte de ces résultats, l’adalimumab est recommandé en association avec le MTX et en monothérapie chez les patients pour lesquels le traitement par MTX est inadapté (voir rubrique 4.2).</w:t>
      </w:r>
    </w:p>
    <w:p w14:paraId="7D519791" w14:textId="77777777" w:rsidR="001456CD" w:rsidRPr="0058432E" w:rsidRDefault="001456CD" w:rsidP="001456CD">
      <w:pPr>
        <w:rPr>
          <w:color w:val="000000" w:themeColor="text1"/>
        </w:rPr>
      </w:pPr>
    </w:p>
    <w:p w14:paraId="3E30838F" w14:textId="77777777" w:rsidR="001456CD" w:rsidRPr="0058432E" w:rsidRDefault="001456CD" w:rsidP="001456CD">
      <w:pPr>
        <w:pStyle w:val="BodyText"/>
        <w:keepNext/>
        <w:widowControl/>
        <w:kinsoku w:val="0"/>
        <w:overflowPunct w:val="0"/>
        <w:ind w:left="0"/>
        <w:rPr>
          <w:color w:val="000000" w:themeColor="text1"/>
        </w:rPr>
      </w:pPr>
      <w:r w:rsidRPr="0058432E">
        <w:rPr>
          <w:color w:val="000000" w:themeColor="text1"/>
        </w:rPr>
        <w:t>AJIp II</w:t>
      </w:r>
    </w:p>
    <w:p w14:paraId="6633DA24" w14:textId="77777777" w:rsidR="001456CD" w:rsidRPr="0058432E" w:rsidRDefault="001456CD" w:rsidP="001456CD">
      <w:pPr>
        <w:pStyle w:val="BodyText"/>
        <w:keepNext/>
        <w:widowControl/>
        <w:kinsoku w:val="0"/>
        <w:overflowPunct w:val="0"/>
        <w:ind w:left="0"/>
        <w:rPr>
          <w:color w:val="000000" w:themeColor="text1"/>
        </w:rPr>
      </w:pPr>
    </w:p>
    <w:p w14:paraId="6E448512"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en ouvert, multicentrique chez 32 enfants (âgés de 2 à 4 ans ou âgés de 4 ans et plus, de poids &lt; 15 kg) présentant une AJI polyarticulaire modérément à sévèrement active. Les patients ont reçu l’adalimumab à la dose de 24 mg/m</w:t>
      </w:r>
      <w:r w:rsidRPr="0058432E">
        <w:rPr>
          <w:color w:val="000000" w:themeColor="text1"/>
          <w:vertAlign w:val="superscript"/>
        </w:rPr>
        <w:t>2</w:t>
      </w:r>
      <w:r w:rsidRPr="0058432E">
        <w:rPr>
          <w:color w:val="000000" w:themeColor="text1"/>
        </w:rPr>
        <w:t xml:space="preserve"> de surface corporelle jusqu’à une dose maximale de 20 mg en une seule injection sous-cutanée toutes les 2 semaines pendant au moins 24 semaines. Durant l’étude, la plupart des patients avaient un traitement concomitant par MTX, une plus faible proportion avait des corticoïdes ou des AINS.</w:t>
      </w:r>
    </w:p>
    <w:p w14:paraId="55B1F641" w14:textId="77777777" w:rsidR="001456CD" w:rsidRPr="0058432E" w:rsidRDefault="001456CD" w:rsidP="001456CD">
      <w:pPr>
        <w:pStyle w:val="BodyText"/>
        <w:widowControl/>
        <w:kinsoku w:val="0"/>
        <w:overflowPunct w:val="0"/>
        <w:ind w:left="0"/>
        <w:rPr>
          <w:color w:val="000000" w:themeColor="text1"/>
          <w:szCs w:val="21"/>
        </w:rPr>
      </w:pPr>
    </w:p>
    <w:p w14:paraId="2740F90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 xml:space="preserve">À la semaine 12 et à la semaine 24, la réponse ACR 30 </w:t>
      </w:r>
      <w:r w:rsidR="00352EDF" w:rsidRPr="0058432E">
        <w:rPr>
          <w:color w:val="000000" w:themeColor="text1"/>
        </w:rPr>
        <w:t>p</w:t>
      </w:r>
      <w:r w:rsidRPr="0058432E">
        <w:rPr>
          <w:color w:val="000000" w:themeColor="text1"/>
        </w:rPr>
        <w:t xml:space="preserve">édiatrique était de 93,5 % et de 90,0 %, respectivement, en utilisant les données observées. La proportion de patients avec ACR 50/70/90 </w:t>
      </w:r>
      <w:r w:rsidR="00352EDF" w:rsidRPr="0058432E">
        <w:rPr>
          <w:color w:val="000000" w:themeColor="text1"/>
        </w:rPr>
        <w:t>p</w:t>
      </w:r>
      <w:r w:rsidRPr="0058432E">
        <w:rPr>
          <w:color w:val="000000" w:themeColor="text1"/>
        </w:rPr>
        <w:t xml:space="preserve">édiatrique à la semaine 12 et à la semaine 24 était respectivement de 90,3 %/61,3 %/38,7 % et 83,3 %/73,3 %/36,7 %. Parmi ceux ayant répondu (ACR 30 </w:t>
      </w:r>
      <w:r w:rsidR="00352EDF" w:rsidRPr="0058432E">
        <w:rPr>
          <w:color w:val="000000" w:themeColor="text1"/>
        </w:rPr>
        <w:t>p</w:t>
      </w:r>
      <w:r w:rsidRPr="0058432E">
        <w:rPr>
          <w:color w:val="000000" w:themeColor="text1"/>
        </w:rPr>
        <w:t>édiatrique) à la semaine 24 (n = 27 sur les 30 patients), la réponse ACR 30 Pédiatrique était maintenue jusqu’à 60 semaines dans la phase d’extension en ouvert chez les patients qui ont reçu l’adalimumab durant toute cette période. Globalement, 20 patients ont été traités pendant 60 semaines ou plus.</w:t>
      </w:r>
    </w:p>
    <w:p w14:paraId="029F2E9C" w14:textId="77777777" w:rsidR="001456CD" w:rsidRPr="0058432E" w:rsidRDefault="001456CD" w:rsidP="001456CD">
      <w:pPr>
        <w:pStyle w:val="BodyText"/>
        <w:widowControl/>
        <w:kinsoku w:val="0"/>
        <w:overflowPunct w:val="0"/>
        <w:ind w:left="0"/>
        <w:rPr>
          <w:color w:val="000000" w:themeColor="text1"/>
        </w:rPr>
      </w:pPr>
    </w:p>
    <w:p w14:paraId="2FCBC3B5"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Arthrite liée à l’enthésite</w:t>
      </w:r>
    </w:p>
    <w:p w14:paraId="371FB09A" w14:textId="77777777" w:rsidR="001456CD" w:rsidRPr="0058432E" w:rsidRDefault="001456CD" w:rsidP="001456CD">
      <w:pPr>
        <w:pStyle w:val="BodyText"/>
        <w:keepNext/>
        <w:widowControl/>
        <w:kinsoku w:val="0"/>
        <w:overflowPunct w:val="0"/>
        <w:ind w:left="0"/>
        <w:rPr>
          <w:i/>
          <w:iCs/>
          <w:color w:val="000000" w:themeColor="text1"/>
        </w:rPr>
      </w:pPr>
    </w:p>
    <w:p w14:paraId="55C6D71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multicentrique, randomisée en double aveugle chez 46 patients pédiatriques (âgés de 6 à 17 ans) présentant une arthrite liée à l’enthésite modérée. Les patients ont été randomisés pour recevoir, toutes les deux semaines pendant 12 semaines, soit une dose d’adalimumab de 24 mg/m</w:t>
      </w:r>
      <w:r w:rsidRPr="0058432E">
        <w:rPr>
          <w:color w:val="000000" w:themeColor="text1"/>
          <w:vertAlign w:val="superscript"/>
        </w:rPr>
        <w:t>2</w:t>
      </w:r>
      <w:r w:rsidRPr="0058432E">
        <w:rPr>
          <w:color w:val="000000" w:themeColor="text1"/>
        </w:rPr>
        <w:t xml:space="preserve"> de surface corporelle jusqu’à une dose maximale de 40 mg, soit un placebo. La phase en double aveugle a été suivie d’une phase en ouvert durant laquelle les patients recevaient une dose d’adalimumab de 24 mg/m</w:t>
      </w:r>
      <w:r w:rsidRPr="0058432E">
        <w:rPr>
          <w:color w:val="000000" w:themeColor="text1"/>
          <w:vertAlign w:val="superscript"/>
        </w:rPr>
        <w:t>2</w:t>
      </w:r>
      <w:r w:rsidRPr="0058432E">
        <w:rPr>
          <w:color w:val="000000" w:themeColor="text1"/>
        </w:rPr>
        <w:t xml:space="preserve"> de surface corporelle jusqu’à une dose maximale de 40 mg toutes les deux semaines par voie sous-cutanée pendant 192 semaines supplémentaires. Le critère d’évaluation principal était la variation en pourcentage du nombre d’articulations actives touchées par l’arthrite (gonflement non lié à une malformation ou articulations avec perte de mouvement et douleur et/ou sensibilité) entre l’inclusion et la semaine 12. Une réduction moyenne de -62,6 % (variation médiane : -88,9 %) a été observée chez les patients traités par l’adalimumab par rapport à -11,6 % (variation médiane : -50,0 %) chez les patients recevant le placebo. L’amélioration relative au nombre d’articulations actives touchées par </w:t>
      </w:r>
      <w:r w:rsidRPr="0058432E">
        <w:rPr>
          <w:color w:val="000000" w:themeColor="text1"/>
        </w:rPr>
        <w:lastRenderedPageBreak/>
        <w:t>l’arthrite a été maintenue au cours de la phase en ouvert jusqu’à la semaine 156 pour les 26 patients sur 31 (84 %) du groupe adalimumab qui sont restés dans l’étude. Une amélioration clinique mais non statistiquement significative a été observée chez la majorité des patients pour les critères secondaires tels que le nombre de sites d’enthésite, le nombre d’articulations douloureuses, le nombre d’articulations gonflées, et la réponse selon les critères ACR 50 et 70 pédiatriques.</w:t>
      </w:r>
    </w:p>
    <w:p w14:paraId="48376534" w14:textId="77777777" w:rsidR="001456CD" w:rsidRPr="0058432E" w:rsidRDefault="001456CD" w:rsidP="001456CD">
      <w:pPr>
        <w:pStyle w:val="BodyText"/>
        <w:widowControl/>
        <w:kinsoku w:val="0"/>
        <w:overflowPunct w:val="0"/>
        <w:ind w:left="0"/>
        <w:rPr>
          <w:color w:val="000000" w:themeColor="text1"/>
        </w:rPr>
      </w:pPr>
    </w:p>
    <w:p w14:paraId="1032446D"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Psoriasis en plaques pédiatrique</w:t>
      </w:r>
    </w:p>
    <w:p w14:paraId="7377B67A" w14:textId="77777777" w:rsidR="001456CD" w:rsidRPr="0058432E" w:rsidRDefault="001456CD" w:rsidP="001456CD">
      <w:pPr>
        <w:pStyle w:val="BodyText"/>
        <w:keepNext/>
        <w:widowControl/>
        <w:kinsoku w:val="0"/>
        <w:overflowPunct w:val="0"/>
        <w:ind w:left="0"/>
        <w:rPr>
          <w:i/>
          <w:iCs/>
          <w:color w:val="000000" w:themeColor="text1"/>
        </w:rPr>
      </w:pPr>
    </w:p>
    <w:p w14:paraId="52A05EF4" w14:textId="77777777" w:rsidR="001456CD" w:rsidRPr="0058432E" w:rsidRDefault="001456CD" w:rsidP="001456CD">
      <w:pPr>
        <w:pStyle w:val="BodyText"/>
        <w:kinsoku w:val="0"/>
        <w:overflowPunct w:val="0"/>
        <w:ind w:left="0"/>
        <w:rPr>
          <w:color w:val="000000" w:themeColor="text1"/>
        </w:rPr>
      </w:pPr>
      <w:r w:rsidRPr="0058432E">
        <w:rPr>
          <w:color w:val="000000" w:themeColor="text1"/>
        </w:rPr>
        <w:t xml:space="preserve">L’efficacité de l’adalimumab a été évaluée dans une étude contrôlée, randomisée en double aveugle chez 114 patients pédiatriques âgés de 4 ans et plus présentant un psoriasis en plaques chronique sévère (défini par un score PGA </w:t>
      </w:r>
      <w:r w:rsidR="0045450B" w:rsidRPr="0058432E">
        <w:rPr>
          <w:color w:val="000000" w:themeColor="text1"/>
        </w:rPr>
        <w:t>[</w:t>
      </w:r>
      <w:r w:rsidR="0045450B" w:rsidRPr="0058432E">
        <w:rPr>
          <w:i/>
          <w:iCs/>
          <w:color w:val="000000" w:themeColor="text1"/>
        </w:rPr>
        <w:t>Physician’s Global Assessment</w:t>
      </w:r>
      <w:r w:rsidR="0045450B" w:rsidRPr="0058432E">
        <w:rPr>
          <w:color w:val="000000" w:themeColor="text1"/>
        </w:rPr>
        <w:t xml:space="preserve">] </w:t>
      </w:r>
      <w:r w:rsidRPr="0058432E">
        <w:rPr>
          <w:color w:val="000000" w:themeColor="text1"/>
        </w:rPr>
        <w:t xml:space="preserve">≥ 4 ou une atteinte de la surface corporelle &gt; 20 % ou &gt; 10 % avec des lésions très épaisses ou un score du </w:t>
      </w:r>
      <w:r w:rsidR="003A54EA" w:rsidRPr="0058432E">
        <w:rPr>
          <w:color w:val="000000" w:themeColor="text1"/>
        </w:rPr>
        <w:t>PASI [</w:t>
      </w:r>
      <w:r w:rsidR="003A54EA" w:rsidRPr="0058432E">
        <w:rPr>
          <w:i/>
          <w:iCs/>
          <w:color w:val="000000" w:themeColor="text1"/>
        </w:rPr>
        <w:t>Psoriasis Area and Severity Index</w:t>
      </w:r>
      <w:r w:rsidR="003A54EA" w:rsidRPr="0058432E">
        <w:rPr>
          <w:color w:val="000000" w:themeColor="text1"/>
        </w:rPr>
        <w:t xml:space="preserve">] </w:t>
      </w:r>
      <w:r w:rsidRPr="0058432E">
        <w:rPr>
          <w:color w:val="000000" w:themeColor="text1"/>
        </w:rPr>
        <w:t>≥ 20 ou ≥ 10 avec atteinte cliniquement significative du visage, des organes génitaux ou des mains et/ou pieds) qui n’était pas suffisamment contrôlé par un traitement topique et l’héliothérapie ou la photothérapie.</w:t>
      </w:r>
    </w:p>
    <w:p w14:paraId="6D67A190" w14:textId="77777777" w:rsidR="001456CD" w:rsidRPr="0058432E" w:rsidRDefault="001456CD" w:rsidP="001456CD">
      <w:pPr>
        <w:pStyle w:val="BodyText"/>
        <w:widowControl/>
        <w:kinsoku w:val="0"/>
        <w:overflowPunct w:val="0"/>
        <w:ind w:left="0"/>
        <w:rPr>
          <w:color w:val="000000" w:themeColor="text1"/>
        </w:rPr>
      </w:pPr>
    </w:p>
    <w:p w14:paraId="3BADF2DF"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patients ont reçu l’adalimumab à la dose de 0,8 mg/kg toutes les deux semaines (jusqu’à 40 mg) ou 0,4 mg/kg toutes les deux semaines (jusqu’à 20 mg) ou le méthotrexate à la dose de 0,1 à 0,4 mg/kg une fois par semaine (jusqu’à 25 mg). À la semaine 16, il y a eu p</w:t>
      </w:r>
      <w:r w:rsidR="001237B9" w:rsidRPr="0058432E">
        <w:rPr>
          <w:color w:val="000000" w:themeColor="text1"/>
        </w:rPr>
        <w:t>lus de répondeurs (par ex. PASI </w:t>
      </w:r>
      <w:r w:rsidRPr="0058432E">
        <w:rPr>
          <w:color w:val="000000" w:themeColor="text1"/>
        </w:rPr>
        <w:t>75) chez les patients randomisés dans le groupe adalimumab 0,8 mg/kg toutes les deux semaines par rapport aux patients randomisés dans le groupe adalimumab 0,4 mg/kg toutes les deux semaines ou le MTX.</w:t>
      </w:r>
    </w:p>
    <w:p w14:paraId="1B4B1BAC" w14:textId="77777777" w:rsidR="001456CD" w:rsidRPr="0058432E" w:rsidRDefault="001456CD" w:rsidP="001456CD">
      <w:pPr>
        <w:pStyle w:val="BodyText"/>
        <w:widowControl/>
        <w:kinsoku w:val="0"/>
        <w:overflowPunct w:val="0"/>
        <w:ind w:left="0"/>
        <w:rPr>
          <w:color w:val="000000" w:themeColor="text1"/>
          <w:szCs w:val="23"/>
        </w:rPr>
      </w:pPr>
    </w:p>
    <w:p w14:paraId="2B7153FA" w14:textId="77777777" w:rsidR="00F967CF" w:rsidRPr="0058432E" w:rsidRDefault="001456CD" w:rsidP="001456CD">
      <w:pPr>
        <w:keepNext/>
        <w:rPr>
          <w:b/>
          <w:color w:val="000000" w:themeColor="text1"/>
        </w:rPr>
      </w:pPr>
      <w:r w:rsidRPr="0058432E">
        <w:rPr>
          <w:b/>
          <w:color w:val="000000" w:themeColor="text1"/>
        </w:rPr>
        <w:t>Tableau </w:t>
      </w:r>
      <w:r w:rsidR="00A00EF6" w:rsidRPr="0058432E">
        <w:rPr>
          <w:b/>
          <w:color w:val="000000" w:themeColor="text1"/>
        </w:rPr>
        <w:t>27</w:t>
      </w:r>
      <w:r w:rsidRPr="0058432E">
        <w:rPr>
          <w:b/>
          <w:color w:val="000000" w:themeColor="text1"/>
        </w:rPr>
        <w:t>.</w:t>
      </w:r>
    </w:p>
    <w:p w14:paraId="35AF6407" w14:textId="77777777" w:rsidR="001456CD" w:rsidRPr="0058432E" w:rsidRDefault="001456CD" w:rsidP="001456CD">
      <w:pPr>
        <w:keepNext/>
        <w:rPr>
          <w:b/>
          <w:bCs/>
          <w:color w:val="000000" w:themeColor="text1"/>
        </w:rPr>
      </w:pPr>
      <w:r w:rsidRPr="0058432E">
        <w:rPr>
          <w:b/>
          <w:color w:val="000000" w:themeColor="text1"/>
        </w:rPr>
        <w:t>Psoriasis en plaques pédiatrique — Résultats d’efficacité à 16 semaines</w:t>
      </w:r>
    </w:p>
    <w:p w14:paraId="249D41F4" w14:textId="77777777" w:rsidR="001456CD" w:rsidRPr="0058432E" w:rsidRDefault="001456CD" w:rsidP="001456CD">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2991"/>
        <w:gridCol w:w="3035"/>
      </w:tblGrid>
      <w:tr w:rsidR="001456CD" w:rsidRPr="0058432E" w14:paraId="7AB72B6A" w14:textId="77777777" w:rsidTr="004A24CF">
        <w:trPr>
          <w:cantSplit/>
          <w:tblHeader/>
        </w:trPr>
        <w:tc>
          <w:tcPr>
            <w:tcW w:w="3118" w:type="dxa"/>
            <w:tcBorders>
              <w:top w:val="single" w:sz="4" w:space="0" w:color="auto"/>
              <w:left w:val="single" w:sz="4" w:space="0" w:color="auto"/>
              <w:bottom w:val="single" w:sz="4" w:space="0" w:color="auto"/>
              <w:right w:val="single" w:sz="4" w:space="0" w:color="auto"/>
            </w:tcBorders>
          </w:tcPr>
          <w:p w14:paraId="3FF7E636" w14:textId="77777777" w:rsidR="001456CD" w:rsidRPr="0058432E" w:rsidRDefault="001456CD" w:rsidP="004A24CF">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244784C7" w14:textId="77777777" w:rsidR="001456CD" w:rsidRPr="0058432E" w:rsidRDefault="001456CD" w:rsidP="004A24CF">
            <w:pPr>
              <w:keepNext/>
              <w:jc w:val="center"/>
              <w:rPr>
                <w:b/>
                <w:color w:val="000000" w:themeColor="text1"/>
                <w:vertAlign w:val="superscript"/>
              </w:rPr>
            </w:pPr>
            <w:r w:rsidRPr="0058432E">
              <w:rPr>
                <w:b/>
                <w:color w:val="000000" w:themeColor="text1"/>
              </w:rPr>
              <w:t>MTX</w:t>
            </w:r>
            <w:r w:rsidRPr="0058432E">
              <w:rPr>
                <w:b/>
                <w:color w:val="000000" w:themeColor="text1"/>
                <w:vertAlign w:val="superscript"/>
              </w:rPr>
              <w:t>a</w:t>
            </w:r>
          </w:p>
          <w:p w14:paraId="66BD93FE" w14:textId="77777777" w:rsidR="001456CD" w:rsidRPr="0058432E" w:rsidRDefault="001456CD" w:rsidP="004A24CF">
            <w:pPr>
              <w:keepNext/>
              <w:jc w:val="center"/>
              <w:rPr>
                <w:b/>
                <w:color w:val="000000" w:themeColor="text1"/>
              </w:rPr>
            </w:pPr>
            <w:r w:rsidRPr="0058432E">
              <w:rPr>
                <w:b/>
                <w:color w:val="000000" w:themeColor="text1"/>
              </w:rPr>
              <w:t>N = 37</w:t>
            </w:r>
          </w:p>
        </w:tc>
        <w:tc>
          <w:tcPr>
            <w:tcW w:w="3108" w:type="dxa"/>
            <w:tcBorders>
              <w:top w:val="single" w:sz="4" w:space="0" w:color="auto"/>
              <w:left w:val="single" w:sz="4" w:space="0" w:color="auto"/>
              <w:bottom w:val="single" w:sz="4" w:space="0" w:color="auto"/>
              <w:right w:val="single" w:sz="4" w:space="0" w:color="auto"/>
            </w:tcBorders>
            <w:hideMark/>
          </w:tcPr>
          <w:p w14:paraId="11E35EFA" w14:textId="77777777" w:rsidR="001456CD" w:rsidRPr="0058432E" w:rsidRDefault="001456CD" w:rsidP="004A24CF">
            <w:pPr>
              <w:keepNext/>
              <w:jc w:val="center"/>
              <w:rPr>
                <w:b/>
                <w:color w:val="000000" w:themeColor="text1"/>
              </w:rPr>
            </w:pPr>
            <w:r w:rsidRPr="0058432E">
              <w:rPr>
                <w:b/>
                <w:color w:val="000000" w:themeColor="text1"/>
              </w:rPr>
              <w:t xml:space="preserve">Adalimumab 0,8 mg/kg toutes les </w:t>
            </w:r>
            <w:r w:rsidR="00352EDF" w:rsidRPr="0058432E">
              <w:rPr>
                <w:b/>
                <w:color w:val="000000" w:themeColor="text1"/>
              </w:rPr>
              <w:t>deux</w:t>
            </w:r>
            <w:r w:rsidRPr="0058432E">
              <w:rPr>
                <w:b/>
                <w:color w:val="000000" w:themeColor="text1"/>
              </w:rPr>
              <w:t> semaines</w:t>
            </w:r>
          </w:p>
          <w:p w14:paraId="5ABF5F48" w14:textId="77777777" w:rsidR="001456CD" w:rsidRPr="0058432E" w:rsidRDefault="001456CD" w:rsidP="004A24CF">
            <w:pPr>
              <w:keepNext/>
              <w:jc w:val="center"/>
              <w:rPr>
                <w:b/>
                <w:color w:val="000000" w:themeColor="text1"/>
              </w:rPr>
            </w:pPr>
            <w:r w:rsidRPr="0058432E">
              <w:rPr>
                <w:b/>
                <w:color w:val="000000" w:themeColor="text1"/>
              </w:rPr>
              <w:t>N = 38</w:t>
            </w:r>
          </w:p>
        </w:tc>
      </w:tr>
      <w:tr w:rsidR="001456CD" w:rsidRPr="0058432E" w14:paraId="3D43CA8B" w14:textId="77777777" w:rsidTr="004A24CF">
        <w:trPr>
          <w:cantSplit/>
        </w:trPr>
        <w:tc>
          <w:tcPr>
            <w:tcW w:w="3118" w:type="dxa"/>
            <w:tcBorders>
              <w:top w:val="single" w:sz="4" w:space="0" w:color="auto"/>
              <w:left w:val="single" w:sz="4" w:space="0" w:color="auto"/>
              <w:bottom w:val="single" w:sz="4" w:space="0" w:color="auto"/>
              <w:right w:val="single" w:sz="4" w:space="0" w:color="auto"/>
            </w:tcBorders>
            <w:hideMark/>
          </w:tcPr>
          <w:p w14:paraId="60096EAD" w14:textId="77777777" w:rsidR="001456CD" w:rsidRPr="0058432E" w:rsidRDefault="001456CD" w:rsidP="004A24CF">
            <w:pPr>
              <w:rPr>
                <w:color w:val="000000" w:themeColor="text1"/>
              </w:rPr>
            </w:pPr>
            <w:r w:rsidRPr="0058432E">
              <w:rPr>
                <w:color w:val="000000" w:themeColor="text1"/>
              </w:rPr>
              <w:t>PASI 75</w:t>
            </w:r>
            <w:r w:rsidRPr="0058432E">
              <w:rPr>
                <w:color w:val="000000" w:themeColor="text1"/>
                <w:vertAlign w:val="superscript"/>
              </w:rPr>
              <w:t>b</w:t>
            </w:r>
          </w:p>
        </w:tc>
        <w:tc>
          <w:tcPr>
            <w:tcW w:w="3077" w:type="dxa"/>
            <w:tcBorders>
              <w:top w:val="single" w:sz="4" w:space="0" w:color="auto"/>
              <w:left w:val="single" w:sz="4" w:space="0" w:color="auto"/>
              <w:bottom w:val="single" w:sz="4" w:space="0" w:color="auto"/>
              <w:right w:val="single" w:sz="4" w:space="0" w:color="auto"/>
            </w:tcBorders>
            <w:hideMark/>
          </w:tcPr>
          <w:p w14:paraId="64E7D5B6" w14:textId="77777777" w:rsidR="001456CD" w:rsidRPr="0058432E" w:rsidRDefault="001456CD" w:rsidP="004A24CF">
            <w:pPr>
              <w:jc w:val="center"/>
              <w:rPr>
                <w:color w:val="000000" w:themeColor="text1"/>
              </w:rPr>
            </w:pPr>
            <w:r w:rsidRPr="0058432E">
              <w:rPr>
                <w:color w:val="000000" w:themeColor="text1"/>
              </w:rPr>
              <w:t>12 (32,4 %)</w:t>
            </w:r>
          </w:p>
        </w:tc>
        <w:tc>
          <w:tcPr>
            <w:tcW w:w="3108" w:type="dxa"/>
            <w:tcBorders>
              <w:top w:val="single" w:sz="4" w:space="0" w:color="auto"/>
              <w:left w:val="single" w:sz="4" w:space="0" w:color="auto"/>
              <w:bottom w:val="single" w:sz="4" w:space="0" w:color="auto"/>
              <w:right w:val="single" w:sz="4" w:space="0" w:color="auto"/>
            </w:tcBorders>
            <w:hideMark/>
          </w:tcPr>
          <w:p w14:paraId="2CFE926A" w14:textId="77777777" w:rsidR="001456CD" w:rsidRPr="0058432E" w:rsidRDefault="001456CD" w:rsidP="004A24CF">
            <w:pPr>
              <w:jc w:val="center"/>
              <w:rPr>
                <w:color w:val="000000" w:themeColor="text1"/>
              </w:rPr>
            </w:pPr>
            <w:r w:rsidRPr="0058432E">
              <w:rPr>
                <w:color w:val="000000" w:themeColor="text1"/>
              </w:rPr>
              <w:t>22 (57,9 %)</w:t>
            </w:r>
          </w:p>
        </w:tc>
      </w:tr>
      <w:tr w:rsidR="001456CD" w:rsidRPr="0058432E" w14:paraId="2C4908E5" w14:textId="77777777" w:rsidTr="004A24CF">
        <w:trPr>
          <w:cantSplit/>
        </w:trPr>
        <w:tc>
          <w:tcPr>
            <w:tcW w:w="3118" w:type="dxa"/>
            <w:tcBorders>
              <w:top w:val="single" w:sz="4" w:space="0" w:color="auto"/>
              <w:left w:val="single" w:sz="4" w:space="0" w:color="auto"/>
              <w:bottom w:val="single" w:sz="4" w:space="0" w:color="auto"/>
              <w:right w:val="single" w:sz="4" w:space="0" w:color="auto"/>
            </w:tcBorders>
            <w:hideMark/>
          </w:tcPr>
          <w:p w14:paraId="6CBE0EC2" w14:textId="77777777" w:rsidR="001456CD" w:rsidRPr="0058432E" w:rsidRDefault="001456CD" w:rsidP="004A24CF">
            <w:pPr>
              <w:rPr>
                <w:color w:val="000000" w:themeColor="text1"/>
              </w:rPr>
            </w:pPr>
            <w:r w:rsidRPr="0058432E">
              <w:rPr>
                <w:color w:val="000000" w:themeColor="text1"/>
              </w:rPr>
              <w:t>PGA : clair/minimal</w:t>
            </w:r>
            <w:r w:rsidRPr="0058432E">
              <w:rPr>
                <w:color w:val="000000" w:themeColor="text1"/>
                <w:vertAlign w:val="superscript"/>
              </w:rPr>
              <w:t>c</w:t>
            </w:r>
          </w:p>
        </w:tc>
        <w:tc>
          <w:tcPr>
            <w:tcW w:w="3077" w:type="dxa"/>
            <w:tcBorders>
              <w:top w:val="single" w:sz="4" w:space="0" w:color="auto"/>
              <w:left w:val="single" w:sz="4" w:space="0" w:color="auto"/>
              <w:bottom w:val="single" w:sz="4" w:space="0" w:color="auto"/>
              <w:right w:val="single" w:sz="4" w:space="0" w:color="auto"/>
            </w:tcBorders>
            <w:hideMark/>
          </w:tcPr>
          <w:p w14:paraId="524927A1" w14:textId="77777777" w:rsidR="001456CD" w:rsidRPr="0058432E" w:rsidRDefault="001456CD" w:rsidP="004A24CF">
            <w:pPr>
              <w:jc w:val="center"/>
              <w:rPr>
                <w:color w:val="000000" w:themeColor="text1"/>
              </w:rPr>
            </w:pPr>
            <w:r w:rsidRPr="0058432E">
              <w:rPr>
                <w:color w:val="000000" w:themeColor="text1"/>
              </w:rPr>
              <w:t>15 (40,5 %)</w:t>
            </w:r>
          </w:p>
        </w:tc>
        <w:tc>
          <w:tcPr>
            <w:tcW w:w="3108" w:type="dxa"/>
            <w:tcBorders>
              <w:top w:val="single" w:sz="4" w:space="0" w:color="auto"/>
              <w:left w:val="single" w:sz="4" w:space="0" w:color="auto"/>
              <w:bottom w:val="single" w:sz="4" w:space="0" w:color="auto"/>
              <w:right w:val="single" w:sz="4" w:space="0" w:color="auto"/>
            </w:tcBorders>
            <w:hideMark/>
          </w:tcPr>
          <w:p w14:paraId="5B822EC4" w14:textId="77777777" w:rsidR="001456CD" w:rsidRPr="0058432E" w:rsidRDefault="001456CD" w:rsidP="004A24CF">
            <w:pPr>
              <w:jc w:val="center"/>
              <w:rPr>
                <w:color w:val="000000" w:themeColor="text1"/>
              </w:rPr>
            </w:pPr>
            <w:r w:rsidRPr="0058432E">
              <w:rPr>
                <w:color w:val="000000" w:themeColor="text1"/>
              </w:rPr>
              <w:t>23 (60,5 %)</w:t>
            </w:r>
          </w:p>
        </w:tc>
      </w:tr>
      <w:tr w:rsidR="001456CD" w:rsidRPr="0058432E" w14:paraId="7DAF21FA" w14:textId="77777777" w:rsidTr="004A24CF">
        <w:trPr>
          <w:cantSplit/>
        </w:trPr>
        <w:tc>
          <w:tcPr>
            <w:tcW w:w="9303" w:type="dxa"/>
            <w:gridSpan w:val="3"/>
            <w:tcBorders>
              <w:top w:val="single" w:sz="4" w:space="0" w:color="auto"/>
              <w:left w:val="nil"/>
              <w:bottom w:val="nil"/>
              <w:right w:val="nil"/>
            </w:tcBorders>
          </w:tcPr>
          <w:p w14:paraId="08E6FE0E"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a</w:t>
            </w:r>
            <w:proofErr w:type="gramEnd"/>
            <w:r w:rsidRPr="0058432E">
              <w:rPr>
                <w:color w:val="000000" w:themeColor="text1"/>
                <w:sz w:val="20"/>
              </w:rPr>
              <w:t xml:space="preserve"> </w:t>
            </w:r>
            <w:r w:rsidRPr="0058432E">
              <w:rPr>
                <w:color w:val="000000" w:themeColor="text1"/>
                <w:sz w:val="20"/>
              </w:rPr>
              <w:tab/>
              <w:t>MTX = méthotrexate</w:t>
            </w:r>
          </w:p>
          <w:p w14:paraId="20AD0FCB"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b</w:t>
            </w:r>
            <w:proofErr w:type="gramEnd"/>
            <w:r w:rsidRPr="0058432E">
              <w:rPr>
                <w:color w:val="000000" w:themeColor="text1"/>
                <w:sz w:val="20"/>
              </w:rPr>
              <w:t xml:space="preserve"> </w:t>
            </w:r>
            <w:r w:rsidRPr="0058432E">
              <w:rPr>
                <w:color w:val="000000" w:themeColor="text1"/>
                <w:sz w:val="20"/>
              </w:rPr>
              <w:tab/>
            </w:r>
            <w:r w:rsidR="00D53BED" w:rsidRPr="0058432E">
              <w:rPr>
                <w:i/>
                <w:color w:val="000000" w:themeColor="text1"/>
                <w:sz w:val="20"/>
              </w:rPr>
              <w:t>p</w:t>
            </w:r>
            <w:r w:rsidRPr="0058432E">
              <w:rPr>
                <w:color w:val="000000" w:themeColor="text1"/>
                <w:sz w:val="20"/>
              </w:rPr>
              <w:t xml:space="preserve"> = 0,027, adalimumab 0,8 mg/kg </w:t>
            </w:r>
            <w:r w:rsidRPr="0058432E">
              <w:rPr>
                <w:i/>
                <w:color w:val="000000" w:themeColor="text1"/>
                <w:sz w:val="20"/>
              </w:rPr>
              <w:t>versus</w:t>
            </w:r>
            <w:r w:rsidRPr="0058432E">
              <w:rPr>
                <w:color w:val="000000" w:themeColor="text1"/>
                <w:sz w:val="20"/>
              </w:rPr>
              <w:t xml:space="preserve"> MTX</w:t>
            </w:r>
          </w:p>
          <w:p w14:paraId="2A4394C5" w14:textId="77777777" w:rsidR="001456CD" w:rsidRPr="0058432E" w:rsidRDefault="001456CD" w:rsidP="004A24CF">
            <w:pPr>
              <w:ind w:left="270" w:hanging="270"/>
              <w:rPr>
                <w:color w:val="000000" w:themeColor="text1"/>
                <w:sz w:val="20"/>
              </w:rPr>
            </w:pPr>
            <w:proofErr w:type="gramStart"/>
            <w:r w:rsidRPr="0058432E">
              <w:rPr>
                <w:color w:val="000000" w:themeColor="text1"/>
                <w:sz w:val="20"/>
                <w:vertAlign w:val="superscript"/>
              </w:rPr>
              <w:t>c</w:t>
            </w:r>
            <w:proofErr w:type="gramEnd"/>
            <w:r w:rsidRPr="0058432E">
              <w:rPr>
                <w:color w:val="000000" w:themeColor="text1"/>
                <w:sz w:val="20"/>
              </w:rPr>
              <w:t xml:space="preserve"> </w:t>
            </w:r>
            <w:r w:rsidRPr="0058432E">
              <w:rPr>
                <w:color w:val="000000" w:themeColor="text1"/>
                <w:sz w:val="20"/>
              </w:rPr>
              <w:tab/>
            </w:r>
            <w:r w:rsidR="00D53BED" w:rsidRPr="0058432E">
              <w:rPr>
                <w:i/>
                <w:color w:val="000000" w:themeColor="text1"/>
                <w:sz w:val="20"/>
              </w:rPr>
              <w:t>p</w:t>
            </w:r>
            <w:r w:rsidRPr="0058432E">
              <w:rPr>
                <w:color w:val="000000" w:themeColor="text1"/>
                <w:sz w:val="20"/>
              </w:rPr>
              <w:t xml:space="preserve"> = 0,083, adalimumab 0,8 mg/kg </w:t>
            </w:r>
            <w:r w:rsidRPr="0058432E">
              <w:rPr>
                <w:i/>
                <w:color w:val="000000" w:themeColor="text1"/>
                <w:sz w:val="20"/>
              </w:rPr>
              <w:t>versus</w:t>
            </w:r>
            <w:r w:rsidRPr="0058432E">
              <w:rPr>
                <w:color w:val="000000" w:themeColor="text1"/>
                <w:sz w:val="20"/>
              </w:rPr>
              <w:t xml:space="preserve"> MTX</w:t>
            </w:r>
          </w:p>
        </w:tc>
      </w:tr>
    </w:tbl>
    <w:p w14:paraId="42B780E9" w14:textId="77777777" w:rsidR="001456CD" w:rsidRPr="0058432E" w:rsidRDefault="001456CD" w:rsidP="001456CD">
      <w:pPr>
        <w:rPr>
          <w:color w:val="000000" w:themeColor="text1"/>
        </w:rPr>
      </w:pPr>
    </w:p>
    <w:p w14:paraId="14D945AF"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Chez les patients ayant obtenu un score PASI 75 et un score PGA « clair ou minimal », le traitement a été arrêté pendant une durée allant jusqu’à 36 semaines et ils ont été suivis pour détecter une perte de contrôle de la maladie (c’est-à-dire une aggravation d’au moins 2 grades du score PGA). Les patients ont ensuite été retraités par l’adalimumab 0,8 mg/kg toutes les deux semaines pendant 16 semaines supplémentaires et les taux de réponse observés pendant le retraitement ont été comparables à ceux rapportés pendant la phase en double aveugle antérieure : réponse PASI 75 chez 78,9 % des patients (15 sur 19) et score PGA « clair ou minimal » chez 52,6 % (10 sur 19).</w:t>
      </w:r>
    </w:p>
    <w:p w14:paraId="6E5318A6" w14:textId="77777777" w:rsidR="001456CD" w:rsidRPr="0058432E" w:rsidRDefault="001456CD" w:rsidP="001456CD">
      <w:pPr>
        <w:pStyle w:val="BodyText"/>
        <w:widowControl/>
        <w:kinsoku w:val="0"/>
        <w:overflowPunct w:val="0"/>
        <w:ind w:left="0"/>
        <w:rPr>
          <w:color w:val="000000" w:themeColor="text1"/>
        </w:rPr>
      </w:pPr>
    </w:p>
    <w:p w14:paraId="04E57C7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Dans la phase en ouvert de l’étude, les réponses PASI 75 et PGA « clair ou minimal » ont été maintenues pendant une durée allant jusqu’à 52 semaines supplémentaires sans nouveaux signaux de sécurité.</w:t>
      </w:r>
    </w:p>
    <w:p w14:paraId="72E57557" w14:textId="77777777" w:rsidR="001456CD" w:rsidRPr="0058432E" w:rsidRDefault="001456CD" w:rsidP="001456CD">
      <w:pPr>
        <w:pStyle w:val="BodyText"/>
        <w:widowControl/>
        <w:kinsoku w:val="0"/>
        <w:overflowPunct w:val="0"/>
        <w:ind w:left="0"/>
        <w:rPr>
          <w:color w:val="000000" w:themeColor="text1"/>
        </w:rPr>
      </w:pPr>
    </w:p>
    <w:p w14:paraId="67D371B4" w14:textId="77777777" w:rsidR="00A31313" w:rsidRPr="0058432E" w:rsidRDefault="00A31313" w:rsidP="00491257">
      <w:pPr>
        <w:pStyle w:val="BodyText"/>
        <w:keepNext/>
        <w:kinsoku w:val="0"/>
        <w:overflowPunct w:val="0"/>
        <w:ind w:left="0"/>
        <w:rPr>
          <w:i/>
          <w:color w:val="000000" w:themeColor="text1"/>
        </w:rPr>
      </w:pPr>
      <w:r w:rsidRPr="0058432E">
        <w:rPr>
          <w:i/>
          <w:color w:val="000000" w:themeColor="text1"/>
        </w:rPr>
        <w:t>Hidrosadénite suppurée de l’adolescent</w:t>
      </w:r>
    </w:p>
    <w:p w14:paraId="35BE0432" w14:textId="77777777" w:rsidR="00A31313" w:rsidRPr="0058432E" w:rsidRDefault="00A31313" w:rsidP="00491257">
      <w:pPr>
        <w:pStyle w:val="BodyText"/>
        <w:keepNext/>
        <w:kinsoku w:val="0"/>
        <w:overflowPunct w:val="0"/>
        <w:ind w:left="0"/>
        <w:rPr>
          <w:color w:val="000000" w:themeColor="text1"/>
        </w:rPr>
      </w:pPr>
    </w:p>
    <w:p w14:paraId="55B3CB07" w14:textId="77777777" w:rsidR="00A31313" w:rsidRPr="0058432E" w:rsidRDefault="00A31313" w:rsidP="00491257">
      <w:pPr>
        <w:pStyle w:val="BodyText"/>
        <w:keepNext/>
        <w:kinsoku w:val="0"/>
        <w:overflowPunct w:val="0"/>
        <w:ind w:left="0"/>
        <w:rPr>
          <w:color w:val="000000" w:themeColor="text1"/>
        </w:rPr>
      </w:pPr>
      <w:r w:rsidRPr="0058432E">
        <w:rPr>
          <w:color w:val="000000" w:themeColor="text1"/>
        </w:rPr>
        <w:t xml:space="preserve">Il n’existe pas d’essai clinique conduit avec l’adalimumab chez des adolescents atteints d’HS. L’efficacité de l’adalimumab pour le traitement des adolescents atteints d’HS est prédite sur la base de l’efficacité et de la relation exposition-réponse démontrées chez des patients adultes atteints d’HS ainsi que de la probabilité que l’évolution de la maladie, sa physiopathologie et les effets du médicament soient sensiblement similaires à ceux observés chez les adultes aux mêmes niveaux d’exposition. La tolérance de la dose recommandée d’adalimumab chez les adolescents atteints d’HS est basée sur le profil de tolérance de l’adalimumab dans ses indications croisées chez les adultes et chez les patients </w:t>
      </w:r>
      <w:r w:rsidRPr="0058432E">
        <w:rPr>
          <w:color w:val="000000" w:themeColor="text1"/>
        </w:rPr>
        <w:lastRenderedPageBreak/>
        <w:t>pédiatriques à des doses similaires ou plus fréquentes (voir rubrique 5.2).</w:t>
      </w:r>
    </w:p>
    <w:p w14:paraId="6D80B5B7" w14:textId="77777777" w:rsidR="00A31313" w:rsidRPr="0058432E" w:rsidRDefault="00A31313" w:rsidP="00A31313">
      <w:pPr>
        <w:pStyle w:val="BodyText"/>
        <w:widowControl/>
        <w:kinsoku w:val="0"/>
        <w:overflowPunct w:val="0"/>
        <w:ind w:left="0"/>
        <w:rPr>
          <w:color w:val="000000" w:themeColor="text1"/>
        </w:rPr>
      </w:pPr>
    </w:p>
    <w:p w14:paraId="7DC81614" w14:textId="77777777" w:rsidR="001456CD" w:rsidRPr="0058432E" w:rsidRDefault="001456CD" w:rsidP="001456CD">
      <w:pPr>
        <w:pStyle w:val="BodyText"/>
        <w:keepNext/>
        <w:widowControl/>
        <w:kinsoku w:val="0"/>
        <w:overflowPunct w:val="0"/>
        <w:ind w:left="0"/>
        <w:rPr>
          <w:i/>
          <w:iCs/>
          <w:color w:val="000000" w:themeColor="text1"/>
        </w:rPr>
      </w:pPr>
      <w:r w:rsidRPr="0058432E">
        <w:rPr>
          <w:i/>
          <w:iCs/>
          <w:color w:val="000000" w:themeColor="text1"/>
        </w:rPr>
        <w:t>Maladie de Crohn pédiatrique</w:t>
      </w:r>
    </w:p>
    <w:p w14:paraId="0003ECFD" w14:textId="77777777" w:rsidR="001456CD" w:rsidRPr="0058432E" w:rsidRDefault="001456CD" w:rsidP="001456CD">
      <w:pPr>
        <w:pStyle w:val="BodyText"/>
        <w:keepNext/>
        <w:widowControl/>
        <w:kinsoku w:val="0"/>
        <w:overflowPunct w:val="0"/>
        <w:ind w:left="0"/>
        <w:rPr>
          <w:color w:val="000000" w:themeColor="text1"/>
        </w:rPr>
      </w:pPr>
    </w:p>
    <w:p w14:paraId="31A752CB" w14:textId="77777777" w:rsidR="001456CD" w:rsidRPr="0058432E" w:rsidRDefault="001456CD" w:rsidP="001456CD">
      <w:pPr>
        <w:pStyle w:val="BodyText"/>
        <w:kinsoku w:val="0"/>
        <w:overflowPunct w:val="0"/>
        <w:ind w:left="0"/>
        <w:rPr>
          <w:color w:val="000000" w:themeColor="text1"/>
        </w:rPr>
      </w:pPr>
      <w:r w:rsidRPr="0058432E">
        <w:rPr>
          <w:color w:val="000000" w:themeColor="text1"/>
        </w:rPr>
        <w:t>Une étude clinique multicentrique, randomisée, en double aveugle a évalué l’efficacité et la tolérance de l’adalimumab dans le traitement d’induction et le traitement d’entretien à des doses déterminées en fonction du poids (&lt; 40 kg ou ≥ 40 kg) chez 192 patients pédiatriques âgés de 6 à 17 ans (inclus), présentant une maladie de Crohn (MC) modérée à sévère, définie par un indice d’activité de la maladie de Crohn chez l’enfant (</w:t>
      </w:r>
      <w:r w:rsidRPr="0058432E">
        <w:rPr>
          <w:i/>
          <w:color w:val="000000" w:themeColor="text1"/>
        </w:rPr>
        <w:t>Paediatric Crohn’s Disease Activity Index</w:t>
      </w:r>
      <w:r w:rsidRPr="0058432E">
        <w:rPr>
          <w:color w:val="000000" w:themeColor="text1"/>
        </w:rPr>
        <w:t xml:space="preserve"> [PCDAI]) &gt; 30. Les patients devaient ne pas avoir répondu à un traitement conventionnel de la MC (comprenant un corticoïde et/ou un immunomodulateur). Les patients pouvaient également ne plus répondre ou être intolérants à l’infliximab.</w:t>
      </w:r>
    </w:p>
    <w:p w14:paraId="7B200804" w14:textId="77777777" w:rsidR="001456CD" w:rsidRPr="0058432E" w:rsidRDefault="001456CD" w:rsidP="001456CD">
      <w:pPr>
        <w:pStyle w:val="BodyText"/>
        <w:widowControl/>
        <w:kinsoku w:val="0"/>
        <w:overflowPunct w:val="0"/>
        <w:ind w:left="0"/>
        <w:rPr>
          <w:color w:val="000000" w:themeColor="text1"/>
        </w:rPr>
      </w:pPr>
    </w:p>
    <w:p w14:paraId="16E07A0E" w14:textId="77777777" w:rsidR="001456CD" w:rsidRPr="0058432E" w:rsidRDefault="001456CD" w:rsidP="001456CD">
      <w:pPr>
        <w:pStyle w:val="BodyText"/>
        <w:kinsoku w:val="0"/>
        <w:overflowPunct w:val="0"/>
        <w:ind w:left="0"/>
        <w:rPr>
          <w:color w:val="000000" w:themeColor="text1"/>
        </w:rPr>
      </w:pPr>
      <w:r w:rsidRPr="0058432E">
        <w:rPr>
          <w:color w:val="000000" w:themeColor="text1"/>
        </w:rPr>
        <w:t>Tous les patients ont reçu un traitement d’induction en ouvert à une dose déterminée en fonction de leur poids initial : 160 mg à la semaine 0 et 80 mg à la semaine 2 pour les patients de poids ≥ 40 kg et respectivement 80 mg et 40 mg pour les patients de poids &lt; 40 kg.</w:t>
      </w:r>
    </w:p>
    <w:p w14:paraId="3CB718DE" w14:textId="77777777" w:rsidR="001456CD" w:rsidRPr="0058432E" w:rsidRDefault="001456CD" w:rsidP="001456CD">
      <w:pPr>
        <w:pStyle w:val="BodyText"/>
        <w:widowControl/>
        <w:kinsoku w:val="0"/>
        <w:overflowPunct w:val="0"/>
        <w:ind w:left="0"/>
        <w:rPr>
          <w:color w:val="000000" w:themeColor="text1"/>
        </w:rPr>
      </w:pPr>
    </w:p>
    <w:p w14:paraId="5741D5D0" w14:textId="77777777" w:rsidR="001456CD" w:rsidRPr="0058432E" w:rsidRDefault="001456CD" w:rsidP="001456CD">
      <w:pPr>
        <w:pStyle w:val="BodyText"/>
        <w:kinsoku w:val="0"/>
        <w:overflowPunct w:val="0"/>
        <w:ind w:left="0"/>
        <w:rPr>
          <w:color w:val="000000" w:themeColor="text1"/>
        </w:rPr>
      </w:pPr>
      <w:r w:rsidRPr="0058432E">
        <w:rPr>
          <w:color w:val="000000" w:themeColor="text1"/>
        </w:rPr>
        <w:t>À la semaine 4, les patients ont été randomisés selon un rapport 1/1, en fonction de leur poids à cette date, pour recevoir le schéma posologique d’entretien soit à dose faible soit à dose standar</w:t>
      </w:r>
      <w:r w:rsidR="00A00EF6" w:rsidRPr="0058432E">
        <w:rPr>
          <w:color w:val="000000" w:themeColor="text1"/>
        </w:rPr>
        <w:t>d, comme le montre le tableau 28</w:t>
      </w:r>
      <w:r w:rsidRPr="0058432E">
        <w:rPr>
          <w:color w:val="000000" w:themeColor="text1"/>
        </w:rPr>
        <w:t>.</w:t>
      </w:r>
    </w:p>
    <w:p w14:paraId="13B46C40" w14:textId="77777777" w:rsidR="001456CD" w:rsidRPr="0058432E" w:rsidRDefault="001456CD" w:rsidP="001456CD">
      <w:pPr>
        <w:pStyle w:val="BodyText"/>
        <w:widowControl/>
        <w:kinsoku w:val="0"/>
        <w:overflowPunct w:val="0"/>
        <w:ind w:left="0"/>
        <w:jc w:val="center"/>
        <w:rPr>
          <w:color w:val="000000" w:themeColor="text1"/>
        </w:rPr>
      </w:pPr>
    </w:p>
    <w:p w14:paraId="0BA98502" w14:textId="77777777" w:rsidR="00391839" w:rsidRPr="0058432E" w:rsidRDefault="001456CD" w:rsidP="001456CD">
      <w:pPr>
        <w:keepNext/>
        <w:rPr>
          <w:b/>
          <w:color w:val="000000" w:themeColor="text1"/>
        </w:rPr>
      </w:pPr>
      <w:r w:rsidRPr="0058432E">
        <w:rPr>
          <w:b/>
          <w:color w:val="000000" w:themeColor="text1"/>
        </w:rPr>
        <w:t>Tableau </w:t>
      </w:r>
      <w:r w:rsidR="00A00EF6" w:rsidRPr="0058432E">
        <w:rPr>
          <w:b/>
          <w:color w:val="000000" w:themeColor="text1"/>
        </w:rPr>
        <w:t>28</w:t>
      </w:r>
      <w:r w:rsidRPr="0058432E">
        <w:rPr>
          <w:b/>
          <w:color w:val="000000" w:themeColor="text1"/>
        </w:rPr>
        <w:t>.</w:t>
      </w:r>
    </w:p>
    <w:p w14:paraId="01604239" w14:textId="77777777" w:rsidR="001456CD" w:rsidRPr="0058432E" w:rsidRDefault="001456CD" w:rsidP="001456CD">
      <w:pPr>
        <w:keepNext/>
        <w:rPr>
          <w:b/>
          <w:color w:val="000000" w:themeColor="text1"/>
        </w:rPr>
      </w:pPr>
      <w:r w:rsidRPr="0058432E">
        <w:rPr>
          <w:b/>
          <w:color w:val="000000" w:themeColor="text1"/>
        </w:rPr>
        <w:t>Schéma posologique d’entretien</w:t>
      </w:r>
    </w:p>
    <w:p w14:paraId="64D9236D" w14:textId="77777777" w:rsidR="001456CD" w:rsidRPr="0058432E" w:rsidRDefault="001456CD" w:rsidP="001456CD">
      <w:pPr>
        <w:keepNext/>
        <w:jc w:val="center"/>
        <w:rPr>
          <w:b/>
          <w:bCs/>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1456CD" w:rsidRPr="0058432E" w14:paraId="1CB53600" w14:textId="77777777" w:rsidTr="004A24CF">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7930F891" w14:textId="77777777" w:rsidR="001456CD" w:rsidRPr="0058432E" w:rsidRDefault="001456CD" w:rsidP="004A24CF">
            <w:pPr>
              <w:pStyle w:val="TableParagraph"/>
              <w:keepNext/>
              <w:widowControl/>
              <w:kinsoku w:val="0"/>
              <w:overflowPunct w:val="0"/>
              <w:ind w:left="102" w:right="188"/>
              <w:jc w:val="center"/>
              <w:rPr>
                <w:rFonts w:ascii="Times New Roman" w:hAnsi="Times New Roman"/>
                <w:color w:val="000000" w:themeColor="text1"/>
              </w:rPr>
            </w:pPr>
            <w:r w:rsidRPr="0058432E">
              <w:rPr>
                <w:rFonts w:ascii="Times New Roman" w:hAnsi="Times New Roman"/>
                <w:b/>
                <w:bCs/>
                <w:color w:val="000000" w:themeColor="text1"/>
              </w:rPr>
              <w:t>Poids du patient</w:t>
            </w:r>
          </w:p>
        </w:tc>
        <w:tc>
          <w:tcPr>
            <w:tcW w:w="2321" w:type="dxa"/>
            <w:tcBorders>
              <w:top w:val="single" w:sz="4" w:space="0" w:color="000000"/>
              <w:left w:val="single" w:sz="4" w:space="0" w:color="000000"/>
              <w:bottom w:val="single" w:sz="4" w:space="0" w:color="000000"/>
              <w:right w:val="single" w:sz="4" w:space="0" w:color="000000"/>
            </w:tcBorders>
          </w:tcPr>
          <w:p w14:paraId="66BCD486" w14:textId="77777777" w:rsidR="001456CD" w:rsidRPr="0058432E" w:rsidRDefault="001456CD" w:rsidP="004A24CF">
            <w:pPr>
              <w:pStyle w:val="TableParagraph"/>
              <w:keepNext/>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b/>
                <w:bCs/>
                <w:color w:val="000000" w:themeColor="text1"/>
              </w:rPr>
              <w:t>Dose faible</w:t>
            </w:r>
          </w:p>
        </w:tc>
        <w:tc>
          <w:tcPr>
            <w:tcW w:w="2318" w:type="dxa"/>
            <w:tcBorders>
              <w:top w:val="single" w:sz="4" w:space="0" w:color="000000"/>
              <w:left w:val="single" w:sz="4" w:space="0" w:color="000000"/>
              <w:bottom w:val="single" w:sz="4" w:space="0" w:color="000000"/>
              <w:right w:val="single" w:sz="4" w:space="0" w:color="000000"/>
            </w:tcBorders>
          </w:tcPr>
          <w:p w14:paraId="753210A3" w14:textId="77777777" w:rsidR="001456CD" w:rsidRPr="0058432E" w:rsidRDefault="001456CD" w:rsidP="004A24CF">
            <w:pPr>
              <w:pStyle w:val="TableParagraph"/>
              <w:keepNext/>
              <w:widowControl/>
              <w:kinsoku w:val="0"/>
              <w:overflowPunct w:val="0"/>
              <w:ind w:left="102" w:right="213"/>
              <w:jc w:val="center"/>
              <w:rPr>
                <w:rFonts w:ascii="Times New Roman" w:hAnsi="Times New Roman"/>
                <w:color w:val="000000" w:themeColor="text1"/>
              </w:rPr>
            </w:pPr>
            <w:r w:rsidRPr="0058432E">
              <w:rPr>
                <w:rFonts w:ascii="Times New Roman" w:hAnsi="Times New Roman"/>
                <w:b/>
                <w:bCs/>
                <w:color w:val="000000" w:themeColor="text1"/>
              </w:rPr>
              <w:t>Dose standard</w:t>
            </w:r>
          </w:p>
        </w:tc>
      </w:tr>
      <w:tr w:rsidR="001456CD" w:rsidRPr="0058432E" w14:paraId="56B3F657" w14:textId="77777777" w:rsidTr="004A24CF">
        <w:trPr>
          <w:cantSplit/>
        </w:trPr>
        <w:tc>
          <w:tcPr>
            <w:tcW w:w="2639" w:type="dxa"/>
            <w:tcBorders>
              <w:top w:val="single" w:sz="4" w:space="0" w:color="000000"/>
              <w:left w:val="single" w:sz="4" w:space="0" w:color="000000"/>
              <w:bottom w:val="single" w:sz="4" w:space="0" w:color="000000"/>
              <w:right w:val="single" w:sz="4" w:space="0" w:color="000000"/>
            </w:tcBorders>
          </w:tcPr>
          <w:p w14:paraId="6EE57058" w14:textId="77777777" w:rsidR="001456CD" w:rsidRPr="0058432E" w:rsidRDefault="001456CD" w:rsidP="004A24CF">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&lt; 40 kg</w:t>
            </w:r>
          </w:p>
        </w:tc>
        <w:tc>
          <w:tcPr>
            <w:tcW w:w="2321" w:type="dxa"/>
            <w:tcBorders>
              <w:top w:val="single" w:sz="4" w:space="0" w:color="000000"/>
              <w:left w:val="single" w:sz="4" w:space="0" w:color="000000"/>
              <w:bottom w:val="single" w:sz="4" w:space="0" w:color="000000"/>
              <w:right w:val="single" w:sz="4" w:space="0" w:color="000000"/>
            </w:tcBorders>
          </w:tcPr>
          <w:p w14:paraId="7313D1B5" w14:textId="77777777" w:rsidR="001456CD" w:rsidRPr="0058432E" w:rsidRDefault="001456CD" w:rsidP="004A24CF">
            <w:pPr>
              <w:pStyle w:val="TableParagraph"/>
              <w:widowControl/>
              <w:kinsoku w:val="0"/>
              <w:overflowPunct w:val="0"/>
              <w:spacing w:line="249" w:lineRule="exact"/>
              <w:ind w:left="100"/>
              <w:jc w:val="center"/>
              <w:rPr>
                <w:rFonts w:ascii="Times New Roman" w:hAnsi="Times New Roman"/>
                <w:color w:val="000000" w:themeColor="text1"/>
              </w:rPr>
            </w:pPr>
            <w:r w:rsidRPr="0058432E">
              <w:rPr>
                <w:rFonts w:ascii="Times New Roman" w:hAnsi="Times New Roman"/>
                <w:color w:val="000000" w:themeColor="text1"/>
              </w:rPr>
              <w:t>10 mg 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5A6102C4" w14:textId="77777777" w:rsidR="001456CD" w:rsidRPr="0058432E" w:rsidRDefault="001456CD" w:rsidP="004A24CF">
            <w:pPr>
              <w:pStyle w:val="TableParagraph"/>
              <w:widowControl/>
              <w:kinsoku w:val="0"/>
              <w:overflowPunct w:val="0"/>
              <w:spacing w:line="249" w:lineRule="exact"/>
              <w:ind w:left="102"/>
              <w:jc w:val="center"/>
              <w:rPr>
                <w:rFonts w:ascii="Times New Roman" w:hAnsi="Times New Roman"/>
                <w:color w:val="000000" w:themeColor="text1"/>
              </w:rPr>
            </w:pPr>
            <w:r w:rsidRPr="0058432E">
              <w:rPr>
                <w:rFonts w:ascii="Times New Roman" w:hAnsi="Times New Roman"/>
                <w:color w:val="000000" w:themeColor="text1"/>
              </w:rPr>
              <w:t>20 mg toutes les deux semaines</w:t>
            </w:r>
          </w:p>
        </w:tc>
      </w:tr>
      <w:tr w:rsidR="001456CD" w:rsidRPr="0058432E" w14:paraId="628C2BEA" w14:textId="77777777" w:rsidTr="004A24CF">
        <w:trPr>
          <w:cantSplit/>
        </w:trPr>
        <w:tc>
          <w:tcPr>
            <w:tcW w:w="2639" w:type="dxa"/>
            <w:tcBorders>
              <w:top w:val="single" w:sz="4" w:space="0" w:color="000000"/>
              <w:left w:val="single" w:sz="4" w:space="0" w:color="000000"/>
              <w:bottom w:val="single" w:sz="4" w:space="0" w:color="000000"/>
              <w:right w:val="single" w:sz="4" w:space="0" w:color="000000"/>
            </w:tcBorders>
          </w:tcPr>
          <w:p w14:paraId="50FE38FA" w14:textId="77777777" w:rsidR="001456CD" w:rsidRPr="0058432E" w:rsidRDefault="001456CD" w:rsidP="004A24CF">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 40 kg</w:t>
            </w:r>
          </w:p>
        </w:tc>
        <w:tc>
          <w:tcPr>
            <w:tcW w:w="2321" w:type="dxa"/>
            <w:tcBorders>
              <w:top w:val="single" w:sz="4" w:space="0" w:color="000000"/>
              <w:left w:val="single" w:sz="4" w:space="0" w:color="000000"/>
              <w:bottom w:val="single" w:sz="4" w:space="0" w:color="000000"/>
              <w:right w:val="single" w:sz="4" w:space="0" w:color="000000"/>
            </w:tcBorders>
          </w:tcPr>
          <w:p w14:paraId="43DCB2B3" w14:textId="77777777" w:rsidR="001456CD" w:rsidRPr="0058432E" w:rsidRDefault="001456CD" w:rsidP="004A24CF">
            <w:pPr>
              <w:pStyle w:val="TableParagraph"/>
              <w:widowControl/>
              <w:kinsoku w:val="0"/>
              <w:overflowPunct w:val="0"/>
              <w:spacing w:line="251" w:lineRule="exact"/>
              <w:ind w:left="100"/>
              <w:jc w:val="center"/>
              <w:rPr>
                <w:rFonts w:ascii="Times New Roman" w:hAnsi="Times New Roman"/>
                <w:color w:val="000000" w:themeColor="text1"/>
              </w:rPr>
            </w:pPr>
            <w:r w:rsidRPr="0058432E">
              <w:rPr>
                <w:rFonts w:ascii="Times New Roman" w:hAnsi="Times New Roman"/>
                <w:color w:val="000000" w:themeColor="text1"/>
              </w:rPr>
              <w:t>20 mg toutes les deux semaines</w:t>
            </w:r>
          </w:p>
        </w:tc>
        <w:tc>
          <w:tcPr>
            <w:tcW w:w="2318" w:type="dxa"/>
            <w:tcBorders>
              <w:top w:val="single" w:sz="4" w:space="0" w:color="000000"/>
              <w:left w:val="single" w:sz="4" w:space="0" w:color="000000"/>
              <w:bottom w:val="single" w:sz="4" w:space="0" w:color="000000"/>
              <w:right w:val="single" w:sz="4" w:space="0" w:color="000000"/>
            </w:tcBorders>
          </w:tcPr>
          <w:p w14:paraId="04C05BBE" w14:textId="77777777" w:rsidR="001456CD" w:rsidRPr="0058432E" w:rsidRDefault="001456CD" w:rsidP="004A24CF">
            <w:pPr>
              <w:pStyle w:val="TableParagraph"/>
              <w:widowControl/>
              <w:kinsoku w:val="0"/>
              <w:overflowPunct w:val="0"/>
              <w:spacing w:line="251" w:lineRule="exact"/>
              <w:ind w:left="102"/>
              <w:jc w:val="center"/>
              <w:rPr>
                <w:rFonts w:ascii="Times New Roman" w:hAnsi="Times New Roman"/>
                <w:color w:val="000000" w:themeColor="text1"/>
              </w:rPr>
            </w:pPr>
            <w:r w:rsidRPr="0058432E">
              <w:rPr>
                <w:rFonts w:ascii="Times New Roman" w:hAnsi="Times New Roman"/>
                <w:color w:val="000000" w:themeColor="text1"/>
              </w:rPr>
              <w:t>40 mg toutes les deux semaines</w:t>
            </w:r>
          </w:p>
        </w:tc>
      </w:tr>
    </w:tbl>
    <w:p w14:paraId="367D8A13" w14:textId="77777777" w:rsidR="001456CD" w:rsidRPr="0058432E" w:rsidRDefault="001456CD" w:rsidP="001456CD">
      <w:pPr>
        <w:pStyle w:val="BodyText"/>
        <w:widowControl/>
        <w:kinsoku w:val="0"/>
        <w:overflowPunct w:val="0"/>
        <w:ind w:left="0"/>
        <w:rPr>
          <w:bCs/>
          <w:color w:val="000000" w:themeColor="text1"/>
        </w:rPr>
      </w:pPr>
    </w:p>
    <w:p w14:paraId="0926BB1F"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Résultats d'efficacité</w:t>
      </w:r>
    </w:p>
    <w:p w14:paraId="2DE53AED" w14:textId="77777777" w:rsidR="001456CD" w:rsidRPr="0058432E" w:rsidRDefault="001456CD" w:rsidP="001456CD">
      <w:pPr>
        <w:pStyle w:val="BodyText"/>
        <w:keepNext/>
        <w:widowControl/>
        <w:kinsoku w:val="0"/>
        <w:overflowPunct w:val="0"/>
        <w:ind w:left="0"/>
        <w:rPr>
          <w:i/>
          <w:iCs/>
          <w:color w:val="000000" w:themeColor="text1"/>
        </w:rPr>
      </w:pPr>
    </w:p>
    <w:p w14:paraId="4E126572"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 critère d’évaluation principal de l’étude était la rémission clinique à la semaine 26, définie par un score PCDAI ≤ 10.</w:t>
      </w:r>
    </w:p>
    <w:p w14:paraId="32CAADF7" w14:textId="77777777" w:rsidR="001456CD" w:rsidRPr="0058432E" w:rsidRDefault="001456CD" w:rsidP="001456CD">
      <w:pPr>
        <w:pStyle w:val="BodyText"/>
        <w:widowControl/>
        <w:kinsoku w:val="0"/>
        <w:overflowPunct w:val="0"/>
        <w:ind w:left="0"/>
        <w:rPr>
          <w:color w:val="000000" w:themeColor="text1"/>
        </w:rPr>
      </w:pPr>
    </w:p>
    <w:p w14:paraId="2480B79F"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Les taux de rémission clinique et de réponse clinique (définie par une réduction du score PCDAI d’au moins 15 points par rapport à la valeur initiale) s</w:t>
      </w:r>
      <w:r w:rsidR="00A00EF6" w:rsidRPr="0058432E">
        <w:rPr>
          <w:color w:val="000000" w:themeColor="text1"/>
        </w:rPr>
        <w:t>ont présentés dans le tableau 29</w:t>
      </w:r>
      <w:r w:rsidRPr="0058432E">
        <w:rPr>
          <w:color w:val="000000" w:themeColor="text1"/>
        </w:rPr>
        <w:t xml:space="preserve">. Les taux d’arrêt des corticoïdes ou des immunomodulateurs </w:t>
      </w:r>
      <w:r w:rsidR="00A00EF6" w:rsidRPr="0058432E">
        <w:rPr>
          <w:color w:val="000000" w:themeColor="text1"/>
        </w:rPr>
        <w:t>sont présentés dans le tableau 30</w:t>
      </w:r>
      <w:r w:rsidRPr="0058432E">
        <w:rPr>
          <w:color w:val="000000" w:themeColor="text1"/>
        </w:rPr>
        <w:t>.</w:t>
      </w:r>
    </w:p>
    <w:p w14:paraId="79110EE6" w14:textId="77777777" w:rsidR="001456CD" w:rsidRPr="0058432E" w:rsidRDefault="001456CD" w:rsidP="001456CD">
      <w:pPr>
        <w:pStyle w:val="BodyText"/>
        <w:widowControl/>
        <w:kinsoku w:val="0"/>
        <w:overflowPunct w:val="0"/>
        <w:ind w:left="0"/>
        <w:rPr>
          <w:color w:val="000000" w:themeColor="text1"/>
        </w:rPr>
      </w:pPr>
    </w:p>
    <w:p w14:paraId="1E7579FA" w14:textId="77777777" w:rsidR="004A5537" w:rsidRPr="0058432E" w:rsidRDefault="001456CD" w:rsidP="001456CD">
      <w:pPr>
        <w:keepNext/>
        <w:rPr>
          <w:b/>
          <w:color w:val="000000" w:themeColor="text1"/>
        </w:rPr>
      </w:pPr>
      <w:r w:rsidRPr="0058432E">
        <w:rPr>
          <w:b/>
          <w:color w:val="000000" w:themeColor="text1"/>
        </w:rPr>
        <w:t>Tableau </w:t>
      </w:r>
      <w:r w:rsidR="00A00EF6" w:rsidRPr="0058432E">
        <w:rPr>
          <w:b/>
          <w:color w:val="000000" w:themeColor="text1"/>
        </w:rPr>
        <w:t>29</w:t>
      </w:r>
      <w:r w:rsidRPr="0058432E">
        <w:rPr>
          <w:b/>
          <w:color w:val="000000" w:themeColor="text1"/>
        </w:rPr>
        <w:t>.</w:t>
      </w:r>
    </w:p>
    <w:p w14:paraId="1BD53F5E" w14:textId="77777777" w:rsidR="001456CD" w:rsidRPr="0058432E" w:rsidRDefault="001456CD" w:rsidP="001456CD">
      <w:pPr>
        <w:keepNext/>
        <w:rPr>
          <w:b/>
          <w:color w:val="000000" w:themeColor="text1"/>
        </w:rPr>
      </w:pPr>
      <w:r w:rsidRPr="0058432E">
        <w:rPr>
          <w:b/>
          <w:color w:val="000000" w:themeColor="text1"/>
        </w:rPr>
        <w:t>Étude sur la MC pédiatrique — Rémission et réponse cliniques (PCDAI)</w:t>
      </w:r>
    </w:p>
    <w:p w14:paraId="5EECC0EE" w14:textId="77777777" w:rsidR="001456CD" w:rsidRPr="0058432E" w:rsidRDefault="001456CD" w:rsidP="001456CD">
      <w:pPr>
        <w:keepNext/>
        <w:jc w:val="center"/>
        <w:rPr>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66"/>
        <w:gridCol w:w="2266"/>
        <w:gridCol w:w="2256"/>
      </w:tblGrid>
      <w:tr w:rsidR="001456CD" w:rsidRPr="0058432E" w14:paraId="06BB13A4" w14:textId="77777777" w:rsidTr="004A24CF">
        <w:trPr>
          <w:tblHeader/>
        </w:trPr>
        <w:tc>
          <w:tcPr>
            <w:tcW w:w="2325" w:type="dxa"/>
            <w:tcBorders>
              <w:top w:val="single" w:sz="4" w:space="0" w:color="auto"/>
              <w:left w:val="single" w:sz="4" w:space="0" w:color="auto"/>
              <w:bottom w:val="single" w:sz="4" w:space="0" w:color="auto"/>
              <w:right w:val="single" w:sz="4" w:space="0" w:color="auto"/>
            </w:tcBorders>
          </w:tcPr>
          <w:p w14:paraId="3BB244C0" w14:textId="77777777" w:rsidR="001456CD" w:rsidRPr="0058432E" w:rsidRDefault="001456CD" w:rsidP="004A24CF">
            <w:pPr>
              <w:keepNext/>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41044EDE" w14:textId="77777777" w:rsidR="001456CD" w:rsidRPr="0058432E" w:rsidRDefault="001456CD" w:rsidP="004A24CF">
            <w:pPr>
              <w:keepNext/>
              <w:jc w:val="center"/>
              <w:rPr>
                <w:b/>
                <w:color w:val="000000" w:themeColor="text1"/>
              </w:rPr>
            </w:pPr>
            <w:r w:rsidRPr="0058432E">
              <w:rPr>
                <w:b/>
                <w:color w:val="000000" w:themeColor="text1"/>
              </w:rPr>
              <w:t>Dose standard</w:t>
            </w:r>
          </w:p>
          <w:p w14:paraId="5D5281AC" w14:textId="77777777" w:rsidR="001456CD" w:rsidRPr="0058432E" w:rsidRDefault="001456CD" w:rsidP="004A24CF">
            <w:pPr>
              <w:keepNext/>
              <w:jc w:val="center"/>
              <w:rPr>
                <w:b/>
                <w:color w:val="000000" w:themeColor="text1"/>
              </w:rPr>
            </w:pPr>
            <w:r w:rsidRPr="0058432E">
              <w:rPr>
                <w:b/>
                <w:color w:val="000000" w:themeColor="text1"/>
              </w:rPr>
              <w:t>40/20 mg toutes les deux semaines</w:t>
            </w:r>
          </w:p>
          <w:p w14:paraId="41459A52" w14:textId="77777777" w:rsidR="001456CD" w:rsidRPr="0058432E" w:rsidRDefault="001456CD" w:rsidP="004A24CF">
            <w:pPr>
              <w:keepNext/>
              <w:jc w:val="center"/>
              <w:rPr>
                <w:b/>
                <w:color w:val="000000" w:themeColor="text1"/>
              </w:rPr>
            </w:pPr>
            <w:r w:rsidRPr="0058432E">
              <w:rPr>
                <w:b/>
                <w:color w:val="000000" w:themeColor="text1"/>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63E18C7" w14:textId="77777777" w:rsidR="001456CD" w:rsidRPr="0058432E" w:rsidRDefault="001456CD" w:rsidP="004A24CF">
            <w:pPr>
              <w:keepNext/>
              <w:jc w:val="center"/>
              <w:rPr>
                <w:b/>
                <w:color w:val="000000" w:themeColor="text1"/>
              </w:rPr>
            </w:pPr>
            <w:r w:rsidRPr="0058432E">
              <w:rPr>
                <w:b/>
                <w:color w:val="000000" w:themeColor="text1"/>
              </w:rPr>
              <w:t>Dose faible</w:t>
            </w:r>
          </w:p>
          <w:p w14:paraId="37494DBB" w14:textId="77777777" w:rsidR="001456CD" w:rsidRPr="0058432E" w:rsidRDefault="001456CD" w:rsidP="004A24CF">
            <w:pPr>
              <w:keepNext/>
              <w:jc w:val="center"/>
              <w:rPr>
                <w:b/>
                <w:color w:val="000000" w:themeColor="text1"/>
              </w:rPr>
            </w:pPr>
            <w:r w:rsidRPr="0058432E">
              <w:rPr>
                <w:b/>
                <w:color w:val="000000" w:themeColor="text1"/>
              </w:rPr>
              <w:t>20/10 mg toutes les deux semaines</w:t>
            </w:r>
          </w:p>
          <w:p w14:paraId="1237C4B2" w14:textId="77777777" w:rsidR="001456CD" w:rsidRPr="0058432E" w:rsidRDefault="001456CD" w:rsidP="004A24CF">
            <w:pPr>
              <w:keepNext/>
              <w:jc w:val="center"/>
              <w:rPr>
                <w:b/>
                <w:color w:val="000000" w:themeColor="text1"/>
              </w:rPr>
            </w:pPr>
            <w:r w:rsidRPr="0058432E">
              <w:rPr>
                <w:b/>
                <w:color w:val="000000" w:themeColor="text1"/>
              </w:rPr>
              <w:t>N = 95</w:t>
            </w:r>
          </w:p>
        </w:tc>
        <w:tc>
          <w:tcPr>
            <w:tcW w:w="2326" w:type="dxa"/>
            <w:tcBorders>
              <w:top w:val="single" w:sz="4" w:space="0" w:color="auto"/>
              <w:left w:val="single" w:sz="4" w:space="0" w:color="auto"/>
              <w:bottom w:val="single" w:sz="4" w:space="0" w:color="auto"/>
              <w:right w:val="single" w:sz="4" w:space="0" w:color="auto"/>
            </w:tcBorders>
            <w:hideMark/>
          </w:tcPr>
          <w:p w14:paraId="00819844" w14:textId="77777777" w:rsidR="001456CD" w:rsidRPr="0058432E" w:rsidRDefault="001456CD" w:rsidP="004A24CF">
            <w:pPr>
              <w:keepNext/>
              <w:jc w:val="center"/>
              <w:rPr>
                <w:b/>
                <w:color w:val="000000" w:themeColor="text1"/>
              </w:rPr>
            </w:pPr>
            <w:r w:rsidRPr="0058432E">
              <w:rPr>
                <w:b/>
                <w:color w:val="000000" w:themeColor="text1"/>
              </w:rPr>
              <w:t xml:space="preserve">Valeur de </w:t>
            </w:r>
            <w:r w:rsidR="0059599E" w:rsidRPr="0058432E">
              <w:rPr>
                <w:b/>
                <w:i/>
                <w:color w:val="000000" w:themeColor="text1"/>
              </w:rPr>
              <w:t>p</w:t>
            </w:r>
            <w:r w:rsidRPr="0058432E">
              <w:rPr>
                <w:b/>
                <w:color w:val="000000" w:themeColor="text1"/>
              </w:rPr>
              <w:t>*</w:t>
            </w:r>
          </w:p>
        </w:tc>
      </w:tr>
      <w:tr w:rsidR="001456CD" w:rsidRPr="0058432E" w14:paraId="0A665454"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51ED3120" w14:textId="77777777" w:rsidR="001456CD" w:rsidRPr="0058432E" w:rsidRDefault="001456CD" w:rsidP="004A24CF">
            <w:pPr>
              <w:keepNext/>
              <w:rPr>
                <w:b/>
                <w:color w:val="000000" w:themeColor="text1"/>
              </w:rPr>
            </w:pPr>
            <w:r w:rsidRPr="0058432E">
              <w:rPr>
                <w:b/>
                <w:color w:val="000000" w:themeColor="text1"/>
              </w:rPr>
              <w:t>Semaine 26</w:t>
            </w:r>
          </w:p>
        </w:tc>
        <w:tc>
          <w:tcPr>
            <w:tcW w:w="2326" w:type="dxa"/>
            <w:tcBorders>
              <w:top w:val="single" w:sz="4" w:space="0" w:color="auto"/>
              <w:left w:val="single" w:sz="4" w:space="0" w:color="auto"/>
              <w:bottom w:val="single" w:sz="4" w:space="0" w:color="auto"/>
              <w:right w:val="single" w:sz="4" w:space="0" w:color="auto"/>
            </w:tcBorders>
            <w:vAlign w:val="center"/>
          </w:tcPr>
          <w:p w14:paraId="138286F6"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11803D93"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7FC6D856" w14:textId="77777777" w:rsidR="001456CD" w:rsidRPr="0058432E" w:rsidRDefault="001456CD" w:rsidP="004A24CF">
            <w:pPr>
              <w:keepNext/>
              <w:jc w:val="center"/>
              <w:rPr>
                <w:color w:val="000000" w:themeColor="text1"/>
              </w:rPr>
            </w:pPr>
          </w:p>
        </w:tc>
      </w:tr>
      <w:tr w:rsidR="001456CD" w:rsidRPr="0058432E" w14:paraId="64CF816E"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12BDE260" w14:textId="77777777" w:rsidR="001456CD" w:rsidRPr="0058432E" w:rsidRDefault="001456CD" w:rsidP="004A24CF">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9A237C5" w14:textId="77777777" w:rsidR="001456CD" w:rsidRPr="0058432E" w:rsidRDefault="001456CD" w:rsidP="004A24CF">
            <w:pPr>
              <w:keepNext/>
              <w:jc w:val="center"/>
              <w:rPr>
                <w:color w:val="000000" w:themeColor="text1"/>
              </w:rPr>
            </w:pPr>
            <w:r w:rsidRPr="0058432E">
              <w:rPr>
                <w:color w:val="000000" w:themeColor="text1"/>
              </w:rPr>
              <w:t>38,7 %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F42518F" w14:textId="77777777" w:rsidR="001456CD" w:rsidRPr="0058432E" w:rsidRDefault="001456CD" w:rsidP="004A24CF">
            <w:pPr>
              <w:keepNext/>
              <w:jc w:val="center"/>
              <w:rPr>
                <w:color w:val="000000" w:themeColor="text1"/>
              </w:rPr>
            </w:pPr>
            <w:r w:rsidRPr="0058432E">
              <w:rPr>
                <w:color w:val="000000" w:themeColor="text1"/>
              </w:rPr>
              <w:t>28,4 %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E3FE8B7" w14:textId="77777777" w:rsidR="001456CD" w:rsidRPr="0058432E" w:rsidRDefault="001456CD" w:rsidP="004A24CF">
            <w:pPr>
              <w:keepNext/>
              <w:jc w:val="center"/>
              <w:rPr>
                <w:color w:val="000000" w:themeColor="text1"/>
              </w:rPr>
            </w:pPr>
            <w:r w:rsidRPr="0058432E">
              <w:rPr>
                <w:color w:val="000000" w:themeColor="text1"/>
              </w:rPr>
              <w:t>0,075</w:t>
            </w:r>
          </w:p>
        </w:tc>
      </w:tr>
      <w:tr w:rsidR="001456CD" w:rsidRPr="0058432E" w14:paraId="070DFB04"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07A547B5" w14:textId="77777777" w:rsidR="001456CD" w:rsidRPr="0058432E" w:rsidRDefault="001456CD" w:rsidP="004A24CF">
            <w:pPr>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ABCB00F" w14:textId="77777777" w:rsidR="001456CD" w:rsidRPr="0058432E" w:rsidRDefault="001456CD" w:rsidP="004A24CF">
            <w:pPr>
              <w:jc w:val="center"/>
              <w:rPr>
                <w:color w:val="000000" w:themeColor="text1"/>
              </w:rPr>
            </w:pPr>
            <w:r w:rsidRPr="0058432E">
              <w:rPr>
                <w:color w:val="000000" w:themeColor="text1"/>
              </w:rPr>
              <w:t>59,1 %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3BB3053" w14:textId="77777777" w:rsidR="001456CD" w:rsidRPr="0058432E" w:rsidRDefault="001456CD" w:rsidP="004A24CF">
            <w:pPr>
              <w:jc w:val="center"/>
              <w:rPr>
                <w:color w:val="000000" w:themeColor="text1"/>
              </w:rPr>
            </w:pPr>
            <w:r w:rsidRPr="0058432E">
              <w:rPr>
                <w:color w:val="000000" w:themeColor="text1"/>
              </w:rPr>
              <w:t>48,4 %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F39CA2E" w14:textId="77777777" w:rsidR="001456CD" w:rsidRPr="0058432E" w:rsidRDefault="001456CD" w:rsidP="004A24CF">
            <w:pPr>
              <w:jc w:val="center"/>
              <w:rPr>
                <w:color w:val="000000" w:themeColor="text1"/>
              </w:rPr>
            </w:pPr>
            <w:r w:rsidRPr="0058432E">
              <w:rPr>
                <w:color w:val="000000" w:themeColor="text1"/>
              </w:rPr>
              <w:t>0,073</w:t>
            </w:r>
          </w:p>
        </w:tc>
      </w:tr>
      <w:tr w:rsidR="001456CD" w:rsidRPr="0058432E" w14:paraId="020CB391"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3E6373B0" w14:textId="77777777" w:rsidR="001456CD" w:rsidRPr="0058432E" w:rsidRDefault="001456CD" w:rsidP="004A24CF">
            <w:pPr>
              <w:keepNext/>
              <w:rPr>
                <w:b/>
                <w:color w:val="000000" w:themeColor="text1"/>
              </w:rPr>
            </w:pPr>
            <w:r w:rsidRPr="0058432E">
              <w:rPr>
                <w:b/>
                <w:color w:val="000000" w:themeColor="text1"/>
              </w:rPr>
              <w:t>Semaine 52</w:t>
            </w:r>
          </w:p>
        </w:tc>
        <w:tc>
          <w:tcPr>
            <w:tcW w:w="2326" w:type="dxa"/>
            <w:tcBorders>
              <w:top w:val="single" w:sz="4" w:space="0" w:color="auto"/>
              <w:left w:val="single" w:sz="4" w:space="0" w:color="auto"/>
              <w:bottom w:val="single" w:sz="4" w:space="0" w:color="auto"/>
              <w:right w:val="single" w:sz="4" w:space="0" w:color="auto"/>
            </w:tcBorders>
            <w:vAlign w:val="center"/>
          </w:tcPr>
          <w:p w14:paraId="0859F95D"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7EC010C4" w14:textId="77777777" w:rsidR="001456CD" w:rsidRPr="0058432E" w:rsidRDefault="001456CD" w:rsidP="004A24CF">
            <w:pPr>
              <w:keepNext/>
              <w:jc w:val="center"/>
              <w:rPr>
                <w:color w:val="000000" w:themeColor="text1"/>
              </w:rPr>
            </w:pPr>
          </w:p>
        </w:tc>
        <w:tc>
          <w:tcPr>
            <w:tcW w:w="2326" w:type="dxa"/>
            <w:tcBorders>
              <w:top w:val="single" w:sz="4" w:space="0" w:color="auto"/>
              <w:left w:val="single" w:sz="4" w:space="0" w:color="auto"/>
              <w:bottom w:val="single" w:sz="4" w:space="0" w:color="auto"/>
              <w:right w:val="single" w:sz="4" w:space="0" w:color="auto"/>
            </w:tcBorders>
            <w:vAlign w:val="center"/>
          </w:tcPr>
          <w:p w14:paraId="295020F2" w14:textId="77777777" w:rsidR="001456CD" w:rsidRPr="0058432E" w:rsidRDefault="001456CD" w:rsidP="004A24CF">
            <w:pPr>
              <w:keepNext/>
              <w:jc w:val="center"/>
              <w:rPr>
                <w:color w:val="000000" w:themeColor="text1"/>
              </w:rPr>
            </w:pPr>
          </w:p>
        </w:tc>
      </w:tr>
      <w:tr w:rsidR="001456CD" w:rsidRPr="0058432E" w14:paraId="60CCCDD6"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3C517860" w14:textId="77777777" w:rsidR="001456CD" w:rsidRPr="0058432E" w:rsidRDefault="001456CD" w:rsidP="004A24CF">
            <w:pPr>
              <w:keepNext/>
              <w:ind w:left="180"/>
              <w:rPr>
                <w:color w:val="000000" w:themeColor="text1"/>
              </w:rPr>
            </w:pPr>
            <w:r w:rsidRPr="0058432E">
              <w:rPr>
                <w:color w:val="000000" w:themeColor="text1"/>
              </w:rPr>
              <w:t>Rémission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C83C549" w14:textId="77777777" w:rsidR="001456CD" w:rsidRPr="0058432E" w:rsidRDefault="001456CD" w:rsidP="004A24CF">
            <w:pPr>
              <w:keepNext/>
              <w:jc w:val="center"/>
              <w:rPr>
                <w:color w:val="000000" w:themeColor="text1"/>
              </w:rPr>
            </w:pPr>
            <w:r w:rsidRPr="0058432E">
              <w:rPr>
                <w:color w:val="000000" w:themeColor="text1"/>
              </w:rPr>
              <w:t>33,3 %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63433CD" w14:textId="77777777" w:rsidR="001456CD" w:rsidRPr="0058432E" w:rsidRDefault="001456CD" w:rsidP="004A24CF">
            <w:pPr>
              <w:keepNext/>
              <w:jc w:val="center"/>
              <w:rPr>
                <w:color w:val="000000" w:themeColor="text1"/>
              </w:rPr>
            </w:pPr>
            <w:r w:rsidRPr="0058432E">
              <w:rPr>
                <w:color w:val="000000" w:themeColor="text1"/>
              </w:rPr>
              <w:t>23,2 %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BB3EE61" w14:textId="77777777" w:rsidR="001456CD" w:rsidRPr="0058432E" w:rsidRDefault="001456CD" w:rsidP="004A24CF">
            <w:pPr>
              <w:keepNext/>
              <w:jc w:val="center"/>
              <w:rPr>
                <w:color w:val="000000" w:themeColor="text1"/>
              </w:rPr>
            </w:pPr>
            <w:r w:rsidRPr="0058432E">
              <w:rPr>
                <w:color w:val="000000" w:themeColor="text1"/>
              </w:rPr>
              <w:t>0,100</w:t>
            </w:r>
          </w:p>
        </w:tc>
      </w:tr>
      <w:tr w:rsidR="001456CD" w:rsidRPr="0058432E" w14:paraId="1E18688E" w14:textId="77777777" w:rsidTr="004A24CF">
        <w:tc>
          <w:tcPr>
            <w:tcW w:w="2325" w:type="dxa"/>
            <w:tcBorders>
              <w:top w:val="single" w:sz="4" w:space="0" w:color="auto"/>
              <w:left w:val="single" w:sz="4" w:space="0" w:color="auto"/>
              <w:bottom w:val="single" w:sz="4" w:space="0" w:color="auto"/>
              <w:right w:val="single" w:sz="4" w:space="0" w:color="auto"/>
            </w:tcBorders>
            <w:hideMark/>
          </w:tcPr>
          <w:p w14:paraId="2C017956" w14:textId="77777777" w:rsidR="001456CD" w:rsidRPr="0058432E" w:rsidRDefault="001456CD" w:rsidP="004A24CF">
            <w:pPr>
              <w:keepNext/>
              <w:ind w:left="180"/>
              <w:rPr>
                <w:color w:val="000000" w:themeColor="text1"/>
              </w:rPr>
            </w:pPr>
            <w:r w:rsidRPr="0058432E">
              <w:rPr>
                <w:color w:val="000000" w:themeColor="text1"/>
              </w:rPr>
              <w:t>Réponse clinique</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F98B5FA" w14:textId="77777777" w:rsidR="001456CD" w:rsidRPr="0058432E" w:rsidRDefault="001456CD" w:rsidP="004A24CF">
            <w:pPr>
              <w:keepNext/>
              <w:jc w:val="center"/>
              <w:rPr>
                <w:color w:val="000000" w:themeColor="text1"/>
              </w:rPr>
            </w:pPr>
            <w:r w:rsidRPr="0058432E">
              <w:rPr>
                <w:color w:val="000000" w:themeColor="text1"/>
              </w:rPr>
              <w:t>41,9 %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08A1A94" w14:textId="77777777" w:rsidR="001456CD" w:rsidRPr="0058432E" w:rsidRDefault="001456CD" w:rsidP="004A24CF">
            <w:pPr>
              <w:keepNext/>
              <w:jc w:val="center"/>
              <w:rPr>
                <w:color w:val="000000" w:themeColor="text1"/>
              </w:rPr>
            </w:pPr>
            <w:r w:rsidRPr="0058432E">
              <w:rPr>
                <w:color w:val="000000" w:themeColor="text1"/>
              </w:rPr>
              <w:t>28,4 %</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D2A62AD" w14:textId="77777777" w:rsidR="001456CD" w:rsidRPr="0058432E" w:rsidRDefault="001456CD" w:rsidP="004A24CF">
            <w:pPr>
              <w:keepNext/>
              <w:jc w:val="center"/>
              <w:rPr>
                <w:color w:val="000000" w:themeColor="text1"/>
              </w:rPr>
            </w:pPr>
            <w:r w:rsidRPr="0058432E">
              <w:rPr>
                <w:color w:val="000000" w:themeColor="text1"/>
              </w:rPr>
              <w:t>0,038</w:t>
            </w:r>
          </w:p>
        </w:tc>
      </w:tr>
      <w:tr w:rsidR="001456CD" w:rsidRPr="0058432E" w14:paraId="448BD595" w14:textId="77777777" w:rsidTr="004A24CF">
        <w:tc>
          <w:tcPr>
            <w:tcW w:w="9303" w:type="dxa"/>
            <w:gridSpan w:val="4"/>
            <w:tcBorders>
              <w:top w:val="single" w:sz="4" w:space="0" w:color="auto"/>
              <w:left w:val="nil"/>
              <w:bottom w:val="nil"/>
              <w:right w:val="nil"/>
            </w:tcBorders>
          </w:tcPr>
          <w:p w14:paraId="296FE408" w14:textId="77777777" w:rsidR="001456CD" w:rsidRPr="0058432E" w:rsidRDefault="001456CD" w:rsidP="004A24CF">
            <w:pPr>
              <w:ind w:left="274" w:hanging="274"/>
              <w:rPr>
                <w:color w:val="000000" w:themeColor="text1"/>
                <w:sz w:val="20"/>
              </w:rPr>
            </w:pPr>
            <w:r w:rsidRPr="0058432E">
              <w:rPr>
                <w:color w:val="000000" w:themeColor="text1"/>
                <w:sz w:val="20"/>
              </w:rPr>
              <w:t xml:space="preserve">* </w:t>
            </w:r>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pour la comparaison dose standard </w:t>
            </w:r>
            <w:r w:rsidRPr="0058432E">
              <w:rPr>
                <w:i/>
                <w:color w:val="000000" w:themeColor="text1"/>
                <w:sz w:val="20"/>
              </w:rPr>
              <w:t>versus</w:t>
            </w:r>
            <w:r w:rsidRPr="0058432E">
              <w:rPr>
                <w:color w:val="000000" w:themeColor="text1"/>
                <w:sz w:val="20"/>
              </w:rPr>
              <w:t xml:space="preserve"> dose faible.</w:t>
            </w:r>
          </w:p>
        </w:tc>
      </w:tr>
    </w:tbl>
    <w:p w14:paraId="438D8454" w14:textId="77777777" w:rsidR="001456CD" w:rsidRPr="0058432E" w:rsidRDefault="001456CD" w:rsidP="001456CD">
      <w:pPr>
        <w:rPr>
          <w:color w:val="000000" w:themeColor="text1"/>
        </w:rPr>
      </w:pPr>
    </w:p>
    <w:p w14:paraId="271A6422" w14:textId="77777777" w:rsidR="00BA0F90" w:rsidRPr="0058432E" w:rsidRDefault="001456CD" w:rsidP="001456CD">
      <w:pPr>
        <w:keepNext/>
        <w:rPr>
          <w:b/>
          <w:color w:val="000000" w:themeColor="text1"/>
        </w:rPr>
      </w:pPr>
      <w:r w:rsidRPr="0058432E">
        <w:rPr>
          <w:b/>
          <w:color w:val="000000" w:themeColor="text1"/>
        </w:rPr>
        <w:lastRenderedPageBreak/>
        <w:t>Tableau </w:t>
      </w:r>
      <w:r w:rsidR="00A00EF6" w:rsidRPr="0058432E">
        <w:rPr>
          <w:b/>
          <w:color w:val="000000" w:themeColor="text1"/>
        </w:rPr>
        <w:t>30</w:t>
      </w:r>
      <w:r w:rsidRPr="0058432E">
        <w:rPr>
          <w:b/>
          <w:color w:val="000000" w:themeColor="text1"/>
        </w:rPr>
        <w:t>.</w:t>
      </w:r>
    </w:p>
    <w:p w14:paraId="3A80291E" w14:textId="77777777" w:rsidR="001456CD" w:rsidRPr="0058432E" w:rsidRDefault="001456CD" w:rsidP="001456CD">
      <w:pPr>
        <w:keepNext/>
        <w:rPr>
          <w:b/>
          <w:color w:val="000000" w:themeColor="text1"/>
        </w:rPr>
      </w:pPr>
      <w:r w:rsidRPr="0058432E">
        <w:rPr>
          <w:b/>
          <w:color w:val="000000" w:themeColor="text1"/>
        </w:rPr>
        <w:t>Étude sur la MC pédiatrique — Arrêt des corticoïdes ou des immunomodulateurs et fermeture des fistules</w:t>
      </w:r>
    </w:p>
    <w:p w14:paraId="61B649A6" w14:textId="77777777" w:rsidR="001456CD" w:rsidRPr="0058432E" w:rsidRDefault="001456CD" w:rsidP="001456CD">
      <w:pPr>
        <w:keepNext/>
        <w:jc w:val="cente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677"/>
        <w:gridCol w:w="1677"/>
        <w:gridCol w:w="1665"/>
      </w:tblGrid>
      <w:tr w:rsidR="001456CD" w:rsidRPr="0058432E" w14:paraId="5D2CF7AF" w14:textId="77777777" w:rsidTr="004A24CF">
        <w:trPr>
          <w:tblHeader/>
        </w:trPr>
        <w:tc>
          <w:tcPr>
            <w:tcW w:w="4158" w:type="dxa"/>
            <w:tcBorders>
              <w:top w:val="single" w:sz="4" w:space="0" w:color="auto"/>
              <w:left w:val="single" w:sz="4" w:space="0" w:color="auto"/>
              <w:bottom w:val="single" w:sz="4" w:space="0" w:color="auto"/>
              <w:right w:val="single" w:sz="4" w:space="0" w:color="auto"/>
            </w:tcBorders>
          </w:tcPr>
          <w:p w14:paraId="293458C5" w14:textId="77777777" w:rsidR="001456CD" w:rsidRPr="0058432E" w:rsidRDefault="001456CD" w:rsidP="004A24CF">
            <w:pPr>
              <w:keepNext/>
              <w:rPr>
                <w:color w:val="000000" w:themeColor="text1"/>
              </w:rPr>
            </w:pPr>
          </w:p>
        </w:tc>
        <w:tc>
          <w:tcPr>
            <w:tcW w:w="1715" w:type="dxa"/>
            <w:tcBorders>
              <w:top w:val="single" w:sz="4" w:space="0" w:color="auto"/>
              <w:left w:val="single" w:sz="4" w:space="0" w:color="auto"/>
              <w:bottom w:val="single" w:sz="4" w:space="0" w:color="auto"/>
              <w:right w:val="single" w:sz="4" w:space="0" w:color="auto"/>
            </w:tcBorders>
            <w:vAlign w:val="center"/>
            <w:hideMark/>
          </w:tcPr>
          <w:p w14:paraId="583E53E2" w14:textId="77777777" w:rsidR="001456CD" w:rsidRPr="0058432E" w:rsidRDefault="001456CD" w:rsidP="004A24CF">
            <w:pPr>
              <w:keepNext/>
              <w:jc w:val="center"/>
              <w:rPr>
                <w:b/>
                <w:color w:val="000000" w:themeColor="text1"/>
              </w:rPr>
            </w:pPr>
            <w:r w:rsidRPr="0058432E">
              <w:rPr>
                <w:b/>
                <w:color w:val="000000" w:themeColor="text1"/>
              </w:rPr>
              <w:t>Dose standard</w:t>
            </w:r>
          </w:p>
          <w:p w14:paraId="6A24E887" w14:textId="77777777" w:rsidR="001456CD" w:rsidRPr="0058432E" w:rsidRDefault="001456CD" w:rsidP="004A24CF">
            <w:pPr>
              <w:keepNext/>
              <w:jc w:val="center"/>
              <w:rPr>
                <w:b/>
                <w:color w:val="000000" w:themeColor="text1"/>
              </w:rPr>
            </w:pPr>
            <w:r w:rsidRPr="0058432E">
              <w:rPr>
                <w:b/>
                <w:color w:val="000000" w:themeColor="text1"/>
              </w:rPr>
              <w:t>40/20 mg toutes les deux semaines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4F984AC" w14:textId="77777777" w:rsidR="001456CD" w:rsidRPr="0058432E" w:rsidRDefault="001456CD" w:rsidP="004A24CF">
            <w:pPr>
              <w:keepNext/>
              <w:jc w:val="center"/>
              <w:rPr>
                <w:b/>
                <w:color w:val="000000" w:themeColor="text1"/>
              </w:rPr>
            </w:pPr>
            <w:r w:rsidRPr="0058432E">
              <w:rPr>
                <w:b/>
                <w:color w:val="000000" w:themeColor="text1"/>
              </w:rPr>
              <w:t>Dose faible</w:t>
            </w:r>
          </w:p>
          <w:p w14:paraId="1363771B" w14:textId="77777777" w:rsidR="001456CD" w:rsidRPr="0058432E" w:rsidRDefault="001456CD" w:rsidP="004A24CF">
            <w:pPr>
              <w:keepNext/>
              <w:jc w:val="center"/>
              <w:rPr>
                <w:b/>
                <w:color w:val="000000" w:themeColor="text1"/>
              </w:rPr>
            </w:pPr>
            <w:r w:rsidRPr="0058432E">
              <w:rPr>
                <w:b/>
                <w:color w:val="000000" w:themeColor="text1"/>
              </w:rPr>
              <w:t>20/10 mg toutes les deux semaines</w:t>
            </w:r>
          </w:p>
        </w:tc>
        <w:tc>
          <w:tcPr>
            <w:tcW w:w="1715" w:type="dxa"/>
            <w:tcBorders>
              <w:top w:val="single" w:sz="4" w:space="0" w:color="auto"/>
              <w:left w:val="single" w:sz="4" w:space="0" w:color="auto"/>
              <w:bottom w:val="single" w:sz="4" w:space="0" w:color="auto"/>
              <w:right w:val="single" w:sz="4" w:space="0" w:color="auto"/>
            </w:tcBorders>
            <w:hideMark/>
          </w:tcPr>
          <w:p w14:paraId="69DCF842" w14:textId="77777777" w:rsidR="001456CD" w:rsidRPr="0058432E" w:rsidRDefault="001456CD" w:rsidP="004A24CF">
            <w:pPr>
              <w:keepNext/>
              <w:jc w:val="center"/>
              <w:rPr>
                <w:b/>
                <w:color w:val="000000" w:themeColor="text1"/>
              </w:rPr>
            </w:pPr>
            <w:r w:rsidRPr="0058432E">
              <w:rPr>
                <w:b/>
                <w:color w:val="000000" w:themeColor="text1"/>
              </w:rPr>
              <w:t xml:space="preserve">Valeur de </w:t>
            </w:r>
            <w:r w:rsidR="0059599E" w:rsidRPr="0058432E">
              <w:rPr>
                <w:b/>
                <w:i/>
                <w:color w:val="000000" w:themeColor="text1"/>
              </w:rPr>
              <w:t>p</w:t>
            </w:r>
            <w:r w:rsidRPr="0058432E">
              <w:rPr>
                <w:b/>
                <w:color w:val="000000" w:themeColor="text1"/>
                <w:vertAlign w:val="superscript"/>
              </w:rPr>
              <w:t>1</w:t>
            </w:r>
          </w:p>
        </w:tc>
      </w:tr>
      <w:tr w:rsidR="001456CD" w:rsidRPr="0058432E" w14:paraId="467F8534" w14:textId="77777777" w:rsidTr="004A24CF">
        <w:trPr>
          <w:trHeight w:val="60"/>
        </w:trPr>
        <w:tc>
          <w:tcPr>
            <w:tcW w:w="4158" w:type="dxa"/>
            <w:tcBorders>
              <w:top w:val="single" w:sz="4" w:space="0" w:color="auto"/>
              <w:left w:val="single" w:sz="4" w:space="0" w:color="auto"/>
              <w:bottom w:val="single" w:sz="4" w:space="0" w:color="auto"/>
              <w:right w:val="single" w:sz="4" w:space="0" w:color="auto"/>
            </w:tcBorders>
            <w:hideMark/>
          </w:tcPr>
          <w:p w14:paraId="2126CA25" w14:textId="77777777" w:rsidR="001456CD" w:rsidRPr="0058432E" w:rsidRDefault="001456CD" w:rsidP="004A24CF">
            <w:pPr>
              <w:keepNext/>
              <w:rPr>
                <w:b/>
                <w:color w:val="000000" w:themeColor="text1"/>
              </w:rPr>
            </w:pPr>
            <w:r w:rsidRPr="0058432E">
              <w:rPr>
                <w:b/>
                <w:color w:val="000000" w:themeColor="text1"/>
              </w:rPr>
              <w:t>Arrêt des corticoïdes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825B18D" w14:textId="77777777" w:rsidR="001456CD" w:rsidRPr="0058432E" w:rsidRDefault="001456CD" w:rsidP="004A24CF">
            <w:pPr>
              <w:keepNext/>
              <w:jc w:val="center"/>
              <w:rPr>
                <w:b/>
                <w:color w:val="000000" w:themeColor="text1"/>
              </w:rPr>
            </w:pPr>
            <w:r w:rsidRPr="0058432E">
              <w:rPr>
                <w:b/>
                <w:color w:val="000000" w:themeColor="text1"/>
              </w:rPr>
              <w:t>N = 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9194C56" w14:textId="77777777" w:rsidR="001456CD" w:rsidRPr="0058432E" w:rsidRDefault="001456CD" w:rsidP="004A24CF">
            <w:pPr>
              <w:keepNext/>
              <w:jc w:val="center"/>
              <w:rPr>
                <w:b/>
                <w:color w:val="000000" w:themeColor="text1"/>
              </w:rPr>
            </w:pPr>
            <w:r w:rsidRPr="0058432E">
              <w:rPr>
                <w:b/>
                <w:color w:val="000000" w:themeColor="text1"/>
              </w:rPr>
              <w:t>N = 38</w:t>
            </w:r>
          </w:p>
        </w:tc>
        <w:tc>
          <w:tcPr>
            <w:tcW w:w="1715" w:type="dxa"/>
            <w:tcBorders>
              <w:top w:val="single" w:sz="4" w:space="0" w:color="auto"/>
              <w:left w:val="single" w:sz="4" w:space="0" w:color="auto"/>
              <w:bottom w:val="single" w:sz="4" w:space="0" w:color="auto"/>
              <w:right w:val="single" w:sz="4" w:space="0" w:color="auto"/>
            </w:tcBorders>
            <w:vAlign w:val="center"/>
          </w:tcPr>
          <w:p w14:paraId="2A92381D" w14:textId="77777777" w:rsidR="001456CD" w:rsidRPr="0058432E" w:rsidRDefault="001456CD" w:rsidP="004A24CF">
            <w:pPr>
              <w:keepNext/>
              <w:jc w:val="center"/>
              <w:rPr>
                <w:b/>
                <w:color w:val="000000" w:themeColor="text1"/>
              </w:rPr>
            </w:pPr>
          </w:p>
        </w:tc>
      </w:tr>
      <w:tr w:rsidR="001456CD" w:rsidRPr="0058432E" w14:paraId="34BD8756"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2525FF79" w14:textId="77777777" w:rsidR="001456CD" w:rsidRPr="0058432E" w:rsidRDefault="001456CD" w:rsidP="004A24CF">
            <w:pPr>
              <w:rPr>
                <w:color w:val="000000" w:themeColor="text1"/>
              </w:rPr>
            </w:pPr>
            <w:r w:rsidRPr="0058432E">
              <w:rPr>
                <w:color w:val="000000" w:themeColor="text1"/>
              </w:rPr>
              <w:t>Semaine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DC687CB" w14:textId="77777777" w:rsidR="001456CD" w:rsidRPr="0058432E" w:rsidRDefault="001456CD" w:rsidP="004A24CF">
            <w:pPr>
              <w:jc w:val="center"/>
              <w:rPr>
                <w:color w:val="000000" w:themeColor="text1"/>
              </w:rPr>
            </w:pPr>
            <w:r w:rsidRPr="0058432E">
              <w:rPr>
                <w:color w:val="000000" w:themeColor="text1"/>
              </w:rPr>
              <w:t>84,8 %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454517D" w14:textId="77777777" w:rsidR="001456CD" w:rsidRPr="0058432E" w:rsidRDefault="001456CD" w:rsidP="004A24CF">
            <w:pPr>
              <w:jc w:val="center"/>
              <w:rPr>
                <w:color w:val="000000" w:themeColor="text1"/>
              </w:rPr>
            </w:pPr>
            <w:r w:rsidRPr="0058432E">
              <w:rPr>
                <w:color w:val="000000" w:themeColor="text1"/>
              </w:rPr>
              <w:t>65,8 %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1C6DA9D" w14:textId="77777777" w:rsidR="001456CD" w:rsidRPr="0058432E" w:rsidRDefault="001456CD" w:rsidP="004A24CF">
            <w:pPr>
              <w:jc w:val="center"/>
              <w:rPr>
                <w:color w:val="000000" w:themeColor="text1"/>
              </w:rPr>
            </w:pPr>
            <w:r w:rsidRPr="0058432E">
              <w:rPr>
                <w:color w:val="000000" w:themeColor="text1"/>
              </w:rPr>
              <w:t>0,066</w:t>
            </w:r>
          </w:p>
        </w:tc>
      </w:tr>
      <w:tr w:rsidR="001456CD" w:rsidRPr="0058432E" w14:paraId="0F752ECB"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65FDC0F6"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2E08B96" w14:textId="77777777" w:rsidR="001456CD" w:rsidRPr="0058432E" w:rsidRDefault="001456CD" w:rsidP="004A24CF">
            <w:pPr>
              <w:jc w:val="center"/>
              <w:rPr>
                <w:color w:val="000000" w:themeColor="text1"/>
              </w:rPr>
            </w:pPr>
            <w:r w:rsidRPr="0058432E">
              <w:rPr>
                <w:color w:val="000000" w:themeColor="text1"/>
              </w:rPr>
              <w:t>69,7 %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B57DAC1" w14:textId="77777777" w:rsidR="001456CD" w:rsidRPr="0058432E" w:rsidRDefault="001456CD" w:rsidP="004A24CF">
            <w:pPr>
              <w:jc w:val="center"/>
              <w:rPr>
                <w:color w:val="000000" w:themeColor="text1"/>
              </w:rPr>
            </w:pPr>
            <w:r w:rsidRPr="0058432E">
              <w:rPr>
                <w:color w:val="000000" w:themeColor="text1"/>
              </w:rPr>
              <w:t>60,5 %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46FC8BF" w14:textId="77777777" w:rsidR="001456CD" w:rsidRPr="0058432E" w:rsidRDefault="001456CD" w:rsidP="004A24CF">
            <w:pPr>
              <w:jc w:val="center"/>
              <w:rPr>
                <w:color w:val="000000" w:themeColor="text1"/>
              </w:rPr>
            </w:pPr>
            <w:r w:rsidRPr="0058432E">
              <w:rPr>
                <w:color w:val="000000" w:themeColor="text1"/>
              </w:rPr>
              <w:t>0,420</w:t>
            </w:r>
          </w:p>
        </w:tc>
      </w:tr>
      <w:tr w:rsidR="001456CD" w:rsidRPr="0058432E" w14:paraId="30EB9DC4"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1D90C856" w14:textId="77777777" w:rsidR="001456CD" w:rsidRPr="0058432E" w:rsidRDefault="001456CD" w:rsidP="004A24CF">
            <w:pPr>
              <w:rPr>
                <w:b/>
                <w:color w:val="000000" w:themeColor="text1"/>
              </w:rPr>
            </w:pPr>
            <w:r w:rsidRPr="0058432E">
              <w:rPr>
                <w:b/>
                <w:color w:val="000000" w:themeColor="text1"/>
              </w:rPr>
              <w:t>Arrêt des immunomodulateurs</w:t>
            </w:r>
            <w:r w:rsidRPr="0058432E">
              <w:rPr>
                <w:b/>
                <w:color w:val="000000" w:themeColor="text1"/>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662539F" w14:textId="77777777" w:rsidR="001456CD" w:rsidRPr="0058432E" w:rsidRDefault="001456CD" w:rsidP="004A24CF">
            <w:pPr>
              <w:jc w:val="center"/>
              <w:rPr>
                <w:b/>
                <w:color w:val="000000" w:themeColor="text1"/>
              </w:rPr>
            </w:pPr>
            <w:r w:rsidRPr="0058432E">
              <w:rPr>
                <w:b/>
                <w:color w:val="000000" w:themeColor="text1"/>
              </w:rPr>
              <w:t>N = 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52EE670" w14:textId="77777777" w:rsidR="001456CD" w:rsidRPr="0058432E" w:rsidRDefault="001456CD" w:rsidP="004A24CF">
            <w:pPr>
              <w:jc w:val="center"/>
              <w:rPr>
                <w:b/>
                <w:color w:val="000000" w:themeColor="text1"/>
              </w:rPr>
            </w:pPr>
            <w:r w:rsidRPr="0058432E">
              <w:rPr>
                <w:b/>
                <w:color w:val="000000" w:themeColor="text1"/>
              </w:rPr>
              <w:t>N = 57</w:t>
            </w:r>
          </w:p>
        </w:tc>
        <w:tc>
          <w:tcPr>
            <w:tcW w:w="1715" w:type="dxa"/>
            <w:tcBorders>
              <w:top w:val="single" w:sz="4" w:space="0" w:color="auto"/>
              <w:left w:val="single" w:sz="4" w:space="0" w:color="auto"/>
              <w:bottom w:val="single" w:sz="4" w:space="0" w:color="auto"/>
              <w:right w:val="single" w:sz="4" w:space="0" w:color="auto"/>
            </w:tcBorders>
            <w:vAlign w:val="center"/>
          </w:tcPr>
          <w:p w14:paraId="434B0AD6" w14:textId="77777777" w:rsidR="001456CD" w:rsidRPr="0058432E" w:rsidRDefault="001456CD" w:rsidP="004A24CF">
            <w:pPr>
              <w:jc w:val="center"/>
              <w:rPr>
                <w:b/>
                <w:color w:val="000000" w:themeColor="text1"/>
              </w:rPr>
            </w:pPr>
          </w:p>
        </w:tc>
      </w:tr>
      <w:tr w:rsidR="001456CD" w:rsidRPr="0058432E" w14:paraId="49F5E7BD"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5A1042DD"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CE2103F" w14:textId="77777777" w:rsidR="001456CD" w:rsidRPr="0058432E" w:rsidRDefault="001456CD" w:rsidP="004A24CF">
            <w:pPr>
              <w:jc w:val="center"/>
              <w:rPr>
                <w:color w:val="000000" w:themeColor="text1"/>
              </w:rPr>
            </w:pPr>
            <w:r w:rsidRPr="0058432E">
              <w:rPr>
                <w:color w:val="000000" w:themeColor="text1"/>
              </w:rPr>
              <w:t>30,0 %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796134F" w14:textId="77777777" w:rsidR="001456CD" w:rsidRPr="0058432E" w:rsidRDefault="001456CD" w:rsidP="004A24CF">
            <w:pPr>
              <w:jc w:val="center"/>
              <w:rPr>
                <w:color w:val="000000" w:themeColor="text1"/>
              </w:rPr>
            </w:pPr>
            <w:r w:rsidRPr="0058432E">
              <w:rPr>
                <w:color w:val="000000" w:themeColor="text1"/>
              </w:rPr>
              <w:t>29,8 %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36F900B" w14:textId="77777777" w:rsidR="001456CD" w:rsidRPr="0058432E" w:rsidRDefault="001456CD" w:rsidP="004A24CF">
            <w:pPr>
              <w:jc w:val="center"/>
              <w:rPr>
                <w:color w:val="000000" w:themeColor="text1"/>
              </w:rPr>
            </w:pPr>
            <w:r w:rsidRPr="0058432E">
              <w:rPr>
                <w:color w:val="000000" w:themeColor="text1"/>
              </w:rPr>
              <w:t>0,983</w:t>
            </w:r>
          </w:p>
        </w:tc>
      </w:tr>
      <w:tr w:rsidR="001456CD" w:rsidRPr="0058432E" w14:paraId="2B6FE547"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79C80D28" w14:textId="77777777" w:rsidR="001456CD" w:rsidRPr="0058432E" w:rsidRDefault="001456CD" w:rsidP="004A24CF">
            <w:pPr>
              <w:rPr>
                <w:b/>
                <w:color w:val="000000" w:themeColor="text1"/>
              </w:rPr>
            </w:pPr>
            <w:r w:rsidRPr="0058432E">
              <w:rPr>
                <w:b/>
                <w:color w:val="000000" w:themeColor="text1"/>
              </w:rPr>
              <w:t>Fermeture des fistules</w:t>
            </w:r>
            <w:r w:rsidRPr="0058432E">
              <w:rPr>
                <w:b/>
                <w:color w:val="000000" w:themeColor="text1"/>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AADAD06" w14:textId="77777777" w:rsidR="001456CD" w:rsidRPr="0058432E" w:rsidRDefault="001456CD" w:rsidP="004A24CF">
            <w:pPr>
              <w:jc w:val="center"/>
              <w:rPr>
                <w:b/>
                <w:color w:val="000000" w:themeColor="text1"/>
              </w:rPr>
            </w:pPr>
            <w:r w:rsidRPr="0058432E">
              <w:rPr>
                <w:b/>
                <w:color w:val="000000" w:themeColor="text1"/>
              </w:rPr>
              <w:t>N = 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3D36B76" w14:textId="77777777" w:rsidR="001456CD" w:rsidRPr="0058432E" w:rsidRDefault="001456CD" w:rsidP="004A24CF">
            <w:pPr>
              <w:jc w:val="center"/>
              <w:rPr>
                <w:b/>
                <w:color w:val="000000" w:themeColor="text1"/>
              </w:rPr>
            </w:pPr>
            <w:r w:rsidRPr="0058432E">
              <w:rPr>
                <w:b/>
                <w:color w:val="000000" w:themeColor="text1"/>
              </w:rPr>
              <w:t>N = 21</w:t>
            </w:r>
          </w:p>
        </w:tc>
        <w:tc>
          <w:tcPr>
            <w:tcW w:w="1715" w:type="dxa"/>
            <w:tcBorders>
              <w:top w:val="single" w:sz="4" w:space="0" w:color="auto"/>
              <w:left w:val="single" w:sz="4" w:space="0" w:color="auto"/>
              <w:bottom w:val="single" w:sz="4" w:space="0" w:color="auto"/>
              <w:right w:val="single" w:sz="4" w:space="0" w:color="auto"/>
            </w:tcBorders>
            <w:vAlign w:val="center"/>
          </w:tcPr>
          <w:p w14:paraId="20CE751F" w14:textId="77777777" w:rsidR="001456CD" w:rsidRPr="0058432E" w:rsidRDefault="001456CD" w:rsidP="004A24CF">
            <w:pPr>
              <w:jc w:val="center"/>
              <w:rPr>
                <w:b/>
                <w:color w:val="000000" w:themeColor="text1"/>
              </w:rPr>
            </w:pPr>
          </w:p>
        </w:tc>
      </w:tr>
      <w:tr w:rsidR="001456CD" w:rsidRPr="0058432E" w14:paraId="2F12DE55"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7EBBA56A" w14:textId="77777777" w:rsidR="001456CD" w:rsidRPr="0058432E" w:rsidRDefault="001456CD" w:rsidP="004A24CF">
            <w:pPr>
              <w:rPr>
                <w:color w:val="000000" w:themeColor="text1"/>
              </w:rPr>
            </w:pPr>
            <w:r w:rsidRPr="0058432E">
              <w:rPr>
                <w:color w:val="000000" w:themeColor="text1"/>
              </w:rPr>
              <w:t>Semaine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FC5BE6D" w14:textId="77777777" w:rsidR="001456CD" w:rsidRPr="0058432E" w:rsidRDefault="001456CD" w:rsidP="004A24CF">
            <w:pPr>
              <w:jc w:val="center"/>
              <w:rPr>
                <w:color w:val="000000" w:themeColor="text1"/>
              </w:rPr>
            </w:pPr>
            <w:r w:rsidRPr="0058432E">
              <w:rPr>
                <w:color w:val="000000" w:themeColor="text1"/>
              </w:rPr>
              <w:t>46,7 %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0276397" w14:textId="77777777" w:rsidR="001456CD" w:rsidRPr="0058432E" w:rsidRDefault="001456CD" w:rsidP="004A24CF">
            <w:pPr>
              <w:jc w:val="center"/>
              <w:rPr>
                <w:color w:val="000000" w:themeColor="text1"/>
              </w:rPr>
            </w:pPr>
            <w:r w:rsidRPr="0058432E">
              <w:rPr>
                <w:color w:val="000000" w:themeColor="text1"/>
              </w:rPr>
              <w:t>38,1 %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2248BC5" w14:textId="77777777" w:rsidR="001456CD" w:rsidRPr="0058432E" w:rsidRDefault="001456CD" w:rsidP="004A24CF">
            <w:pPr>
              <w:jc w:val="center"/>
              <w:rPr>
                <w:color w:val="000000" w:themeColor="text1"/>
              </w:rPr>
            </w:pPr>
            <w:r w:rsidRPr="0058432E">
              <w:rPr>
                <w:color w:val="000000" w:themeColor="text1"/>
              </w:rPr>
              <w:t>0,608</w:t>
            </w:r>
          </w:p>
        </w:tc>
      </w:tr>
      <w:tr w:rsidR="001456CD" w:rsidRPr="0058432E" w14:paraId="1AE470AE" w14:textId="77777777" w:rsidTr="004A24CF">
        <w:tc>
          <w:tcPr>
            <w:tcW w:w="4158" w:type="dxa"/>
            <w:tcBorders>
              <w:top w:val="single" w:sz="4" w:space="0" w:color="auto"/>
              <w:left w:val="single" w:sz="4" w:space="0" w:color="auto"/>
              <w:bottom w:val="single" w:sz="4" w:space="0" w:color="auto"/>
              <w:right w:val="single" w:sz="4" w:space="0" w:color="auto"/>
            </w:tcBorders>
            <w:hideMark/>
          </w:tcPr>
          <w:p w14:paraId="01E82D96" w14:textId="77777777" w:rsidR="001456CD" w:rsidRPr="0058432E" w:rsidRDefault="001456CD" w:rsidP="004A24CF">
            <w:pPr>
              <w:rPr>
                <w:color w:val="000000" w:themeColor="text1"/>
              </w:rPr>
            </w:pPr>
            <w:r w:rsidRPr="0058432E">
              <w:rPr>
                <w:color w:val="000000" w:themeColor="text1"/>
              </w:rPr>
              <w:t>Semaine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3298AA4" w14:textId="77777777" w:rsidR="001456CD" w:rsidRPr="0058432E" w:rsidRDefault="001456CD" w:rsidP="004A24CF">
            <w:pPr>
              <w:jc w:val="center"/>
              <w:rPr>
                <w:color w:val="000000" w:themeColor="text1"/>
              </w:rPr>
            </w:pPr>
            <w:r w:rsidRPr="0058432E">
              <w:rPr>
                <w:color w:val="000000" w:themeColor="text1"/>
              </w:rPr>
              <w:t>40,0 %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BB8836F" w14:textId="77777777" w:rsidR="001456CD" w:rsidRPr="0058432E" w:rsidRDefault="001456CD" w:rsidP="004A24CF">
            <w:pPr>
              <w:jc w:val="center"/>
              <w:rPr>
                <w:color w:val="000000" w:themeColor="text1"/>
              </w:rPr>
            </w:pPr>
            <w:r w:rsidRPr="0058432E">
              <w:rPr>
                <w:color w:val="000000" w:themeColor="text1"/>
              </w:rPr>
              <w:t>23,8 %</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096F93D" w14:textId="77777777" w:rsidR="001456CD" w:rsidRPr="0058432E" w:rsidRDefault="001456CD" w:rsidP="004A24CF">
            <w:pPr>
              <w:jc w:val="center"/>
              <w:rPr>
                <w:color w:val="000000" w:themeColor="text1"/>
              </w:rPr>
            </w:pPr>
            <w:r w:rsidRPr="0058432E">
              <w:rPr>
                <w:color w:val="000000" w:themeColor="text1"/>
              </w:rPr>
              <w:t>0,303</w:t>
            </w:r>
          </w:p>
        </w:tc>
      </w:tr>
      <w:tr w:rsidR="001456CD" w:rsidRPr="0058432E" w14:paraId="11A11D43" w14:textId="77777777" w:rsidTr="004A24CF">
        <w:tc>
          <w:tcPr>
            <w:tcW w:w="9303" w:type="dxa"/>
            <w:gridSpan w:val="4"/>
            <w:tcBorders>
              <w:top w:val="single" w:sz="4" w:space="0" w:color="auto"/>
              <w:left w:val="nil"/>
              <w:bottom w:val="nil"/>
              <w:right w:val="nil"/>
            </w:tcBorders>
          </w:tcPr>
          <w:p w14:paraId="48C37CAE"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1</w:t>
            </w:r>
            <w:r w:rsidRPr="0058432E">
              <w:rPr>
                <w:color w:val="000000" w:themeColor="text1"/>
                <w:sz w:val="20"/>
              </w:rPr>
              <w:tab/>
              <w:t xml:space="preserve">Valeur de </w:t>
            </w:r>
            <w:r w:rsidRPr="0058432E">
              <w:rPr>
                <w:i/>
                <w:color w:val="000000" w:themeColor="text1"/>
                <w:sz w:val="20"/>
              </w:rPr>
              <w:t>p</w:t>
            </w:r>
            <w:r w:rsidRPr="0058432E">
              <w:rPr>
                <w:color w:val="000000" w:themeColor="text1"/>
                <w:sz w:val="20"/>
              </w:rPr>
              <w:t xml:space="preserve"> pour la comparaison dose standard </w:t>
            </w:r>
            <w:r w:rsidRPr="0058432E">
              <w:rPr>
                <w:i/>
                <w:color w:val="000000" w:themeColor="text1"/>
                <w:sz w:val="20"/>
              </w:rPr>
              <w:t>versus</w:t>
            </w:r>
            <w:r w:rsidRPr="0058432E">
              <w:rPr>
                <w:color w:val="000000" w:themeColor="text1"/>
                <w:sz w:val="20"/>
              </w:rPr>
              <w:t xml:space="preserve"> dose faible.</w:t>
            </w:r>
          </w:p>
          <w:p w14:paraId="0E930544"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2</w:t>
            </w:r>
            <w:r w:rsidRPr="0058432E">
              <w:rPr>
                <w:color w:val="000000" w:themeColor="text1"/>
                <w:sz w:val="20"/>
              </w:rPr>
              <w:tab/>
              <w:t>Le traitement immunosuppresseur ne pouvait être arrêté qu’à partir de la semaine 26, à la libre appréciation de l’investigateur, si le patient répondait au critère de réponse clinique</w:t>
            </w:r>
          </w:p>
          <w:p w14:paraId="393DC451" w14:textId="77777777" w:rsidR="001456CD" w:rsidRPr="0058432E" w:rsidRDefault="001456CD" w:rsidP="004A24CF">
            <w:pPr>
              <w:ind w:left="270" w:hanging="270"/>
              <w:rPr>
                <w:color w:val="000000" w:themeColor="text1"/>
                <w:sz w:val="20"/>
              </w:rPr>
            </w:pPr>
            <w:r w:rsidRPr="0058432E">
              <w:rPr>
                <w:color w:val="000000" w:themeColor="text1"/>
                <w:sz w:val="20"/>
                <w:vertAlign w:val="superscript"/>
              </w:rPr>
              <w:t>3</w:t>
            </w:r>
            <w:r w:rsidRPr="0058432E">
              <w:rPr>
                <w:color w:val="000000" w:themeColor="text1"/>
                <w:sz w:val="20"/>
              </w:rPr>
              <w:tab/>
              <w:t>Définie comme la fermeture de toutes les fistules, à au moins 2 visites consécutives après la visite initiale</w:t>
            </w:r>
          </w:p>
        </w:tc>
      </w:tr>
    </w:tbl>
    <w:p w14:paraId="6CEC51E7" w14:textId="77777777" w:rsidR="001456CD" w:rsidRPr="0058432E" w:rsidRDefault="001456CD" w:rsidP="001456CD">
      <w:pPr>
        <w:rPr>
          <w:color w:val="000000" w:themeColor="text1"/>
        </w:rPr>
      </w:pPr>
    </w:p>
    <w:p w14:paraId="410EFE75" w14:textId="77777777" w:rsidR="001456CD" w:rsidRPr="0058432E" w:rsidRDefault="001456CD" w:rsidP="001456CD">
      <w:pPr>
        <w:pStyle w:val="BodyText"/>
        <w:kinsoku w:val="0"/>
        <w:overflowPunct w:val="0"/>
        <w:ind w:left="0"/>
        <w:rPr>
          <w:color w:val="000000" w:themeColor="text1"/>
        </w:rPr>
      </w:pPr>
      <w:r w:rsidRPr="0058432E">
        <w:rPr>
          <w:color w:val="000000" w:themeColor="text1"/>
        </w:rPr>
        <w:t>Des augmentations statistiquement significatives (amélioration) de l’indice de masse corporelle et de la vitesse de croissance staturale ont été observées dans les deux groupes de traitement entre la visite initiale et les semaines 26 et 52.</w:t>
      </w:r>
    </w:p>
    <w:p w14:paraId="7744ABF0" w14:textId="77777777" w:rsidR="001456CD" w:rsidRPr="0058432E" w:rsidRDefault="001456CD" w:rsidP="001456CD">
      <w:pPr>
        <w:pStyle w:val="BodyText"/>
        <w:widowControl/>
        <w:kinsoku w:val="0"/>
        <w:overflowPunct w:val="0"/>
        <w:ind w:left="0"/>
        <w:rPr>
          <w:color w:val="000000" w:themeColor="text1"/>
        </w:rPr>
      </w:pPr>
    </w:p>
    <w:p w14:paraId="2085036F" w14:textId="77777777" w:rsidR="001456CD" w:rsidRPr="0058432E" w:rsidRDefault="001456CD" w:rsidP="001456CD">
      <w:pPr>
        <w:pStyle w:val="BodyText"/>
        <w:kinsoku w:val="0"/>
        <w:overflowPunct w:val="0"/>
        <w:ind w:left="0"/>
        <w:rPr>
          <w:color w:val="000000" w:themeColor="text1"/>
        </w:rPr>
      </w:pPr>
      <w:r w:rsidRPr="0058432E">
        <w:rPr>
          <w:color w:val="000000" w:themeColor="text1"/>
        </w:rPr>
        <w:t>Des améliorations statistiquement et cliniquement significatives par rapport à la visite initiale ont également été observées dans les deux groupes de traitement pour les paramètres de qualité de vie (y compris IMPACT III).</w:t>
      </w:r>
    </w:p>
    <w:p w14:paraId="29E18CDF" w14:textId="77777777" w:rsidR="001456CD" w:rsidRPr="0058432E" w:rsidRDefault="001456CD" w:rsidP="001456CD">
      <w:pPr>
        <w:pStyle w:val="BodyText"/>
        <w:widowControl/>
        <w:kinsoku w:val="0"/>
        <w:overflowPunct w:val="0"/>
        <w:ind w:left="0"/>
        <w:rPr>
          <w:color w:val="000000" w:themeColor="text1"/>
          <w:szCs w:val="21"/>
        </w:rPr>
      </w:pPr>
    </w:p>
    <w:p w14:paraId="4CE60ECB" w14:textId="77777777" w:rsidR="001456CD" w:rsidRPr="0058432E" w:rsidRDefault="001456CD" w:rsidP="001456CD">
      <w:pPr>
        <w:pStyle w:val="BodyText"/>
        <w:kinsoku w:val="0"/>
        <w:overflowPunct w:val="0"/>
        <w:ind w:left="0"/>
        <w:rPr>
          <w:color w:val="000000" w:themeColor="text1"/>
        </w:rPr>
      </w:pPr>
      <w:r w:rsidRPr="0058432E">
        <w:rPr>
          <w:color w:val="000000" w:themeColor="text1"/>
        </w:rPr>
        <w:t>Cent patients (n =</w:t>
      </w:r>
      <w:r w:rsidRPr="0058432E">
        <w:rPr>
          <w:b/>
          <w:color w:val="000000" w:themeColor="text1"/>
        </w:rPr>
        <w:t> </w:t>
      </w:r>
      <w:r w:rsidRPr="0058432E">
        <w:rPr>
          <w:color w:val="000000" w:themeColor="text1"/>
        </w:rPr>
        <w:t>100) issus de l’étude sur la MC pédiatrique ont été inclus dans une étude d’extension à long terme en ouvert. Après 5 ans de traitement par adalimumab, 74,0 % (37/50) des 50 patients restant dans l’étude continuaient à être en rémission clinique et 92,0 % (46/50) des patients continuaient à être en réponse clinique selon le score PCDAI.</w:t>
      </w:r>
    </w:p>
    <w:p w14:paraId="30D25C09" w14:textId="77777777" w:rsidR="00E40C42" w:rsidRPr="0058432E" w:rsidRDefault="00E40C42" w:rsidP="00E40C42">
      <w:pPr>
        <w:pStyle w:val="BodyText"/>
        <w:kinsoku w:val="0"/>
        <w:overflowPunct w:val="0"/>
        <w:ind w:left="0"/>
        <w:rPr>
          <w:color w:val="000000" w:themeColor="text1"/>
        </w:rPr>
      </w:pPr>
    </w:p>
    <w:p w14:paraId="11219A64" w14:textId="77777777" w:rsidR="00E40C42" w:rsidRPr="0058432E" w:rsidRDefault="00E40C42" w:rsidP="00E40C42">
      <w:pPr>
        <w:keepNext/>
        <w:rPr>
          <w:i/>
          <w:iCs/>
          <w:color w:val="000000" w:themeColor="text1"/>
        </w:rPr>
      </w:pPr>
      <w:r w:rsidRPr="0058432E">
        <w:rPr>
          <w:i/>
          <w:iCs/>
          <w:color w:val="000000" w:themeColor="text1"/>
        </w:rPr>
        <w:t>Rectocolite hémorragique pédiatrique</w:t>
      </w:r>
    </w:p>
    <w:p w14:paraId="512CAEFE" w14:textId="77777777" w:rsidR="00E40C42" w:rsidRPr="0058432E" w:rsidRDefault="00E40C42" w:rsidP="00E40C42">
      <w:pPr>
        <w:keepNext/>
        <w:rPr>
          <w:color w:val="000000" w:themeColor="text1"/>
        </w:rPr>
      </w:pPr>
    </w:p>
    <w:p w14:paraId="3A4216BF" w14:textId="77777777" w:rsidR="00E40C42" w:rsidRPr="0058432E" w:rsidRDefault="00E40C42" w:rsidP="00E40C42">
      <w:pPr>
        <w:rPr>
          <w:iCs/>
          <w:color w:val="000000" w:themeColor="text1"/>
        </w:rPr>
      </w:pPr>
      <w:r w:rsidRPr="0058432E">
        <w:rPr>
          <w:iCs/>
          <w:color w:val="000000" w:themeColor="text1"/>
        </w:rPr>
        <w:t xml:space="preserve">La tolérance et l’efficacité de </w:t>
      </w:r>
      <w:r w:rsidRPr="0058432E">
        <w:rPr>
          <w:color w:val="000000" w:themeColor="text1"/>
        </w:rPr>
        <w:t>l’adalimumab</w:t>
      </w:r>
      <w:r w:rsidRPr="0058432E">
        <w:rPr>
          <w:iCs/>
          <w:color w:val="000000" w:themeColor="text1"/>
        </w:rPr>
        <w:t xml:space="preserve"> ont été évaluées dans une étude multicentrique, randomisée, en double aveugle, menée chez 93 patients pédiatriques âgés de 5 à 17 ans et atteints de rectocolite hémorragique modérée à sévère (score Mayo de 6 à 12 avec un sous-score endoscopique de 2 à 3 points, confirmé par une endoscopie évaluée par une relecture centralisée) qui présentaient une réponse inadéquate ou une intolérance au traitement conventionnel. Environ 16 % des patients de l’étude étaient en échec d’un précédent traitement par anti-TNF. Les patients recevant des corticoïdes au moment de l’inclusion ont été autorisés à diminuer progressivement leur traitement par corticoïdes après la semaine 4.</w:t>
      </w:r>
    </w:p>
    <w:p w14:paraId="146F7A60" w14:textId="77777777" w:rsidR="00E40C42" w:rsidRPr="0058432E" w:rsidRDefault="00E40C42" w:rsidP="00E40C42">
      <w:pPr>
        <w:rPr>
          <w:iCs/>
          <w:color w:val="000000" w:themeColor="text1"/>
        </w:rPr>
      </w:pPr>
    </w:p>
    <w:p w14:paraId="13B67850" w14:textId="77777777" w:rsidR="00E40C42" w:rsidRPr="0058432E" w:rsidRDefault="00E40C42" w:rsidP="00E40C42">
      <w:pPr>
        <w:rPr>
          <w:iCs/>
          <w:color w:val="000000" w:themeColor="text1"/>
        </w:rPr>
      </w:pPr>
      <w:r w:rsidRPr="0058432E">
        <w:rPr>
          <w:iCs/>
          <w:color w:val="000000" w:themeColor="text1"/>
        </w:rPr>
        <w:t xml:space="preserve">Au cours de la période d’induction de l’étude, 77 patients ont été randomisés (3/2) pour recevoir un traitement en double aveugle par </w:t>
      </w:r>
      <w:r w:rsidRPr="0058432E">
        <w:rPr>
          <w:color w:val="000000" w:themeColor="text1"/>
        </w:rPr>
        <w:t>adalimumab</w:t>
      </w:r>
      <w:r w:rsidRPr="0058432E">
        <w:rPr>
          <w:iCs/>
          <w:color w:val="000000" w:themeColor="text1"/>
        </w:rPr>
        <w:t xml:space="preserve"> à une dose d’induction de 2,4 mg/kg (dose maximale de 160 mg) à la semaine 0 et à la semaine 1, et de 1,2 mg/kg (dose maximale de 80 mg) à la semaine 2 ; ou une dose d’induction de 2,4 mg/kg (dose maximale de 160 mg) à la semaine 0, un placebo à la </w:t>
      </w:r>
      <w:r w:rsidRPr="0058432E">
        <w:rPr>
          <w:color w:val="000000" w:themeColor="text1"/>
        </w:rPr>
        <w:t>semaine 1</w:t>
      </w:r>
      <w:r w:rsidRPr="0058432E">
        <w:rPr>
          <w:iCs/>
          <w:color w:val="000000" w:themeColor="text1"/>
        </w:rPr>
        <w:t xml:space="preserve"> et une dose de 1,2 mg/kg (dose maximale de 80 mg) à la semaine 2. Les deux groupes ont reçu une dose de 0,6 mg/kg (dose maximale de 40 mg) à la semaine 4 et à la semaine 6. </w:t>
      </w:r>
      <w:proofErr w:type="gramStart"/>
      <w:r w:rsidRPr="0058432E">
        <w:rPr>
          <w:iCs/>
          <w:color w:val="000000" w:themeColor="text1"/>
        </w:rPr>
        <w:t>Suite à un</w:t>
      </w:r>
      <w:proofErr w:type="gramEnd"/>
      <w:r w:rsidRPr="0058432E">
        <w:rPr>
          <w:iCs/>
          <w:color w:val="000000" w:themeColor="text1"/>
        </w:rPr>
        <w:t xml:space="preserve"> amendement de l’étude, les 16 patients restants ayant participé à la période d’induction ont reçu un traitement en ouvert par </w:t>
      </w:r>
      <w:r w:rsidRPr="0058432E">
        <w:rPr>
          <w:color w:val="000000" w:themeColor="text1"/>
        </w:rPr>
        <w:t>adalimumab</w:t>
      </w:r>
      <w:r w:rsidRPr="0058432E">
        <w:rPr>
          <w:iCs/>
          <w:color w:val="000000" w:themeColor="text1"/>
        </w:rPr>
        <w:t xml:space="preserve"> à la dose d’induction de 2,4 mg/kg (dose maximale de 160 mg) à la semaine 0 et à la semaine 1, et de 1,2 mg/kg (dose maximale de 80 mg) à la semaine 2.</w:t>
      </w:r>
    </w:p>
    <w:p w14:paraId="5A325AD2" w14:textId="77777777" w:rsidR="00E40C42" w:rsidRPr="0058432E" w:rsidRDefault="00E40C42" w:rsidP="00E40C42">
      <w:pPr>
        <w:rPr>
          <w:iCs/>
          <w:color w:val="000000" w:themeColor="text1"/>
        </w:rPr>
      </w:pPr>
    </w:p>
    <w:p w14:paraId="58D3083F" w14:textId="77777777" w:rsidR="00E40C42" w:rsidRPr="0058432E" w:rsidRDefault="00E40C42" w:rsidP="00E40C42">
      <w:pPr>
        <w:rPr>
          <w:iCs/>
          <w:color w:val="000000" w:themeColor="text1"/>
        </w:rPr>
      </w:pPr>
      <w:r w:rsidRPr="0058432E">
        <w:rPr>
          <w:iCs/>
          <w:color w:val="000000" w:themeColor="text1"/>
        </w:rPr>
        <w:t xml:space="preserve">À la semaine 8, 62 patients ayant présenté une réponse clinique selon le Score Mayo partiel (SMP ; définie comme une diminution du SMP ≥ 2 points et ≥ 30 % par rapport à la valeur initiale) ont été </w:t>
      </w:r>
      <w:r w:rsidRPr="0058432E">
        <w:rPr>
          <w:iCs/>
          <w:color w:val="000000" w:themeColor="text1"/>
        </w:rPr>
        <w:lastRenderedPageBreak/>
        <w:t xml:space="preserve">randomisés pour recevoir un traitement d’entretien en double aveugle par </w:t>
      </w:r>
      <w:r w:rsidRPr="0058432E">
        <w:rPr>
          <w:color w:val="000000" w:themeColor="text1"/>
        </w:rPr>
        <w:t>adalimumab</w:t>
      </w:r>
      <w:r w:rsidRPr="0058432E">
        <w:rPr>
          <w:iCs/>
          <w:color w:val="000000" w:themeColor="text1"/>
        </w:rPr>
        <w:t xml:space="preserve"> à une dose de 0,6 mg/kg (dose maximale de 40 mg) chaque semaine, ou une dose d’entretien de 0,6 mg/kg (dose maximale de 40 mg) toutes les deux semaines. </w:t>
      </w:r>
      <w:r w:rsidR="00A415C3" w:rsidRPr="0058432E">
        <w:rPr>
          <w:iCs/>
          <w:color w:val="000000" w:themeColor="text1"/>
        </w:rPr>
        <w:t xml:space="preserve">Avant un </w:t>
      </w:r>
      <w:r w:rsidRPr="0058432E">
        <w:rPr>
          <w:iCs/>
          <w:color w:val="000000" w:themeColor="text1"/>
        </w:rPr>
        <w:t>amendement</w:t>
      </w:r>
      <w:r w:rsidR="00A415C3" w:rsidRPr="0058432E">
        <w:rPr>
          <w:iCs/>
          <w:color w:val="000000" w:themeColor="text1"/>
        </w:rPr>
        <w:t xml:space="preserve"> de l’étude</w:t>
      </w:r>
      <w:r w:rsidRPr="0058432E">
        <w:rPr>
          <w:iCs/>
          <w:color w:val="000000" w:themeColor="text1"/>
        </w:rPr>
        <w:t xml:space="preserve">, 12 patients supplémentaires ayant présenté une réponse clinique d’après le SMP ont été randomisés pour recevoir un placebo, mais ces derniers n’ont pas été inclus dans l’analyse </w:t>
      </w:r>
      <w:r w:rsidR="00A415C3" w:rsidRPr="0058432E">
        <w:rPr>
          <w:iCs/>
          <w:color w:val="000000" w:themeColor="text1"/>
        </w:rPr>
        <w:t>de confirmation</w:t>
      </w:r>
      <w:r w:rsidRPr="0058432E">
        <w:rPr>
          <w:iCs/>
          <w:color w:val="000000" w:themeColor="text1"/>
        </w:rPr>
        <w:t xml:space="preserve"> d</w:t>
      </w:r>
      <w:r w:rsidR="00A415C3" w:rsidRPr="0058432E">
        <w:rPr>
          <w:iCs/>
          <w:color w:val="000000" w:themeColor="text1"/>
        </w:rPr>
        <w:t>e l</w:t>
      </w:r>
      <w:r w:rsidRPr="0058432E">
        <w:rPr>
          <w:iCs/>
          <w:color w:val="000000" w:themeColor="text1"/>
        </w:rPr>
        <w:t>’efficacité.</w:t>
      </w:r>
    </w:p>
    <w:p w14:paraId="32F0508C" w14:textId="77777777" w:rsidR="00E40C42" w:rsidRPr="0058432E" w:rsidRDefault="00E40C42" w:rsidP="00E40C42">
      <w:pPr>
        <w:rPr>
          <w:iCs/>
          <w:color w:val="000000" w:themeColor="text1"/>
        </w:rPr>
      </w:pPr>
    </w:p>
    <w:p w14:paraId="484EE7C5" w14:textId="77777777" w:rsidR="00E40C42" w:rsidRPr="0058432E" w:rsidRDefault="00E40C42" w:rsidP="00E40C42">
      <w:pPr>
        <w:rPr>
          <w:iCs/>
          <w:color w:val="000000" w:themeColor="text1"/>
        </w:rPr>
      </w:pPr>
      <w:r w:rsidRPr="0058432E">
        <w:rPr>
          <w:iCs/>
          <w:color w:val="000000" w:themeColor="text1"/>
        </w:rPr>
        <w:t>Une poussée de la maladie était définie comme une augmentation du SMP d’au moins 3 points (pour les patients présentant un SMP de 0 à 2 à la semaine 8), d’au moins 2 points (pour les patients présentant un SMP de 3 à 4 à la semaine 8), ou d’au moins 1 point (pour les patients présentant un SMP de 5 à 6 à la semaine 8).</w:t>
      </w:r>
    </w:p>
    <w:p w14:paraId="161E5366" w14:textId="77777777" w:rsidR="00E40C42" w:rsidRPr="0058432E" w:rsidRDefault="00E40C42" w:rsidP="00E40C42">
      <w:pPr>
        <w:rPr>
          <w:iCs/>
          <w:color w:val="000000" w:themeColor="text1"/>
        </w:rPr>
      </w:pPr>
    </w:p>
    <w:p w14:paraId="247239F0" w14:textId="77777777" w:rsidR="00E40C42" w:rsidRPr="0058432E" w:rsidRDefault="00E40C42" w:rsidP="00E40C42">
      <w:pPr>
        <w:rPr>
          <w:iCs/>
          <w:color w:val="000000" w:themeColor="text1"/>
        </w:rPr>
      </w:pPr>
      <w:r w:rsidRPr="0058432E">
        <w:rPr>
          <w:iCs/>
          <w:color w:val="000000" w:themeColor="text1"/>
        </w:rPr>
        <w:t>Les patients dont l’état répondait aux critères de poussée de la maladie à la semaine 12 ou après ont été randomisés pour recevoir une dose de réinduction de 2,4 mg/kg (dose maximale de 160 mg) ou une dose de 0,6 mg/kg (dose maximale de 40 mg) et ont conservé leur dose d’entretien respective par la suite.</w:t>
      </w:r>
    </w:p>
    <w:p w14:paraId="4D256369" w14:textId="77777777" w:rsidR="00E40C42" w:rsidRPr="0058432E" w:rsidRDefault="00E40C42" w:rsidP="00E40C42">
      <w:pPr>
        <w:rPr>
          <w:iCs/>
          <w:color w:val="000000" w:themeColor="text1"/>
        </w:rPr>
      </w:pPr>
    </w:p>
    <w:p w14:paraId="2E6387F7" w14:textId="77777777" w:rsidR="00E40C42" w:rsidRPr="0058432E" w:rsidRDefault="00E40C42" w:rsidP="00E40C42">
      <w:pPr>
        <w:keepNext/>
        <w:rPr>
          <w:i/>
          <w:color w:val="000000" w:themeColor="text1"/>
          <w:u w:val="single"/>
        </w:rPr>
      </w:pPr>
      <w:r w:rsidRPr="0058432E">
        <w:rPr>
          <w:i/>
          <w:color w:val="000000" w:themeColor="text1"/>
          <w:u w:val="single"/>
        </w:rPr>
        <w:t>Résultats d’efficacité</w:t>
      </w:r>
    </w:p>
    <w:p w14:paraId="3B63D9E2" w14:textId="77777777" w:rsidR="00E40C42" w:rsidRPr="0058432E" w:rsidRDefault="00E40C42" w:rsidP="00E40C42">
      <w:pPr>
        <w:keepNext/>
        <w:rPr>
          <w:iCs/>
          <w:color w:val="000000" w:themeColor="text1"/>
        </w:rPr>
      </w:pPr>
    </w:p>
    <w:p w14:paraId="00AA9410" w14:textId="77777777" w:rsidR="00E40C42" w:rsidRPr="0058432E" w:rsidRDefault="00E40C42" w:rsidP="00E40C42">
      <w:pPr>
        <w:rPr>
          <w:iCs/>
          <w:color w:val="000000" w:themeColor="text1"/>
        </w:rPr>
      </w:pPr>
      <w:r w:rsidRPr="0058432E">
        <w:rPr>
          <w:iCs/>
          <w:color w:val="000000" w:themeColor="text1"/>
        </w:rPr>
        <w:t>Les co-critères principaux d’évaluation de l’étude étaient la rémission clinique selon le SMP (définie par un SMP ≤ 2 sans aucun sous-score individuel &gt; 1) à la semaine 8, et la rémission clinique selon le score SMT (score Mayo total) (définie par un score Mayo ≤ 2 sans aucun sous-score individuel &gt; 1) à la semaine 52 chez les patients ayant obtenu une réponse clinique d’après le SMP à la semaine 8.</w:t>
      </w:r>
    </w:p>
    <w:p w14:paraId="2AFEDEF0" w14:textId="77777777" w:rsidR="00E40C42" w:rsidRPr="0058432E" w:rsidRDefault="00E40C42" w:rsidP="00E40C42">
      <w:pPr>
        <w:rPr>
          <w:iCs/>
          <w:color w:val="000000" w:themeColor="text1"/>
        </w:rPr>
      </w:pPr>
    </w:p>
    <w:p w14:paraId="0EBB6EB7" w14:textId="77777777" w:rsidR="00E40C42" w:rsidRPr="0058432E" w:rsidRDefault="00E40C42" w:rsidP="00E40C42">
      <w:pPr>
        <w:rPr>
          <w:iCs/>
          <w:color w:val="000000" w:themeColor="text1"/>
        </w:rPr>
      </w:pPr>
      <w:r w:rsidRPr="0058432E">
        <w:rPr>
          <w:iCs/>
          <w:color w:val="000000" w:themeColor="text1"/>
        </w:rPr>
        <w:t xml:space="preserve">À la semaine 8, les taux de rémission clinique selon le SMP pour les patients de chaque groupe ayant reçu le traitement d’induction par </w:t>
      </w:r>
      <w:r w:rsidRPr="0058432E">
        <w:rPr>
          <w:color w:val="000000" w:themeColor="text1"/>
        </w:rPr>
        <w:t>adalimumab</w:t>
      </w:r>
      <w:r w:rsidRPr="0058432E">
        <w:rPr>
          <w:iCs/>
          <w:color w:val="000000" w:themeColor="text1"/>
        </w:rPr>
        <w:t xml:space="preserve"> en double aveugle sont présentés dans le tableau </w:t>
      </w:r>
      <w:r w:rsidR="00DA67B2" w:rsidRPr="0058432E">
        <w:rPr>
          <w:iCs/>
          <w:color w:val="000000" w:themeColor="text1"/>
        </w:rPr>
        <w:t>31</w:t>
      </w:r>
      <w:r w:rsidRPr="0058432E">
        <w:rPr>
          <w:iCs/>
          <w:color w:val="000000" w:themeColor="text1"/>
        </w:rPr>
        <w:t>.</w:t>
      </w:r>
    </w:p>
    <w:p w14:paraId="47931312" w14:textId="77777777" w:rsidR="00E40C42" w:rsidRPr="0058432E" w:rsidRDefault="00E40C42" w:rsidP="00E40C42">
      <w:pPr>
        <w:rPr>
          <w:i/>
          <w:color w:val="000000" w:themeColor="text1"/>
        </w:rPr>
      </w:pPr>
    </w:p>
    <w:p w14:paraId="704F7EA7" w14:textId="77777777" w:rsidR="00780E30" w:rsidRPr="0058432E" w:rsidRDefault="00E40C42" w:rsidP="00E40C42">
      <w:pPr>
        <w:keepNext/>
        <w:rPr>
          <w:b/>
          <w:color w:val="000000" w:themeColor="text1"/>
        </w:rPr>
      </w:pPr>
      <w:r w:rsidRPr="0058432E">
        <w:rPr>
          <w:b/>
          <w:color w:val="000000" w:themeColor="text1"/>
        </w:rPr>
        <w:t>Tableau </w:t>
      </w:r>
      <w:r w:rsidR="00DA67B2" w:rsidRPr="0058432E">
        <w:rPr>
          <w:b/>
          <w:color w:val="000000" w:themeColor="text1"/>
        </w:rPr>
        <w:t>31</w:t>
      </w:r>
      <w:r w:rsidRPr="0058432E">
        <w:rPr>
          <w:b/>
          <w:color w:val="000000" w:themeColor="text1"/>
        </w:rPr>
        <w:t>.</w:t>
      </w:r>
    </w:p>
    <w:p w14:paraId="34BABE69" w14:textId="77777777" w:rsidR="00E40C42" w:rsidRPr="0058432E" w:rsidRDefault="00E40C42" w:rsidP="00E40C42">
      <w:pPr>
        <w:keepNext/>
        <w:rPr>
          <w:b/>
          <w:bCs/>
          <w:color w:val="000000" w:themeColor="text1"/>
        </w:rPr>
      </w:pPr>
      <w:r w:rsidRPr="0058432E">
        <w:rPr>
          <w:b/>
          <w:color w:val="000000" w:themeColor="text1"/>
        </w:rPr>
        <w:t>Rémission clinique selon le SMP à 8 semaines</w:t>
      </w:r>
    </w:p>
    <w:p w14:paraId="7B2791CA" w14:textId="77777777" w:rsidR="00E40C42" w:rsidRPr="0058432E" w:rsidRDefault="00E40C42" w:rsidP="00E40C42">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7"/>
        <w:gridCol w:w="3032"/>
      </w:tblGrid>
      <w:tr w:rsidR="00E40C42" w:rsidRPr="0058432E" w14:paraId="1E3D9874" w14:textId="77777777" w:rsidTr="009B0A71">
        <w:trPr>
          <w:cantSplit/>
          <w:tblHeader/>
        </w:trPr>
        <w:tc>
          <w:tcPr>
            <w:tcW w:w="3118" w:type="dxa"/>
            <w:tcBorders>
              <w:top w:val="single" w:sz="4" w:space="0" w:color="auto"/>
              <w:left w:val="single" w:sz="4" w:space="0" w:color="auto"/>
              <w:bottom w:val="single" w:sz="4" w:space="0" w:color="auto"/>
              <w:right w:val="single" w:sz="4" w:space="0" w:color="auto"/>
            </w:tcBorders>
          </w:tcPr>
          <w:p w14:paraId="3810F5CF" w14:textId="77777777" w:rsidR="00E40C42" w:rsidRPr="0058432E" w:rsidRDefault="00E40C42"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7DB2D0C0" w14:textId="77777777" w:rsidR="00E40C42" w:rsidRPr="0058432E" w:rsidRDefault="00E40C42"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4FFF4BB0" w14:textId="77777777" w:rsidR="00E40C42" w:rsidRPr="0058432E" w:rsidRDefault="00E40C42" w:rsidP="009B0A71">
            <w:pPr>
              <w:keepNext/>
              <w:jc w:val="center"/>
              <w:rPr>
                <w:b/>
                <w:color w:val="000000" w:themeColor="text1"/>
              </w:rPr>
            </w:pPr>
            <w:r w:rsidRPr="0058432E">
              <w:rPr>
                <w:b/>
                <w:color w:val="000000" w:themeColor="text1"/>
              </w:rPr>
              <w:t>Dose maximale de 160 mg à la semaine 0/placebo à la semaine 1</w:t>
            </w:r>
          </w:p>
          <w:p w14:paraId="1007752F"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30</w:t>
            </w:r>
          </w:p>
        </w:tc>
        <w:tc>
          <w:tcPr>
            <w:tcW w:w="3108" w:type="dxa"/>
            <w:tcBorders>
              <w:top w:val="single" w:sz="4" w:space="0" w:color="auto"/>
              <w:left w:val="single" w:sz="4" w:space="0" w:color="auto"/>
              <w:bottom w:val="single" w:sz="4" w:space="0" w:color="auto"/>
              <w:right w:val="single" w:sz="4" w:space="0" w:color="auto"/>
            </w:tcBorders>
            <w:hideMark/>
          </w:tcPr>
          <w:p w14:paraId="0927422D" w14:textId="77777777" w:rsidR="00E40C42" w:rsidRPr="0058432E" w:rsidRDefault="00E40C42" w:rsidP="009B0A71">
            <w:pPr>
              <w:keepNext/>
              <w:jc w:val="center"/>
              <w:rPr>
                <w:b/>
                <w:color w:val="000000" w:themeColor="text1"/>
              </w:rPr>
            </w:pPr>
            <w:proofErr w:type="gramStart"/>
            <w:r w:rsidRPr="0058432E">
              <w:rPr>
                <w:b/>
                <w:color w:val="000000" w:themeColor="text1"/>
              </w:rPr>
              <w:t>Adalimumab</w:t>
            </w:r>
            <w:r w:rsidRPr="0058432E">
              <w:rPr>
                <w:b/>
                <w:color w:val="000000" w:themeColor="text1"/>
                <w:vertAlign w:val="superscript"/>
              </w:rPr>
              <w:t>b,c</w:t>
            </w:r>
            <w:proofErr w:type="gramEnd"/>
          </w:p>
          <w:p w14:paraId="4222715E" w14:textId="77777777" w:rsidR="00E40C42" w:rsidRPr="0058432E" w:rsidRDefault="00E40C42" w:rsidP="009B0A71">
            <w:pPr>
              <w:keepNext/>
              <w:jc w:val="center"/>
              <w:rPr>
                <w:b/>
                <w:color w:val="000000" w:themeColor="text1"/>
              </w:rPr>
            </w:pPr>
            <w:r w:rsidRPr="0058432E">
              <w:rPr>
                <w:b/>
                <w:color w:val="000000" w:themeColor="text1"/>
              </w:rPr>
              <w:t>Dose maximale de 160 mg à la semaine 0 et à la semaine 1</w:t>
            </w:r>
          </w:p>
          <w:p w14:paraId="3E6405C1"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47</w:t>
            </w:r>
          </w:p>
        </w:tc>
      </w:tr>
      <w:tr w:rsidR="00E40C42" w:rsidRPr="0058432E" w14:paraId="55698B48"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3C0E5DBA" w14:textId="77777777" w:rsidR="00E40C42" w:rsidRPr="0058432E" w:rsidRDefault="00E40C42" w:rsidP="009B0A71">
            <w:pPr>
              <w:rPr>
                <w:color w:val="000000" w:themeColor="text1"/>
              </w:rPr>
            </w:pPr>
            <w:r w:rsidRPr="0058432E">
              <w:rPr>
                <w:color w:val="000000" w:themeColor="text1"/>
              </w:rPr>
              <w:t>Rémission clinique</w:t>
            </w:r>
          </w:p>
        </w:tc>
        <w:tc>
          <w:tcPr>
            <w:tcW w:w="3077" w:type="dxa"/>
            <w:tcBorders>
              <w:top w:val="single" w:sz="4" w:space="0" w:color="auto"/>
              <w:left w:val="single" w:sz="4" w:space="0" w:color="auto"/>
              <w:bottom w:val="single" w:sz="4" w:space="0" w:color="auto"/>
              <w:right w:val="single" w:sz="4" w:space="0" w:color="auto"/>
            </w:tcBorders>
            <w:hideMark/>
          </w:tcPr>
          <w:p w14:paraId="0E2E7C45" w14:textId="77777777" w:rsidR="00E40C42" w:rsidRPr="0058432E" w:rsidRDefault="00E40C42" w:rsidP="009B0A71">
            <w:pPr>
              <w:jc w:val="center"/>
              <w:rPr>
                <w:color w:val="000000" w:themeColor="text1"/>
              </w:rPr>
            </w:pPr>
            <w:r w:rsidRPr="0058432E">
              <w:rPr>
                <w:color w:val="000000" w:themeColor="text1"/>
              </w:rPr>
              <w:t>13/30 (43,3 %)</w:t>
            </w:r>
          </w:p>
        </w:tc>
        <w:tc>
          <w:tcPr>
            <w:tcW w:w="3108" w:type="dxa"/>
            <w:tcBorders>
              <w:top w:val="single" w:sz="4" w:space="0" w:color="auto"/>
              <w:left w:val="single" w:sz="4" w:space="0" w:color="auto"/>
              <w:bottom w:val="single" w:sz="4" w:space="0" w:color="auto"/>
              <w:right w:val="single" w:sz="4" w:space="0" w:color="auto"/>
            </w:tcBorders>
            <w:hideMark/>
          </w:tcPr>
          <w:p w14:paraId="2862126C" w14:textId="77777777" w:rsidR="00E40C42" w:rsidRPr="0058432E" w:rsidRDefault="00E40C42" w:rsidP="009B0A71">
            <w:pPr>
              <w:jc w:val="center"/>
              <w:rPr>
                <w:color w:val="000000" w:themeColor="text1"/>
              </w:rPr>
            </w:pPr>
            <w:r w:rsidRPr="0058432E">
              <w:rPr>
                <w:color w:val="000000" w:themeColor="text1"/>
              </w:rPr>
              <w:t>28/47 (59,6 %)</w:t>
            </w:r>
          </w:p>
        </w:tc>
      </w:tr>
      <w:tr w:rsidR="00E40C42" w:rsidRPr="0058432E" w14:paraId="5712C509" w14:textId="77777777" w:rsidTr="009B0A71">
        <w:trPr>
          <w:cantSplit/>
        </w:trPr>
        <w:tc>
          <w:tcPr>
            <w:tcW w:w="9303" w:type="dxa"/>
            <w:gridSpan w:val="3"/>
            <w:tcBorders>
              <w:top w:val="single" w:sz="4" w:space="0" w:color="auto"/>
              <w:left w:val="nil"/>
              <w:bottom w:val="nil"/>
              <w:right w:val="nil"/>
            </w:tcBorders>
          </w:tcPr>
          <w:p w14:paraId="4D111F06" w14:textId="77777777" w:rsidR="00E40C42" w:rsidRPr="0058432E" w:rsidRDefault="00E40C42"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 xml:space="preserve"> </w:t>
            </w:r>
            <w:r w:rsidRPr="0058432E">
              <w:rPr>
                <w:color w:val="000000" w:themeColor="text1"/>
                <w:sz w:val="20"/>
                <w:szCs w:val="20"/>
              </w:rPr>
              <w:tab/>
              <w:t>Adalimumab 2,4 mg/kg (dose maximale de 160 mg) à la semaine 0, placebo à la semaine 1, et 1,2 mg/kg (dose maximale de 80 mg) à la semaine 2</w:t>
            </w:r>
          </w:p>
          <w:p w14:paraId="24E0092A" w14:textId="77777777" w:rsidR="00E40C42" w:rsidRPr="0058432E" w:rsidRDefault="00E40C42"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 xml:space="preserve"> </w:t>
            </w:r>
            <w:r w:rsidRPr="0058432E">
              <w:rPr>
                <w:color w:val="000000" w:themeColor="text1"/>
                <w:sz w:val="20"/>
                <w:szCs w:val="20"/>
              </w:rPr>
              <w:tab/>
              <w:t>Adalimumab 2,4 mg/kg (dose maximale de 160 mg) à la semaine 0 et à la semaine 1, et 1,2 mg/kg (dose maximale de 80 mg) à la semaine 2</w:t>
            </w:r>
          </w:p>
          <w:p w14:paraId="41CC5DE2" w14:textId="77777777" w:rsidR="00E40C42" w:rsidRPr="0058432E" w:rsidRDefault="00E40C42" w:rsidP="009B0A71">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 xml:space="preserve"> </w:t>
            </w:r>
            <w:r w:rsidRPr="0058432E">
              <w:rPr>
                <w:color w:val="000000" w:themeColor="text1"/>
                <w:sz w:val="20"/>
                <w:szCs w:val="20"/>
              </w:rPr>
              <w:tab/>
              <w:t>En excluant la dose d’induction en ouvert d’adalimumab de 2,4 mg/kg (dose maximale de 160 mg) à la semaine 0 et à la semaine 1, et de 1,2 mg/kg (dose maximale de 80 mg) à la semaine 2</w:t>
            </w:r>
          </w:p>
          <w:p w14:paraId="583A87D5" w14:textId="77777777" w:rsidR="00E40C42" w:rsidRPr="0058432E" w:rsidRDefault="00E40C42" w:rsidP="009B0A71">
            <w:pPr>
              <w:autoSpaceDE w:val="0"/>
              <w:autoSpaceDN w:val="0"/>
              <w:adjustRightInd w:val="0"/>
              <w:rPr>
                <w:color w:val="000000" w:themeColor="text1"/>
                <w:sz w:val="20"/>
                <w:szCs w:val="20"/>
              </w:rPr>
            </w:pPr>
            <w:r w:rsidRPr="0058432E">
              <w:rPr>
                <w:color w:val="000000" w:themeColor="text1"/>
                <w:sz w:val="20"/>
                <w:szCs w:val="20"/>
              </w:rPr>
              <w:t>Remarque 1 : les deux groupes du traitement d’induction ont reçu une dose de 0,6 mg/kg (dose maximale de 40 mg) à la semaine 4 et à la semaine 6</w:t>
            </w:r>
          </w:p>
          <w:p w14:paraId="5879E353" w14:textId="77777777" w:rsidR="00E40C42" w:rsidRPr="0058432E" w:rsidRDefault="00E40C42" w:rsidP="009B0A71">
            <w:pPr>
              <w:autoSpaceDE w:val="0"/>
              <w:autoSpaceDN w:val="0"/>
              <w:adjustRightInd w:val="0"/>
              <w:rPr>
                <w:color w:val="000000" w:themeColor="text1"/>
                <w:sz w:val="20"/>
                <w:szCs w:val="20"/>
              </w:rPr>
            </w:pPr>
            <w:r w:rsidRPr="0058432E">
              <w:rPr>
                <w:color w:val="000000" w:themeColor="text1"/>
                <w:sz w:val="20"/>
                <w:szCs w:val="20"/>
              </w:rPr>
              <w:t>Remarque 2 : pour les patients dont les valeurs étaient manquantes à la semaine 8, le critère d’évaluation est considéré comme n’étant pas atteint</w:t>
            </w:r>
          </w:p>
        </w:tc>
      </w:tr>
    </w:tbl>
    <w:p w14:paraId="061DDAF7" w14:textId="77777777" w:rsidR="00E40C42" w:rsidRPr="0058432E" w:rsidRDefault="00E40C42" w:rsidP="00E40C42">
      <w:pPr>
        <w:keepNext/>
        <w:rPr>
          <w:i/>
          <w:color w:val="000000" w:themeColor="text1"/>
        </w:rPr>
      </w:pPr>
    </w:p>
    <w:p w14:paraId="4265F066" w14:textId="77777777" w:rsidR="00E40C42" w:rsidRPr="0058432E" w:rsidRDefault="00E40C42" w:rsidP="00E40C42">
      <w:pPr>
        <w:autoSpaceDE w:val="0"/>
        <w:autoSpaceDN w:val="0"/>
        <w:adjustRightInd w:val="0"/>
        <w:rPr>
          <w:color w:val="000000" w:themeColor="text1"/>
        </w:rPr>
      </w:pPr>
      <w:r w:rsidRPr="0058432E">
        <w:rPr>
          <w:color w:val="000000" w:themeColor="text1"/>
        </w:rPr>
        <w:t>À la semaine 52, la rémission clinique selon le SMT chez les patients ayant présenté une réponse clinique à la semaine 8, la réponse clinique selon le SMT (définie comme une diminution du score Mayo ≥ 3 points et ≥ 30 % par rapport à l’inclusion) chez les patients ayant présenté une réponse à la semaine 8, la cicatrisation de la muqueuse (définie comme un sous-score endoscopique Mayo ≤ 1) chez les patients ayant présenté une réponse à la semaine 8, la rémission clinique selon le SMT chez les patients en rémission à la semaine 8, et la proportion de patients en rémission sans corticoïdes selon le SMT chez les patients ayant présenté une réponse à la semaine 8 ont été évaluées pour les patients ayant reçu l’adalimumab en double aveugle à la dose d’entretien maximale de 40 mg 1 semaine sur 2 (0,6 mg/kg) et à la dose d’entretien maximale de 40 mg chaqu</w:t>
      </w:r>
      <w:r w:rsidR="0054027E" w:rsidRPr="0058432E">
        <w:rPr>
          <w:color w:val="000000" w:themeColor="text1"/>
        </w:rPr>
        <w:t>e semaine (0,6 mg/kg) (tableau 32</w:t>
      </w:r>
      <w:r w:rsidRPr="0058432E">
        <w:rPr>
          <w:color w:val="000000" w:themeColor="text1"/>
        </w:rPr>
        <w:t>).</w:t>
      </w:r>
    </w:p>
    <w:p w14:paraId="5BC45B82" w14:textId="77777777" w:rsidR="00E40C42" w:rsidRPr="0058432E" w:rsidRDefault="00E40C42" w:rsidP="00E40C42">
      <w:pPr>
        <w:rPr>
          <w:iCs/>
          <w:color w:val="000000" w:themeColor="text1"/>
        </w:rPr>
      </w:pPr>
    </w:p>
    <w:p w14:paraId="16F77DFE" w14:textId="77777777" w:rsidR="00987703" w:rsidRPr="0058432E" w:rsidRDefault="00E40C42" w:rsidP="00E40C42">
      <w:pPr>
        <w:keepNext/>
        <w:rPr>
          <w:b/>
          <w:color w:val="000000" w:themeColor="text1"/>
        </w:rPr>
      </w:pPr>
      <w:r w:rsidRPr="0058432E">
        <w:rPr>
          <w:b/>
          <w:color w:val="000000" w:themeColor="text1"/>
        </w:rPr>
        <w:lastRenderedPageBreak/>
        <w:t>Tableau </w:t>
      </w:r>
      <w:r w:rsidR="0054027E" w:rsidRPr="0058432E">
        <w:rPr>
          <w:b/>
          <w:color w:val="000000" w:themeColor="text1"/>
        </w:rPr>
        <w:t>32</w:t>
      </w:r>
      <w:r w:rsidRPr="0058432E">
        <w:rPr>
          <w:b/>
          <w:color w:val="000000" w:themeColor="text1"/>
        </w:rPr>
        <w:t>.</w:t>
      </w:r>
    </w:p>
    <w:p w14:paraId="2FA9451A" w14:textId="77777777" w:rsidR="00E40C42" w:rsidRPr="0058432E" w:rsidRDefault="00E40C42" w:rsidP="00E40C42">
      <w:pPr>
        <w:keepNext/>
        <w:rPr>
          <w:b/>
          <w:bCs/>
          <w:color w:val="000000" w:themeColor="text1"/>
        </w:rPr>
      </w:pPr>
      <w:r w:rsidRPr="0058432E">
        <w:rPr>
          <w:b/>
          <w:color w:val="000000" w:themeColor="text1"/>
        </w:rPr>
        <w:t>Résultats d’efficacité à 52 semaines</w:t>
      </w:r>
    </w:p>
    <w:p w14:paraId="0BCCC965" w14:textId="77777777" w:rsidR="00E40C42" w:rsidRPr="0058432E" w:rsidRDefault="00E40C42" w:rsidP="00E40C42">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3001"/>
        <w:gridCol w:w="3032"/>
      </w:tblGrid>
      <w:tr w:rsidR="00E40C42" w:rsidRPr="0058432E" w14:paraId="18134AC8" w14:textId="77777777" w:rsidTr="009B0A71">
        <w:trPr>
          <w:cantSplit/>
          <w:tblHeader/>
        </w:trPr>
        <w:tc>
          <w:tcPr>
            <w:tcW w:w="3118" w:type="dxa"/>
            <w:tcBorders>
              <w:top w:val="single" w:sz="4" w:space="0" w:color="auto"/>
              <w:left w:val="single" w:sz="4" w:space="0" w:color="auto"/>
              <w:bottom w:val="single" w:sz="4" w:space="0" w:color="auto"/>
              <w:right w:val="single" w:sz="4" w:space="0" w:color="auto"/>
            </w:tcBorders>
          </w:tcPr>
          <w:p w14:paraId="4A56DE17" w14:textId="77777777" w:rsidR="00E40C42" w:rsidRPr="0058432E" w:rsidRDefault="00E40C42"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0192ED41" w14:textId="77777777" w:rsidR="00E40C42" w:rsidRPr="0058432E" w:rsidRDefault="00E40C42"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7CA4825E" w14:textId="77777777" w:rsidR="00E40C42" w:rsidRPr="0058432E" w:rsidRDefault="00E40C42" w:rsidP="009B0A71">
            <w:pPr>
              <w:keepNext/>
              <w:jc w:val="center"/>
              <w:rPr>
                <w:b/>
                <w:color w:val="000000" w:themeColor="text1"/>
              </w:rPr>
            </w:pPr>
            <w:r w:rsidRPr="0058432E">
              <w:rPr>
                <w:b/>
                <w:color w:val="000000" w:themeColor="text1"/>
              </w:rPr>
              <w:t>Dose maximale de 40 mg 1 semaine sur 2</w:t>
            </w:r>
          </w:p>
          <w:p w14:paraId="4E2A5359"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31</w:t>
            </w:r>
          </w:p>
        </w:tc>
        <w:tc>
          <w:tcPr>
            <w:tcW w:w="3108" w:type="dxa"/>
            <w:tcBorders>
              <w:top w:val="single" w:sz="4" w:space="0" w:color="auto"/>
              <w:left w:val="single" w:sz="4" w:space="0" w:color="auto"/>
              <w:bottom w:val="single" w:sz="4" w:space="0" w:color="auto"/>
              <w:right w:val="single" w:sz="4" w:space="0" w:color="auto"/>
            </w:tcBorders>
            <w:hideMark/>
          </w:tcPr>
          <w:p w14:paraId="48CC64CF" w14:textId="77777777" w:rsidR="00E40C42" w:rsidRPr="0058432E" w:rsidRDefault="00E40C42" w:rsidP="009B0A71">
            <w:pPr>
              <w:keepNext/>
              <w:jc w:val="center"/>
              <w:rPr>
                <w:b/>
                <w:color w:val="000000" w:themeColor="text1"/>
                <w:vertAlign w:val="superscript"/>
              </w:rPr>
            </w:pPr>
            <w:r w:rsidRPr="0058432E">
              <w:rPr>
                <w:b/>
                <w:color w:val="000000" w:themeColor="text1"/>
              </w:rPr>
              <w:t>Adalimumab</w:t>
            </w:r>
            <w:r w:rsidRPr="0058432E">
              <w:rPr>
                <w:b/>
                <w:color w:val="000000" w:themeColor="text1"/>
                <w:vertAlign w:val="superscript"/>
              </w:rPr>
              <w:t>b</w:t>
            </w:r>
          </w:p>
          <w:p w14:paraId="64442D1E" w14:textId="77777777" w:rsidR="00E40C42" w:rsidRPr="0058432E" w:rsidRDefault="00E40C42" w:rsidP="009B0A71">
            <w:pPr>
              <w:keepNext/>
              <w:jc w:val="center"/>
              <w:rPr>
                <w:b/>
                <w:color w:val="000000" w:themeColor="text1"/>
              </w:rPr>
            </w:pPr>
            <w:r w:rsidRPr="0058432E">
              <w:rPr>
                <w:b/>
                <w:color w:val="000000" w:themeColor="text1"/>
              </w:rPr>
              <w:t>Dose maximale de 40 mg</w:t>
            </w:r>
          </w:p>
          <w:p w14:paraId="2683C286" w14:textId="77777777" w:rsidR="00E40C42" w:rsidRPr="0058432E" w:rsidRDefault="00E40C42" w:rsidP="009B0A71">
            <w:pPr>
              <w:keepNext/>
              <w:jc w:val="center"/>
              <w:rPr>
                <w:b/>
                <w:color w:val="000000" w:themeColor="text1"/>
              </w:rPr>
            </w:pPr>
            <w:proofErr w:type="gramStart"/>
            <w:r w:rsidRPr="0058432E">
              <w:rPr>
                <w:b/>
                <w:color w:val="000000" w:themeColor="text1"/>
              </w:rPr>
              <w:t>chaque</w:t>
            </w:r>
            <w:proofErr w:type="gramEnd"/>
            <w:r w:rsidRPr="0058432E">
              <w:rPr>
                <w:b/>
                <w:color w:val="000000" w:themeColor="text1"/>
              </w:rPr>
              <w:t xml:space="preserve"> semaine</w:t>
            </w:r>
          </w:p>
          <w:p w14:paraId="27CA545D"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31</w:t>
            </w:r>
          </w:p>
        </w:tc>
      </w:tr>
      <w:tr w:rsidR="00E40C42" w:rsidRPr="0058432E" w14:paraId="1472164E"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372889B6" w14:textId="77777777" w:rsidR="00E40C42" w:rsidRPr="0058432E" w:rsidRDefault="00E40C42" w:rsidP="009B0A71">
            <w:pPr>
              <w:rPr>
                <w:color w:val="000000" w:themeColor="text1"/>
              </w:rPr>
            </w:pPr>
            <w:r w:rsidRPr="0058432E">
              <w:rPr>
                <w:color w:val="000000" w:themeColor="text1"/>
              </w:rPr>
              <w:t>Rémission clinique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hideMark/>
          </w:tcPr>
          <w:p w14:paraId="2937E7A8" w14:textId="77777777" w:rsidR="00E40C42" w:rsidRPr="0058432E" w:rsidRDefault="00E40C42" w:rsidP="009B0A71">
            <w:pPr>
              <w:jc w:val="center"/>
              <w:rPr>
                <w:color w:val="000000" w:themeColor="text1"/>
              </w:rPr>
            </w:pPr>
            <w:r w:rsidRPr="0058432E">
              <w:rPr>
                <w:color w:val="000000" w:themeColor="text1"/>
              </w:rPr>
              <w:t>9/31 (29,0 %)</w:t>
            </w:r>
          </w:p>
        </w:tc>
        <w:tc>
          <w:tcPr>
            <w:tcW w:w="3108" w:type="dxa"/>
            <w:tcBorders>
              <w:top w:val="single" w:sz="4" w:space="0" w:color="auto"/>
              <w:left w:val="single" w:sz="4" w:space="0" w:color="auto"/>
              <w:bottom w:val="single" w:sz="4" w:space="0" w:color="auto"/>
              <w:right w:val="single" w:sz="4" w:space="0" w:color="auto"/>
            </w:tcBorders>
            <w:hideMark/>
          </w:tcPr>
          <w:p w14:paraId="60BED805" w14:textId="77777777" w:rsidR="00E40C42" w:rsidRPr="0058432E" w:rsidRDefault="00E40C42" w:rsidP="009B0A71">
            <w:pPr>
              <w:jc w:val="center"/>
              <w:rPr>
                <w:color w:val="000000" w:themeColor="text1"/>
              </w:rPr>
            </w:pPr>
            <w:r w:rsidRPr="0058432E">
              <w:rPr>
                <w:color w:val="000000" w:themeColor="text1"/>
              </w:rPr>
              <w:t>14/31 (45,2 %)</w:t>
            </w:r>
          </w:p>
        </w:tc>
      </w:tr>
      <w:tr w:rsidR="00E40C42" w:rsidRPr="0058432E" w14:paraId="1A86599B"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77CE63AF" w14:textId="77777777" w:rsidR="00E40C42" w:rsidRPr="0058432E" w:rsidRDefault="00E40C42" w:rsidP="009B0A71">
            <w:pPr>
              <w:rPr>
                <w:color w:val="000000" w:themeColor="text1"/>
              </w:rPr>
            </w:pPr>
            <w:r w:rsidRPr="0058432E">
              <w:rPr>
                <w:color w:val="000000" w:themeColor="text1"/>
              </w:rPr>
              <w:t>Réponse clinique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tcPr>
          <w:p w14:paraId="43D31700" w14:textId="77777777" w:rsidR="00E40C42" w:rsidRPr="0058432E" w:rsidRDefault="00E40C42" w:rsidP="009B0A71">
            <w:pPr>
              <w:jc w:val="center"/>
              <w:rPr>
                <w:color w:val="000000" w:themeColor="text1"/>
              </w:rPr>
            </w:pPr>
            <w:r w:rsidRPr="0058432E">
              <w:rPr>
                <w:color w:val="000000" w:themeColor="text1"/>
              </w:rPr>
              <w:t>19/31 (61,3 %)</w:t>
            </w:r>
          </w:p>
        </w:tc>
        <w:tc>
          <w:tcPr>
            <w:tcW w:w="3108" w:type="dxa"/>
            <w:tcBorders>
              <w:top w:val="single" w:sz="4" w:space="0" w:color="auto"/>
              <w:left w:val="single" w:sz="4" w:space="0" w:color="auto"/>
              <w:bottom w:val="single" w:sz="4" w:space="0" w:color="auto"/>
              <w:right w:val="single" w:sz="4" w:space="0" w:color="auto"/>
            </w:tcBorders>
          </w:tcPr>
          <w:p w14:paraId="14264088" w14:textId="77777777" w:rsidR="00E40C42" w:rsidRPr="0058432E" w:rsidRDefault="00E40C42" w:rsidP="009B0A71">
            <w:pPr>
              <w:jc w:val="center"/>
              <w:rPr>
                <w:color w:val="000000" w:themeColor="text1"/>
              </w:rPr>
            </w:pPr>
            <w:r w:rsidRPr="0058432E">
              <w:rPr>
                <w:color w:val="000000" w:themeColor="text1"/>
              </w:rPr>
              <w:t>21/31 (67,7 %)</w:t>
            </w:r>
          </w:p>
        </w:tc>
      </w:tr>
      <w:tr w:rsidR="00E40C42" w:rsidRPr="0058432E" w14:paraId="32FB8974"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2F284BA1" w14:textId="77777777" w:rsidR="00E40C42" w:rsidRPr="0058432E" w:rsidRDefault="00E40C42" w:rsidP="009B0A71">
            <w:pPr>
              <w:rPr>
                <w:color w:val="000000" w:themeColor="text1"/>
              </w:rPr>
            </w:pPr>
            <w:r w:rsidRPr="0058432E">
              <w:rPr>
                <w:color w:val="000000" w:themeColor="text1"/>
              </w:rPr>
              <w:t>Cicatrisation de la muqueuse chez les répondeurs à la semaine 8 selon le SMP</w:t>
            </w:r>
          </w:p>
        </w:tc>
        <w:tc>
          <w:tcPr>
            <w:tcW w:w="3077" w:type="dxa"/>
            <w:tcBorders>
              <w:top w:val="single" w:sz="4" w:space="0" w:color="auto"/>
              <w:left w:val="single" w:sz="4" w:space="0" w:color="auto"/>
              <w:bottom w:val="single" w:sz="4" w:space="0" w:color="auto"/>
              <w:right w:val="single" w:sz="4" w:space="0" w:color="auto"/>
            </w:tcBorders>
          </w:tcPr>
          <w:p w14:paraId="37EA1B6F" w14:textId="77777777" w:rsidR="00E40C42" w:rsidRPr="0058432E" w:rsidRDefault="00E40C42" w:rsidP="009B0A71">
            <w:pPr>
              <w:jc w:val="center"/>
              <w:rPr>
                <w:color w:val="000000" w:themeColor="text1"/>
              </w:rPr>
            </w:pPr>
            <w:r w:rsidRPr="0058432E">
              <w:rPr>
                <w:color w:val="000000" w:themeColor="text1"/>
              </w:rPr>
              <w:t>12/31 (38,7 %)</w:t>
            </w:r>
          </w:p>
        </w:tc>
        <w:tc>
          <w:tcPr>
            <w:tcW w:w="3108" w:type="dxa"/>
            <w:tcBorders>
              <w:top w:val="single" w:sz="4" w:space="0" w:color="auto"/>
              <w:left w:val="single" w:sz="4" w:space="0" w:color="auto"/>
              <w:bottom w:val="single" w:sz="4" w:space="0" w:color="auto"/>
              <w:right w:val="single" w:sz="4" w:space="0" w:color="auto"/>
            </w:tcBorders>
          </w:tcPr>
          <w:p w14:paraId="2B2B30CA" w14:textId="77777777" w:rsidR="00E40C42" w:rsidRPr="0058432E" w:rsidRDefault="00E40C42" w:rsidP="009B0A71">
            <w:pPr>
              <w:jc w:val="center"/>
              <w:rPr>
                <w:color w:val="000000" w:themeColor="text1"/>
              </w:rPr>
            </w:pPr>
            <w:r w:rsidRPr="0058432E">
              <w:rPr>
                <w:color w:val="000000" w:themeColor="text1"/>
              </w:rPr>
              <w:t>16/31 (51,6 %)</w:t>
            </w:r>
          </w:p>
        </w:tc>
      </w:tr>
      <w:tr w:rsidR="00E40C42" w:rsidRPr="0058432E" w14:paraId="539363D2"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76D4F955" w14:textId="77777777" w:rsidR="00E40C42" w:rsidRPr="0058432E" w:rsidRDefault="00E40C42" w:rsidP="009B0A71">
            <w:pPr>
              <w:rPr>
                <w:color w:val="000000" w:themeColor="text1"/>
              </w:rPr>
            </w:pPr>
            <w:r w:rsidRPr="0058432E">
              <w:rPr>
                <w:color w:val="000000" w:themeColor="text1"/>
              </w:rPr>
              <w:t>Rémission clinique chez les patients en rémission à la semaine 8 selon le SMP</w:t>
            </w:r>
          </w:p>
        </w:tc>
        <w:tc>
          <w:tcPr>
            <w:tcW w:w="3077" w:type="dxa"/>
            <w:tcBorders>
              <w:top w:val="single" w:sz="4" w:space="0" w:color="auto"/>
              <w:left w:val="single" w:sz="4" w:space="0" w:color="auto"/>
              <w:bottom w:val="single" w:sz="4" w:space="0" w:color="auto"/>
              <w:right w:val="single" w:sz="4" w:space="0" w:color="auto"/>
            </w:tcBorders>
          </w:tcPr>
          <w:p w14:paraId="636E3C0B" w14:textId="77777777" w:rsidR="00E40C42" w:rsidRPr="0058432E" w:rsidRDefault="00E40C42" w:rsidP="009B0A71">
            <w:pPr>
              <w:jc w:val="center"/>
              <w:rPr>
                <w:color w:val="000000" w:themeColor="text1"/>
              </w:rPr>
            </w:pPr>
            <w:r w:rsidRPr="0058432E">
              <w:rPr>
                <w:color w:val="000000" w:themeColor="text1"/>
              </w:rPr>
              <w:t>9/21 (42,9 %)</w:t>
            </w:r>
          </w:p>
        </w:tc>
        <w:tc>
          <w:tcPr>
            <w:tcW w:w="3108" w:type="dxa"/>
            <w:tcBorders>
              <w:top w:val="single" w:sz="4" w:space="0" w:color="auto"/>
              <w:left w:val="single" w:sz="4" w:space="0" w:color="auto"/>
              <w:bottom w:val="single" w:sz="4" w:space="0" w:color="auto"/>
              <w:right w:val="single" w:sz="4" w:space="0" w:color="auto"/>
            </w:tcBorders>
          </w:tcPr>
          <w:p w14:paraId="1702701A" w14:textId="77777777" w:rsidR="00E40C42" w:rsidRPr="0058432E" w:rsidRDefault="00E40C42" w:rsidP="009B0A71">
            <w:pPr>
              <w:jc w:val="center"/>
              <w:rPr>
                <w:color w:val="000000" w:themeColor="text1"/>
              </w:rPr>
            </w:pPr>
            <w:r w:rsidRPr="0058432E">
              <w:rPr>
                <w:color w:val="000000" w:themeColor="text1"/>
              </w:rPr>
              <w:t>10/22 (45,5 %)</w:t>
            </w:r>
          </w:p>
        </w:tc>
      </w:tr>
      <w:tr w:rsidR="00E40C42" w:rsidRPr="0058432E" w14:paraId="1CF7D0D7"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586948FA" w14:textId="77777777" w:rsidR="00E40C42" w:rsidRPr="0058432E" w:rsidRDefault="00E40C42" w:rsidP="009B0A71">
            <w:pPr>
              <w:rPr>
                <w:color w:val="000000" w:themeColor="text1"/>
              </w:rPr>
            </w:pPr>
            <w:r w:rsidRPr="0058432E">
              <w:rPr>
                <w:color w:val="000000" w:themeColor="text1"/>
              </w:rPr>
              <w:t>Rémission sans corticoïdes chez les répondeurs à la semaine 8 selon le SMP</w:t>
            </w:r>
            <w:r w:rsidRPr="0058432E">
              <w:rPr>
                <w:color w:val="000000" w:themeColor="text1"/>
                <w:vertAlign w:val="superscript"/>
              </w:rPr>
              <w:t>c</w:t>
            </w:r>
          </w:p>
        </w:tc>
        <w:tc>
          <w:tcPr>
            <w:tcW w:w="3077" w:type="dxa"/>
            <w:tcBorders>
              <w:top w:val="single" w:sz="4" w:space="0" w:color="auto"/>
              <w:left w:val="single" w:sz="4" w:space="0" w:color="auto"/>
              <w:bottom w:val="single" w:sz="4" w:space="0" w:color="auto"/>
              <w:right w:val="single" w:sz="4" w:space="0" w:color="auto"/>
            </w:tcBorders>
          </w:tcPr>
          <w:p w14:paraId="5A2188EB" w14:textId="77777777" w:rsidR="00E40C42" w:rsidRPr="0058432E" w:rsidRDefault="00E40C42" w:rsidP="009B0A71">
            <w:pPr>
              <w:jc w:val="center"/>
              <w:rPr>
                <w:color w:val="000000" w:themeColor="text1"/>
              </w:rPr>
            </w:pPr>
            <w:r w:rsidRPr="0058432E">
              <w:rPr>
                <w:color w:val="000000" w:themeColor="text1"/>
              </w:rPr>
              <w:t>4/13 (30,8 %)</w:t>
            </w:r>
          </w:p>
        </w:tc>
        <w:tc>
          <w:tcPr>
            <w:tcW w:w="3108" w:type="dxa"/>
            <w:tcBorders>
              <w:top w:val="single" w:sz="4" w:space="0" w:color="auto"/>
              <w:left w:val="single" w:sz="4" w:space="0" w:color="auto"/>
              <w:bottom w:val="single" w:sz="4" w:space="0" w:color="auto"/>
              <w:right w:val="single" w:sz="4" w:space="0" w:color="auto"/>
            </w:tcBorders>
          </w:tcPr>
          <w:p w14:paraId="538E8100" w14:textId="77777777" w:rsidR="00E40C42" w:rsidRPr="0058432E" w:rsidRDefault="00E40C42" w:rsidP="009B0A71">
            <w:pPr>
              <w:jc w:val="center"/>
              <w:rPr>
                <w:color w:val="000000" w:themeColor="text1"/>
              </w:rPr>
            </w:pPr>
            <w:r w:rsidRPr="0058432E">
              <w:rPr>
                <w:color w:val="000000" w:themeColor="text1"/>
              </w:rPr>
              <w:t>5/16 (31,3 %)</w:t>
            </w:r>
          </w:p>
        </w:tc>
      </w:tr>
    </w:tbl>
    <w:p w14:paraId="6A139AE6" w14:textId="77777777" w:rsidR="00E40C42" w:rsidRPr="0058432E" w:rsidRDefault="00E40C42" w:rsidP="00E40C42">
      <w:pPr>
        <w:keepNext/>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w:t>
      </w:r>
      <w:r w:rsidRPr="0058432E">
        <w:rPr>
          <w:rFonts w:ascii="TimesNewRomanPSMT" w:hAnsi="TimesNewRomanPSMT" w:cs="TimesNewRomanPSMT"/>
          <w:color w:val="000000" w:themeColor="text1"/>
          <w:sz w:val="20"/>
          <w:szCs w:val="20"/>
        </w:rPr>
        <w:t> </w:t>
      </w:r>
      <w:r w:rsidRPr="0058432E">
        <w:rPr>
          <w:color w:val="000000" w:themeColor="text1"/>
          <w:sz w:val="20"/>
          <w:szCs w:val="20"/>
        </w:rPr>
        <w:t>mg) toutes les deux semaines</w:t>
      </w:r>
    </w:p>
    <w:p w14:paraId="0D2A5EBF" w14:textId="77777777" w:rsidR="00E40C42" w:rsidRPr="0058432E" w:rsidRDefault="00E40C42" w:rsidP="00E40C42">
      <w:pPr>
        <w:keepNext/>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w:t>
      </w:r>
      <w:r w:rsidRPr="0058432E">
        <w:rPr>
          <w:rFonts w:ascii="TimesNewRomanPSMT" w:hAnsi="TimesNewRomanPSMT" w:cs="TimesNewRomanPSMT"/>
          <w:color w:val="000000" w:themeColor="text1"/>
          <w:sz w:val="20"/>
          <w:szCs w:val="20"/>
        </w:rPr>
        <w:t> </w:t>
      </w:r>
      <w:r w:rsidRPr="0058432E">
        <w:rPr>
          <w:color w:val="000000" w:themeColor="text1"/>
          <w:sz w:val="20"/>
          <w:szCs w:val="20"/>
        </w:rPr>
        <w:t>mg) chaque semaine</w:t>
      </w:r>
    </w:p>
    <w:p w14:paraId="2D817C29" w14:textId="77777777" w:rsidR="00E40C42" w:rsidRPr="0058432E" w:rsidRDefault="00E40C42" w:rsidP="00E40C42">
      <w:pPr>
        <w:keepNext/>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ab/>
        <w:t>Pour les patients recevant un traitement concomitant par corticoïdes à l’inclusion</w:t>
      </w:r>
    </w:p>
    <w:p w14:paraId="5B850244" w14:textId="77777777" w:rsidR="00E40C42" w:rsidRPr="0058432E" w:rsidRDefault="00E40C42" w:rsidP="00E40C42">
      <w:pPr>
        <w:autoSpaceDE w:val="0"/>
        <w:autoSpaceDN w:val="0"/>
        <w:adjustRightInd w:val="0"/>
        <w:rPr>
          <w:color w:val="000000" w:themeColor="text1"/>
          <w:sz w:val="20"/>
          <w:szCs w:val="20"/>
        </w:rPr>
      </w:pPr>
      <w:r w:rsidRPr="0058432E">
        <w:rPr>
          <w:color w:val="000000" w:themeColor="text1"/>
          <w:sz w:val="20"/>
          <w:szCs w:val="20"/>
        </w:rPr>
        <w:t>Remarque : les patients dont les valeurs étaient manquantes à la semaine 52 ou qui ont été randomisés pour recevoir un traitement de réinduction ou d’entretien ont été considérés comme non répondeurs d’après les critères d’évaluation de la semaine 52</w:t>
      </w:r>
    </w:p>
    <w:p w14:paraId="18B4CE96" w14:textId="77777777" w:rsidR="00E40C42" w:rsidRPr="0058432E" w:rsidRDefault="00E40C42" w:rsidP="00E40C42">
      <w:pPr>
        <w:rPr>
          <w:iCs/>
          <w:color w:val="000000" w:themeColor="text1"/>
        </w:rPr>
      </w:pPr>
    </w:p>
    <w:p w14:paraId="6B6608D6" w14:textId="77777777" w:rsidR="00E40C42" w:rsidRPr="0058432E" w:rsidRDefault="00E40C42" w:rsidP="00E40C42">
      <w:pPr>
        <w:autoSpaceDE w:val="0"/>
        <w:autoSpaceDN w:val="0"/>
        <w:adjustRightInd w:val="0"/>
        <w:rPr>
          <w:color w:val="000000" w:themeColor="text1"/>
        </w:rPr>
      </w:pPr>
      <w:r w:rsidRPr="0058432E">
        <w:rPr>
          <w:color w:val="000000" w:themeColor="text1"/>
        </w:rPr>
        <w:t>Les autres critères d’évaluation exploratoires de l’efficacité comprenaient la réponse clinique selon l’indice d’activité de la rectocolite hémorragique pédiatrique (</w:t>
      </w:r>
      <w:r w:rsidRPr="0058432E">
        <w:rPr>
          <w:i/>
          <w:color w:val="000000" w:themeColor="text1"/>
        </w:rPr>
        <w:t>Paediatric Ulcerative Colitis Activity Index</w:t>
      </w:r>
      <w:r w:rsidRPr="0058432E">
        <w:rPr>
          <w:color w:val="000000" w:themeColor="text1"/>
        </w:rPr>
        <w:t>, PUCAI) (définie comme une diminution de l’indice PUCAI ≥ 20 points par rapport à l’inclusion) et la rémission clinique selon l’indice PUCAI (définie comme un indice PUCAI &lt; 10) à la semaine </w:t>
      </w:r>
      <w:r w:rsidR="0054027E" w:rsidRPr="0058432E">
        <w:rPr>
          <w:color w:val="000000" w:themeColor="text1"/>
        </w:rPr>
        <w:t>8 et à la semaine 52 (tableau 33</w:t>
      </w:r>
      <w:r w:rsidRPr="0058432E">
        <w:rPr>
          <w:color w:val="000000" w:themeColor="text1"/>
        </w:rPr>
        <w:t>).</w:t>
      </w:r>
    </w:p>
    <w:p w14:paraId="446DEA5C" w14:textId="77777777" w:rsidR="00E40C42" w:rsidRPr="0058432E" w:rsidRDefault="00E40C42" w:rsidP="00E40C42">
      <w:pPr>
        <w:rPr>
          <w:iCs/>
          <w:color w:val="000000" w:themeColor="text1"/>
        </w:rPr>
      </w:pPr>
    </w:p>
    <w:p w14:paraId="47C4A58F" w14:textId="77777777" w:rsidR="00DD1457" w:rsidRPr="0058432E" w:rsidRDefault="00E40C42" w:rsidP="00E40C42">
      <w:pPr>
        <w:keepNext/>
        <w:rPr>
          <w:b/>
          <w:color w:val="000000" w:themeColor="text1"/>
        </w:rPr>
      </w:pPr>
      <w:r w:rsidRPr="0058432E">
        <w:rPr>
          <w:b/>
          <w:color w:val="000000" w:themeColor="text1"/>
        </w:rPr>
        <w:t>Tableau </w:t>
      </w:r>
      <w:r w:rsidR="0054027E" w:rsidRPr="0058432E">
        <w:rPr>
          <w:b/>
          <w:color w:val="000000" w:themeColor="text1"/>
        </w:rPr>
        <w:t>33</w:t>
      </w:r>
      <w:r w:rsidRPr="0058432E">
        <w:rPr>
          <w:b/>
          <w:color w:val="000000" w:themeColor="text1"/>
        </w:rPr>
        <w:t>.</w:t>
      </w:r>
    </w:p>
    <w:p w14:paraId="5E104C7E" w14:textId="77777777" w:rsidR="00E40C42" w:rsidRPr="0058432E" w:rsidRDefault="00E40C42" w:rsidP="00E40C42">
      <w:pPr>
        <w:keepNext/>
        <w:rPr>
          <w:b/>
          <w:bCs/>
          <w:color w:val="000000" w:themeColor="text1"/>
        </w:rPr>
      </w:pPr>
      <w:r w:rsidRPr="0058432E">
        <w:rPr>
          <w:b/>
          <w:color w:val="000000" w:themeColor="text1"/>
        </w:rPr>
        <w:t>Résultats des critères d’évaluation exploratoires selon l’indice PUCAI</w:t>
      </w:r>
    </w:p>
    <w:p w14:paraId="32536D0B" w14:textId="77777777" w:rsidR="00E40C42" w:rsidRPr="0058432E" w:rsidRDefault="00E40C42" w:rsidP="00E40C42">
      <w:pPr>
        <w:keepNext/>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17"/>
        <w:gridCol w:w="3031"/>
      </w:tblGrid>
      <w:tr w:rsidR="00E40C42" w:rsidRPr="0058432E" w14:paraId="2FE933A9" w14:textId="77777777" w:rsidTr="009B0A71">
        <w:trPr>
          <w:cantSplit/>
        </w:trPr>
        <w:tc>
          <w:tcPr>
            <w:tcW w:w="3118" w:type="dxa"/>
            <w:vMerge w:val="restart"/>
            <w:tcBorders>
              <w:top w:val="single" w:sz="4" w:space="0" w:color="auto"/>
              <w:left w:val="single" w:sz="4" w:space="0" w:color="auto"/>
              <w:right w:val="single" w:sz="4" w:space="0" w:color="auto"/>
            </w:tcBorders>
          </w:tcPr>
          <w:p w14:paraId="458B0EB8" w14:textId="77777777" w:rsidR="00E40C42" w:rsidRPr="0058432E" w:rsidRDefault="00E40C42" w:rsidP="009B0A71">
            <w:pPr>
              <w:keepNext/>
              <w:jc w:val="center"/>
              <w:rPr>
                <w:b/>
                <w:color w:val="000000" w:themeColor="text1"/>
              </w:rPr>
            </w:pPr>
          </w:p>
        </w:tc>
        <w:tc>
          <w:tcPr>
            <w:tcW w:w="6185" w:type="dxa"/>
            <w:gridSpan w:val="2"/>
            <w:tcBorders>
              <w:top w:val="single" w:sz="4" w:space="0" w:color="auto"/>
              <w:left w:val="single" w:sz="4" w:space="0" w:color="auto"/>
              <w:bottom w:val="single" w:sz="4" w:space="0" w:color="auto"/>
              <w:right w:val="single" w:sz="4" w:space="0" w:color="auto"/>
            </w:tcBorders>
          </w:tcPr>
          <w:p w14:paraId="02C08CE1" w14:textId="77777777" w:rsidR="00E40C42" w:rsidRPr="0058432E" w:rsidRDefault="00E40C42" w:rsidP="009B0A71">
            <w:pPr>
              <w:keepNext/>
              <w:jc w:val="center"/>
              <w:rPr>
                <w:b/>
                <w:color w:val="000000" w:themeColor="text1"/>
              </w:rPr>
            </w:pPr>
            <w:r w:rsidRPr="0058432E">
              <w:rPr>
                <w:b/>
                <w:color w:val="000000" w:themeColor="text1"/>
              </w:rPr>
              <w:t>Semaine</w:t>
            </w:r>
            <w:r w:rsidRPr="0058432E">
              <w:rPr>
                <w:rFonts w:ascii="TimesNewRomanPSMT" w:hAnsi="TimesNewRomanPSMT" w:cs="TimesNewRomanPSMT"/>
                <w:color w:val="000000" w:themeColor="text1"/>
                <w:sz w:val="20"/>
                <w:szCs w:val="20"/>
              </w:rPr>
              <w:t> </w:t>
            </w:r>
            <w:r w:rsidRPr="0058432E">
              <w:rPr>
                <w:b/>
                <w:color w:val="000000" w:themeColor="text1"/>
              </w:rPr>
              <w:t>8</w:t>
            </w:r>
          </w:p>
        </w:tc>
      </w:tr>
      <w:tr w:rsidR="00E40C42" w:rsidRPr="0058432E" w14:paraId="22B01B24" w14:textId="77777777" w:rsidTr="009B0A71">
        <w:trPr>
          <w:cantSplit/>
        </w:trPr>
        <w:tc>
          <w:tcPr>
            <w:tcW w:w="3118" w:type="dxa"/>
            <w:vMerge/>
            <w:tcBorders>
              <w:left w:val="single" w:sz="4" w:space="0" w:color="auto"/>
              <w:bottom w:val="single" w:sz="4" w:space="0" w:color="auto"/>
              <w:right w:val="single" w:sz="4" w:space="0" w:color="auto"/>
            </w:tcBorders>
          </w:tcPr>
          <w:p w14:paraId="206F9C69" w14:textId="77777777" w:rsidR="00E40C42" w:rsidRPr="0058432E" w:rsidRDefault="00E40C42" w:rsidP="009B0A71">
            <w:pPr>
              <w:keepNext/>
              <w:jc w:val="center"/>
              <w:rPr>
                <w:b/>
                <w:color w:val="000000" w:themeColor="text1"/>
              </w:rPr>
            </w:pPr>
          </w:p>
        </w:tc>
        <w:tc>
          <w:tcPr>
            <w:tcW w:w="3077" w:type="dxa"/>
            <w:tcBorders>
              <w:top w:val="single" w:sz="4" w:space="0" w:color="auto"/>
              <w:left w:val="single" w:sz="4" w:space="0" w:color="auto"/>
              <w:bottom w:val="single" w:sz="4" w:space="0" w:color="auto"/>
              <w:right w:val="single" w:sz="4" w:space="0" w:color="auto"/>
            </w:tcBorders>
            <w:hideMark/>
          </w:tcPr>
          <w:p w14:paraId="74D03398" w14:textId="77777777" w:rsidR="00E40C42" w:rsidRPr="0058432E" w:rsidRDefault="00E40C42"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a</w:t>
            </w:r>
          </w:p>
          <w:p w14:paraId="72584B0C" w14:textId="77777777" w:rsidR="00E40C42" w:rsidRPr="0058432E" w:rsidRDefault="00E40C42" w:rsidP="009B0A71">
            <w:pPr>
              <w:keepNext/>
              <w:jc w:val="center"/>
              <w:rPr>
                <w:b/>
                <w:color w:val="000000" w:themeColor="text1"/>
              </w:rPr>
            </w:pPr>
            <w:r w:rsidRPr="0058432E">
              <w:rPr>
                <w:b/>
                <w:color w:val="000000" w:themeColor="text1"/>
              </w:rPr>
              <w:t>Dose maximale de 160 mg à la semaine 0/placebo à la semaine 1</w:t>
            </w:r>
          </w:p>
          <w:p w14:paraId="4043FCE0"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30</w:t>
            </w:r>
          </w:p>
        </w:tc>
        <w:tc>
          <w:tcPr>
            <w:tcW w:w="3108" w:type="dxa"/>
            <w:tcBorders>
              <w:top w:val="single" w:sz="4" w:space="0" w:color="auto"/>
              <w:left w:val="single" w:sz="4" w:space="0" w:color="auto"/>
              <w:bottom w:val="single" w:sz="4" w:space="0" w:color="auto"/>
              <w:right w:val="single" w:sz="4" w:space="0" w:color="auto"/>
            </w:tcBorders>
            <w:hideMark/>
          </w:tcPr>
          <w:p w14:paraId="0B48FE69" w14:textId="77777777" w:rsidR="00E40C42" w:rsidRPr="0058432E" w:rsidRDefault="00E40C42" w:rsidP="009B0A71">
            <w:pPr>
              <w:keepNext/>
              <w:jc w:val="center"/>
              <w:rPr>
                <w:b/>
                <w:color w:val="000000" w:themeColor="text1"/>
              </w:rPr>
            </w:pPr>
            <w:proofErr w:type="gramStart"/>
            <w:r w:rsidRPr="0058432E">
              <w:rPr>
                <w:b/>
                <w:color w:val="000000" w:themeColor="text1"/>
              </w:rPr>
              <w:t>Adalimumab</w:t>
            </w:r>
            <w:r w:rsidRPr="0058432E">
              <w:rPr>
                <w:b/>
                <w:color w:val="000000" w:themeColor="text1"/>
                <w:vertAlign w:val="superscript"/>
              </w:rPr>
              <w:t>b,c</w:t>
            </w:r>
            <w:proofErr w:type="gramEnd"/>
          </w:p>
          <w:p w14:paraId="0A54BE3E" w14:textId="77777777" w:rsidR="00E40C42" w:rsidRPr="0058432E" w:rsidRDefault="00E40C42" w:rsidP="009B0A71">
            <w:pPr>
              <w:keepNext/>
              <w:jc w:val="center"/>
              <w:rPr>
                <w:b/>
                <w:color w:val="000000" w:themeColor="text1"/>
              </w:rPr>
            </w:pPr>
            <w:r w:rsidRPr="0058432E">
              <w:rPr>
                <w:b/>
                <w:color w:val="000000" w:themeColor="text1"/>
              </w:rPr>
              <w:t>Dose maximale de 160 mg à la semaine 0 et à la semaine 1</w:t>
            </w:r>
          </w:p>
          <w:p w14:paraId="7012F78F" w14:textId="77777777" w:rsidR="00E40C42" w:rsidRPr="0058432E" w:rsidRDefault="00E40C42" w:rsidP="009B0A71">
            <w:pPr>
              <w:keepNext/>
              <w:jc w:val="center"/>
              <w:rPr>
                <w:b/>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47</w:t>
            </w:r>
          </w:p>
        </w:tc>
      </w:tr>
      <w:tr w:rsidR="00E40C42" w:rsidRPr="0058432E" w14:paraId="5B974689" w14:textId="77777777" w:rsidTr="009B0A71">
        <w:trPr>
          <w:cantSplit/>
        </w:trPr>
        <w:tc>
          <w:tcPr>
            <w:tcW w:w="3118" w:type="dxa"/>
            <w:tcBorders>
              <w:top w:val="single" w:sz="4" w:space="0" w:color="auto"/>
              <w:left w:val="single" w:sz="4" w:space="0" w:color="auto"/>
              <w:bottom w:val="single" w:sz="4" w:space="0" w:color="auto"/>
              <w:right w:val="single" w:sz="4" w:space="0" w:color="auto"/>
            </w:tcBorders>
            <w:hideMark/>
          </w:tcPr>
          <w:p w14:paraId="590E0706" w14:textId="77777777" w:rsidR="00E40C42" w:rsidRPr="0058432E" w:rsidRDefault="00E40C42" w:rsidP="009B0A71">
            <w:pPr>
              <w:rPr>
                <w:color w:val="000000" w:themeColor="text1"/>
              </w:rPr>
            </w:pPr>
            <w:r w:rsidRPr="0058432E">
              <w:rPr>
                <w:color w:val="000000" w:themeColor="text1"/>
              </w:rPr>
              <w:t>Rémission clinique selon l’indice PUCAI</w:t>
            </w:r>
          </w:p>
        </w:tc>
        <w:tc>
          <w:tcPr>
            <w:tcW w:w="3077" w:type="dxa"/>
            <w:tcBorders>
              <w:top w:val="single" w:sz="4" w:space="0" w:color="auto"/>
              <w:left w:val="single" w:sz="4" w:space="0" w:color="auto"/>
              <w:bottom w:val="single" w:sz="4" w:space="0" w:color="auto"/>
              <w:right w:val="single" w:sz="4" w:space="0" w:color="auto"/>
            </w:tcBorders>
            <w:hideMark/>
          </w:tcPr>
          <w:p w14:paraId="0A304DF2" w14:textId="77777777" w:rsidR="00E40C42" w:rsidRPr="0058432E" w:rsidRDefault="00E40C42" w:rsidP="009B0A71">
            <w:pPr>
              <w:jc w:val="center"/>
              <w:rPr>
                <w:color w:val="000000" w:themeColor="text1"/>
              </w:rPr>
            </w:pPr>
            <w:r w:rsidRPr="0058432E">
              <w:rPr>
                <w:color w:val="000000" w:themeColor="text1"/>
              </w:rPr>
              <w:t>10/30 (33,3 %)</w:t>
            </w:r>
          </w:p>
        </w:tc>
        <w:tc>
          <w:tcPr>
            <w:tcW w:w="3108" w:type="dxa"/>
            <w:tcBorders>
              <w:top w:val="single" w:sz="4" w:space="0" w:color="auto"/>
              <w:left w:val="single" w:sz="4" w:space="0" w:color="auto"/>
              <w:bottom w:val="single" w:sz="4" w:space="0" w:color="auto"/>
              <w:right w:val="single" w:sz="4" w:space="0" w:color="auto"/>
            </w:tcBorders>
            <w:hideMark/>
          </w:tcPr>
          <w:p w14:paraId="7A2AEB71" w14:textId="77777777" w:rsidR="00E40C42" w:rsidRPr="0058432E" w:rsidRDefault="00E40C42" w:rsidP="009B0A71">
            <w:pPr>
              <w:jc w:val="center"/>
              <w:rPr>
                <w:color w:val="000000" w:themeColor="text1"/>
              </w:rPr>
            </w:pPr>
            <w:r w:rsidRPr="0058432E">
              <w:rPr>
                <w:color w:val="000000" w:themeColor="text1"/>
              </w:rPr>
              <w:t>22/47 (46,8 %)</w:t>
            </w:r>
          </w:p>
        </w:tc>
      </w:tr>
      <w:tr w:rsidR="00E40C42" w:rsidRPr="0058432E" w14:paraId="1D40B1C3"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5579D29B" w14:textId="77777777" w:rsidR="00E40C42" w:rsidRPr="0058432E" w:rsidRDefault="00E40C42" w:rsidP="009B0A71">
            <w:pPr>
              <w:rPr>
                <w:color w:val="000000" w:themeColor="text1"/>
              </w:rPr>
            </w:pPr>
            <w:r w:rsidRPr="0058432E">
              <w:rPr>
                <w:color w:val="000000" w:themeColor="text1"/>
              </w:rPr>
              <w:t>Réponse clinique selon l’indice PUCAI</w:t>
            </w:r>
          </w:p>
        </w:tc>
        <w:tc>
          <w:tcPr>
            <w:tcW w:w="3077" w:type="dxa"/>
            <w:tcBorders>
              <w:top w:val="single" w:sz="4" w:space="0" w:color="auto"/>
              <w:left w:val="single" w:sz="4" w:space="0" w:color="auto"/>
              <w:bottom w:val="single" w:sz="4" w:space="0" w:color="auto"/>
              <w:right w:val="single" w:sz="4" w:space="0" w:color="auto"/>
            </w:tcBorders>
          </w:tcPr>
          <w:p w14:paraId="3D91602C" w14:textId="77777777" w:rsidR="00E40C42" w:rsidRPr="0058432E" w:rsidRDefault="00E40C42" w:rsidP="009B0A71">
            <w:pPr>
              <w:jc w:val="center"/>
              <w:rPr>
                <w:color w:val="000000" w:themeColor="text1"/>
              </w:rPr>
            </w:pPr>
            <w:r w:rsidRPr="0058432E">
              <w:rPr>
                <w:color w:val="000000" w:themeColor="text1"/>
              </w:rPr>
              <w:t>15/30 (50,0 %)</w:t>
            </w:r>
          </w:p>
        </w:tc>
        <w:tc>
          <w:tcPr>
            <w:tcW w:w="3108" w:type="dxa"/>
            <w:tcBorders>
              <w:top w:val="single" w:sz="4" w:space="0" w:color="auto"/>
              <w:left w:val="single" w:sz="4" w:space="0" w:color="auto"/>
              <w:bottom w:val="single" w:sz="4" w:space="0" w:color="auto"/>
              <w:right w:val="single" w:sz="4" w:space="0" w:color="auto"/>
            </w:tcBorders>
          </w:tcPr>
          <w:p w14:paraId="0D2345FD" w14:textId="77777777" w:rsidR="00E40C42" w:rsidRPr="0058432E" w:rsidRDefault="00E40C42" w:rsidP="009B0A71">
            <w:pPr>
              <w:jc w:val="center"/>
              <w:rPr>
                <w:color w:val="000000" w:themeColor="text1"/>
              </w:rPr>
            </w:pPr>
            <w:r w:rsidRPr="0058432E">
              <w:rPr>
                <w:color w:val="000000" w:themeColor="text1"/>
              </w:rPr>
              <w:t>32/47 (68,1 %)</w:t>
            </w:r>
          </w:p>
        </w:tc>
      </w:tr>
      <w:tr w:rsidR="00E40C42" w:rsidRPr="0058432E" w14:paraId="64B114A8" w14:textId="77777777" w:rsidTr="009B0A71">
        <w:trPr>
          <w:cantSplit/>
        </w:trPr>
        <w:tc>
          <w:tcPr>
            <w:tcW w:w="3118" w:type="dxa"/>
            <w:vMerge w:val="restart"/>
            <w:tcBorders>
              <w:top w:val="single" w:sz="4" w:space="0" w:color="auto"/>
              <w:left w:val="single" w:sz="4" w:space="0" w:color="auto"/>
              <w:right w:val="single" w:sz="4" w:space="0" w:color="auto"/>
            </w:tcBorders>
          </w:tcPr>
          <w:p w14:paraId="55F037D1" w14:textId="77777777" w:rsidR="00E40C42" w:rsidRPr="0058432E" w:rsidRDefault="00E40C42" w:rsidP="009B0A71">
            <w:pPr>
              <w:keepNext/>
              <w:rPr>
                <w:color w:val="000000" w:themeColor="text1"/>
              </w:rPr>
            </w:pPr>
          </w:p>
        </w:tc>
        <w:tc>
          <w:tcPr>
            <w:tcW w:w="6185" w:type="dxa"/>
            <w:gridSpan w:val="2"/>
            <w:tcBorders>
              <w:top w:val="single" w:sz="4" w:space="0" w:color="auto"/>
              <w:left w:val="single" w:sz="4" w:space="0" w:color="auto"/>
              <w:bottom w:val="single" w:sz="4" w:space="0" w:color="auto"/>
              <w:right w:val="single" w:sz="4" w:space="0" w:color="auto"/>
            </w:tcBorders>
          </w:tcPr>
          <w:p w14:paraId="7B9A2CAE" w14:textId="77777777" w:rsidR="00E40C42" w:rsidRPr="0058432E" w:rsidRDefault="00E40C42" w:rsidP="009B0A71">
            <w:pPr>
              <w:keepNext/>
              <w:jc w:val="center"/>
              <w:rPr>
                <w:b/>
                <w:bCs/>
                <w:color w:val="000000" w:themeColor="text1"/>
              </w:rPr>
            </w:pPr>
            <w:r w:rsidRPr="0058432E">
              <w:rPr>
                <w:b/>
                <w:color w:val="000000" w:themeColor="text1"/>
              </w:rPr>
              <w:t>Semaine</w:t>
            </w:r>
            <w:r w:rsidRPr="0058432E">
              <w:rPr>
                <w:rFonts w:ascii="TimesNewRomanPSMT" w:hAnsi="TimesNewRomanPSMT" w:cs="TimesNewRomanPSMT"/>
                <w:color w:val="000000" w:themeColor="text1"/>
                <w:sz w:val="20"/>
                <w:szCs w:val="20"/>
              </w:rPr>
              <w:t> </w:t>
            </w:r>
            <w:r w:rsidRPr="0058432E">
              <w:rPr>
                <w:b/>
                <w:bCs/>
                <w:color w:val="000000" w:themeColor="text1"/>
              </w:rPr>
              <w:t>52</w:t>
            </w:r>
          </w:p>
        </w:tc>
      </w:tr>
      <w:tr w:rsidR="00E40C42" w:rsidRPr="0058432E" w14:paraId="3AFDD2C0" w14:textId="77777777" w:rsidTr="009B0A71">
        <w:trPr>
          <w:cantSplit/>
        </w:trPr>
        <w:tc>
          <w:tcPr>
            <w:tcW w:w="3118" w:type="dxa"/>
            <w:vMerge/>
            <w:tcBorders>
              <w:left w:val="single" w:sz="4" w:space="0" w:color="auto"/>
              <w:bottom w:val="single" w:sz="4" w:space="0" w:color="auto"/>
              <w:right w:val="single" w:sz="4" w:space="0" w:color="auto"/>
            </w:tcBorders>
          </w:tcPr>
          <w:p w14:paraId="78725E33" w14:textId="77777777" w:rsidR="00E40C42" w:rsidRPr="0058432E" w:rsidRDefault="00E40C42" w:rsidP="009B0A71">
            <w:pPr>
              <w:rPr>
                <w:color w:val="000000" w:themeColor="text1"/>
              </w:rPr>
            </w:pPr>
          </w:p>
        </w:tc>
        <w:tc>
          <w:tcPr>
            <w:tcW w:w="3077" w:type="dxa"/>
            <w:tcBorders>
              <w:top w:val="single" w:sz="4" w:space="0" w:color="auto"/>
              <w:left w:val="single" w:sz="4" w:space="0" w:color="auto"/>
              <w:bottom w:val="single" w:sz="4" w:space="0" w:color="auto"/>
              <w:right w:val="single" w:sz="4" w:space="0" w:color="auto"/>
            </w:tcBorders>
          </w:tcPr>
          <w:p w14:paraId="5694BD51" w14:textId="77777777" w:rsidR="00E40C42" w:rsidRPr="0058432E" w:rsidRDefault="00E40C42" w:rsidP="009B0A71">
            <w:pPr>
              <w:keepNext/>
              <w:jc w:val="center"/>
              <w:rPr>
                <w:b/>
                <w:color w:val="000000" w:themeColor="text1"/>
              </w:rPr>
            </w:pPr>
            <w:r w:rsidRPr="0058432E">
              <w:rPr>
                <w:b/>
                <w:color w:val="000000" w:themeColor="text1"/>
              </w:rPr>
              <w:t>Adalimumab</w:t>
            </w:r>
            <w:r w:rsidRPr="0058432E">
              <w:rPr>
                <w:b/>
                <w:color w:val="000000" w:themeColor="text1"/>
                <w:vertAlign w:val="superscript"/>
              </w:rPr>
              <w:t>d</w:t>
            </w:r>
          </w:p>
          <w:p w14:paraId="232FB0C2" w14:textId="77777777" w:rsidR="00E40C42" w:rsidRPr="0058432E" w:rsidRDefault="00E40C42" w:rsidP="009B0A71">
            <w:pPr>
              <w:keepNext/>
              <w:jc w:val="center"/>
              <w:rPr>
                <w:b/>
                <w:color w:val="000000" w:themeColor="text1"/>
              </w:rPr>
            </w:pPr>
            <w:r w:rsidRPr="0058432E">
              <w:rPr>
                <w:b/>
                <w:color w:val="000000" w:themeColor="text1"/>
              </w:rPr>
              <w:t>Dose maximale de 40 mg 1 semaine sur 2</w:t>
            </w:r>
          </w:p>
          <w:p w14:paraId="779CBE44" w14:textId="77777777" w:rsidR="00E40C42" w:rsidRPr="0058432E" w:rsidRDefault="00E40C42" w:rsidP="009B0A71">
            <w:pPr>
              <w:jc w:val="center"/>
              <w:rPr>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color w:val="000000" w:themeColor="text1"/>
              </w:rPr>
              <w:t>31</w:t>
            </w:r>
          </w:p>
        </w:tc>
        <w:tc>
          <w:tcPr>
            <w:tcW w:w="3108" w:type="dxa"/>
            <w:tcBorders>
              <w:top w:val="single" w:sz="4" w:space="0" w:color="auto"/>
              <w:left w:val="single" w:sz="4" w:space="0" w:color="auto"/>
              <w:bottom w:val="single" w:sz="4" w:space="0" w:color="auto"/>
              <w:right w:val="single" w:sz="4" w:space="0" w:color="auto"/>
            </w:tcBorders>
          </w:tcPr>
          <w:p w14:paraId="533C34F5" w14:textId="77777777" w:rsidR="00E40C42" w:rsidRPr="0058432E" w:rsidRDefault="00E40C42" w:rsidP="009B0A71">
            <w:pPr>
              <w:keepNext/>
              <w:jc w:val="center"/>
              <w:rPr>
                <w:b/>
                <w:color w:val="000000" w:themeColor="text1"/>
                <w:vertAlign w:val="superscript"/>
              </w:rPr>
            </w:pPr>
            <w:r w:rsidRPr="0058432E">
              <w:rPr>
                <w:b/>
                <w:color w:val="000000" w:themeColor="text1"/>
              </w:rPr>
              <w:t>Adalimumab</w:t>
            </w:r>
            <w:r w:rsidRPr="0058432E">
              <w:rPr>
                <w:b/>
                <w:color w:val="000000" w:themeColor="text1"/>
                <w:vertAlign w:val="superscript"/>
              </w:rPr>
              <w:t>e</w:t>
            </w:r>
          </w:p>
          <w:p w14:paraId="47C87764" w14:textId="77777777" w:rsidR="00E40C42" w:rsidRPr="0058432E" w:rsidRDefault="00E40C42" w:rsidP="009B0A71">
            <w:pPr>
              <w:keepNext/>
              <w:jc w:val="center"/>
              <w:rPr>
                <w:b/>
                <w:color w:val="000000" w:themeColor="text1"/>
              </w:rPr>
            </w:pPr>
            <w:r w:rsidRPr="0058432E">
              <w:rPr>
                <w:b/>
                <w:color w:val="000000" w:themeColor="text1"/>
              </w:rPr>
              <w:t>Dose maximale de 40 mg chaque semaine</w:t>
            </w:r>
          </w:p>
          <w:p w14:paraId="70990FBE" w14:textId="77777777" w:rsidR="00E40C42" w:rsidRPr="0058432E" w:rsidRDefault="00E40C42" w:rsidP="009B0A71">
            <w:pPr>
              <w:jc w:val="center"/>
              <w:rPr>
                <w:color w:val="000000" w:themeColor="text1"/>
              </w:rPr>
            </w:pPr>
            <w:r w:rsidRPr="0058432E">
              <w:rPr>
                <w:b/>
                <w:color w:val="000000" w:themeColor="text1"/>
              </w:rPr>
              <w:t>N</w:t>
            </w:r>
            <w:r w:rsidRPr="0058432E">
              <w:rPr>
                <w:color w:val="000000" w:themeColor="text1"/>
              </w:rPr>
              <w:t> </w:t>
            </w:r>
            <w:r w:rsidRPr="0058432E">
              <w:rPr>
                <w:b/>
                <w:color w:val="000000" w:themeColor="text1"/>
              </w:rPr>
              <w:t>=</w:t>
            </w:r>
            <w:r w:rsidRPr="0058432E">
              <w:rPr>
                <w:color w:val="000000" w:themeColor="text1"/>
              </w:rPr>
              <w:t> </w:t>
            </w:r>
            <w:r w:rsidRPr="0058432E">
              <w:rPr>
                <w:b/>
                <w:bCs/>
                <w:color w:val="000000" w:themeColor="text1"/>
              </w:rPr>
              <w:t>31</w:t>
            </w:r>
          </w:p>
        </w:tc>
      </w:tr>
      <w:tr w:rsidR="00E40C42" w:rsidRPr="0058432E" w14:paraId="3D9BC6CB"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368AEACA" w14:textId="77777777" w:rsidR="00E40C42" w:rsidRPr="0058432E" w:rsidRDefault="00E40C42" w:rsidP="009B0A71">
            <w:pPr>
              <w:rPr>
                <w:color w:val="000000" w:themeColor="text1"/>
              </w:rPr>
            </w:pPr>
            <w:r w:rsidRPr="0058432E">
              <w:rPr>
                <w:color w:val="000000" w:themeColor="text1"/>
              </w:rPr>
              <w:t>Rémission clinique chez les répondeurs à la semaine 8 selon l’indice PUCAI</w:t>
            </w:r>
          </w:p>
        </w:tc>
        <w:tc>
          <w:tcPr>
            <w:tcW w:w="3077" w:type="dxa"/>
            <w:tcBorders>
              <w:top w:val="single" w:sz="4" w:space="0" w:color="auto"/>
              <w:left w:val="single" w:sz="4" w:space="0" w:color="auto"/>
              <w:bottom w:val="single" w:sz="4" w:space="0" w:color="auto"/>
              <w:right w:val="single" w:sz="4" w:space="0" w:color="auto"/>
            </w:tcBorders>
          </w:tcPr>
          <w:p w14:paraId="0A5E1576" w14:textId="77777777" w:rsidR="00E40C42" w:rsidRPr="0058432E" w:rsidRDefault="00E40C42" w:rsidP="009B0A71">
            <w:pPr>
              <w:jc w:val="center"/>
              <w:rPr>
                <w:color w:val="000000" w:themeColor="text1"/>
              </w:rPr>
            </w:pPr>
            <w:r w:rsidRPr="0058432E">
              <w:rPr>
                <w:color w:val="000000" w:themeColor="text1"/>
              </w:rPr>
              <w:t>14/31 (45,2 %)</w:t>
            </w:r>
          </w:p>
        </w:tc>
        <w:tc>
          <w:tcPr>
            <w:tcW w:w="3108" w:type="dxa"/>
            <w:tcBorders>
              <w:top w:val="single" w:sz="4" w:space="0" w:color="auto"/>
              <w:left w:val="single" w:sz="4" w:space="0" w:color="auto"/>
              <w:bottom w:val="single" w:sz="4" w:space="0" w:color="auto"/>
              <w:right w:val="single" w:sz="4" w:space="0" w:color="auto"/>
            </w:tcBorders>
          </w:tcPr>
          <w:p w14:paraId="566A0DAF" w14:textId="77777777" w:rsidR="00E40C42" w:rsidRPr="0058432E" w:rsidRDefault="00E40C42" w:rsidP="009B0A71">
            <w:pPr>
              <w:jc w:val="center"/>
              <w:rPr>
                <w:color w:val="000000" w:themeColor="text1"/>
              </w:rPr>
            </w:pPr>
            <w:r w:rsidRPr="0058432E">
              <w:rPr>
                <w:color w:val="000000" w:themeColor="text1"/>
              </w:rPr>
              <w:t>18/31 (58,1 %)</w:t>
            </w:r>
          </w:p>
        </w:tc>
      </w:tr>
      <w:tr w:rsidR="00E40C42" w:rsidRPr="0058432E" w14:paraId="5CE5BE90" w14:textId="77777777" w:rsidTr="009B0A71">
        <w:trPr>
          <w:cantSplit/>
        </w:trPr>
        <w:tc>
          <w:tcPr>
            <w:tcW w:w="3118" w:type="dxa"/>
            <w:tcBorders>
              <w:top w:val="single" w:sz="4" w:space="0" w:color="auto"/>
              <w:left w:val="single" w:sz="4" w:space="0" w:color="auto"/>
              <w:bottom w:val="single" w:sz="4" w:space="0" w:color="auto"/>
              <w:right w:val="single" w:sz="4" w:space="0" w:color="auto"/>
            </w:tcBorders>
          </w:tcPr>
          <w:p w14:paraId="1C2639E2" w14:textId="77777777" w:rsidR="00E40C42" w:rsidRPr="0058432E" w:rsidRDefault="00E40C42" w:rsidP="009B0A71">
            <w:pPr>
              <w:rPr>
                <w:color w:val="000000" w:themeColor="text1"/>
              </w:rPr>
            </w:pPr>
            <w:r w:rsidRPr="0058432E">
              <w:rPr>
                <w:color w:val="000000" w:themeColor="text1"/>
              </w:rPr>
              <w:lastRenderedPageBreak/>
              <w:t>Réponse clinique chez les répondeurs à la semaine 8 selon l’indice PUCAI</w:t>
            </w:r>
          </w:p>
        </w:tc>
        <w:tc>
          <w:tcPr>
            <w:tcW w:w="3077" w:type="dxa"/>
            <w:tcBorders>
              <w:top w:val="single" w:sz="4" w:space="0" w:color="auto"/>
              <w:left w:val="single" w:sz="4" w:space="0" w:color="auto"/>
              <w:bottom w:val="single" w:sz="4" w:space="0" w:color="auto"/>
              <w:right w:val="single" w:sz="4" w:space="0" w:color="auto"/>
            </w:tcBorders>
          </w:tcPr>
          <w:p w14:paraId="0187484E" w14:textId="77777777" w:rsidR="00E40C42" w:rsidRPr="0058432E" w:rsidRDefault="00E40C42" w:rsidP="009B0A71">
            <w:pPr>
              <w:jc w:val="center"/>
              <w:rPr>
                <w:color w:val="000000" w:themeColor="text1"/>
              </w:rPr>
            </w:pPr>
            <w:r w:rsidRPr="0058432E">
              <w:rPr>
                <w:color w:val="000000" w:themeColor="text1"/>
              </w:rPr>
              <w:t>18/31 (58,1 %)</w:t>
            </w:r>
          </w:p>
        </w:tc>
        <w:tc>
          <w:tcPr>
            <w:tcW w:w="3108" w:type="dxa"/>
            <w:tcBorders>
              <w:top w:val="single" w:sz="4" w:space="0" w:color="auto"/>
              <w:left w:val="single" w:sz="4" w:space="0" w:color="auto"/>
              <w:bottom w:val="single" w:sz="4" w:space="0" w:color="auto"/>
              <w:right w:val="single" w:sz="4" w:space="0" w:color="auto"/>
            </w:tcBorders>
          </w:tcPr>
          <w:p w14:paraId="3DED8A77" w14:textId="77777777" w:rsidR="00E40C42" w:rsidRPr="0058432E" w:rsidRDefault="00E40C42" w:rsidP="009B0A71">
            <w:pPr>
              <w:jc w:val="center"/>
              <w:rPr>
                <w:color w:val="000000" w:themeColor="text1"/>
              </w:rPr>
            </w:pPr>
            <w:r w:rsidRPr="0058432E">
              <w:rPr>
                <w:color w:val="000000" w:themeColor="text1"/>
              </w:rPr>
              <w:t>16/31 (51,6 %)</w:t>
            </w:r>
          </w:p>
        </w:tc>
      </w:tr>
    </w:tbl>
    <w:p w14:paraId="74CC7C9E" w14:textId="77777777" w:rsidR="00E40C42" w:rsidRPr="0058432E" w:rsidRDefault="00E40C42" w:rsidP="00E40C42">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a</w:t>
      </w:r>
      <w:proofErr w:type="gramEnd"/>
      <w:r w:rsidRPr="0058432E">
        <w:rPr>
          <w:color w:val="000000" w:themeColor="text1"/>
          <w:sz w:val="20"/>
          <w:szCs w:val="20"/>
        </w:rPr>
        <w:tab/>
        <w:t>Adalimumab 2,4</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160 mg) à la semaine 0, placebo à la semaine 1, et 1,2 mg/kg (dose maximale de 80 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63D59F39" w14:textId="77777777" w:rsidR="00E40C42" w:rsidRPr="0058432E" w:rsidRDefault="00E40C42" w:rsidP="00E40C42">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b</w:t>
      </w:r>
      <w:proofErr w:type="gramEnd"/>
      <w:r w:rsidRPr="0058432E">
        <w:rPr>
          <w:color w:val="000000" w:themeColor="text1"/>
          <w:sz w:val="20"/>
          <w:szCs w:val="20"/>
        </w:rPr>
        <w:tab/>
        <w:t>Adalimumab 2,4</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160 mg) à la semaine 0 et à la semaine 1, et 1,2 mg/kg (dose maximale de 80 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154A4838" w14:textId="77777777" w:rsidR="00E40C42" w:rsidRPr="0058432E" w:rsidRDefault="00E40C42" w:rsidP="00E40C42">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c</w:t>
      </w:r>
      <w:proofErr w:type="gramEnd"/>
      <w:r w:rsidRPr="0058432E">
        <w:rPr>
          <w:color w:val="000000" w:themeColor="text1"/>
          <w:sz w:val="20"/>
          <w:szCs w:val="20"/>
        </w:rPr>
        <w:tab/>
        <w:t>En excluant la dose d’induction en ouvert d’adalimumab de 2,4 mg/kg (dose maximale de 160 mg) à la semaine 0 et à la semaine 1, et de 1,2 mg/kg (dose maximale de 80 mg) à la semaine</w:t>
      </w:r>
      <w:r w:rsidRPr="0058432E">
        <w:rPr>
          <w:rFonts w:ascii="TimesNewRomanPSMT" w:hAnsi="TimesNewRomanPSMT" w:cs="TimesNewRomanPSMT"/>
          <w:color w:val="000000" w:themeColor="text1"/>
          <w:sz w:val="20"/>
          <w:szCs w:val="20"/>
        </w:rPr>
        <w:t> </w:t>
      </w:r>
      <w:r w:rsidRPr="0058432E">
        <w:rPr>
          <w:color w:val="000000" w:themeColor="text1"/>
          <w:sz w:val="20"/>
          <w:szCs w:val="20"/>
        </w:rPr>
        <w:t>2</w:t>
      </w:r>
    </w:p>
    <w:p w14:paraId="5DC13F25" w14:textId="77777777" w:rsidR="00E40C42" w:rsidRPr="0058432E" w:rsidRDefault="00E40C42" w:rsidP="00E40C42">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d</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 mg) toutes les deux semaines</w:t>
      </w:r>
    </w:p>
    <w:p w14:paraId="59A04E20" w14:textId="77777777" w:rsidR="00E40C42" w:rsidRPr="0058432E" w:rsidRDefault="00E40C42" w:rsidP="00E40C42">
      <w:pPr>
        <w:autoSpaceDE w:val="0"/>
        <w:autoSpaceDN w:val="0"/>
        <w:adjustRightInd w:val="0"/>
        <w:ind w:left="270" w:hanging="270"/>
        <w:rPr>
          <w:color w:val="000000" w:themeColor="text1"/>
          <w:sz w:val="20"/>
          <w:szCs w:val="20"/>
        </w:rPr>
      </w:pPr>
      <w:proofErr w:type="gramStart"/>
      <w:r w:rsidRPr="0058432E">
        <w:rPr>
          <w:color w:val="000000" w:themeColor="text1"/>
          <w:sz w:val="20"/>
          <w:szCs w:val="20"/>
          <w:vertAlign w:val="superscript"/>
        </w:rPr>
        <w:t>e</w:t>
      </w:r>
      <w:proofErr w:type="gramEnd"/>
      <w:r w:rsidRPr="0058432E">
        <w:rPr>
          <w:color w:val="000000" w:themeColor="text1"/>
          <w:sz w:val="20"/>
          <w:szCs w:val="20"/>
        </w:rPr>
        <w:tab/>
        <w:t>Adalimumab 0,6</w:t>
      </w:r>
      <w:r w:rsidRPr="0058432E">
        <w:rPr>
          <w:rFonts w:ascii="TimesNewRomanPSMT" w:hAnsi="TimesNewRomanPSMT" w:cs="TimesNewRomanPSMT"/>
          <w:color w:val="000000" w:themeColor="text1"/>
          <w:sz w:val="20"/>
          <w:szCs w:val="20"/>
        </w:rPr>
        <w:t> </w:t>
      </w:r>
      <w:r w:rsidRPr="0058432E">
        <w:rPr>
          <w:color w:val="000000" w:themeColor="text1"/>
          <w:sz w:val="20"/>
          <w:szCs w:val="20"/>
        </w:rPr>
        <w:t>mg/kg (dose maximale de 40 mg) chaque semaine</w:t>
      </w:r>
    </w:p>
    <w:p w14:paraId="75E1F9BD" w14:textId="77777777" w:rsidR="00E40C42" w:rsidRPr="0058432E" w:rsidRDefault="00E40C42" w:rsidP="00E40C42">
      <w:pPr>
        <w:autoSpaceDE w:val="0"/>
        <w:autoSpaceDN w:val="0"/>
        <w:adjustRightInd w:val="0"/>
        <w:rPr>
          <w:color w:val="000000" w:themeColor="text1"/>
          <w:sz w:val="20"/>
          <w:szCs w:val="20"/>
        </w:rPr>
      </w:pPr>
      <w:r w:rsidRPr="0058432E">
        <w:rPr>
          <w:color w:val="000000" w:themeColor="text1"/>
          <w:sz w:val="20"/>
          <w:szCs w:val="20"/>
        </w:rPr>
        <w:t>Remarque 1 : les deux groupes du traitement d’induction ont reçu une dose de 0,6 mg/kg (dose maximale de 40 mg) à la semaine 4 et à la semaine 6</w:t>
      </w:r>
    </w:p>
    <w:p w14:paraId="7936B8E0" w14:textId="77777777" w:rsidR="00E40C42" w:rsidRPr="0058432E" w:rsidRDefault="00E40C42" w:rsidP="00E40C42">
      <w:pPr>
        <w:autoSpaceDE w:val="0"/>
        <w:autoSpaceDN w:val="0"/>
        <w:adjustRightInd w:val="0"/>
        <w:rPr>
          <w:color w:val="000000" w:themeColor="text1"/>
          <w:sz w:val="20"/>
          <w:szCs w:val="20"/>
        </w:rPr>
      </w:pPr>
      <w:r w:rsidRPr="0058432E">
        <w:rPr>
          <w:color w:val="000000" w:themeColor="text1"/>
          <w:sz w:val="20"/>
          <w:szCs w:val="20"/>
        </w:rPr>
        <w:t>Remarque 2 : pour les patients dont les valeurs étaient manquantes à la semaine 8, les critères d’évaluation sont considérés comme n’étant pas atteints</w:t>
      </w:r>
    </w:p>
    <w:p w14:paraId="435F54E6" w14:textId="77777777" w:rsidR="00E40C42" w:rsidRPr="0058432E" w:rsidRDefault="00E40C42" w:rsidP="00E40C42">
      <w:pPr>
        <w:autoSpaceDE w:val="0"/>
        <w:autoSpaceDN w:val="0"/>
        <w:adjustRightInd w:val="0"/>
        <w:rPr>
          <w:color w:val="000000" w:themeColor="text1"/>
          <w:sz w:val="20"/>
          <w:szCs w:val="20"/>
        </w:rPr>
      </w:pPr>
      <w:r w:rsidRPr="0058432E">
        <w:rPr>
          <w:color w:val="000000" w:themeColor="text1"/>
          <w:sz w:val="20"/>
          <w:szCs w:val="20"/>
        </w:rPr>
        <w:t>Remarque 3 : les patients dont les valeurs étaient manquantes à la semaine 52 ou qui ont été randomisés pour recevoir un traitement de réinduction ou d’entretien ont été considérés comme non répondeurs d’après les critères d’évaluation de la semaine 52</w:t>
      </w:r>
    </w:p>
    <w:p w14:paraId="3B48C835" w14:textId="77777777" w:rsidR="00E40C42" w:rsidRPr="0058432E" w:rsidRDefault="00E40C42" w:rsidP="00E40C42">
      <w:pPr>
        <w:autoSpaceDE w:val="0"/>
        <w:autoSpaceDN w:val="0"/>
        <w:adjustRightInd w:val="0"/>
        <w:rPr>
          <w:color w:val="000000" w:themeColor="text1"/>
        </w:rPr>
      </w:pPr>
    </w:p>
    <w:p w14:paraId="72356C1F" w14:textId="77777777" w:rsidR="00E40C42" w:rsidRPr="0058432E" w:rsidRDefault="00E40C42" w:rsidP="00E40C42">
      <w:pPr>
        <w:autoSpaceDE w:val="0"/>
        <w:autoSpaceDN w:val="0"/>
        <w:adjustRightInd w:val="0"/>
        <w:rPr>
          <w:color w:val="000000" w:themeColor="text1"/>
        </w:rPr>
      </w:pPr>
      <w:r w:rsidRPr="0058432E">
        <w:rPr>
          <w:color w:val="000000" w:themeColor="text1"/>
        </w:rPr>
        <w:t xml:space="preserve">Parmi les patients traités par adalimumab qui ont reçu un traitement de réinduction pendant la période d’entretien, 2/6 (33 %) ont </w:t>
      </w:r>
      <w:r w:rsidR="00E438F3" w:rsidRPr="0058432E">
        <w:rPr>
          <w:color w:val="000000" w:themeColor="text1"/>
        </w:rPr>
        <w:t>présenté</w:t>
      </w:r>
      <w:r w:rsidRPr="0058432E">
        <w:rPr>
          <w:color w:val="000000" w:themeColor="text1"/>
        </w:rPr>
        <w:t xml:space="preserve"> une réponse clinique selon le SMT à la semaine 52.</w:t>
      </w:r>
    </w:p>
    <w:p w14:paraId="0681DD6C" w14:textId="77777777" w:rsidR="00E40C42" w:rsidRPr="0058432E" w:rsidRDefault="00E40C42" w:rsidP="00E40C42">
      <w:pPr>
        <w:autoSpaceDE w:val="0"/>
        <w:autoSpaceDN w:val="0"/>
        <w:adjustRightInd w:val="0"/>
        <w:rPr>
          <w:i/>
          <w:iCs/>
          <w:color w:val="000000" w:themeColor="text1"/>
        </w:rPr>
      </w:pPr>
    </w:p>
    <w:p w14:paraId="3F182AF6" w14:textId="77777777" w:rsidR="00E40C42" w:rsidRPr="0058432E" w:rsidRDefault="00E40C42" w:rsidP="00E40C42">
      <w:pPr>
        <w:keepNext/>
        <w:autoSpaceDE w:val="0"/>
        <w:autoSpaceDN w:val="0"/>
        <w:adjustRightInd w:val="0"/>
        <w:rPr>
          <w:color w:val="000000" w:themeColor="text1"/>
        </w:rPr>
      </w:pPr>
      <w:r w:rsidRPr="0058432E">
        <w:rPr>
          <w:i/>
          <w:iCs/>
          <w:color w:val="000000" w:themeColor="text1"/>
        </w:rPr>
        <w:t>Qualité de vie</w:t>
      </w:r>
    </w:p>
    <w:p w14:paraId="1D34F816" w14:textId="77777777" w:rsidR="00E40C42" w:rsidRPr="0058432E" w:rsidRDefault="00E40C42" w:rsidP="00E40C42">
      <w:pPr>
        <w:keepNext/>
        <w:autoSpaceDE w:val="0"/>
        <w:autoSpaceDN w:val="0"/>
        <w:adjustRightInd w:val="0"/>
        <w:rPr>
          <w:color w:val="000000" w:themeColor="text1"/>
        </w:rPr>
      </w:pPr>
    </w:p>
    <w:p w14:paraId="141E19DE" w14:textId="77777777" w:rsidR="00E40C42" w:rsidRPr="0058432E" w:rsidRDefault="00E40C42" w:rsidP="00E40C42">
      <w:pPr>
        <w:keepNext/>
        <w:autoSpaceDE w:val="0"/>
        <w:autoSpaceDN w:val="0"/>
        <w:adjustRightInd w:val="0"/>
        <w:rPr>
          <w:color w:val="000000" w:themeColor="text1"/>
        </w:rPr>
      </w:pPr>
      <w:r w:rsidRPr="0058432E">
        <w:rPr>
          <w:color w:val="000000" w:themeColor="text1"/>
        </w:rPr>
        <w:t>Par rapport aux données d’inclusion, des améliorations cliniquement significatives ont été observées au niveau des paramètres IMPACT III et des scores du questionnaire à remplir par le soignant sur la productivité au travail et la limitation des activités (</w:t>
      </w:r>
      <w:r w:rsidRPr="0058432E">
        <w:rPr>
          <w:i/>
          <w:color w:val="000000" w:themeColor="text1"/>
        </w:rPr>
        <w:t>Work Productivity and Activity Impairment</w:t>
      </w:r>
      <w:r w:rsidRPr="0058432E">
        <w:rPr>
          <w:color w:val="000000" w:themeColor="text1"/>
        </w:rPr>
        <w:t>, WPAI) dans les groupes traités par adalimumab.</w:t>
      </w:r>
    </w:p>
    <w:p w14:paraId="61D32420" w14:textId="77777777" w:rsidR="00E40C42" w:rsidRPr="0058432E" w:rsidRDefault="00E40C42" w:rsidP="00E40C42">
      <w:pPr>
        <w:autoSpaceDE w:val="0"/>
        <w:autoSpaceDN w:val="0"/>
        <w:adjustRightInd w:val="0"/>
        <w:rPr>
          <w:color w:val="000000" w:themeColor="text1"/>
        </w:rPr>
      </w:pPr>
    </w:p>
    <w:p w14:paraId="7C1DCE97" w14:textId="77777777" w:rsidR="00E40C42" w:rsidRPr="0058432E" w:rsidRDefault="00E40C42" w:rsidP="00E40C42">
      <w:pPr>
        <w:autoSpaceDE w:val="0"/>
        <w:autoSpaceDN w:val="0"/>
        <w:adjustRightInd w:val="0"/>
        <w:rPr>
          <w:color w:val="000000" w:themeColor="text1"/>
        </w:rPr>
      </w:pPr>
      <w:r w:rsidRPr="0058432E">
        <w:rPr>
          <w:color w:val="000000" w:themeColor="text1"/>
        </w:rPr>
        <w:t>Par rapport aux données d’inclusion, des augmentations cliniquement significatives (amélioration) de la vitesse de croissance staturale ont été observées dans les groupes traités par adalimumab, et des augmentations cliniquement significatives (amélioration) de l’indice de masse corporelle ont été observées chez les sujets recevant la dose d’entretien élevée de 40 mg (0,6 mg/kg) maximum chaque semaine.</w:t>
      </w:r>
    </w:p>
    <w:p w14:paraId="1E8B776F" w14:textId="77777777" w:rsidR="00E40C42" w:rsidRPr="0058432E" w:rsidRDefault="00E40C42" w:rsidP="001456CD">
      <w:pPr>
        <w:pStyle w:val="BodyText"/>
        <w:widowControl/>
        <w:kinsoku w:val="0"/>
        <w:overflowPunct w:val="0"/>
        <w:ind w:left="0"/>
        <w:rPr>
          <w:color w:val="000000" w:themeColor="text1"/>
        </w:rPr>
      </w:pPr>
    </w:p>
    <w:p w14:paraId="6771AB79"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rPr>
        <w:t>Uvéite pédiatrique</w:t>
      </w:r>
    </w:p>
    <w:p w14:paraId="0ECC2C1C" w14:textId="77777777" w:rsidR="001456CD" w:rsidRPr="0058432E" w:rsidRDefault="001456CD" w:rsidP="001456CD">
      <w:pPr>
        <w:pStyle w:val="BodyText"/>
        <w:keepNext/>
        <w:widowControl/>
        <w:kinsoku w:val="0"/>
        <w:overflowPunct w:val="0"/>
        <w:ind w:left="0"/>
        <w:rPr>
          <w:i/>
          <w:iCs/>
          <w:color w:val="000000" w:themeColor="text1"/>
          <w:szCs w:val="21"/>
        </w:rPr>
      </w:pPr>
    </w:p>
    <w:p w14:paraId="49C4D7E8"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La tolérance et l’efficacité de l’adalimumab ont été évaluées dans une étude randomisée, contrôlée, en double aveugle, conduite chez 90 patients pédiatriques âgés de 2 à &lt; 18 ans atteints d’uvéite active antérieure non infectieuse associée à une AJI qui étaient réfractaires à un traitement d’au moins 12 semaines par le méthotrexate. Les patients ont reçu soit un placebo soit 20 mg d’adalimumab (s’ils pesaient &lt; 30 kg) ou 40 mg d’adalimumab (s’ils pesaient ≥ 30 kg) toutes les deux semaines en association avec leur dose initiale de méthotrexate.</w:t>
      </w:r>
    </w:p>
    <w:p w14:paraId="1F9BBFCB" w14:textId="77777777" w:rsidR="001456CD" w:rsidRPr="0058432E" w:rsidRDefault="001456CD" w:rsidP="001456CD">
      <w:pPr>
        <w:pStyle w:val="BodyText"/>
        <w:widowControl/>
        <w:kinsoku w:val="0"/>
        <w:overflowPunct w:val="0"/>
        <w:ind w:left="0"/>
        <w:rPr>
          <w:color w:val="000000" w:themeColor="text1"/>
        </w:rPr>
      </w:pPr>
    </w:p>
    <w:p w14:paraId="3519806D" w14:textId="77777777" w:rsidR="001456CD" w:rsidRPr="0058432E" w:rsidRDefault="001456CD" w:rsidP="001456CD">
      <w:pPr>
        <w:pStyle w:val="BodyText"/>
        <w:kinsoku w:val="0"/>
        <w:overflowPunct w:val="0"/>
        <w:ind w:left="0"/>
        <w:rPr>
          <w:color w:val="000000" w:themeColor="text1"/>
        </w:rPr>
      </w:pPr>
      <w:r w:rsidRPr="0058432E">
        <w:rPr>
          <w:color w:val="000000" w:themeColor="text1"/>
        </w:rPr>
        <w:t>Le critère d’évaluation principal était le « délai de survenue de la rechute ». Les critères déterminant la rechute étaient une aggravation ou l’absence prolongée d’amélioration de l’inflammation oculaire, une amélioration partielle avec le développement de comorbidités oculaires prolongées ou l’aggravation des comorbidités oculaires, l’utilisation non autorisée de médicaments concomitants et la suspension du traitement sur une durée de temps prolongée.</w:t>
      </w:r>
    </w:p>
    <w:p w14:paraId="2E60997C" w14:textId="77777777" w:rsidR="001456CD" w:rsidRPr="0058432E" w:rsidRDefault="001456CD" w:rsidP="001456CD">
      <w:pPr>
        <w:pStyle w:val="BodyText"/>
        <w:widowControl/>
        <w:kinsoku w:val="0"/>
        <w:overflowPunct w:val="0"/>
        <w:ind w:left="0"/>
        <w:rPr>
          <w:color w:val="000000" w:themeColor="text1"/>
        </w:rPr>
      </w:pPr>
    </w:p>
    <w:p w14:paraId="4AECF340" w14:textId="77777777" w:rsidR="001456CD" w:rsidRPr="0058432E" w:rsidRDefault="001456CD" w:rsidP="001456CD">
      <w:pPr>
        <w:pStyle w:val="BodyText"/>
        <w:keepNext/>
        <w:widowControl/>
        <w:kinsoku w:val="0"/>
        <w:overflowPunct w:val="0"/>
        <w:ind w:left="0"/>
        <w:rPr>
          <w:color w:val="000000" w:themeColor="text1"/>
        </w:rPr>
      </w:pPr>
      <w:r w:rsidRPr="0058432E">
        <w:rPr>
          <w:i/>
          <w:iCs/>
          <w:color w:val="000000" w:themeColor="text1"/>
          <w:u w:val="single"/>
        </w:rPr>
        <w:t>Réponse clinique</w:t>
      </w:r>
    </w:p>
    <w:p w14:paraId="7F3CC9D8" w14:textId="77777777" w:rsidR="001456CD" w:rsidRPr="0058432E" w:rsidRDefault="001456CD" w:rsidP="001456CD">
      <w:pPr>
        <w:pStyle w:val="BodyText"/>
        <w:keepNext/>
        <w:widowControl/>
        <w:kinsoku w:val="0"/>
        <w:overflowPunct w:val="0"/>
        <w:ind w:left="0"/>
        <w:rPr>
          <w:i/>
          <w:iCs/>
          <w:color w:val="000000" w:themeColor="text1"/>
        </w:rPr>
      </w:pPr>
    </w:p>
    <w:p w14:paraId="5A185D60" w14:textId="77777777" w:rsidR="001456CD" w:rsidRPr="0058432E" w:rsidRDefault="001456CD" w:rsidP="001456CD">
      <w:pPr>
        <w:pStyle w:val="BodyText"/>
        <w:kinsoku w:val="0"/>
        <w:overflowPunct w:val="0"/>
        <w:ind w:left="0"/>
        <w:rPr>
          <w:color w:val="000000" w:themeColor="text1"/>
        </w:rPr>
      </w:pPr>
      <w:r w:rsidRPr="0058432E">
        <w:rPr>
          <w:color w:val="000000" w:themeColor="text1"/>
        </w:rPr>
        <w:t xml:space="preserve">L’adalimumab a retardé de manière significative le délai de survenue de la rechute </w:t>
      </w:r>
      <w:r w:rsidRPr="0058432E">
        <w:rPr>
          <w:i/>
          <w:color w:val="000000" w:themeColor="text1"/>
        </w:rPr>
        <w:t>versus</w:t>
      </w:r>
      <w:r w:rsidR="0054027E" w:rsidRPr="0058432E">
        <w:rPr>
          <w:color w:val="000000" w:themeColor="text1"/>
        </w:rPr>
        <w:t xml:space="preserve"> placebo (voir figure 3</w:t>
      </w:r>
      <w:r w:rsidRPr="0058432E">
        <w:rPr>
          <w:color w:val="000000" w:themeColor="text1"/>
        </w:rPr>
        <w:t xml:space="preserve">, </w:t>
      </w:r>
      <w:r w:rsidR="002363C0" w:rsidRPr="0058432E">
        <w:rPr>
          <w:i/>
          <w:color w:val="000000" w:themeColor="text1"/>
        </w:rPr>
        <w:t>p</w:t>
      </w:r>
      <w:r w:rsidRPr="0058432E">
        <w:rPr>
          <w:color w:val="000000" w:themeColor="text1"/>
        </w:rPr>
        <w:t xml:space="preserve"> &lt; 0,0001, test de log rank). Le délai médian de survenue de la rechute était de 24,1 semaines pour les patients recevant le placebo, tandis que le délai médian de survenue de la rechute n’a pas pu être estimé pour les patients traités par l’adalimumab car moins de la moitié de ces patients a présenté une rechute. L’adalimumab a diminué de manière significative le risque de rechute de 75 % par rapport au placebo, comme le montre le hazard ratio (HR = 0,25 [IC à 95 % : 0,12 ; </w:t>
      </w:r>
      <w:r w:rsidRPr="0058432E">
        <w:rPr>
          <w:color w:val="000000" w:themeColor="text1"/>
        </w:rPr>
        <w:lastRenderedPageBreak/>
        <w:t>0,49]).</w:t>
      </w:r>
    </w:p>
    <w:p w14:paraId="73C31A17" w14:textId="77777777" w:rsidR="001456CD" w:rsidRPr="0058432E" w:rsidRDefault="001456CD" w:rsidP="001456CD">
      <w:pPr>
        <w:rPr>
          <w:color w:val="000000" w:themeColor="text1"/>
        </w:rPr>
      </w:pPr>
    </w:p>
    <w:p w14:paraId="1ECCEBFA" w14:textId="77777777" w:rsidR="001456CD" w:rsidRPr="0058432E" w:rsidRDefault="001456CD" w:rsidP="001456CD">
      <w:pPr>
        <w:keepNext/>
        <w:rPr>
          <w:color w:val="000000" w:themeColor="text1"/>
        </w:rPr>
      </w:pPr>
      <w:r w:rsidRPr="0058432E">
        <w:rPr>
          <w:b/>
          <w:color w:val="000000" w:themeColor="text1"/>
        </w:rPr>
        <w:t>Figure </w:t>
      </w:r>
      <w:r w:rsidR="0054027E" w:rsidRPr="0058432E">
        <w:rPr>
          <w:b/>
          <w:color w:val="000000" w:themeColor="text1"/>
        </w:rPr>
        <w:t>3</w:t>
      </w:r>
      <w:r w:rsidRPr="0058432E">
        <w:rPr>
          <w:b/>
          <w:color w:val="000000" w:themeColor="text1"/>
        </w:rPr>
        <w:t>. Courbes de Kaplan-Meier illustrant le délai de survenue de la rechute dans l’étude sur l’uvéite pédiatrique</w:t>
      </w:r>
    </w:p>
    <w:p w14:paraId="3685A6F8" w14:textId="03F72C03" w:rsidR="001456CD" w:rsidRPr="0058432E" w:rsidRDefault="009D65D0" w:rsidP="001456CD">
      <w:pPr>
        <w:rPr>
          <w:color w:val="000000" w:themeColor="text1"/>
        </w:rPr>
      </w:pPr>
      <w:r w:rsidRPr="0058432E">
        <w:rPr>
          <w:noProof/>
          <w:color w:val="000000" w:themeColor="text1"/>
        </w:rPr>
        <w:drawing>
          <wp:inline distT="0" distB="0" distL="0" distR="0" wp14:anchorId="5B964953" wp14:editId="65302B3A">
            <wp:extent cx="5753735" cy="476186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735" cy="4761865"/>
                    </a:xfrm>
                    <a:prstGeom prst="rect">
                      <a:avLst/>
                    </a:prstGeom>
                    <a:noFill/>
                    <a:ln>
                      <a:noFill/>
                    </a:ln>
                  </pic:spPr>
                </pic:pic>
              </a:graphicData>
            </a:graphic>
          </wp:inline>
        </w:drawing>
      </w:r>
    </w:p>
    <w:p w14:paraId="40634712" w14:textId="77777777" w:rsidR="001456CD" w:rsidRPr="0058432E" w:rsidRDefault="001456CD" w:rsidP="001456CD">
      <w:pPr>
        <w:rPr>
          <w:color w:val="000000" w:themeColor="text1"/>
          <w:sz w:val="20"/>
        </w:rPr>
      </w:pPr>
      <w:r w:rsidRPr="0058432E">
        <w:rPr>
          <w:color w:val="000000" w:themeColor="text1"/>
          <w:sz w:val="20"/>
        </w:rPr>
        <w:t>Remarque : P = Placebo (Nombre de patients à risque) ; H = Adalimumab (Nombre de patients à risque).</w:t>
      </w:r>
    </w:p>
    <w:p w14:paraId="3BAA4240" w14:textId="77777777" w:rsidR="00C46587" w:rsidRPr="0058432E" w:rsidRDefault="00C46587" w:rsidP="00982118">
      <w:pPr>
        <w:rPr>
          <w:color w:val="000000" w:themeColor="text1"/>
        </w:rPr>
      </w:pPr>
    </w:p>
    <w:p w14:paraId="0DBC5A62" w14:textId="77777777" w:rsidR="00C46587" w:rsidRPr="0058432E" w:rsidRDefault="00C46587" w:rsidP="00982118">
      <w:pPr>
        <w:keepNext/>
        <w:tabs>
          <w:tab w:val="left" w:pos="562"/>
        </w:tabs>
        <w:rPr>
          <w:b/>
          <w:color w:val="000000" w:themeColor="text1"/>
        </w:rPr>
      </w:pPr>
      <w:r w:rsidRPr="0058432E">
        <w:rPr>
          <w:b/>
          <w:color w:val="000000" w:themeColor="text1"/>
        </w:rPr>
        <w:t>5.2</w:t>
      </w:r>
      <w:r w:rsidRPr="0058432E">
        <w:rPr>
          <w:b/>
          <w:color w:val="000000" w:themeColor="text1"/>
        </w:rPr>
        <w:tab/>
        <w:t xml:space="preserve">Propriétés pharmacocinétiques </w:t>
      </w:r>
    </w:p>
    <w:p w14:paraId="0DE41FDF" w14:textId="77777777" w:rsidR="00C46587" w:rsidRPr="0058432E" w:rsidRDefault="00C46587" w:rsidP="00982118">
      <w:pPr>
        <w:keepNext/>
        <w:rPr>
          <w:color w:val="000000" w:themeColor="text1"/>
        </w:rPr>
      </w:pPr>
    </w:p>
    <w:p w14:paraId="03A75F52" w14:textId="77777777" w:rsidR="00C46587" w:rsidRPr="0058432E" w:rsidRDefault="003D5162" w:rsidP="00982118">
      <w:pPr>
        <w:keepNext/>
        <w:rPr>
          <w:color w:val="000000" w:themeColor="text1"/>
          <w:u w:val="single"/>
        </w:rPr>
      </w:pPr>
      <w:r w:rsidRPr="0058432E">
        <w:rPr>
          <w:color w:val="000000" w:themeColor="text1"/>
          <w:u w:val="single"/>
        </w:rPr>
        <w:t>Absorption et distribution</w:t>
      </w:r>
    </w:p>
    <w:p w14:paraId="47006DD5" w14:textId="77777777" w:rsidR="00C46587" w:rsidRPr="0058432E" w:rsidRDefault="00C46587" w:rsidP="00DC3A99">
      <w:pPr>
        <w:keepNext/>
        <w:rPr>
          <w:color w:val="000000" w:themeColor="text1"/>
        </w:rPr>
      </w:pPr>
    </w:p>
    <w:p w14:paraId="76826230" w14:textId="77777777" w:rsidR="00C46587" w:rsidRPr="0058432E" w:rsidRDefault="00C46587" w:rsidP="00982118">
      <w:pPr>
        <w:rPr>
          <w:color w:val="000000" w:themeColor="text1"/>
        </w:rPr>
      </w:pPr>
      <w:r w:rsidRPr="0058432E">
        <w:rPr>
          <w:color w:val="000000" w:themeColor="text1"/>
        </w:rPr>
        <w:t>Après administration sous-cutanée d’une dose unique de 40 mg, l’absorption et la distribution de l’adalimumab ont été lentes, le pic de concentration sérique étant atteint 5 jours environ après l’administration. La biodisponibilité absolue moyenne de l’adalimumab, estimée à partir de trois études, a été de 64 % après une dose sous-cutanée unique de 40 mg. Après administration de doses intraveineuses uniques variant de 0,25 à 10 mg/kg, les concentrations ont été proportionnelles à la dose. Après administration de doses de 0,5 mg/kg (~40 mg), les clairances étaient de 11 à 15 ml/heure, le volume de distribution (V</w:t>
      </w:r>
      <w:r w:rsidRPr="0058432E">
        <w:rPr>
          <w:color w:val="000000" w:themeColor="text1"/>
          <w:vertAlign w:val="subscript"/>
        </w:rPr>
        <w:t>ss</w:t>
      </w:r>
      <w:r w:rsidRPr="0058432E">
        <w:rPr>
          <w:color w:val="000000" w:themeColor="text1"/>
        </w:rPr>
        <w:t>) était compris entre 5 et 6 litres</w:t>
      </w:r>
      <w:r w:rsidR="00E36A76" w:rsidRPr="0058432E">
        <w:rPr>
          <w:color w:val="000000" w:themeColor="text1"/>
        </w:rPr>
        <w:t xml:space="preserve">, </w:t>
      </w:r>
      <w:r w:rsidRPr="0058432E">
        <w:rPr>
          <w:color w:val="000000" w:themeColor="text1"/>
        </w:rPr>
        <w:t>la demi</w:t>
      </w:r>
      <w:r w:rsidRPr="0058432E">
        <w:rPr>
          <w:color w:val="000000" w:themeColor="text1"/>
        </w:rPr>
        <w:noBreakHyphen/>
        <w:t xml:space="preserve">vie terminale moyenne a été de deux semaines environ. La concentration d’adalimumab dans le liquide synovial de plusieurs patients atteints de polyarthrite rhumatoïde était comprise entre 31 et 96 % des concentrations sériques. </w:t>
      </w:r>
    </w:p>
    <w:p w14:paraId="02FDB52A" w14:textId="77777777" w:rsidR="00C46587" w:rsidRPr="0058432E" w:rsidRDefault="00C46587" w:rsidP="00982118">
      <w:pPr>
        <w:rPr>
          <w:color w:val="000000" w:themeColor="text1"/>
        </w:rPr>
      </w:pPr>
    </w:p>
    <w:p w14:paraId="5A1BCB1F" w14:textId="77777777" w:rsidR="00C46587" w:rsidRPr="0058432E" w:rsidRDefault="00C46587" w:rsidP="00982118">
      <w:pPr>
        <w:rPr>
          <w:color w:val="000000" w:themeColor="text1"/>
        </w:rPr>
      </w:pPr>
      <w:r w:rsidRPr="0058432E">
        <w:rPr>
          <w:color w:val="000000" w:themeColor="text1"/>
        </w:rPr>
        <w:t xml:space="preserve">Après administration sous-cutanée de 40 mg d’adalimumab toutes les deux semaines chez des patients adultes atteints de polyarthrite rhumatoïde (PR), les concentrations </w:t>
      </w:r>
      <w:r w:rsidR="00CE7C5B" w:rsidRPr="0058432E">
        <w:rPr>
          <w:color w:val="000000" w:themeColor="text1"/>
        </w:rPr>
        <w:t xml:space="preserve">résiduelles </w:t>
      </w:r>
      <w:r w:rsidRPr="0058432E">
        <w:rPr>
          <w:color w:val="000000" w:themeColor="text1"/>
        </w:rPr>
        <w:t xml:space="preserve">moyennes </w:t>
      </w:r>
      <w:r w:rsidR="00CE7C5B" w:rsidRPr="0058432E">
        <w:rPr>
          <w:color w:val="000000" w:themeColor="text1"/>
        </w:rPr>
        <w:t xml:space="preserve">à l’état d’équilibre </w:t>
      </w:r>
      <w:r w:rsidRPr="0058432E">
        <w:rPr>
          <w:color w:val="000000" w:themeColor="text1"/>
        </w:rPr>
        <w:t xml:space="preserve">étaient de l’ordre d’environ 5 μg/ml (sans méthotrexate) et de 8 à 9 μg/ml (avec méthotrexate). Les concentrations sériques </w:t>
      </w:r>
      <w:r w:rsidR="005979ED" w:rsidRPr="0058432E">
        <w:rPr>
          <w:color w:val="000000" w:themeColor="text1"/>
        </w:rPr>
        <w:t xml:space="preserve">résiduelles </w:t>
      </w:r>
      <w:r w:rsidRPr="0058432E">
        <w:rPr>
          <w:color w:val="000000" w:themeColor="text1"/>
        </w:rPr>
        <w:t xml:space="preserve">d’adalimumab à l’état d’équilibre ont augmenté de façon à peu près dose-dépendante après l’administration par voie sous-cutanée de 20, 40 et 80 mg toutes les deux semaines et toutes les semaines. </w:t>
      </w:r>
    </w:p>
    <w:p w14:paraId="774C4D4F" w14:textId="77777777" w:rsidR="00C46587" w:rsidRPr="0058432E" w:rsidRDefault="00C46587" w:rsidP="00982118">
      <w:pPr>
        <w:rPr>
          <w:color w:val="000000" w:themeColor="text1"/>
        </w:rPr>
      </w:pPr>
    </w:p>
    <w:p w14:paraId="453ED9DE" w14:textId="77777777" w:rsidR="00C46587" w:rsidRPr="0058432E" w:rsidRDefault="00C46587" w:rsidP="00982118">
      <w:pPr>
        <w:rPr>
          <w:color w:val="000000" w:themeColor="text1"/>
        </w:rPr>
      </w:pPr>
      <w:r w:rsidRPr="0058432E">
        <w:rPr>
          <w:color w:val="000000" w:themeColor="text1"/>
        </w:rPr>
        <w:lastRenderedPageBreak/>
        <w:t>Après administration sous-cutanée de 24 mg/m</w:t>
      </w:r>
      <w:r w:rsidRPr="0058432E">
        <w:rPr>
          <w:color w:val="000000" w:themeColor="text1"/>
          <w:vertAlign w:val="superscript"/>
        </w:rPr>
        <w:t>2</w:t>
      </w:r>
      <w:r w:rsidRPr="0058432E">
        <w:rPr>
          <w:color w:val="000000" w:themeColor="text1"/>
        </w:rPr>
        <w:t xml:space="preserve"> (maximum de 40 mg) toutes les deux semaines chez des patients atteints d’arthrite juvénile idiopathique (AJI) polyarticulaire âgés de 4 à 17</w:t>
      </w:r>
      <w:r w:rsidR="00B962D3" w:rsidRPr="0058432E">
        <w:rPr>
          <w:color w:val="000000" w:themeColor="text1"/>
        </w:rPr>
        <w:t> </w:t>
      </w:r>
      <w:r w:rsidRPr="0058432E">
        <w:rPr>
          <w:color w:val="000000" w:themeColor="text1"/>
        </w:rPr>
        <w:t xml:space="preserve">ans, la concentration sérique résiduelle moyenne de l’adalimumab </w:t>
      </w:r>
      <w:r w:rsidR="005979ED" w:rsidRPr="0058432E">
        <w:rPr>
          <w:color w:val="000000" w:themeColor="text1"/>
        </w:rPr>
        <w:t xml:space="preserve">à l’état d’équilibre </w:t>
      </w:r>
      <w:r w:rsidRPr="0058432E">
        <w:rPr>
          <w:color w:val="000000" w:themeColor="text1"/>
        </w:rPr>
        <w:t xml:space="preserve">(valeurs mesurées des semaines 20 à 48) </w:t>
      </w:r>
      <w:r w:rsidR="005979ED" w:rsidRPr="0058432E">
        <w:rPr>
          <w:color w:val="000000" w:themeColor="text1"/>
        </w:rPr>
        <w:t>était</w:t>
      </w:r>
      <w:r w:rsidRPr="0058432E">
        <w:rPr>
          <w:color w:val="000000" w:themeColor="text1"/>
        </w:rPr>
        <w:t xml:space="preserve"> de 5,6 ± 5,6 µg/ml (CV 102 %) lorsque l’adalimumab était administré sans traitement concomitant par le méthotrexate et de 10,9 ± 5,2 µg/ml (CV 47,7 %) en cas d’administration concomitante avec le méthotrexate. </w:t>
      </w:r>
    </w:p>
    <w:p w14:paraId="1738F164" w14:textId="77777777" w:rsidR="00C46587" w:rsidRPr="0058432E" w:rsidRDefault="00C46587" w:rsidP="00982118">
      <w:pPr>
        <w:rPr>
          <w:color w:val="000000" w:themeColor="text1"/>
        </w:rPr>
      </w:pPr>
    </w:p>
    <w:p w14:paraId="7E9157B3" w14:textId="77777777" w:rsidR="00C46587" w:rsidRPr="0058432E" w:rsidRDefault="00C46587" w:rsidP="00982118">
      <w:pPr>
        <w:rPr>
          <w:color w:val="000000" w:themeColor="text1"/>
        </w:rPr>
      </w:pPr>
      <w:r w:rsidRPr="0058432E">
        <w:rPr>
          <w:color w:val="000000" w:themeColor="text1"/>
        </w:rPr>
        <w:t>Chez les patients atteints d’AJI polyarticulaire âgés de 2 à &lt; 4 ans ou âgés de 4 ans et plus d’un poids &lt; 15 kg ayant reçu l’adalimumab à la dose de 24 mg/m</w:t>
      </w:r>
      <w:r w:rsidRPr="0058432E">
        <w:rPr>
          <w:color w:val="000000" w:themeColor="text1"/>
          <w:vertAlign w:val="superscript"/>
        </w:rPr>
        <w:t>2</w:t>
      </w:r>
      <w:r w:rsidRPr="0058432E">
        <w:rPr>
          <w:color w:val="000000" w:themeColor="text1"/>
        </w:rPr>
        <w:t xml:space="preserve">, la concentration sérique résiduelle moyenne de l’adalimumab </w:t>
      </w:r>
      <w:r w:rsidR="005979ED" w:rsidRPr="0058432E">
        <w:rPr>
          <w:color w:val="000000" w:themeColor="text1"/>
        </w:rPr>
        <w:t xml:space="preserve">à l’état d’équilibre </w:t>
      </w:r>
      <w:r w:rsidRPr="0058432E">
        <w:rPr>
          <w:color w:val="000000" w:themeColor="text1"/>
        </w:rPr>
        <w:t xml:space="preserve">était de 6,0 ± 6,1 µg/ml (CV 101 %) lorsque l’adalimumab était administré sans traitement concomitant par méthotrexate et de 7,9 ± 5,6 µg/ml (CV 71,2 %) en cas d’administration concomitante avec le méthotrexate. </w:t>
      </w:r>
    </w:p>
    <w:p w14:paraId="28DE6E15" w14:textId="77777777" w:rsidR="00C46587" w:rsidRPr="0058432E" w:rsidRDefault="00C46587" w:rsidP="00982118">
      <w:pPr>
        <w:rPr>
          <w:color w:val="000000" w:themeColor="text1"/>
        </w:rPr>
      </w:pPr>
    </w:p>
    <w:p w14:paraId="7831DF70" w14:textId="77777777" w:rsidR="00C46587" w:rsidRPr="0058432E" w:rsidRDefault="00C46587" w:rsidP="00982118">
      <w:pPr>
        <w:rPr>
          <w:color w:val="000000" w:themeColor="text1"/>
        </w:rPr>
      </w:pPr>
      <w:r w:rsidRPr="0058432E">
        <w:rPr>
          <w:color w:val="000000" w:themeColor="text1"/>
        </w:rPr>
        <w:t>Après administration sous-cutanée d’une dose de 24 mg/m</w:t>
      </w:r>
      <w:r w:rsidRPr="0058432E">
        <w:rPr>
          <w:color w:val="000000" w:themeColor="text1"/>
          <w:vertAlign w:val="superscript"/>
        </w:rPr>
        <w:t>2</w:t>
      </w:r>
      <w:r w:rsidRPr="0058432E">
        <w:rPr>
          <w:color w:val="000000" w:themeColor="text1"/>
        </w:rPr>
        <w:t xml:space="preserve"> (dose maximale de 40 mg) toutes les deux semaines chez des patients atteints d’arthrite liée à l’enthésite âgés de 6 à 17 ans, la concentration sérique résiduelle moyenne de l’adalimumab à l’état d’équilibre (valeurs mesurées à la semaine 24) </w:t>
      </w:r>
      <w:r w:rsidR="005979ED" w:rsidRPr="0058432E">
        <w:rPr>
          <w:color w:val="000000" w:themeColor="text1"/>
        </w:rPr>
        <w:t>était</w:t>
      </w:r>
      <w:r w:rsidRPr="0058432E">
        <w:rPr>
          <w:color w:val="000000" w:themeColor="text1"/>
        </w:rPr>
        <w:t xml:space="preserve"> de 8,8 ± 6,6 µg/ml lorsque l’adalimumab était administré sans traitement concomitant par méthotrexate et de 11,8 ± 4,3 µg/ml en cas d’administration concomitante avec le méthotrexate. </w:t>
      </w:r>
    </w:p>
    <w:p w14:paraId="2C55B44A" w14:textId="77777777" w:rsidR="00C46587" w:rsidRPr="0058432E" w:rsidRDefault="00C46587" w:rsidP="00982118">
      <w:pPr>
        <w:rPr>
          <w:color w:val="000000" w:themeColor="text1"/>
        </w:rPr>
      </w:pPr>
    </w:p>
    <w:p w14:paraId="6EF2443C" w14:textId="77777777" w:rsidR="00891274" w:rsidRPr="0058432E" w:rsidRDefault="00891274" w:rsidP="00982118">
      <w:pPr>
        <w:autoSpaceDE w:val="0"/>
        <w:autoSpaceDN w:val="0"/>
        <w:adjustRightInd w:val="0"/>
        <w:rPr>
          <w:color w:val="000000" w:themeColor="text1"/>
        </w:rPr>
      </w:pPr>
      <w:r w:rsidRPr="0058432E">
        <w:rPr>
          <w:color w:val="000000" w:themeColor="text1"/>
        </w:rPr>
        <w:t>Après administration sous-cutanée de 40 mg d’adalimumab toutes les deux semaines chez des patients adultes atteints de spondyl</w:t>
      </w:r>
      <w:r w:rsidR="009D048D" w:rsidRPr="0058432E">
        <w:rPr>
          <w:color w:val="000000" w:themeColor="text1"/>
        </w:rPr>
        <w:t>o</w:t>
      </w:r>
      <w:r w:rsidRPr="0058432E">
        <w:rPr>
          <w:color w:val="000000" w:themeColor="text1"/>
        </w:rPr>
        <w:t>arthrite axiale sans signes radiographiques, la concentration résiduelle moyenne à l’état d’équilibre de l’adalimumab (moyenne ± ET) à la semaine</w:t>
      </w:r>
      <w:r w:rsidR="00AA1D55" w:rsidRPr="0058432E">
        <w:rPr>
          <w:color w:val="000000" w:themeColor="text1"/>
        </w:rPr>
        <w:t> </w:t>
      </w:r>
      <w:r w:rsidRPr="0058432E">
        <w:rPr>
          <w:color w:val="000000" w:themeColor="text1"/>
        </w:rPr>
        <w:t>68 était de 8,0 ± 4,6 μg/ml.</w:t>
      </w:r>
    </w:p>
    <w:p w14:paraId="5F30AB54" w14:textId="77777777" w:rsidR="00891274" w:rsidRPr="0058432E" w:rsidRDefault="00891274" w:rsidP="00982118">
      <w:pPr>
        <w:rPr>
          <w:color w:val="000000" w:themeColor="text1"/>
        </w:rPr>
      </w:pPr>
    </w:p>
    <w:p w14:paraId="6929A754" w14:textId="77777777" w:rsidR="00C46587" w:rsidRPr="0058432E" w:rsidRDefault="00C46587" w:rsidP="00982118">
      <w:pPr>
        <w:rPr>
          <w:color w:val="000000" w:themeColor="text1"/>
        </w:rPr>
      </w:pPr>
      <w:r w:rsidRPr="0058432E">
        <w:rPr>
          <w:color w:val="000000" w:themeColor="text1"/>
        </w:rPr>
        <w:t xml:space="preserve">Chez les patients adultes atteints de psoriasis, la concentration </w:t>
      </w:r>
      <w:r w:rsidR="007F49AA" w:rsidRPr="0058432E">
        <w:rPr>
          <w:color w:val="000000" w:themeColor="text1"/>
        </w:rPr>
        <w:t xml:space="preserve">résiduelle </w:t>
      </w:r>
      <w:r w:rsidRPr="0058432E">
        <w:rPr>
          <w:color w:val="000000" w:themeColor="text1"/>
        </w:rPr>
        <w:t xml:space="preserve">moyenne à l’état d’équilibre était de 5 μg/ml pendant le traitement par 40 mg d’adalimumab </w:t>
      </w:r>
      <w:r w:rsidR="001B430D" w:rsidRPr="0058432E">
        <w:rPr>
          <w:color w:val="000000" w:themeColor="text1"/>
        </w:rPr>
        <w:t>toutes les deux semaines</w:t>
      </w:r>
      <w:r w:rsidRPr="0058432E">
        <w:rPr>
          <w:color w:val="000000" w:themeColor="text1"/>
        </w:rPr>
        <w:t xml:space="preserve"> en monothérapie. </w:t>
      </w:r>
    </w:p>
    <w:p w14:paraId="7E053E58" w14:textId="77777777" w:rsidR="00C46587" w:rsidRPr="0058432E" w:rsidRDefault="00C46587" w:rsidP="00982118">
      <w:pPr>
        <w:rPr>
          <w:color w:val="000000" w:themeColor="text1"/>
        </w:rPr>
      </w:pPr>
    </w:p>
    <w:p w14:paraId="2A35A756" w14:textId="77777777" w:rsidR="00C46587" w:rsidRPr="0058432E" w:rsidRDefault="00C46587" w:rsidP="00982118">
      <w:pPr>
        <w:rPr>
          <w:color w:val="000000" w:themeColor="text1"/>
        </w:rPr>
      </w:pPr>
      <w:r w:rsidRPr="0058432E">
        <w:rPr>
          <w:color w:val="000000" w:themeColor="text1"/>
        </w:rPr>
        <w:t xml:space="preserve">Après administration sous-cutanée de 0,8 mg/kg (dose maximale de 40 mg) toutes les deux semaines chez des patients pédiatriques atteints de psoriasis en plaques chronique, la concentration résiduelle moyenne de l’adalimumab </w:t>
      </w:r>
      <w:r w:rsidR="007F49AA" w:rsidRPr="0058432E">
        <w:rPr>
          <w:color w:val="000000" w:themeColor="text1"/>
        </w:rPr>
        <w:t xml:space="preserve">à l’état d’équilibre </w:t>
      </w:r>
      <w:r w:rsidRPr="0058432E">
        <w:rPr>
          <w:color w:val="000000" w:themeColor="text1"/>
        </w:rPr>
        <w:t xml:space="preserve">(moyenne ± ET) était d’environ 7,4 ± 5,8 µg/ml (CV 79 %). </w:t>
      </w:r>
    </w:p>
    <w:p w14:paraId="67616156" w14:textId="77777777" w:rsidR="00C46587" w:rsidRPr="0058432E" w:rsidRDefault="00C46587" w:rsidP="00982118">
      <w:pPr>
        <w:rPr>
          <w:color w:val="000000" w:themeColor="text1"/>
        </w:rPr>
      </w:pPr>
    </w:p>
    <w:p w14:paraId="1DE00AF1" w14:textId="77777777" w:rsidR="00C46587" w:rsidRPr="0058432E" w:rsidRDefault="00C46587" w:rsidP="00982118">
      <w:pPr>
        <w:rPr>
          <w:color w:val="000000" w:themeColor="text1"/>
        </w:rPr>
      </w:pPr>
      <w:r w:rsidRPr="0058432E">
        <w:rPr>
          <w:color w:val="000000" w:themeColor="text1"/>
        </w:rPr>
        <w:t xml:space="preserve">Chez les patients adultes atteints d’hidrosadénite suppurée, une dose de 160 mg d’adalimumab à la </w:t>
      </w:r>
      <w:r w:rsidR="00647716" w:rsidRPr="0058432E">
        <w:rPr>
          <w:color w:val="000000" w:themeColor="text1"/>
        </w:rPr>
        <w:t>s</w:t>
      </w:r>
      <w:r w:rsidRPr="0058432E">
        <w:rPr>
          <w:color w:val="000000" w:themeColor="text1"/>
        </w:rPr>
        <w:t>emaine</w:t>
      </w:r>
      <w:r w:rsidR="00647716" w:rsidRPr="0058432E">
        <w:rPr>
          <w:color w:val="000000" w:themeColor="text1"/>
        </w:rPr>
        <w:t> </w:t>
      </w:r>
      <w:r w:rsidRPr="0058432E">
        <w:rPr>
          <w:color w:val="000000" w:themeColor="text1"/>
        </w:rPr>
        <w:t xml:space="preserve">0 suivie d’une dose de 80 mg à la </w:t>
      </w:r>
      <w:r w:rsidR="00647716" w:rsidRPr="0058432E">
        <w:rPr>
          <w:color w:val="000000" w:themeColor="text1"/>
        </w:rPr>
        <w:t>s</w:t>
      </w:r>
      <w:r w:rsidRPr="0058432E">
        <w:rPr>
          <w:color w:val="000000" w:themeColor="text1"/>
        </w:rPr>
        <w:t xml:space="preserve">emaine 2, ont permis d’obtenir des concentrations sériques résiduelles d’adalimumab d’environ 7 à 8 μg/ml à la </w:t>
      </w:r>
      <w:r w:rsidR="00EF7966" w:rsidRPr="0058432E">
        <w:rPr>
          <w:color w:val="000000" w:themeColor="text1"/>
        </w:rPr>
        <w:t>s</w:t>
      </w:r>
      <w:r w:rsidRPr="0058432E">
        <w:rPr>
          <w:color w:val="000000" w:themeColor="text1"/>
        </w:rPr>
        <w:t>emaine</w:t>
      </w:r>
      <w:r w:rsidR="00EF7966" w:rsidRPr="0058432E">
        <w:rPr>
          <w:color w:val="000000" w:themeColor="text1"/>
        </w:rPr>
        <w:t> </w:t>
      </w:r>
      <w:r w:rsidRPr="0058432E">
        <w:rPr>
          <w:color w:val="000000" w:themeColor="text1"/>
        </w:rPr>
        <w:t xml:space="preserve">2 et à la </w:t>
      </w:r>
      <w:r w:rsidR="00EF7966" w:rsidRPr="0058432E">
        <w:rPr>
          <w:color w:val="000000" w:themeColor="text1"/>
        </w:rPr>
        <w:t>s</w:t>
      </w:r>
      <w:r w:rsidRPr="0058432E">
        <w:rPr>
          <w:color w:val="000000" w:themeColor="text1"/>
        </w:rPr>
        <w:t xml:space="preserve">emaine 4. Au cours du traitement </w:t>
      </w:r>
      <w:r w:rsidR="008E7545" w:rsidRPr="0058432E">
        <w:rPr>
          <w:color w:val="000000" w:themeColor="text1"/>
        </w:rPr>
        <w:t>par adalimumab</w:t>
      </w:r>
      <w:r w:rsidRPr="0058432E">
        <w:rPr>
          <w:color w:val="000000" w:themeColor="text1"/>
        </w:rPr>
        <w:t xml:space="preserve"> 40 mg par semaine, les concentrations sériques résiduelles moyennes à l’état d’équilibre, de la </w:t>
      </w:r>
      <w:r w:rsidR="007D059C" w:rsidRPr="0058432E">
        <w:rPr>
          <w:color w:val="000000" w:themeColor="text1"/>
        </w:rPr>
        <w:t>s</w:t>
      </w:r>
      <w:r w:rsidRPr="0058432E">
        <w:rPr>
          <w:color w:val="000000" w:themeColor="text1"/>
        </w:rPr>
        <w:t xml:space="preserve">emaine 12 jusqu’à la </w:t>
      </w:r>
      <w:r w:rsidR="007D059C" w:rsidRPr="0058432E">
        <w:rPr>
          <w:color w:val="000000" w:themeColor="text1"/>
        </w:rPr>
        <w:t>s</w:t>
      </w:r>
      <w:r w:rsidRPr="0058432E">
        <w:rPr>
          <w:color w:val="000000" w:themeColor="text1"/>
        </w:rPr>
        <w:t xml:space="preserve">emaine 36, </w:t>
      </w:r>
      <w:r w:rsidR="007067FB" w:rsidRPr="0058432E">
        <w:rPr>
          <w:color w:val="000000" w:themeColor="text1"/>
        </w:rPr>
        <w:t>étaient</w:t>
      </w:r>
      <w:r w:rsidRPr="0058432E">
        <w:rPr>
          <w:color w:val="000000" w:themeColor="text1"/>
        </w:rPr>
        <w:t xml:space="preserve"> d’environ 8 à 10 μg/ml. </w:t>
      </w:r>
    </w:p>
    <w:p w14:paraId="37108C34" w14:textId="77777777" w:rsidR="00C46587" w:rsidRPr="0058432E" w:rsidRDefault="00C46587" w:rsidP="00982118">
      <w:pPr>
        <w:rPr>
          <w:color w:val="000000" w:themeColor="text1"/>
        </w:rPr>
      </w:pPr>
    </w:p>
    <w:p w14:paraId="10DF79C4" w14:textId="77777777" w:rsidR="00C46587" w:rsidRPr="0058432E" w:rsidRDefault="00C46587" w:rsidP="00982118">
      <w:pPr>
        <w:rPr>
          <w:color w:val="000000" w:themeColor="text1"/>
        </w:rPr>
      </w:pPr>
      <w:r w:rsidRPr="0058432E">
        <w:rPr>
          <w:color w:val="000000" w:themeColor="text1"/>
        </w:rPr>
        <w:t xml:space="preserve">L’exposition à l’adalimumab chez les adolescents atteints d’HS a été prédite en utilisant une modélisation pharmacocinétique de population et </w:t>
      </w:r>
      <w:proofErr w:type="gramStart"/>
      <w:r w:rsidRPr="0058432E">
        <w:rPr>
          <w:color w:val="000000" w:themeColor="text1"/>
        </w:rPr>
        <w:t>une simulation basées</w:t>
      </w:r>
      <w:proofErr w:type="gramEnd"/>
      <w:r w:rsidRPr="0058432E">
        <w:rPr>
          <w:color w:val="000000" w:themeColor="text1"/>
        </w:rPr>
        <w:t xml:space="preserve"> sur la pharmacocinétique observée dans des indications croisées chez d’autres patients pédiatriques (psoriasis pédiatrique, arthrite juvénile idiopathique, maladie de Crohn pédiatrique et arthrite liée à l’enthésite). Le schéma posologique recommandé chez les adolescents atteints d’HS est 40 mg toutes les deux semaines. Comme l’exposition à l’adalimumab peut être modifiée par la masse corporelle, les adolescents avec un poids corporel plus élevé et une réponse insuffisante pourraient bénéficier de la dose recommandée chez l’adulte de 40 mg par semaine. </w:t>
      </w:r>
    </w:p>
    <w:p w14:paraId="684F03A1" w14:textId="77777777" w:rsidR="00C46587" w:rsidRPr="0058432E" w:rsidRDefault="00C46587" w:rsidP="00982118">
      <w:pPr>
        <w:rPr>
          <w:color w:val="000000" w:themeColor="text1"/>
        </w:rPr>
      </w:pPr>
    </w:p>
    <w:p w14:paraId="3A4B36DE" w14:textId="77777777" w:rsidR="00C46587" w:rsidRPr="0058432E" w:rsidRDefault="00C46587" w:rsidP="00982118">
      <w:pPr>
        <w:rPr>
          <w:color w:val="000000" w:themeColor="text1"/>
        </w:rPr>
      </w:pPr>
      <w:r w:rsidRPr="0058432E">
        <w:rPr>
          <w:color w:val="000000" w:themeColor="text1"/>
        </w:rPr>
        <w:t xml:space="preserve">Chez les patients atteints de la maladie de Crohn, la dose de charge de 80 mg d’adalimumab à la semaine 0 suivie de 40 mg d’adalimumab à la semaine 2 permet d’obtenir des concentrations sériques </w:t>
      </w:r>
      <w:r w:rsidR="00ED319E" w:rsidRPr="0058432E">
        <w:rPr>
          <w:color w:val="000000" w:themeColor="text1"/>
        </w:rPr>
        <w:t xml:space="preserve">résiduelles </w:t>
      </w:r>
      <w:r w:rsidRPr="0058432E">
        <w:rPr>
          <w:color w:val="000000" w:themeColor="text1"/>
        </w:rPr>
        <w:t xml:space="preserve">d’adalimumab d’environ 5,5 µg/ml pendant la période d’induction. Une dose de charge de 160 mg d’adalimumab à la semaine 0 suivie de 80 mg d’adalimumab à la semaine 2 permet d’obtenir des concentrations sériques </w:t>
      </w:r>
      <w:r w:rsidR="007067FB" w:rsidRPr="0058432E">
        <w:rPr>
          <w:color w:val="000000" w:themeColor="text1"/>
        </w:rPr>
        <w:t xml:space="preserve">résiduelles </w:t>
      </w:r>
      <w:r w:rsidRPr="0058432E">
        <w:rPr>
          <w:color w:val="000000" w:themeColor="text1"/>
        </w:rPr>
        <w:t xml:space="preserve">d’adalimumab d’environ 12 µg/ml pendant la période d’induction. Des concentrations </w:t>
      </w:r>
      <w:r w:rsidR="007067FB" w:rsidRPr="0058432E">
        <w:rPr>
          <w:color w:val="000000" w:themeColor="text1"/>
        </w:rPr>
        <w:t xml:space="preserve">résiduelles </w:t>
      </w:r>
      <w:r w:rsidRPr="0058432E">
        <w:rPr>
          <w:color w:val="000000" w:themeColor="text1"/>
        </w:rPr>
        <w:t xml:space="preserve">moyennes à l’état d’équilibre d’environ 7 µg/ml ont été obtenues chez des patients atteints de la maladie de Crohn ayant reçu une dose d’entretien de 40 mg d’adalimumab toutes les deux semaines. </w:t>
      </w:r>
    </w:p>
    <w:p w14:paraId="7284B464" w14:textId="77777777" w:rsidR="00C46587" w:rsidRPr="0058432E" w:rsidRDefault="00C46587" w:rsidP="00982118">
      <w:pPr>
        <w:rPr>
          <w:color w:val="000000" w:themeColor="text1"/>
        </w:rPr>
      </w:pPr>
    </w:p>
    <w:p w14:paraId="6809670C" w14:textId="77777777" w:rsidR="00C46587" w:rsidRPr="0058432E" w:rsidRDefault="00C46587" w:rsidP="00982118">
      <w:pPr>
        <w:rPr>
          <w:color w:val="000000" w:themeColor="text1"/>
        </w:rPr>
      </w:pPr>
      <w:r w:rsidRPr="0058432E">
        <w:rPr>
          <w:color w:val="000000" w:themeColor="text1"/>
        </w:rPr>
        <w:lastRenderedPageBreak/>
        <w:t xml:space="preserve">Chez les enfants et les adolescents atteints de MC modérée à sévère, la dose d’induction de l’adalimumab en ouvert était respectivement de 160/80 mg ou 80/40 mg aux semaines 0 et 2, en fonction d’une valeur seuil de poids de 40 kg. À la semaine 4, les patients ont été randomisés selon un rapport de 1/1 pour recevoir un traitement d’entretien soit à la dose standard (40/20 mg toutes les deux semaines) soit à la dose faible (20/10 mg toutes les deux semaines) en fonction de leur poids. Les concentrations sériques résiduelles moyennes (± ET) de l’adalimumab obtenues à la semaine 4 </w:t>
      </w:r>
      <w:r w:rsidR="00ED319E" w:rsidRPr="0058432E">
        <w:rPr>
          <w:color w:val="000000" w:themeColor="text1"/>
        </w:rPr>
        <w:t>étaient</w:t>
      </w:r>
      <w:r w:rsidRPr="0058432E">
        <w:rPr>
          <w:color w:val="000000" w:themeColor="text1"/>
        </w:rPr>
        <w:t xml:space="preserve"> de 15,7</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6,6 μg/ml chez les patients de poids ≥ 40 kg (160/80 mg) et de 10,6</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 xml:space="preserve">6,1 μg/ml chez les patients de poids &lt; 40 kg (80/40 mg). </w:t>
      </w:r>
    </w:p>
    <w:p w14:paraId="4BC327FA" w14:textId="77777777" w:rsidR="00C46587" w:rsidRPr="0058432E" w:rsidRDefault="00C46587" w:rsidP="00982118">
      <w:pPr>
        <w:rPr>
          <w:color w:val="000000" w:themeColor="text1"/>
        </w:rPr>
      </w:pPr>
    </w:p>
    <w:p w14:paraId="18E17BE3" w14:textId="77777777" w:rsidR="00C46587" w:rsidRPr="0058432E" w:rsidRDefault="00C46587" w:rsidP="00982118">
      <w:pPr>
        <w:rPr>
          <w:color w:val="000000" w:themeColor="text1"/>
        </w:rPr>
      </w:pPr>
      <w:r w:rsidRPr="0058432E">
        <w:rPr>
          <w:color w:val="000000" w:themeColor="text1"/>
        </w:rPr>
        <w:t>Chez les patients toujours traités, les concentrations résiduelles moyennes (± ET) de l’adalimumab à la semaine 52 étaient de 9,5</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5,6 μg/ml dans le groupe traité à la dose standard et de 3,5</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 xml:space="preserve">2,2 μg/ml dans le groupe traité à la dose faible. Les concentrations résiduelles moyennes ont été maintenues chez les patients ayant continué à recevoir le traitement </w:t>
      </w:r>
      <w:r w:rsidR="008E7545" w:rsidRPr="0058432E">
        <w:rPr>
          <w:color w:val="000000" w:themeColor="text1"/>
        </w:rPr>
        <w:t>par adalimumab</w:t>
      </w:r>
      <w:r w:rsidRPr="0058432E">
        <w:rPr>
          <w:color w:val="000000" w:themeColor="text1"/>
        </w:rPr>
        <w:t xml:space="preserve"> toutes les deux semaines pendant 52 semaines. Chez les patients dont le schéma posologique est passé de toutes les deux semaines à toutes les semaines, les concentrations sériques moyennes (± ET) de l’adalimumab à la semaine 52 </w:t>
      </w:r>
      <w:r w:rsidR="00ED319E" w:rsidRPr="0058432E">
        <w:rPr>
          <w:color w:val="000000" w:themeColor="text1"/>
        </w:rPr>
        <w:t>étaient</w:t>
      </w:r>
      <w:r w:rsidRPr="0058432E">
        <w:rPr>
          <w:color w:val="000000" w:themeColor="text1"/>
        </w:rPr>
        <w:t xml:space="preserve"> de 15,3</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11,4 μg/ml (40/20 mg, toutes les semaines) et de 6,7</w:t>
      </w:r>
      <w:r w:rsidR="00AA1D55" w:rsidRPr="0058432E">
        <w:rPr>
          <w:color w:val="000000" w:themeColor="text1"/>
        </w:rPr>
        <w:t> </w:t>
      </w:r>
      <w:r w:rsidRPr="0058432E">
        <w:rPr>
          <w:color w:val="000000" w:themeColor="text1"/>
        </w:rPr>
        <w:t>±</w:t>
      </w:r>
      <w:r w:rsidR="00AA1D55" w:rsidRPr="0058432E">
        <w:rPr>
          <w:color w:val="000000" w:themeColor="text1"/>
        </w:rPr>
        <w:t> </w:t>
      </w:r>
      <w:r w:rsidRPr="0058432E">
        <w:rPr>
          <w:color w:val="000000" w:themeColor="text1"/>
        </w:rPr>
        <w:t xml:space="preserve">3,5 μg/ml (20/10 mg, toutes les semaines). </w:t>
      </w:r>
    </w:p>
    <w:p w14:paraId="1D5A73AE" w14:textId="77777777" w:rsidR="00C46587" w:rsidRPr="0058432E" w:rsidRDefault="00C46587" w:rsidP="00982118">
      <w:pPr>
        <w:rPr>
          <w:color w:val="000000" w:themeColor="text1"/>
        </w:rPr>
      </w:pPr>
    </w:p>
    <w:p w14:paraId="3214A73D" w14:textId="77777777" w:rsidR="00C46587" w:rsidRPr="0058432E" w:rsidRDefault="00C46587" w:rsidP="00982118">
      <w:pPr>
        <w:rPr>
          <w:color w:val="000000" w:themeColor="text1"/>
        </w:rPr>
      </w:pPr>
      <w:r w:rsidRPr="0058432E">
        <w:rPr>
          <w:color w:val="000000" w:themeColor="text1"/>
        </w:rPr>
        <w:t xml:space="preserve">Chez les patients atteints de rectocolite hémorragique, </w:t>
      </w:r>
      <w:r w:rsidR="00E36A76" w:rsidRPr="0058432E">
        <w:rPr>
          <w:color w:val="000000" w:themeColor="text1"/>
        </w:rPr>
        <w:t>la</w:t>
      </w:r>
      <w:r w:rsidRPr="0058432E">
        <w:rPr>
          <w:color w:val="000000" w:themeColor="text1"/>
        </w:rPr>
        <w:t xml:space="preserve"> dose </w:t>
      </w:r>
      <w:r w:rsidR="00ED319E" w:rsidRPr="0058432E">
        <w:rPr>
          <w:color w:val="000000" w:themeColor="text1"/>
        </w:rPr>
        <w:t>de charge</w:t>
      </w:r>
      <w:r w:rsidRPr="0058432E">
        <w:rPr>
          <w:color w:val="000000" w:themeColor="text1"/>
        </w:rPr>
        <w:t xml:space="preserve"> de 160 mg d’adalimumab à la semaine</w:t>
      </w:r>
      <w:r w:rsidR="00094952" w:rsidRPr="0058432E">
        <w:rPr>
          <w:color w:val="000000" w:themeColor="text1"/>
        </w:rPr>
        <w:t> </w:t>
      </w:r>
      <w:r w:rsidRPr="0058432E">
        <w:rPr>
          <w:color w:val="000000" w:themeColor="text1"/>
        </w:rPr>
        <w:t>0 suivie de 80 mg d’adalimumab à la semaine</w:t>
      </w:r>
      <w:r w:rsidR="00094952" w:rsidRPr="0058432E">
        <w:rPr>
          <w:color w:val="000000" w:themeColor="text1"/>
        </w:rPr>
        <w:t> </w:t>
      </w:r>
      <w:r w:rsidRPr="0058432E">
        <w:rPr>
          <w:color w:val="000000" w:themeColor="text1"/>
        </w:rPr>
        <w:t xml:space="preserve">2 permet d’obtenir des concentrations sériques </w:t>
      </w:r>
      <w:r w:rsidR="00ED319E" w:rsidRPr="0058432E">
        <w:rPr>
          <w:color w:val="000000" w:themeColor="text1"/>
        </w:rPr>
        <w:t xml:space="preserve">résiduelles </w:t>
      </w:r>
      <w:r w:rsidRPr="0058432E">
        <w:rPr>
          <w:color w:val="000000" w:themeColor="text1"/>
        </w:rPr>
        <w:t xml:space="preserve">d’adalimumab d’environ 12 μg/ml pendant la période d’induction. Des concentrations </w:t>
      </w:r>
      <w:r w:rsidR="00ED319E" w:rsidRPr="0058432E">
        <w:rPr>
          <w:color w:val="000000" w:themeColor="text1"/>
        </w:rPr>
        <w:t xml:space="preserve">résiduelles </w:t>
      </w:r>
      <w:r w:rsidRPr="0058432E">
        <w:rPr>
          <w:color w:val="000000" w:themeColor="text1"/>
        </w:rPr>
        <w:t xml:space="preserve">moyennes à l’état d’équilibre d’environ 8 μg/ml ont été observées chez des patients atteints de rectocolite hémorragique ayant reçu une dose d’entretien de 40 mg d’adalimumab toutes les deux semaines. </w:t>
      </w:r>
    </w:p>
    <w:p w14:paraId="5D609E82" w14:textId="77777777" w:rsidR="00C46587" w:rsidRPr="0058432E" w:rsidRDefault="00C46587" w:rsidP="00982118">
      <w:pPr>
        <w:rPr>
          <w:color w:val="000000" w:themeColor="text1"/>
        </w:rPr>
      </w:pPr>
    </w:p>
    <w:p w14:paraId="5EADC8C7" w14:textId="77777777" w:rsidR="001345F1" w:rsidRPr="0058432E" w:rsidRDefault="001345F1" w:rsidP="001345F1">
      <w:pPr>
        <w:rPr>
          <w:color w:val="000000" w:themeColor="text1"/>
        </w:rPr>
      </w:pPr>
      <w:r w:rsidRPr="0058432E">
        <w:rPr>
          <w:color w:val="000000" w:themeColor="text1"/>
        </w:rPr>
        <w:t>Après administration sous-cutanée de la dose déterminée par le poids de 0,6 mg/kg (dose maximale de 40 mg) toutes les deux semaines chez des patients pédiatriques atteints de rectocolite hémorragique, la concentration sérique résiduelle moyenne de l’adalimumab à l’état d’équilibre était de 5,01 ± 3,28 μg/ml à la semaine 52. Chez les patients qui recevaient une dose de 0,6 mg/kg (dose maximale de 40 mg) chaque semaine, la concentration sérique résiduelle moyenne (± ET) de l’adalimumab à l’état d’équilibre était de 15,7 ± 5,60 μg/ml à la semaine 52.</w:t>
      </w:r>
    </w:p>
    <w:p w14:paraId="4BFC552E" w14:textId="77777777" w:rsidR="001345F1" w:rsidRPr="0058432E" w:rsidRDefault="001345F1" w:rsidP="00982118">
      <w:pPr>
        <w:rPr>
          <w:color w:val="000000" w:themeColor="text1"/>
        </w:rPr>
      </w:pPr>
    </w:p>
    <w:p w14:paraId="2A5CAC37" w14:textId="77777777" w:rsidR="00C46587" w:rsidRPr="0058432E" w:rsidRDefault="00C46587" w:rsidP="00982118">
      <w:pPr>
        <w:rPr>
          <w:color w:val="000000" w:themeColor="text1"/>
        </w:rPr>
      </w:pPr>
      <w:r w:rsidRPr="0058432E">
        <w:rPr>
          <w:color w:val="000000" w:themeColor="text1"/>
        </w:rPr>
        <w:t xml:space="preserve">Chez les patients adultes atteints d’uvéite, </w:t>
      </w:r>
      <w:r w:rsidR="00E36A76" w:rsidRPr="0058432E">
        <w:rPr>
          <w:color w:val="000000" w:themeColor="text1"/>
        </w:rPr>
        <w:t>la</w:t>
      </w:r>
      <w:r w:rsidRPr="0058432E">
        <w:rPr>
          <w:color w:val="000000" w:themeColor="text1"/>
        </w:rPr>
        <w:t xml:space="preserve"> dose </w:t>
      </w:r>
      <w:r w:rsidR="005979ED" w:rsidRPr="0058432E">
        <w:rPr>
          <w:color w:val="000000" w:themeColor="text1"/>
        </w:rPr>
        <w:t>de charge</w:t>
      </w:r>
      <w:r w:rsidRPr="0058432E">
        <w:rPr>
          <w:color w:val="000000" w:themeColor="text1"/>
        </w:rPr>
        <w:t xml:space="preserve"> de 80 mg d’adalimumab à la </w:t>
      </w:r>
      <w:r w:rsidR="00617EFD" w:rsidRPr="0058432E">
        <w:rPr>
          <w:color w:val="000000" w:themeColor="text1"/>
        </w:rPr>
        <w:t>s</w:t>
      </w:r>
      <w:r w:rsidRPr="0058432E">
        <w:rPr>
          <w:color w:val="000000" w:themeColor="text1"/>
        </w:rPr>
        <w:t xml:space="preserve">emaine 0 suivie de 40 mg d’adalimumab toutes les deux semaines à partir de la </w:t>
      </w:r>
      <w:r w:rsidR="00282C11" w:rsidRPr="0058432E">
        <w:rPr>
          <w:color w:val="000000" w:themeColor="text1"/>
        </w:rPr>
        <w:t>s</w:t>
      </w:r>
      <w:r w:rsidRPr="0058432E">
        <w:rPr>
          <w:color w:val="000000" w:themeColor="text1"/>
        </w:rPr>
        <w:t xml:space="preserve">emaine 1 a permis d’obtenir des concentrations moyennes d’adalimumab à l’état d’équilibre d’environ 8 à 10 μg/ml. </w:t>
      </w:r>
    </w:p>
    <w:p w14:paraId="4047800A" w14:textId="77777777" w:rsidR="00C46587" w:rsidRPr="0058432E" w:rsidRDefault="00C46587" w:rsidP="00982118">
      <w:pPr>
        <w:rPr>
          <w:color w:val="000000" w:themeColor="text1"/>
        </w:rPr>
      </w:pPr>
    </w:p>
    <w:p w14:paraId="1207D31B" w14:textId="77777777" w:rsidR="004705C4" w:rsidRPr="0058432E" w:rsidRDefault="004705C4" w:rsidP="00982118">
      <w:pPr>
        <w:rPr>
          <w:color w:val="000000" w:themeColor="text1"/>
        </w:rPr>
      </w:pPr>
      <w:r w:rsidRPr="0058432E">
        <w:rPr>
          <w:color w:val="000000" w:themeColor="text1"/>
        </w:rPr>
        <w:t>L’exposition à l’adalimumab chez les patients atteints d’uvéite pédiatrique a été prédite en utilisant une modélisation pharmacocinétique de population et une simulation basée sur la pharmacocinétique observée dans différentes indications pédiatriques (psoriasis pédiatrique, arthrite juvénile idiopathique, maladie de Crohn pédiatrique et arthrite liée à l’enthésite). Aucune donnée d’exposition clinique n’est disponible sur l’utilisation d’une dose de charge chez les enfants âgés de moins de 6 ans. Les expositions prévisibles indiquent qu’en l’absence de méthotrexate, une dose de charge peut entraîner une augmentation initiale de l’exposition systémique.</w:t>
      </w:r>
    </w:p>
    <w:p w14:paraId="513A739F" w14:textId="77777777" w:rsidR="004705C4" w:rsidRPr="0058432E" w:rsidRDefault="004705C4" w:rsidP="00982118">
      <w:pPr>
        <w:rPr>
          <w:color w:val="000000" w:themeColor="text1"/>
        </w:rPr>
      </w:pPr>
    </w:p>
    <w:p w14:paraId="4A72792C" w14:textId="77777777" w:rsidR="00EB39E0" w:rsidRPr="0058432E" w:rsidRDefault="00EB39E0" w:rsidP="00982118">
      <w:pPr>
        <w:autoSpaceDE w:val="0"/>
        <w:autoSpaceDN w:val="0"/>
        <w:adjustRightInd w:val="0"/>
        <w:rPr>
          <w:color w:val="000000" w:themeColor="text1"/>
        </w:rPr>
      </w:pPr>
      <w:r w:rsidRPr="0058432E">
        <w:rPr>
          <w:color w:val="000000" w:themeColor="text1"/>
        </w:rPr>
        <w:t>Une modélisation et une simulation pharmacocinétiques et pharmacocinétiques/pharmacodynamiques de population ont prédit une exposition et une efficacité comparables chez les patients traités par 80 mg toutes les deux semaines en comparaison avec 40 mg toutes les semaines (y compris les patients adultes atteints de PR, HS, RCH, MC ou Ps, les adolescents atteints d’HS, et les patients pédiatriques ≥ 40 kg atteints de MC</w:t>
      </w:r>
      <w:r w:rsidR="00AA1D55" w:rsidRPr="0058432E">
        <w:rPr>
          <w:color w:val="000000" w:themeColor="text1"/>
        </w:rPr>
        <w:t xml:space="preserve"> et RCH</w:t>
      </w:r>
      <w:r w:rsidRPr="0058432E">
        <w:rPr>
          <w:color w:val="000000" w:themeColor="text1"/>
        </w:rPr>
        <w:t>).</w:t>
      </w:r>
    </w:p>
    <w:p w14:paraId="249F61BB" w14:textId="77777777" w:rsidR="00EB39E0" w:rsidRPr="0058432E" w:rsidRDefault="00EB39E0" w:rsidP="00982118">
      <w:pPr>
        <w:rPr>
          <w:color w:val="000000" w:themeColor="text1"/>
        </w:rPr>
      </w:pPr>
    </w:p>
    <w:p w14:paraId="1175071F" w14:textId="77777777" w:rsidR="00485C78" w:rsidRPr="0058432E" w:rsidRDefault="00485C78" w:rsidP="00DC3A99">
      <w:pPr>
        <w:keepNext/>
        <w:rPr>
          <w:color w:val="000000" w:themeColor="text1"/>
          <w:u w:val="single"/>
        </w:rPr>
      </w:pPr>
      <w:r w:rsidRPr="0058432E">
        <w:rPr>
          <w:color w:val="000000" w:themeColor="text1"/>
          <w:u w:val="single"/>
        </w:rPr>
        <w:t>Relation exposition-réponse dans la population pédiatrique</w:t>
      </w:r>
    </w:p>
    <w:p w14:paraId="519EEEFA" w14:textId="77777777" w:rsidR="00485C78" w:rsidRPr="0058432E" w:rsidRDefault="00485C78" w:rsidP="00DC3A99">
      <w:pPr>
        <w:keepNext/>
        <w:rPr>
          <w:color w:val="000000" w:themeColor="text1"/>
        </w:rPr>
      </w:pPr>
    </w:p>
    <w:p w14:paraId="5942C7EF" w14:textId="77777777" w:rsidR="00485C78" w:rsidRPr="0058432E" w:rsidRDefault="00485C78" w:rsidP="00982118">
      <w:pPr>
        <w:rPr>
          <w:color w:val="000000" w:themeColor="text1"/>
        </w:rPr>
      </w:pPr>
      <w:r w:rsidRPr="0058432E">
        <w:rPr>
          <w:color w:val="000000" w:themeColor="text1"/>
        </w:rPr>
        <w:t xml:space="preserve">Sur la base des données des essais cliniques chez les patients atteints d’AJI (AJI polyarticulaire et arthrite liée à l’enthésite), une relation exposition-réponse a été démontrée entre les concentrations plasmatiques et la réponse ACR </w:t>
      </w:r>
      <w:r w:rsidR="00660970" w:rsidRPr="0058432E">
        <w:rPr>
          <w:color w:val="000000" w:themeColor="text1"/>
        </w:rPr>
        <w:t>pédiatrique</w:t>
      </w:r>
      <w:r w:rsidRPr="0058432E">
        <w:rPr>
          <w:color w:val="000000" w:themeColor="text1"/>
        </w:rPr>
        <w:t xml:space="preserve"> 50. La concentration plasmatique d’adalimumab apparente produisant la moitié de la probabilité maximale de réponse ACR </w:t>
      </w:r>
      <w:r w:rsidR="00660970" w:rsidRPr="0058432E">
        <w:rPr>
          <w:color w:val="000000" w:themeColor="text1"/>
        </w:rPr>
        <w:t>pédiatrique</w:t>
      </w:r>
      <w:r w:rsidRPr="0058432E">
        <w:rPr>
          <w:color w:val="000000" w:themeColor="text1"/>
        </w:rPr>
        <w:t xml:space="preserve"> 50 (CE50) était de 3 µg/ml (IC à 95 % : 1</w:t>
      </w:r>
      <w:r w:rsidR="000C1DE3" w:rsidRPr="0058432E">
        <w:rPr>
          <w:color w:val="000000" w:themeColor="text1"/>
        </w:rPr>
        <w:t> – </w:t>
      </w:r>
      <w:r w:rsidRPr="0058432E">
        <w:rPr>
          <w:color w:val="000000" w:themeColor="text1"/>
        </w:rPr>
        <w:t>6 μg/ml).</w:t>
      </w:r>
    </w:p>
    <w:p w14:paraId="71FCF0DD" w14:textId="77777777" w:rsidR="00485C78" w:rsidRPr="0058432E" w:rsidRDefault="00485C78" w:rsidP="00982118">
      <w:pPr>
        <w:rPr>
          <w:color w:val="000000" w:themeColor="text1"/>
        </w:rPr>
      </w:pPr>
    </w:p>
    <w:p w14:paraId="0FB154B6" w14:textId="77777777" w:rsidR="00485C78" w:rsidRPr="0058432E" w:rsidRDefault="00485C78" w:rsidP="00982118">
      <w:pPr>
        <w:rPr>
          <w:color w:val="000000" w:themeColor="text1"/>
        </w:rPr>
      </w:pPr>
      <w:r w:rsidRPr="0058432E">
        <w:rPr>
          <w:color w:val="000000" w:themeColor="text1"/>
        </w:rPr>
        <w:t>Des relations exposition-réponse entre la concentration d’adalimumab et l’efficacité chez les patients pédiatriques atteints de psoriasis en plaques sévère ont été établies pour les résultats PASI 75 et PGA « clair ou minimal », respectivement. Les taux de résultats PASI 75 et PGA « clair ou minimal » ont augmenté à mesure de l’augmentation des concentrations d’adalimumab, avec une CE50 apparente similaire d’environ 4,5</w:t>
      </w:r>
      <w:r w:rsidR="00EF7966" w:rsidRPr="0058432E">
        <w:rPr>
          <w:color w:val="000000" w:themeColor="text1"/>
        </w:rPr>
        <w:t> </w:t>
      </w:r>
      <w:r w:rsidRPr="0058432E">
        <w:rPr>
          <w:color w:val="000000" w:themeColor="text1"/>
        </w:rPr>
        <w:t>μg/ml (IC à 95 % respectifs de 0,4</w:t>
      </w:r>
      <w:r w:rsidR="00EF7966" w:rsidRPr="0058432E">
        <w:rPr>
          <w:color w:val="000000" w:themeColor="text1"/>
        </w:rPr>
        <w:t> – </w:t>
      </w:r>
      <w:r w:rsidRPr="0058432E">
        <w:rPr>
          <w:color w:val="000000" w:themeColor="text1"/>
        </w:rPr>
        <w:t>47,6 et 1,9</w:t>
      </w:r>
      <w:r w:rsidR="00EF7966" w:rsidRPr="0058432E">
        <w:rPr>
          <w:color w:val="000000" w:themeColor="text1"/>
        </w:rPr>
        <w:t> – </w:t>
      </w:r>
      <w:r w:rsidRPr="0058432E">
        <w:rPr>
          <w:color w:val="000000" w:themeColor="text1"/>
        </w:rPr>
        <w:t>10,5) dans les deux cas.</w:t>
      </w:r>
    </w:p>
    <w:p w14:paraId="210B7880" w14:textId="77777777" w:rsidR="00485C78" w:rsidRPr="0058432E" w:rsidRDefault="00485C78" w:rsidP="00982118">
      <w:pPr>
        <w:rPr>
          <w:color w:val="000000" w:themeColor="text1"/>
          <w:u w:val="single"/>
        </w:rPr>
      </w:pPr>
    </w:p>
    <w:p w14:paraId="501A8AAF" w14:textId="77777777" w:rsidR="00C46587" w:rsidRPr="0058432E" w:rsidRDefault="003D5162" w:rsidP="003D5162">
      <w:pPr>
        <w:keepNext/>
        <w:rPr>
          <w:color w:val="000000" w:themeColor="text1"/>
          <w:u w:val="single"/>
        </w:rPr>
      </w:pPr>
      <w:r w:rsidRPr="0058432E">
        <w:rPr>
          <w:color w:val="000000" w:themeColor="text1"/>
          <w:u w:val="single"/>
        </w:rPr>
        <w:t>Élimination</w:t>
      </w:r>
    </w:p>
    <w:p w14:paraId="254740A8" w14:textId="77777777" w:rsidR="00C46587" w:rsidRPr="0058432E" w:rsidRDefault="00C46587" w:rsidP="003D5162">
      <w:pPr>
        <w:keepNext/>
        <w:rPr>
          <w:color w:val="000000" w:themeColor="text1"/>
        </w:rPr>
      </w:pPr>
    </w:p>
    <w:p w14:paraId="398821C8" w14:textId="77777777" w:rsidR="00C46587" w:rsidRPr="0058432E" w:rsidRDefault="00C46587" w:rsidP="00982118">
      <w:pPr>
        <w:rPr>
          <w:color w:val="000000" w:themeColor="text1"/>
        </w:rPr>
      </w:pPr>
      <w:r w:rsidRPr="0058432E">
        <w:rPr>
          <w:color w:val="000000" w:themeColor="text1"/>
        </w:rPr>
        <w:t>Les analyses pharmacocinétiques de populations portant sur des données recueillies chez plus de 1</w:t>
      </w:r>
      <w:r w:rsidR="00DB2437" w:rsidRPr="0058432E">
        <w:rPr>
          <w:color w:val="000000" w:themeColor="text1"/>
        </w:rPr>
        <w:t> </w:t>
      </w:r>
      <w:r w:rsidRPr="0058432E">
        <w:rPr>
          <w:color w:val="000000" w:themeColor="text1"/>
        </w:rPr>
        <w:t>300</w:t>
      </w:r>
      <w:r w:rsidR="00DB2437" w:rsidRPr="0058432E">
        <w:rPr>
          <w:color w:val="000000" w:themeColor="text1"/>
        </w:rPr>
        <w:t> </w:t>
      </w:r>
      <w:r w:rsidRPr="0058432E">
        <w:rPr>
          <w:color w:val="000000" w:themeColor="text1"/>
        </w:rPr>
        <w:t>patients atteints de PR, ont révélé une tendance à une augmentation de la clairance apparente de l’adalimumab avec une augmentation du poids corporel. Après ajustement en fonction des différences pondérales, le sexe et l’âge ont semblé avoir peu d’effet sur la clairance de l’adalimumab. Il a été observé que les taux sériques d’adalimumab libre (non lié aux anticorps anti</w:t>
      </w:r>
      <w:r w:rsidRPr="0058432E">
        <w:rPr>
          <w:color w:val="000000" w:themeColor="text1"/>
        </w:rPr>
        <w:noBreakHyphen/>
        <w:t xml:space="preserve">adalimumab, AAA) étaient plus bas chez les patients dont les AAA étaient mesurables. </w:t>
      </w:r>
    </w:p>
    <w:p w14:paraId="3684CAB3" w14:textId="77777777" w:rsidR="00C46587" w:rsidRPr="0058432E" w:rsidRDefault="00C46587" w:rsidP="00982118">
      <w:pPr>
        <w:rPr>
          <w:color w:val="000000" w:themeColor="text1"/>
        </w:rPr>
      </w:pPr>
    </w:p>
    <w:p w14:paraId="1F611516" w14:textId="77777777" w:rsidR="00C46587" w:rsidRPr="0058432E" w:rsidRDefault="003D5162" w:rsidP="00DC3A99">
      <w:pPr>
        <w:keepNext/>
        <w:rPr>
          <w:color w:val="000000" w:themeColor="text1"/>
          <w:u w:val="single"/>
        </w:rPr>
      </w:pPr>
      <w:r w:rsidRPr="0058432E">
        <w:rPr>
          <w:color w:val="000000" w:themeColor="text1"/>
          <w:u w:val="single"/>
        </w:rPr>
        <w:t>Insuffisance hépatique ou rénale</w:t>
      </w:r>
    </w:p>
    <w:p w14:paraId="6A72C195" w14:textId="77777777" w:rsidR="00C46587" w:rsidRPr="0058432E" w:rsidRDefault="00C46587" w:rsidP="00DC3A99">
      <w:pPr>
        <w:keepNext/>
        <w:rPr>
          <w:color w:val="000000" w:themeColor="text1"/>
        </w:rPr>
      </w:pPr>
    </w:p>
    <w:p w14:paraId="4F79741A" w14:textId="77777777" w:rsidR="00C46587" w:rsidRPr="0058432E" w:rsidRDefault="005A4709" w:rsidP="00982118">
      <w:pPr>
        <w:rPr>
          <w:color w:val="000000" w:themeColor="text1"/>
        </w:rPr>
      </w:pPr>
      <w:r w:rsidRPr="0058432E">
        <w:rPr>
          <w:color w:val="000000" w:themeColor="text1"/>
        </w:rPr>
        <w:t xml:space="preserve">L’adalimumab n’a pas été étudié chez les patients présentant une insuffisance hépatique ou rénale. </w:t>
      </w:r>
    </w:p>
    <w:p w14:paraId="0167F6C5" w14:textId="77777777" w:rsidR="00C46587" w:rsidRPr="0058432E" w:rsidRDefault="00C46587" w:rsidP="00982118">
      <w:pPr>
        <w:rPr>
          <w:color w:val="000000" w:themeColor="text1"/>
        </w:rPr>
      </w:pPr>
    </w:p>
    <w:p w14:paraId="0C729792" w14:textId="77777777" w:rsidR="00C46587" w:rsidRPr="0058432E" w:rsidRDefault="00C46587" w:rsidP="00982118">
      <w:pPr>
        <w:keepNext/>
        <w:tabs>
          <w:tab w:val="left" w:pos="562"/>
        </w:tabs>
        <w:rPr>
          <w:b/>
          <w:color w:val="000000" w:themeColor="text1"/>
        </w:rPr>
      </w:pPr>
      <w:r w:rsidRPr="0058432E">
        <w:rPr>
          <w:b/>
          <w:color w:val="000000" w:themeColor="text1"/>
        </w:rPr>
        <w:t>5.3</w:t>
      </w:r>
      <w:r w:rsidRPr="0058432E">
        <w:rPr>
          <w:b/>
          <w:color w:val="000000" w:themeColor="text1"/>
        </w:rPr>
        <w:tab/>
        <w:t xml:space="preserve">Données de sécurité préclinique </w:t>
      </w:r>
    </w:p>
    <w:p w14:paraId="232D71C4" w14:textId="77777777" w:rsidR="00C46587" w:rsidRPr="0058432E" w:rsidRDefault="00C46587" w:rsidP="00982118">
      <w:pPr>
        <w:keepNext/>
        <w:rPr>
          <w:color w:val="000000" w:themeColor="text1"/>
        </w:rPr>
      </w:pPr>
    </w:p>
    <w:p w14:paraId="21723440" w14:textId="77777777" w:rsidR="00C46587" w:rsidRPr="0058432E" w:rsidRDefault="00C46587" w:rsidP="00982118">
      <w:pPr>
        <w:rPr>
          <w:color w:val="000000" w:themeColor="text1"/>
        </w:rPr>
      </w:pPr>
      <w:r w:rsidRPr="0058432E">
        <w:rPr>
          <w:color w:val="000000" w:themeColor="text1"/>
        </w:rPr>
        <w:t xml:space="preserve">Les données non cliniques issues des études de toxicologie en administration unique, toxicologie en administration répétée et de génotoxicité, n’ont pas révélé de risque particulier pour l’homme. </w:t>
      </w:r>
    </w:p>
    <w:p w14:paraId="354B3462" w14:textId="77777777" w:rsidR="00C46587" w:rsidRPr="0058432E" w:rsidRDefault="00C46587" w:rsidP="00982118">
      <w:pPr>
        <w:rPr>
          <w:color w:val="000000" w:themeColor="text1"/>
        </w:rPr>
      </w:pPr>
    </w:p>
    <w:p w14:paraId="21256D7B" w14:textId="77777777" w:rsidR="00C46587" w:rsidRPr="0058432E" w:rsidRDefault="00C46587" w:rsidP="00982118">
      <w:pPr>
        <w:rPr>
          <w:color w:val="000000" w:themeColor="text1"/>
        </w:rPr>
      </w:pPr>
      <w:r w:rsidRPr="0058432E">
        <w:rPr>
          <w:color w:val="000000" w:themeColor="text1"/>
        </w:rPr>
        <w:t>Une étude de toxicité portant sur le développement embryo</w:t>
      </w:r>
      <w:r w:rsidRPr="0058432E">
        <w:rPr>
          <w:color w:val="000000" w:themeColor="text1"/>
        </w:rPr>
        <w:noBreakHyphen/>
        <w:t>fœtal et le développement périnatal a été réalisée chez des singes cynomolgus à 0, 30 et 100 mg/kg (9</w:t>
      </w:r>
      <w:r w:rsidR="005746FF" w:rsidRPr="0058432E">
        <w:rPr>
          <w:color w:val="000000" w:themeColor="text1"/>
        </w:rPr>
        <w:t> – </w:t>
      </w:r>
      <w:r w:rsidRPr="0058432E">
        <w:rPr>
          <w:color w:val="000000" w:themeColor="text1"/>
        </w:rPr>
        <w:t>17 singes/groupe) ; elle n’a pas révélé de signe de fœto</w:t>
      </w:r>
      <w:r w:rsidRPr="0058432E">
        <w:rPr>
          <w:color w:val="000000" w:themeColor="text1"/>
        </w:rPr>
        <w:noBreakHyphen/>
        <w:t>toxicité de l’adalimumab. Ni une étude du pouvoir carcinogène, ni une évaluation standard sur la fertilité et la toxicité post</w:t>
      </w:r>
      <w:r w:rsidRPr="0058432E">
        <w:rPr>
          <w:color w:val="000000" w:themeColor="text1"/>
        </w:rPr>
        <w:noBreakHyphen/>
        <w:t xml:space="preserve">natale n’ont été effectuées avec l’adalimumab en raison du manque de modèles appropriés pour un anticorps présentant une réactivité croisée limitée avec le TNF de rongeur et du développement d’anticorps neutralisants chez le rongeur. </w:t>
      </w:r>
    </w:p>
    <w:p w14:paraId="33E5C9A9" w14:textId="77777777" w:rsidR="00C46587" w:rsidRPr="0058432E" w:rsidRDefault="00C46587" w:rsidP="00982118">
      <w:pPr>
        <w:rPr>
          <w:color w:val="000000" w:themeColor="text1"/>
        </w:rPr>
      </w:pPr>
    </w:p>
    <w:p w14:paraId="11761C8C" w14:textId="77777777" w:rsidR="00C46587" w:rsidRPr="0058432E" w:rsidRDefault="00C46587" w:rsidP="00982118">
      <w:pPr>
        <w:rPr>
          <w:color w:val="000000" w:themeColor="text1"/>
        </w:rPr>
      </w:pPr>
    </w:p>
    <w:p w14:paraId="7B31CEE8" w14:textId="77777777" w:rsidR="00C46587" w:rsidRPr="0058432E" w:rsidRDefault="00C46587" w:rsidP="00DC3A99">
      <w:pPr>
        <w:keepNext/>
        <w:tabs>
          <w:tab w:val="left" w:pos="562"/>
        </w:tabs>
        <w:rPr>
          <w:b/>
          <w:color w:val="000000" w:themeColor="text1"/>
        </w:rPr>
      </w:pPr>
      <w:r w:rsidRPr="0058432E">
        <w:rPr>
          <w:b/>
          <w:color w:val="000000" w:themeColor="text1"/>
        </w:rPr>
        <w:t>6.</w:t>
      </w:r>
      <w:r w:rsidRPr="0058432E">
        <w:rPr>
          <w:b/>
          <w:color w:val="000000" w:themeColor="text1"/>
        </w:rPr>
        <w:tab/>
        <w:t xml:space="preserve">DONNÉES PHARMACEUTIQUES </w:t>
      </w:r>
    </w:p>
    <w:p w14:paraId="40DB8AA3" w14:textId="77777777" w:rsidR="00C46587" w:rsidRPr="0058432E" w:rsidRDefault="00C46587" w:rsidP="00DC3A99">
      <w:pPr>
        <w:keepNext/>
        <w:rPr>
          <w:color w:val="000000" w:themeColor="text1"/>
        </w:rPr>
      </w:pPr>
    </w:p>
    <w:p w14:paraId="4162641C" w14:textId="77777777" w:rsidR="00C46587" w:rsidRPr="0058432E" w:rsidRDefault="00C46587" w:rsidP="00DC3A99">
      <w:pPr>
        <w:keepNext/>
        <w:tabs>
          <w:tab w:val="left" w:pos="562"/>
        </w:tabs>
        <w:rPr>
          <w:b/>
          <w:color w:val="000000" w:themeColor="text1"/>
        </w:rPr>
      </w:pPr>
      <w:r w:rsidRPr="0058432E">
        <w:rPr>
          <w:b/>
          <w:color w:val="000000" w:themeColor="text1"/>
        </w:rPr>
        <w:t>6.1</w:t>
      </w:r>
      <w:r w:rsidRPr="0058432E">
        <w:rPr>
          <w:b/>
          <w:color w:val="000000" w:themeColor="text1"/>
        </w:rPr>
        <w:tab/>
        <w:t xml:space="preserve">Liste des excipients </w:t>
      </w:r>
    </w:p>
    <w:p w14:paraId="76A7584A" w14:textId="77777777" w:rsidR="00C46587" w:rsidRPr="0058432E" w:rsidRDefault="00C46587" w:rsidP="00DC3A99">
      <w:pPr>
        <w:keepNext/>
        <w:rPr>
          <w:color w:val="000000" w:themeColor="text1"/>
        </w:rPr>
      </w:pPr>
    </w:p>
    <w:p w14:paraId="0CF31216" w14:textId="77777777" w:rsidR="002B07CC" w:rsidRPr="0058432E" w:rsidRDefault="002B07CC" w:rsidP="00982118">
      <w:pPr>
        <w:rPr>
          <w:color w:val="000000" w:themeColor="text1"/>
        </w:rPr>
      </w:pPr>
      <w:r w:rsidRPr="0058432E">
        <w:rPr>
          <w:color w:val="000000" w:themeColor="text1"/>
        </w:rPr>
        <w:t>L-histidine</w:t>
      </w:r>
    </w:p>
    <w:p w14:paraId="64098B90" w14:textId="77777777" w:rsidR="002B07CC" w:rsidRPr="0058432E" w:rsidRDefault="002B07CC" w:rsidP="00982118">
      <w:pPr>
        <w:rPr>
          <w:color w:val="000000" w:themeColor="text1"/>
        </w:rPr>
      </w:pPr>
      <w:r w:rsidRPr="0058432E">
        <w:rPr>
          <w:color w:val="000000" w:themeColor="text1"/>
        </w:rPr>
        <w:t>Chlorhydrate de L-histidine monohydraté</w:t>
      </w:r>
    </w:p>
    <w:p w14:paraId="5D3C0EA5" w14:textId="77777777" w:rsidR="002B07CC" w:rsidRPr="0058432E" w:rsidRDefault="002B07CC" w:rsidP="00982118">
      <w:pPr>
        <w:rPr>
          <w:color w:val="000000" w:themeColor="text1"/>
        </w:rPr>
      </w:pPr>
      <w:r w:rsidRPr="0058432E">
        <w:rPr>
          <w:color w:val="000000" w:themeColor="text1"/>
        </w:rPr>
        <w:t>Saccharose</w:t>
      </w:r>
    </w:p>
    <w:p w14:paraId="640AA907" w14:textId="77777777" w:rsidR="002B07CC" w:rsidRPr="0058432E" w:rsidRDefault="002B07CC" w:rsidP="00982118">
      <w:pPr>
        <w:rPr>
          <w:color w:val="000000" w:themeColor="text1"/>
        </w:rPr>
      </w:pPr>
      <w:r w:rsidRPr="0058432E">
        <w:rPr>
          <w:color w:val="000000" w:themeColor="text1"/>
        </w:rPr>
        <w:t xml:space="preserve">Édétate disodique dihydraté </w:t>
      </w:r>
    </w:p>
    <w:p w14:paraId="080370A0" w14:textId="77777777" w:rsidR="002B07CC" w:rsidRPr="0058432E" w:rsidRDefault="002B07CC" w:rsidP="00982118">
      <w:pPr>
        <w:rPr>
          <w:color w:val="000000" w:themeColor="text1"/>
        </w:rPr>
      </w:pPr>
      <w:r w:rsidRPr="0058432E">
        <w:rPr>
          <w:color w:val="000000" w:themeColor="text1"/>
        </w:rPr>
        <w:t>L-méthionine</w:t>
      </w:r>
    </w:p>
    <w:p w14:paraId="07046001" w14:textId="77777777" w:rsidR="002B07CC" w:rsidRPr="0058432E" w:rsidRDefault="002B07CC" w:rsidP="00982118">
      <w:pPr>
        <w:rPr>
          <w:color w:val="000000" w:themeColor="text1"/>
        </w:rPr>
      </w:pPr>
      <w:r w:rsidRPr="0058432E">
        <w:rPr>
          <w:color w:val="000000" w:themeColor="text1"/>
        </w:rPr>
        <w:t>Polysorbate 80</w:t>
      </w:r>
    </w:p>
    <w:p w14:paraId="4DE3AA7A" w14:textId="77777777" w:rsidR="002B07CC" w:rsidRPr="0058432E" w:rsidRDefault="002B07CC" w:rsidP="00982118">
      <w:pPr>
        <w:rPr>
          <w:color w:val="000000" w:themeColor="text1"/>
        </w:rPr>
      </w:pPr>
      <w:r w:rsidRPr="0058432E">
        <w:rPr>
          <w:color w:val="000000" w:themeColor="text1"/>
        </w:rPr>
        <w:t>Eau pour préparations injectables</w:t>
      </w:r>
    </w:p>
    <w:p w14:paraId="320FF94A" w14:textId="77777777" w:rsidR="00C46587" w:rsidRPr="0058432E" w:rsidRDefault="00C46587" w:rsidP="00982118">
      <w:pPr>
        <w:rPr>
          <w:color w:val="000000" w:themeColor="text1"/>
        </w:rPr>
      </w:pPr>
    </w:p>
    <w:p w14:paraId="29DB6619" w14:textId="77777777" w:rsidR="00C46587" w:rsidRPr="0058432E" w:rsidRDefault="00C46587" w:rsidP="00DC3A99">
      <w:pPr>
        <w:keepNext/>
        <w:tabs>
          <w:tab w:val="left" w:pos="562"/>
        </w:tabs>
        <w:rPr>
          <w:b/>
          <w:color w:val="000000" w:themeColor="text1"/>
        </w:rPr>
      </w:pPr>
      <w:r w:rsidRPr="0058432E">
        <w:rPr>
          <w:b/>
          <w:color w:val="000000" w:themeColor="text1"/>
        </w:rPr>
        <w:t>6.2</w:t>
      </w:r>
      <w:r w:rsidRPr="0058432E">
        <w:rPr>
          <w:b/>
          <w:color w:val="000000" w:themeColor="text1"/>
        </w:rPr>
        <w:tab/>
        <w:t xml:space="preserve">Incompatibilités </w:t>
      </w:r>
    </w:p>
    <w:p w14:paraId="60E89B3B" w14:textId="77777777" w:rsidR="00C46587" w:rsidRPr="0058432E" w:rsidRDefault="00C46587" w:rsidP="00DC3A99">
      <w:pPr>
        <w:keepNext/>
        <w:rPr>
          <w:color w:val="000000" w:themeColor="text1"/>
        </w:rPr>
      </w:pPr>
    </w:p>
    <w:p w14:paraId="56981194" w14:textId="77777777" w:rsidR="00C46587" w:rsidRPr="0058432E" w:rsidRDefault="00C46587" w:rsidP="00982118">
      <w:pPr>
        <w:rPr>
          <w:color w:val="000000" w:themeColor="text1"/>
        </w:rPr>
      </w:pPr>
      <w:r w:rsidRPr="0058432E">
        <w:rPr>
          <w:color w:val="000000" w:themeColor="text1"/>
        </w:rPr>
        <w:t xml:space="preserve">En l’absence d’études de compatibilité, ce médicament ne doit pas être mélangé avec d’autres médicaments. </w:t>
      </w:r>
    </w:p>
    <w:p w14:paraId="22E7513B" w14:textId="77777777" w:rsidR="00C46587" w:rsidRPr="0058432E" w:rsidRDefault="00C46587" w:rsidP="00982118">
      <w:pPr>
        <w:rPr>
          <w:color w:val="000000" w:themeColor="text1"/>
        </w:rPr>
      </w:pPr>
    </w:p>
    <w:p w14:paraId="1F23FE95" w14:textId="77777777" w:rsidR="00C46587" w:rsidRPr="0058432E" w:rsidRDefault="00C46587" w:rsidP="00982118">
      <w:pPr>
        <w:keepNext/>
        <w:tabs>
          <w:tab w:val="left" w:pos="562"/>
        </w:tabs>
        <w:rPr>
          <w:b/>
          <w:color w:val="000000" w:themeColor="text1"/>
        </w:rPr>
      </w:pPr>
      <w:r w:rsidRPr="0058432E">
        <w:rPr>
          <w:b/>
          <w:color w:val="000000" w:themeColor="text1"/>
        </w:rPr>
        <w:t>6.3</w:t>
      </w:r>
      <w:r w:rsidRPr="0058432E">
        <w:rPr>
          <w:b/>
          <w:color w:val="000000" w:themeColor="text1"/>
        </w:rPr>
        <w:tab/>
        <w:t xml:space="preserve">Durée de conservation </w:t>
      </w:r>
    </w:p>
    <w:p w14:paraId="42EA4BCE" w14:textId="77777777" w:rsidR="00C46587" w:rsidRPr="0058432E" w:rsidRDefault="00C46587" w:rsidP="00982118">
      <w:pPr>
        <w:keepNext/>
        <w:rPr>
          <w:color w:val="000000" w:themeColor="text1"/>
        </w:rPr>
      </w:pPr>
    </w:p>
    <w:p w14:paraId="316B0816" w14:textId="77777777" w:rsidR="00C46587" w:rsidRPr="0058432E" w:rsidRDefault="002B07CC" w:rsidP="00982118">
      <w:pPr>
        <w:keepNext/>
        <w:rPr>
          <w:color w:val="000000" w:themeColor="text1"/>
        </w:rPr>
      </w:pPr>
      <w:r w:rsidRPr="0058432E">
        <w:rPr>
          <w:color w:val="000000" w:themeColor="text1"/>
        </w:rPr>
        <w:t xml:space="preserve">3 ans </w:t>
      </w:r>
    </w:p>
    <w:p w14:paraId="7221FD32" w14:textId="77777777" w:rsidR="00C46587" w:rsidRPr="0058432E" w:rsidRDefault="00C46587" w:rsidP="00982118">
      <w:pPr>
        <w:rPr>
          <w:color w:val="000000" w:themeColor="text1"/>
        </w:rPr>
      </w:pPr>
    </w:p>
    <w:p w14:paraId="1CFB52C3" w14:textId="77777777" w:rsidR="00C46587" w:rsidRPr="0058432E" w:rsidRDefault="00C46587" w:rsidP="00DC3A99">
      <w:pPr>
        <w:keepNext/>
        <w:tabs>
          <w:tab w:val="left" w:pos="562"/>
        </w:tabs>
        <w:rPr>
          <w:b/>
          <w:color w:val="000000" w:themeColor="text1"/>
        </w:rPr>
      </w:pPr>
      <w:r w:rsidRPr="0058432E">
        <w:rPr>
          <w:b/>
          <w:color w:val="000000" w:themeColor="text1"/>
        </w:rPr>
        <w:lastRenderedPageBreak/>
        <w:t>6.4</w:t>
      </w:r>
      <w:r w:rsidRPr="0058432E">
        <w:rPr>
          <w:b/>
          <w:color w:val="000000" w:themeColor="text1"/>
        </w:rPr>
        <w:tab/>
        <w:t xml:space="preserve">Précautions particulières de conservation </w:t>
      </w:r>
    </w:p>
    <w:p w14:paraId="70A2D662" w14:textId="77777777" w:rsidR="00C46587" w:rsidRPr="0058432E" w:rsidRDefault="00C46587" w:rsidP="00DC3A99">
      <w:pPr>
        <w:keepNext/>
        <w:rPr>
          <w:color w:val="000000" w:themeColor="text1"/>
        </w:rPr>
      </w:pPr>
    </w:p>
    <w:p w14:paraId="32075BBF" w14:textId="77777777" w:rsidR="00C46587" w:rsidRPr="0058432E" w:rsidRDefault="00C46587" w:rsidP="00982118">
      <w:pPr>
        <w:rPr>
          <w:color w:val="000000" w:themeColor="text1"/>
        </w:rPr>
      </w:pPr>
      <w:r w:rsidRPr="0058432E">
        <w:rPr>
          <w:color w:val="000000" w:themeColor="text1"/>
        </w:rPr>
        <w:t xml:space="preserve">À conserver au réfrigérateur (entre 2 °C et 8 °C). Ne pas congeler. Conserver la seringue préremplie ou le stylo prérempli dans </w:t>
      </w:r>
      <w:r w:rsidR="00E36A76" w:rsidRPr="0058432E">
        <w:rPr>
          <w:color w:val="000000" w:themeColor="text1"/>
        </w:rPr>
        <w:t xml:space="preserve">son </w:t>
      </w:r>
      <w:r w:rsidRPr="0058432E">
        <w:rPr>
          <w:color w:val="000000" w:themeColor="text1"/>
        </w:rPr>
        <w:t xml:space="preserve">emballage extérieur à l’abri de la lumière. </w:t>
      </w:r>
    </w:p>
    <w:p w14:paraId="5F5788D3" w14:textId="77777777" w:rsidR="00C46587" w:rsidRPr="0058432E" w:rsidRDefault="00C46587" w:rsidP="00982118">
      <w:pPr>
        <w:rPr>
          <w:color w:val="000000" w:themeColor="text1"/>
        </w:rPr>
      </w:pPr>
    </w:p>
    <w:p w14:paraId="3C28E9B5" w14:textId="77777777" w:rsidR="00C46587" w:rsidRPr="0058432E" w:rsidRDefault="00C46587" w:rsidP="00982118">
      <w:pPr>
        <w:rPr>
          <w:color w:val="000000" w:themeColor="text1"/>
        </w:rPr>
      </w:pPr>
      <w:r w:rsidRPr="0058432E">
        <w:rPr>
          <w:color w:val="000000" w:themeColor="text1"/>
        </w:rPr>
        <w:t>Une seringue préremplie ou un stylo prérempli d’Amsparity peut être maintenue à des températures allant ju</w:t>
      </w:r>
      <w:r w:rsidR="009D62A1" w:rsidRPr="0058432E">
        <w:rPr>
          <w:color w:val="000000" w:themeColor="text1"/>
        </w:rPr>
        <w:t>s</w:t>
      </w:r>
      <w:r w:rsidRPr="0058432E">
        <w:rPr>
          <w:color w:val="000000" w:themeColor="text1"/>
        </w:rPr>
        <w:t xml:space="preserve">qu’à 30 °C pendant 30 jours maximum à l’abri de la lumière. Après cette période, la seringue ou le stylo doit être jeté(e). </w:t>
      </w:r>
    </w:p>
    <w:p w14:paraId="089AA38B" w14:textId="77777777" w:rsidR="00C46587" w:rsidRPr="0058432E" w:rsidRDefault="00C46587" w:rsidP="00982118">
      <w:pPr>
        <w:rPr>
          <w:color w:val="000000" w:themeColor="text1"/>
        </w:rPr>
      </w:pPr>
    </w:p>
    <w:p w14:paraId="2F80B65B" w14:textId="77777777" w:rsidR="00C46587" w:rsidRPr="0058432E" w:rsidRDefault="00C46587" w:rsidP="00DC3A99">
      <w:pPr>
        <w:keepNext/>
        <w:tabs>
          <w:tab w:val="left" w:pos="562"/>
        </w:tabs>
        <w:rPr>
          <w:b/>
          <w:color w:val="000000" w:themeColor="text1"/>
        </w:rPr>
      </w:pPr>
      <w:r w:rsidRPr="0058432E">
        <w:rPr>
          <w:b/>
          <w:color w:val="000000" w:themeColor="text1"/>
        </w:rPr>
        <w:t>6.5</w:t>
      </w:r>
      <w:r w:rsidRPr="0058432E">
        <w:rPr>
          <w:b/>
          <w:color w:val="000000" w:themeColor="text1"/>
        </w:rPr>
        <w:tab/>
        <w:t xml:space="preserve">Nature et contenu de l’emballage extérieur </w:t>
      </w:r>
    </w:p>
    <w:p w14:paraId="77E09700" w14:textId="77777777" w:rsidR="00C46587" w:rsidRPr="0058432E" w:rsidRDefault="00C46587" w:rsidP="00DC3A99">
      <w:pPr>
        <w:keepNext/>
        <w:rPr>
          <w:color w:val="000000" w:themeColor="text1"/>
        </w:rPr>
      </w:pPr>
    </w:p>
    <w:p w14:paraId="7E0DC1F3" w14:textId="77777777" w:rsidR="00C46587" w:rsidRPr="0058432E" w:rsidRDefault="006A1144" w:rsidP="00DC3A99">
      <w:pPr>
        <w:keepNext/>
        <w:rPr>
          <w:color w:val="000000" w:themeColor="text1"/>
          <w:u w:val="single"/>
        </w:rPr>
      </w:pPr>
      <w:r w:rsidRPr="0058432E">
        <w:rPr>
          <w:color w:val="000000" w:themeColor="text1"/>
          <w:u w:val="single"/>
        </w:rPr>
        <w:t xml:space="preserve">Amsparity 40 mg, solution injectable en seringue préremplie </w:t>
      </w:r>
    </w:p>
    <w:p w14:paraId="70D6774B" w14:textId="77777777" w:rsidR="003D5162" w:rsidRPr="0058432E" w:rsidRDefault="003D5162" w:rsidP="00DC3A99">
      <w:pPr>
        <w:keepNext/>
        <w:rPr>
          <w:color w:val="000000" w:themeColor="text1"/>
        </w:rPr>
      </w:pPr>
    </w:p>
    <w:p w14:paraId="6EAB675D" w14:textId="77777777" w:rsidR="00C46587" w:rsidRPr="0058432E" w:rsidRDefault="006A1144" w:rsidP="00982118">
      <w:pPr>
        <w:rPr>
          <w:color w:val="000000" w:themeColor="text1"/>
        </w:rPr>
      </w:pPr>
      <w:r w:rsidRPr="0058432E">
        <w:rPr>
          <w:color w:val="000000" w:themeColor="text1"/>
        </w:rPr>
        <w:t xml:space="preserve">Amsparity 40 mg, solution injectable en seringue préremplie à usage unique (verre de type I) munie d’un bouchon-piston (caoutchouc chlorobutyle) et d’une aiguille avec un capuchon protecteur (élastomère thermoplastique). </w:t>
      </w:r>
    </w:p>
    <w:p w14:paraId="40A94303" w14:textId="77777777" w:rsidR="00C46587" w:rsidRPr="0058432E" w:rsidRDefault="00C46587" w:rsidP="00982118">
      <w:pPr>
        <w:rPr>
          <w:color w:val="000000" w:themeColor="text1"/>
        </w:rPr>
      </w:pPr>
    </w:p>
    <w:p w14:paraId="387C970B" w14:textId="77777777" w:rsidR="00C46587" w:rsidRPr="0058432E" w:rsidRDefault="00C46587" w:rsidP="00A13AE4">
      <w:pPr>
        <w:keepNext/>
        <w:rPr>
          <w:color w:val="000000" w:themeColor="text1"/>
        </w:rPr>
      </w:pPr>
      <w:r w:rsidRPr="0058432E">
        <w:rPr>
          <w:color w:val="000000" w:themeColor="text1"/>
        </w:rPr>
        <w:t xml:space="preserve">Boîtes de : </w:t>
      </w:r>
    </w:p>
    <w:p w14:paraId="1EBB4961" w14:textId="77777777" w:rsidR="00C46587" w:rsidRPr="0058432E" w:rsidRDefault="00C46587" w:rsidP="00A13AE4">
      <w:pPr>
        <w:keepNext/>
        <w:numPr>
          <w:ilvl w:val="0"/>
          <w:numId w:val="2"/>
        </w:numPr>
        <w:ind w:left="562" w:hanging="562"/>
        <w:rPr>
          <w:color w:val="000000" w:themeColor="text1"/>
        </w:rPr>
      </w:pPr>
      <w:r w:rsidRPr="0058432E">
        <w:rPr>
          <w:color w:val="000000" w:themeColor="text1"/>
        </w:rPr>
        <w:t xml:space="preserve">1 seringue préremplie (0,8 ml de solution stérile) avec 2 tampons d’alcool, sous plaquette. </w:t>
      </w:r>
    </w:p>
    <w:p w14:paraId="11FAD38D" w14:textId="77777777" w:rsidR="00C46587" w:rsidRPr="0058432E" w:rsidRDefault="00C46587" w:rsidP="00A13AE4">
      <w:pPr>
        <w:keepNext/>
        <w:numPr>
          <w:ilvl w:val="0"/>
          <w:numId w:val="2"/>
        </w:numPr>
        <w:ind w:left="562" w:hanging="562"/>
        <w:rPr>
          <w:color w:val="000000" w:themeColor="text1"/>
        </w:rPr>
      </w:pPr>
      <w:r w:rsidRPr="0058432E">
        <w:rPr>
          <w:color w:val="000000" w:themeColor="text1"/>
        </w:rPr>
        <w:t xml:space="preserve">2 seringues préremplies (0,8 ml de solution stérile) avec 2 tampons d’alcool, </w:t>
      </w:r>
      <w:r w:rsidR="00803837" w:rsidRPr="0058432E">
        <w:rPr>
          <w:color w:val="000000" w:themeColor="text1"/>
        </w:rPr>
        <w:t xml:space="preserve">chaque seringue préremplie est </w:t>
      </w:r>
      <w:r w:rsidRPr="0058432E">
        <w:rPr>
          <w:color w:val="000000" w:themeColor="text1"/>
        </w:rPr>
        <w:t xml:space="preserve">sous plaquette. </w:t>
      </w:r>
    </w:p>
    <w:p w14:paraId="5E927C5F"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4 seringues préremplies (0,8 ml de solution stérile) avec 4 tampons d’alcool, </w:t>
      </w:r>
      <w:r w:rsidR="00803837" w:rsidRPr="0058432E">
        <w:rPr>
          <w:color w:val="000000" w:themeColor="text1"/>
        </w:rPr>
        <w:t xml:space="preserve">chaque seringue préremplie est </w:t>
      </w:r>
      <w:r w:rsidRPr="0058432E">
        <w:rPr>
          <w:color w:val="000000" w:themeColor="text1"/>
        </w:rPr>
        <w:t xml:space="preserve">sous plaquette. </w:t>
      </w:r>
    </w:p>
    <w:p w14:paraId="34BA3289"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6 seringues préremplies (0,8 ml de solution stérile) avec 6 tampons d’alcool, </w:t>
      </w:r>
      <w:r w:rsidR="00803837" w:rsidRPr="0058432E">
        <w:rPr>
          <w:color w:val="000000" w:themeColor="text1"/>
        </w:rPr>
        <w:t xml:space="preserve">chaque seringue préremplie est </w:t>
      </w:r>
      <w:r w:rsidRPr="0058432E">
        <w:rPr>
          <w:color w:val="000000" w:themeColor="text1"/>
        </w:rPr>
        <w:t xml:space="preserve">sous plaquette. </w:t>
      </w:r>
    </w:p>
    <w:p w14:paraId="66318C6E" w14:textId="77777777" w:rsidR="00C46587" w:rsidRPr="0058432E" w:rsidRDefault="00C46587" w:rsidP="00982118">
      <w:pPr>
        <w:rPr>
          <w:color w:val="000000" w:themeColor="text1"/>
        </w:rPr>
      </w:pPr>
    </w:p>
    <w:p w14:paraId="15E54FED" w14:textId="77777777" w:rsidR="00C46587" w:rsidRPr="0058432E" w:rsidRDefault="006A1144" w:rsidP="00982118">
      <w:pPr>
        <w:keepNext/>
        <w:rPr>
          <w:color w:val="000000" w:themeColor="text1"/>
          <w:u w:val="single"/>
        </w:rPr>
      </w:pPr>
      <w:r w:rsidRPr="0058432E">
        <w:rPr>
          <w:color w:val="000000" w:themeColor="text1"/>
          <w:u w:val="single"/>
        </w:rPr>
        <w:t xml:space="preserve">Amsparity 40 mg, solution injectable en stylo prérempli </w:t>
      </w:r>
    </w:p>
    <w:p w14:paraId="1937E328" w14:textId="77777777" w:rsidR="003D5162" w:rsidRPr="0058432E" w:rsidRDefault="003D5162" w:rsidP="00DC3A99">
      <w:pPr>
        <w:keepNext/>
        <w:rPr>
          <w:color w:val="000000" w:themeColor="text1"/>
        </w:rPr>
      </w:pPr>
    </w:p>
    <w:p w14:paraId="101247E1" w14:textId="77777777" w:rsidR="00C46587" w:rsidRPr="0058432E" w:rsidRDefault="006A1144" w:rsidP="00982118">
      <w:pPr>
        <w:rPr>
          <w:color w:val="000000" w:themeColor="text1"/>
        </w:rPr>
      </w:pPr>
      <w:r w:rsidRPr="0058432E">
        <w:rPr>
          <w:color w:val="000000" w:themeColor="text1"/>
        </w:rPr>
        <w:t xml:space="preserve">Amsparity 40 mg, solution injectable en stylo prérempli </w:t>
      </w:r>
      <w:r w:rsidR="00803837" w:rsidRPr="0058432E">
        <w:rPr>
          <w:color w:val="000000" w:themeColor="text1"/>
        </w:rPr>
        <w:t>à usage unique</w:t>
      </w:r>
      <w:r w:rsidRPr="0058432E">
        <w:rPr>
          <w:color w:val="000000" w:themeColor="text1"/>
        </w:rPr>
        <w:t xml:space="preserve">, contenant une seringue préremplie. La seringue présente dans le stylo est en verre de type I munie d’un bouchon-piston (caoutchouc chlorobutyle) et d’une aiguille avec un capuchon protecteur (élastomère thermoplastique). </w:t>
      </w:r>
    </w:p>
    <w:p w14:paraId="285C4E1E" w14:textId="77777777" w:rsidR="00C46587" w:rsidRPr="0058432E" w:rsidRDefault="00C46587" w:rsidP="00982118">
      <w:pPr>
        <w:rPr>
          <w:color w:val="000000" w:themeColor="text1"/>
        </w:rPr>
      </w:pPr>
    </w:p>
    <w:p w14:paraId="782DA465" w14:textId="77777777" w:rsidR="00C46587" w:rsidRPr="0058432E" w:rsidRDefault="00C46587" w:rsidP="00982118">
      <w:pPr>
        <w:rPr>
          <w:color w:val="000000" w:themeColor="text1"/>
        </w:rPr>
      </w:pPr>
      <w:r w:rsidRPr="0058432E">
        <w:rPr>
          <w:color w:val="000000" w:themeColor="text1"/>
        </w:rPr>
        <w:t xml:space="preserve">Boîtes de : </w:t>
      </w:r>
    </w:p>
    <w:p w14:paraId="0A08AC2F"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1 stylo prérempli (0,8 ml de solution stérile) avec 2 tampons d’alcool. </w:t>
      </w:r>
    </w:p>
    <w:p w14:paraId="09C2335C"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2 stylos préremplis (0,8 ml de solution stérile) avec 2 tampons d’alcool. </w:t>
      </w:r>
    </w:p>
    <w:p w14:paraId="7A39114E"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4 stylos préremplis (0,8 ml de solution stérile) avec 4 tampons d’alcool. </w:t>
      </w:r>
    </w:p>
    <w:p w14:paraId="7A59E913" w14:textId="77777777" w:rsidR="00C46587" w:rsidRPr="0058432E" w:rsidRDefault="00C46587" w:rsidP="00982118">
      <w:pPr>
        <w:numPr>
          <w:ilvl w:val="0"/>
          <w:numId w:val="2"/>
        </w:numPr>
        <w:ind w:left="562" w:hanging="562"/>
        <w:rPr>
          <w:color w:val="000000" w:themeColor="text1"/>
        </w:rPr>
      </w:pPr>
      <w:r w:rsidRPr="0058432E">
        <w:rPr>
          <w:color w:val="000000" w:themeColor="text1"/>
        </w:rPr>
        <w:t xml:space="preserve">6 stylos préremplis (0,8 ml de solution stérile) avec 6 tampons d’alcool. </w:t>
      </w:r>
    </w:p>
    <w:p w14:paraId="664F74F6" w14:textId="77777777" w:rsidR="00C46587" w:rsidRPr="0058432E" w:rsidRDefault="00C46587" w:rsidP="00982118">
      <w:pPr>
        <w:rPr>
          <w:color w:val="000000" w:themeColor="text1"/>
        </w:rPr>
      </w:pPr>
    </w:p>
    <w:p w14:paraId="1146F356" w14:textId="77777777" w:rsidR="00C46587" w:rsidRPr="0058432E" w:rsidRDefault="00C46587" w:rsidP="00982118">
      <w:pPr>
        <w:rPr>
          <w:color w:val="000000" w:themeColor="text1"/>
        </w:rPr>
      </w:pPr>
      <w:r w:rsidRPr="0058432E">
        <w:rPr>
          <w:color w:val="000000" w:themeColor="text1"/>
        </w:rPr>
        <w:t xml:space="preserve">Toutes les présentations peuvent ne pas être commercialisées. </w:t>
      </w:r>
    </w:p>
    <w:p w14:paraId="69F1E848" w14:textId="77777777" w:rsidR="00C46587" w:rsidRPr="0058432E" w:rsidRDefault="00C46587" w:rsidP="00982118">
      <w:pPr>
        <w:rPr>
          <w:color w:val="000000" w:themeColor="text1"/>
        </w:rPr>
      </w:pPr>
    </w:p>
    <w:p w14:paraId="0068FB49" w14:textId="77777777" w:rsidR="00C46587" w:rsidRPr="0058432E" w:rsidRDefault="00C46587" w:rsidP="00DC3A99">
      <w:pPr>
        <w:keepNext/>
        <w:tabs>
          <w:tab w:val="left" w:pos="562"/>
        </w:tabs>
        <w:rPr>
          <w:b/>
          <w:color w:val="000000" w:themeColor="text1"/>
        </w:rPr>
      </w:pPr>
      <w:r w:rsidRPr="0058432E">
        <w:rPr>
          <w:b/>
          <w:color w:val="000000" w:themeColor="text1"/>
        </w:rPr>
        <w:t>6.6</w:t>
      </w:r>
      <w:r w:rsidRPr="0058432E">
        <w:rPr>
          <w:b/>
          <w:color w:val="000000" w:themeColor="text1"/>
        </w:rPr>
        <w:tab/>
        <w:t xml:space="preserve">Précautions particulières d’élimination </w:t>
      </w:r>
    </w:p>
    <w:p w14:paraId="567CCCED" w14:textId="77777777" w:rsidR="00C46587" w:rsidRPr="0058432E" w:rsidRDefault="00C46587" w:rsidP="00DC3A99">
      <w:pPr>
        <w:keepNext/>
        <w:rPr>
          <w:color w:val="000000" w:themeColor="text1"/>
        </w:rPr>
      </w:pPr>
    </w:p>
    <w:p w14:paraId="0CCE7CCA" w14:textId="77777777" w:rsidR="00AB6188" w:rsidRPr="0058432E" w:rsidRDefault="00C46587" w:rsidP="00982118">
      <w:pPr>
        <w:rPr>
          <w:color w:val="000000" w:themeColor="text1"/>
        </w:rPr>
      </w:pPr>
      <w:r w:rsidRPr="0058432E">
        <w:rPr>
          <w:color w:val="000000" w:themeColor="text1"/>
        </w:rPr>
        <w:t xml:space="preserve">Tout médicament non utilisé ou déchet doit être éliminé conformément à la réglementation en vigueur. </w:t>
      </w:r>
    </w:p>
    <w:p w14:paraId="68960754" w14:textId="77777777" w:rsidR="00AA0F18" w:rsidRPr="0058432E" w:rsidRDefault="00AA0F18" w:rsidP="00982118">
      <w:pPr>
        <w:rPr>
          <w:color w:val="000000" w:themeColor="text1"/>
        </w:rPr>
      </w:pPr>
    </w:p>
    <w:p w14:paraId="5EA41953" w14:textId="77777777" w:rsidR="006B001C" w:rsidRPr="0058432E" w:rsidRDefault="006B001C" w:rsidP="00982118">
      <w:pPr>
        <w:rPr>
          <w:color w:val="000000" w:themeColor="text1"/>
        </w:rPr>
      </w:pPr>
    </w:p>
    <w:p w14:paraId="586C7000" w14:textId="77777777" w:rsidR="00AA0F18" w:rsidRPr="0058432E" w:rsidRDefault="00AA0F18" w:rsidP="00AB6188">
      <w:pPr>
        <w:keepNext/>
        <w:tabs>
          <w:tab w:val="left" w:pos="562"/>
        </w:tabs>
        <w:rPr>
          <w:b/>
          <w:color w:val="000000" w:themeColor="text1"/>
        </w:rPr>
      </w:pPr>
      <w:r w:rsidRPr="0058432E">
        <w:rPr>
          <w:b/>
          <w:color w:val="000000" w:themeColor="text1"/>
        </w:rPr>
        <w:t>7.</w:t>
      </w:r>
      <w:r w:rsidRPr="0058432E">
        <w:rPr>
          <w:b/>
          <w:color w:val="000000" w:themeColor="text1"/>
        </w:rPr>
        <w:tab/>
        <w:t xml:space="preserve">TITULAIRE DE L’AUTORISATION DE MISE SUR LE MARCHÉ </w:t>
      </w:r>
    </w:p>
    <w:p w14:paraId="53118A96" w14:textId="77777777" w:rsidR="00AA0F18" w:rsidRPr="0058432E" w:rsidRDefault="00AA0F18" w:rsidP="00AB6188">
      <w:pPr>
        <w:keepNext/>
        <w:rPr>
          <w:color w:val="000000" w:themeColor="text1"/>
        </w:rPr>
      </w:pPr>
    </w:p>
    <w:p w14:paraId="62FE8D7B" w14:textId="77777777" w:rsidR="00792CD9" w:rsidRPr="0058432E" w:rsidRDefault="00792CD9" w:rsidP="00AB6188">
      <w:pPr>
        <w:pStyle w:val="Default"/>
        <w:keepNext/>
        <w:widowControl/>
        <w:rPr>
          <w:color w:val="000000" w:themeColor="text1"/>
          <w:sz w:val="22"/>
          <w:szCs w:val="22"/>
        </w:rPr>
      </w:pPr>
      <w:r w:rsidRPr="0058432E">
        <w:rPr>
          <w:color w:val="000000" w:themeColor="text1"/>
          <w:sz w:val="22"/>
          <w:szCs w:val="22"/>
        </w:rPr>
        <w:t>Pfizer Europe MA EEIG</w:t>
      </w:r>
    </w:p>
    <w:p w14:paraId="5A86A496" w14:textId="77777777" w:rsidR="00693760" w:rsidRPr="0058432E" w:rsidRDefault="00693760" w:rsidP="00AB6188">
      <w:pPr>
        <w:pStyle w:val="BodyText"/>
        <w:keepNext/>
        <w:widowControl/>
        <w:kinsoku w:val="0"/>
        <w:overflowPunct w:val="0"/>
        <w:ind w:left="0"/>
        <w:rPr>
          <w:color w:val="000000" w:themeColor="text1"/>
        </w:rPr>
      </w:pPr>
      <w:r w:rsidRPr="0058432E">
        <w:rPr>
          <w:color w:val="000000" w:themeColor="text1"/>
        </w:rPr>
        <w:t>Boulevard de la Plaine 17</w:t>
      </w:r>
    </w:p>
    <w:p w14:paraId="7A6506D3" w14:textId="77777777" w:rsidR="00693760" w:rsidRPr="0058432E" w:rsidRDefault="00693760" w:rsidP="00AB6188">
      <w:pPr>
        <w:pStyle w:val="BodyText"/>
        <w:keepNext/>
        <w:widowControl/>
        <w:kinsoku w:val="0"/>
        <w:overflowPunct w:val="0"/>
        <w:ind w:left="0"/>
        <w:rPr>
          <w:color w:val="000000" w:themeColor="text1"/>
        </w:rPr>
      </w:pPr>
      <w:r w:rsidRPr="0058432E">
        <w:rPr>
          <w:color w:val="000000" w:themeColor="text1"/>
        </w:rPr>
        <w:t>1050 Bruxelles</w:t>
      </w:r>
    </w:p>
    <w:p w14:paraId="10C3C1EB" w14:textId="77777777" w:rsidR="00693760" w:rsidRPr="0058432E" w:rsidRDefault="00693760" w:rsidP="00AB6188">
      <w:pPr>
        <w:pStyle w:val="BodyText"/>
        <w:keepNext/>
        <w:widowControl/>
        <w:kinsoku w:val="0"/>
        <w:overflowPunct w:val="0"/>
        <w:ind w:left="0"/>
        <w:rPr>
          <w:color w:val="000000" w:themeColor="text1"/>
        </w:rPr>
      </w:pPr>
      <w:r w:rsidRPr="0058432E">
        <w:rPr>
          <w:color w:val="000000" w:themeColor="text1"/>
        </w:rPr>
        <w:t>Belgique</w:t>
      </w:r>
    </w:p>
    <w:p w14:paraId="40F31230" w14:textId="77777777" w:rsidR="00AA0F18" w:rsidRPr="0058432E" w:rsidRDefault="00AA0F18" w:rsidP="00982118">
      <w:pPr>
        <w:rPr>
          <w:color w:val="000000" w:themeColor="text1"/>
        </w:rPr>
      </w:pPr>
    </w:p>
    <w:p w14:paraId="480D8FA8" w14:textId="77777777" w:rsidR="00AA0F18" w:rsidRPr="0058432E" w:rsidRDefault="00AA0F18" w:rsidP="00982118">
      <w:pPr>
        <w:rPr>
          <w:color w:val="000000" w:themeColor="text1"/>
        </w:rPr>
      </w:pPr>
    </w:p>
    <w:p w14:paraId="4B4D002A" w14:textId="77777777" w:rsidR="00AA0F18" w:rsidRPr="0058432E" w:rsidRDefault="00AA0F18" w:rsidP="00DC3A99">
      <w:pPr>
        <w:keepNext/>
        <w:tabs>
          <w:tab w:val="left" w:pos="562"/>
        </w:tabs>
        <w:rPr>
          <w:b/>
          <w:color w:val="000000" w:themeColor="text1"/>
        </w:rPr>
      </w:pPr>
      <w:r w:rsidRPr="0058432E">
        <w:rPr>
          <w:b/>
          <w:color w:val="000000" w:themeColor="text1"/>
        </w:rPr>
        <w:lastRenderedPageBreak/>
        <w:t>8.</w:t>
      </w:r>
      <w:r w:rsidRPr="0058432E">
        <w:rPr>
          <w:b/>
          <w:color w:val="000000" w:themeColor="text1"/>
        </w:rPr>
        <w:tab/>
        <w:t xml:space="preserve">8. NUMÉROS D’AUTORISATION DE MISE SUR LE MARCHÉ </w:t>
      </w:r>
    </w:p>
    <w:p w14:paraId="640C26D1" w14:textId="77777777" w:rsidR="00AA0F18" w:rsidRPr="0058432E" w:rsidRDefault="00AA0F18" w:rsidP="00DC3A99">
      <w:pPr>
        <w:keepNext/>
        <w:rPr>
          <w:color w:val="000000" w:themeColor="text1"/>
        </w:rPr>
      </w:pPr>
    </w:p>
    <w:p w14:paraId="413A1EC8" w14:textId="77777777" w:rsidR="00AA0F18" w:rsidRPr="0058432E" w:rsidRDefault="006A1144" w:rsidP="00A924EE">
      <w:pPr>
        <w:keepNext/>
        <w:rPr>
          <w:color w:val="000000" w:themeColor="text1"/>
          <w:u w:val="single"/>
        </w:rPr>
      </w:pPr>
      <w:r w:rsidRPr="0058432E">
        <w:rPr>
          <w:color w:val="000000" w:themeColor="text1"/>
          <w:u w:val="single"/>
        </w:rPr>
        <w:t>Amsparity 40 mg, solution injectable en seringue préremplie</w:t>
      </w:r>
    </w:p>
    <w:p w14:paraId="6DBBA5FC" w14:textId="77777777" w:rsidR="00A924EE" w:rsidRPr="0058432E" w:rsidRDefault="00A924EE" w:rsidP="00A924EE">
      <w:pPr>
        <w:keepNext/>
        <w:rPr>
          <w:color w:val="000000" w:themeColor="text1"/>
          <w:u w:val="single"/>
        </w:rPr>
      </w:pPr>
    </w:p>
    <w:p w14:paraId="52DBB1C0" w14:textId="77777777" w:rsidR="005C6564" w:rsidRPr="0058432E" w:rsidRDefault="005C6564" w:rsidP="00982118">
      <w:pPr>
        <w:rPr>
          <w:color w:val="000000" w:themeColor="text1"/>
        </w:rPr>
      </w:pPr>
      <w:r w:rsidRPr="0058432E">
        <w:rPr>
          <w:color w:val="000000" w:themeColor="text1"/>
        </w:rPr>
        <w:t>EU/1/19/1415/003</w:t>
      </w:r>
    </w:p>
    <w:p w14:paraId="513F00AB" w14:textId="77777777" w:rsidR="005C6564" w:rsidRPr="0058432E" w:rsidRDefault="005C6564" w:rsidP="00982118">
      <w:pPr>
        <w:rPr>
          <w:color w:val="000000" w:themeColor="text1"/>
        </w:rPr>
      </w:pPr>
      <w:r w:rsidRPr="0058432E">
        <w:rPr>
          <w:color w:val="000000" w:themeColor="text1"/>
        </w:rPr>
        <w:t>EU/1/19/1415/004</w:t>
      </w:r>
    </w:p>
    <w:p w14:paraId="79098BDD" w14:textId="77777777" w:rsidR="005C6564" w:rsidRPr="0058432E" w:rsidRDefault="005C6564" w:rsidP="00982118">
      <w:pPr>
        <w:rPr>
          <w:color w:val="000000" w:themeColor="text1"/>
        </w:rPr>
      </w:pPr>
      <w:r w:rsidRPr="0058432E">
        <w:rPr>
          <w:color w:val="000000" w:themeColor="text1"/>
        </w:rPr>
        <w:t>EU/1/19/1415/005</w:t>
      </w:r>
    </w:p>
    <w:p w14:paraId="7E47A520" w14:textId="77777777" w:rsidR="005C6564" w:rsidRPr="0058432E" w:rsidRDefault="005C6564" w:rsidP="00982118">
      <w:pPr>
        <w:rPr>
          <w:color w:val="000000" w:themeColor="text1"/>
        </w:rPr>
      </w:pPr>
      <w:r w:rsidRPr="0058432E">
        <w:rPr>
          <w:color w:val="000000" w:themeColor="text1"/>
        </w:rPr>
        <w:t>EU/1/19/1415/006</w:t>
      </w:r>
    </w:p>
    <w:p w14:paraId="1D96C8F8" w14:textId="77777777" w:rsidR="00AA0F18" w:rsidRPr="0058432E" w:rsidRDefault="00AA0F18" w:rsidP="00982118">
      <w:pPr>
        <w:rPr>
          <w:color w:val="000000" w:themeColor="text1"/>
        </w:rPr>
      </w:pPr>
    </w:p>
    <w:p w14:paraId="3CA88DD0" w14:textId="77777777" w:rsidR="00AA0F18" w:rsidRPr="0058432E" w:rsidRDefault="006A1144" w:rsidP="00A924EE">
      <w:pPr>
        <w:keepNext/>
        <w:rPr>
          <w:color w:val="000000" w:themeColor="text1"/>
          <w:u w:val="single"/>
        </w:rPr>
      </w:pPr>
      <w:r w:rsidRPr="0058432E">
        <w:rPr>
          <w:color w:val="000000" w:themeColor="text1"/>
          <w:u w:val="single"/>
        </w:rPr>
        <w:t xml:space="preserve">Amsparity 40 mg, solution injectable en stylo prérempli </w:t>
      </w:r>
    </w:p>
    <w:p w14:paraId="2955357D" w14:textId="77777777" w:rsidR="00A924EE" w:rsidRPr="0058432E" w:rsidRDefault="00A924EE" w:rsidP="00A924EE">
      <w:pPr>
        <w:keepNext/>
        <w:rPr>
          <w:color w:val="000000" w:themeColor="text1"/>
          <w:u w:val="single"/>
        </w:rPr>
      </w:pPr>
    </w:p>
    <w:p w14:paraId="44F1B67B" w14:textId="77777777" w:rsidR="005C6564" w:rsidRPr="0058432E" w:rsidRDefault="005C6564" w:rsidP="00982118">
      <w:pPr>
        <w:rPr>
          <w:color w:val="000000" w:themeColor="text1"/>
        </w:rPr>
      </w:pPr>
      <w:r w:rsidRPr="0058432E">
        <w:rPr>
          <w:color w:val="000000" w:themeColor="text1"/>
        </w:rPr>
        <w:t>EU/1/19/1415/007</w:t>
      </w:r>
    </w:p>
    <w:p w14:paraId="07F25DC2" w14:textId="77777777" w:rsidR="005C6564" w:rsidRPr="0058432E" w:rsidRDefault="005C6564" w:rsidP="00982118">
      <w:pPr>
        <w:rPr>
          <w:color w:val="000000" w:themeColor="text1"/>
        </w:rPr>
      </w:pPr>
      <w:r w:rsidRPr="0058432E">
        <w:rPr>
          <w:color w:val="000000" w:themeColor="text1"/>
        </w:rPr>
        <w:t>EU/1/19/1415/008</w:t>
      </w:r>
    </w:p>
    <w:p w14:paraId="7803A37B" w14:textId="77777777" w:rsidR="005C6564" w:rsidRPr="0058432E" w:rsidRDefault="005C6564" w:rsidP="00982118">
      <w:pPr>
        <w:rPr>
          <w:color w:val="000000" w:themeColor="text1"/>
        </w:rPr>
      </w:pPr>
      <w:r w:rsidRPr="0058432E">
        <w:rPr>
          <w:color w:val="000000" w:themeColor="text1"/>
        </w:rPr>
        <w:t>EU/1/19/1415/009</w:t>
      </w:r>
    </w:p>
    <w:p w14:paraId="3EA394E1" w14:textId="77777777" w:rsidR="00AA0F18" w:rsidRPr="0058432E" w:rsidRDefault="005C6564" w:rsidP="00982118">
      <w:pPr>
        <w:rPr>
          <w:color w:val="000000" w:themeColor="text1"/>
        </w:rPr>
      </w:pPr>
      <w:r w:rsidRPr="0058432E">
        <w:rPr>
          <w:color w:val="000000" w:themeColor="text1"/>
        </w:rPr>
        <w:t>EU/1/19/1415/010</w:t>
      </w:r>
    </w:p>
    <w:p w14:paraId="2493447F" w14:textId="77777777" w:rsidR="002803DB" w:rsidRPr="0058432E" w:rsidRDefault="002803DB" w:rsidP="00982118">
      <w:pPr>
        <w:rPr>
          <w:color w:val="000000" w:themeColor="text1"/>
        </w:rPr>
      </w:pPr>
    </w:p>
    <w:p w14:paraId="40B77DED" w14:textId="77777777" w:rsidR="006B001C" w:rsidRPr="0058432E" w:rsidRDefault="006B001C" w:rsidP="00982118">
      <w:pPr>
        <w:rPr>
          <w:color w:val="000000" w:themeColor="text1"/>
        </w:rPr>
      </w:pPr>
    </w:p>
    <w:p w14:paraId="5A66B301" w14:textId="77777777" w:rsidR="00AA0F18" w:rsidRPr="0058432E" w:rsidRDefault="00AA0F18" w:rsidP="00B51A46">
      <w:pPr>
        <w:keepNext/>
        <w:tabs>
          <w:tab w:val="left" w:pos="562"/>
        </w:tabs>
        <w:ind w:left="567" w:hanging="567"/>
        <w:rPr>
          <w:b/>
          <w:color w:val="000000" w:themeColor="text1"/>
        </w:rPr>
      </w:pPr>
      <w:r w:rsidRPr="0058432E">
        <w:rPr>
          <w:b/>
          <w:color w:val="000000" w:themeColor="text1"/>
        </w:rPr>
        <w:t>9.</w:t>
      </w:r>
      <w:r w:rsidRPr="0058432E">
        <w:rPr>
          <w:b/>
          <w:color w:val="000000" w:themeColor="text1"/>
        </w:rPr>
        <w:tab/>
        <w:t xml:space="preserve">DATE DE PREMIÈRE AUTORISATION/DE RENOUVELLEMENT DE L’AUTORISATION </w:t>
      </w:r>
    </w:p>
    <w:p w14:paraId="30EE1943" w14:textId="77777777" w:rsidR="00AA0F18" w:rsidRPr="0058432E" w:rsidRDefault="00AA0F18" w:rsidP="00A924EE">
      <w:pPr>
        <w:keepNext/>
        <w:rPr>
          <w:color w:val="000000" w:themeColor="text1"/>
        </w:rPr>
      </w:pPr>
    </w:p>
    <w:p w14:paraId="394BE865" w14:textId="77777777" w:rsidR="00621663" w:rsidRPr="0058432E" w:rsidRDefault="00621663" w:rsidP="00982118">
      <w:pPr>
        <w:ind w:left="90"/>
        <w:rPr>
          <w:color w:val="000000" w:themeColor="text1"/>
        </w:rPr>
      </w:pPr>
      <w:r w:rsidRPr="0058432E">
        <w:rPr>
          <w:color w:val="000000" w:themeColor="text1"/>
        </w:rPr>
        <w:t xml:space="preserve">Date de première autorisation : </w:t>
      </w:r>
      <w:r w:rsidR="00CD6E04" w:rsidRPr="0058432E">
        <w:rPr>
          <w:color w:val="000000" w:themeColor="text1"/>
        </w:rPr>
        <w:t>13 février 2020</w:t>
      </w:r>
    </w:p>
    <w:p w14:paraId="5B26C050" w14:textId="2B049EEF" w:rsidR="001471FD" w:rsidRPr="0058432E" w:rsidRDefault="001471FD" w:rsidP="00982118">
      <w:pPr>
        <w:ind w:left="90"/>
        <w:rPr>
          <w:i/>
          <w:color w:val="000000" w:themeColor="text1"/>
        </w:rPr>
      </w:pPr>
      <w:r w:rsidRPr="0058432E">
        <w:rPr>
          <w:color w:val="000000" w:themeColor="text1"/>
        </w:rPr>
        <w:t xml:space="preserve">Date du dernier renouvellement : </w:t>
      </w:r>
      <w:r w:rsidR="00C50EAF" w:rsidRPr="0058432E">
        <w:rPr>
          <w:color w:val="000000" w:themeColor="text1"/>
        </w:rPr>
        <w:t>19 septembre 2024</w:t>
      </w:r>
    </w:p>
    <w:p w14:paraId="301F485A" w14:textId="77777777" w:rsidR="00AA0F18" w:rsidRPr="0058432E" w:rsidRDefault="00AA0F18" w:rsidP="00982118">
      <w:pPr>
        <w:rPr>
          <w:color w:val="000000" w:themeColor="text1"/>
        </w:rPr>
      </w:pPr>
    </w:p>
    <w:p w14:paraId="3B27807C" w14:textId="77777777" w:rsidR="006B001C" w:rsidRPr="0058432E" w:rsidRDefault="006B001C" w:rsidP="00982118">
      <w:pPr>
        <w:rPr>
          <w:color w:val="000000" w:themeColor="text1"/>
        </w:rPr>
      </w:pPr>
    </w:p>
    <w:p w14:paraId="7578DC13" w14:textId="77777777" w:rsidR="00AA0F18" w:rsidRPr="0058432E" w:rsidRDefault="00AA0F18" w:rsidP="00982118">
      <w:pPr>
        <w:keepNext/>
        <w:tabs>
          <w:tab w:val="left" w:pos="562"/>
        </w:tabs>
        <w:rPr>
          <w:b/>
          <w:color w:val="000000" w:themeColor="text1"/>
        </w:rPr>
      </w:pPr>
      <w:r w:rsidRPr="0058432E">
        <w:rPr>
          <w:b/>
          <w:color w:val="000000" w:themeColor="text1"/>
        </w:rPr>
        <w:t>10.</w:t>
      </w:r>
      <w:r w:rsidRPr="0058432E">
        <w:rPr>
          <w:b/>
          <w:color w:val="000000" w:themeColor="text1"/>
        </w:rPr>
        <w:tab/>
        <w:t xml:space="preserve">DATE DE MISE À JOUR DU TEXTE </w:t>
      </w:r>
    </w:p>
    <w:p w14:paraId="389FCC99" w14:textId="77777777" w:rsidR="00AA0F18" w:rsidRPr="0058432E" w:rsidRDefault="00AA0F18" w:rsidP="00982118">
      <w:pPr>
        <w:keepNext/>
        <w:rPr>
          <w:color w:val="000000" w:themeColor="text1"/>
        </w:rPr>
      </w:pPr>
    </w:p>
    <w:p w14:paraId="6578E19F" w14:textId="5E0582B7" w:rsidR="00C46587" w:rsidRPr="0058432E" w:rsidRDefault="00AA0F18" w:rsidP="00982118">
      <w:pPr>
        <w:rPr>
          <w:color w:val="000000" w:themeColor="text1"/>
        </w:rPr>
      </w:pPr>
      <w:r w:rsidRPr="0058432E">
        <w:rPr>
          <w:color w:val="000000" w:themeColor="text1"/>
        </w:rPr>
        <w:t xml:space="preserve">Des informations détaillées sur ce médicament sont disponibles sur le site internet de l’Agence européenne des médicaments </w:t>
      </w:r>
      <w:hyperlink r:id="rId21" w:history="1">
        <w:r w:rsidR="00EB3DF8" w:rsidRPr="0058432E">
          <w:rPr>
            <w:rStyle w:val="Hyperlink"/>
          </w:rPr>
          <w:t>https://www.ema.europa.eu</w:t>
        </w:r>
      </w:hyperlink>
      <w:r w:rsidRPr="0058432E">
        <w:rPr>
          <w:color w:val="000000" w:themeColor="text1"/>
        </w:rPr>
        <w:t xml:space="preserve">. </w:t>
      </w:r>
    </w:p>
    <w:p w14:paraId="69747B02" w14:textId="77777777" w:rsidR="00C46587" w:rsidRPr="0058432E" w:rsidRDefault="00C46587" w:rsidP="00982118">
      <w:pPr>
        <w:rPr>
          <w:color w:val="000000" w:themeColor="text1"/>
        </w:rPr>
      </w:pPr>
      <w:r w:rsidRPr="0058432E">
        <w:rPr>
          <w:color w:val="000000" w:themeColor="text1"/>
        </w:rPr>
        <w:br w:type="page"/>
      </w:r>
      <w:bookmarkEnd w:id="4"/>
    </w:p>
    <w:bookmarkEnd w:id="5"/>
    <w:p w14:paraId="349FEB4C" w14:textId="77777777" w:rsidR="00C46587" w:rsidRPr="0058432E" w:rsidRDefault="00C46587" w:rsidP="00982118">
      <w:pPr>
        <w:rPr>
          <w:color w:val="000000" w:themeColor="text1"/>
        </w:rPr>
      </w:pPr>
    </w:p>
    <w:p w14:paraId="761287D7" w14:textId="77777777" w:rsidR="00C46587" w:rsidRPr="0058432E" w:rsidRDefault="00C46587" w:rsidP="00982118">
      <w:pPr>
        <w:rPr>
          <w:color w:val="000000" w:themeColor="text1"/>
        </w:rPr>
      </w:pPr>
    </w:p>
    <w:p w14:paraId="3FF23D04" w14:textId="77777777" w:rsidR="00C46587" w:rsidRPr="0058432E" w:rsidRDefault="00C46587" w:rsidP="00982118">
      <w:pPr>
        <w:rPr>
          <w:color w:val="000000" w:themeColor="text1"/>
        </w:rPr>
      </w:pPr>
    </w:p>
    <w:p w14:paraId="4B1B8A4F" w14:textId="77777777" w:rsidR="00C46587" w:rsidRPr="0058432E" w:rsidRDefault="00C46587" w:rsidP="00982118">
      <w:pPr>
        <w:rPr>
          <w:color w:val="000000" w:themeColor="text1"/>
        </w:rPr>
      </w:pPr>
    </w:p>
    <w:p w14:paraId="7A95D9F4" w14:textId="77777777" w:rsidR="00C46587" w:rsidRPr="0058432E" w:rsidRDefault="00C46587" w:rsidP="00982118">
      <w:pPr>
        <w:rPr>
          <w:color w:val="000000" w:themeColor="text1"/>
        </w:rPr>
      </w:pPr>
    </w:p>
    <w:p w14:paraId="61D75D00" w14:textId="77777777" w:rsidR="00C46587" w:rsidRPr="0058432E" w:rsidRDefault="00C46587" w:rsidP="00982118">
      <w:pPr>
        <w:rPr>
          <w:color w:val="000000" w:themeColor="text1"/>
        </w:rPr>
      </w:pPr>
    </w:p>
    <w:p w14:paraId="1E17B07A" w14:textId="77777777" w:rsidR="00C46587" w:rsidRPr="0058432E" w:rsidRDefault="00C46587" w:rsidP="00982118">
      <w:pPr>
        <w:rPr>
          <w:color w:val="000000" w:themeColor="text1"/>
        </w:rPr>
      </w:pPr>
    </w:p>
    <w:p w14:paraId="0DDA0C3E" w14:textId="77777777" w:rsidR="00C46587" w:rsidRPr="0058432E" w:rsidRDefault="00C46587" w:rsidP="00982118">
      <w:pPr>
        <w:rPr>
          <w:color w:val="000000" w:themeColor="text1"/>
        </w:rPr>
      </w:pPr>
    </w:p>
    <w:p w14:paraId="01146ACA" w14:textId="77777777" w:rsidR="00C46587" w:rsidRPr="0058432E" w:rsidRDefault="00C46587" w:rsidP="00982118">
      <w:pPr>
        <w:rPr>
          <w:color w:val="000000" w:themeColor="text1"/>
        </w:rPr>
      </w:pPr>
    </w:p>
    <w:p w14:paraId="075166B5" w14:textId="77777777" w:rsidR="00C46587" w:rsidRPr="0058432E" w:rsidRDefault="00C46587" w:rsidP="00982118">
      <w:pPr>
        <w:rPr>
          <w:color w:val="000000" w:themeColor="text1"/>
        </w:rPr>
      </w:pPr>
    </w:p>
    <w:p w14:paraId="58DDDE62" w14:textId="77777777" w:rsidR="00C46587" w:rsidRPr="0058432E" w:rsidRDefault="00C46587" w:rsidP="00982118">
      <w:pPr>
        <w:rPr>
          <w:color w:val="000000" w:themeColor="text1"/>
        </w:rPr>
      </w:pPr>
    </w:p>
    <w:p w14:paraId="52A93685" w14:textId="77777777" w:rsidR="00C46587" w:rsidRPr="0058432E" w:rsidRDefault="00C46587" w:rsidP="00982118">
      <w:pPr>
        <w:rPr>
          <w:color w:val="000000" w:themeColor="text1"/>
        </w:rPr>
      </w:pPr>
    </w:p>
    <w:p w14:paraId="409D7777" w14:textId="77777777" w:rsidR="00C46587" w:rsidRPr="0058432E" w:rsidRDefault="00C46587" w:rsidP="00982118">
      <w:pPr>
        <w:rPr>
          <w:color w:val="000000" w:themeColor="text1"/>
        </w:rPr>
      </w:pPr>
    </w:p>
    <w:p w14:paraId="73FCE053" w14:textId="77777777" w:rsidR="00C46587" w:rsidRPr="0058432E" w:rsidRDefault="00C46587" w:rsidP="00982118">
      <w:pPr>
        <w:rPr>
          <w:color w:val="000000" w:themeColor="text1"/>
        </w:rPr>
      </w:pPr>
    </w:p>
    <w:p w14:paraId="4736D706" w14:textId="77777777" w:rsidR="00C46587" w:rsidRPr="0058432E" w:rsidRDefault="00C46587" w:rsidP="00982118">
      <w:pPr>
        <w:rPr>
          <w:color w:val="000000" w:themeColor="text1"/>
        </w:rPr>
      </w:pPr>
    </w:p>
    <w:p w14:paraId="1DE3D939" w14:textId="77777777" w:rsidR="00C46587" w:rsidRPr="0058432E" w:rsidRDefault="00C46587" w:rsidP="00982118">
      <w:pPr>
        <w:rPr>
          <w:color w:val="000000" w:themeColor="text1"/>
        </w:rPr>
      </w:pPr>
    </w:p>
    <w:p w14:paraId="49112398" w14:textId="77777777" w:rsidR="00C46587" w:rsidRPr="0058432E" w:rsidRDefault="00C46587" w:rsidP="00982118">
      <w:pPr>
        <w:rPr>
          <w:color w:val="000000" w:themeColor="text1"/>
        </w:rPr>
      </w:pPr>
    </w:p>
    <w:p w14:paraId="318F476D" w14:textId="77777777" w:rsidR="00C46587" w:rsidRPr="0058432E" w:rsidRDefault="00C46587" w:rsidP="00982118">
      <w:pPr>
        <w:rPr>
          <w:color w:val="000000" w:themeColor="text1"/>
        </w:rPr>
      </w:pPr>
    </w:p>
    <w:p w14:paraId="60B3E5D4" w14:textId="77777777" w:rsidR="00C46587" w:rsidRPr="0058432E" w:rsidRDefault="00C46587" w:rsidP="00982118">
      <w:pPr>
        <w:rPr>
          <w:color w:val="000000" w:themeColor="text1"/>
        </w:rPr>
      </w:pPr>
    </w:p>
    <w:p w14:paraId="7084EFEC" w14:textId="77777777" w:rsidR="00C46587" w:rsidRPr="0058432E" w:rsidRDefault="00C46587" w:rsidP="00982118">
      <w:pPr>
        <w:rPr>
          <w:color w:val="000000" w:themeColor="text1"/>
        </w:rPr>
      </w:pPr>
    </w:p>
    <w:p w14:paraId="36F51EE1" w14:textId="77777777" w:rsidR="00C46587" w:rsidRPr="0058432E" w:rsidRDefault="00C46587" w:rsidP="00982118">
      <w:pPr>
        <w:rPr>
          <w:color w:val="000000" w:themeColor="text1"/>
        </w:rPr>
      </w:pPr>
    </w:p>
    <w:p w14:paraId="5C1B4FB6" w14:textId="77777777" w:rsidR="00B55D3E" w:rsidRPr="0058432E" w:rsidRDefault="00B55D3E" w:rsidP="00982118">
      <w:pPr>
        <w:rPr>
          <w:color w:val="000000" w:themeColor="text1"/>
        </w:rPr>
      </w:pPr>
    </w:p>
    <w:p w14:paraId="74AE782D" w14:textId="77777777" w:rsidR="00C46587" w:rsidRPr="0058432E" w:rsidRDefault="00C46587" w:rsidP="00982118">
      <w:pPr>
        <w:rPr>
          <w:color w:val="000000" w:themeColor="text1"/>
        </w:rPr>
      </w:pPr>
    </w:p>
    <w:p w14:paraId="64453967" w14:textId="77777777" w:rsidR="00C46587" w:rsidRPr="0058432E" w:rsidRDefault="00C46587" w:rsidP="00982118">
      <w:pPr>
        <w:jc w:val="center"/>
        <w:rPr>
          <w:b/>
          <w:color w:val="000000" w:themeColor="text1"/>
        </w:rPr>
      </w:pPr>
      <w:r w:rsidRPr="0058432E">
        <w:rPr>
          <w:b/>
          <w:color w:val="000000" w:themeColor="text1"/>
        </w:rPr>
        <w:t>ANNEXE II</w:t>
      </w:r>
    </w:p>
    <w:p w14:paraId="4EB8035A" w14:textId="77777777" w:rsidR="00C46587" w:rsidRPr="0058432E" w:rsidRDefault="00C46587" w:rsidP="00982118">
      <w:pPr>
        <w:tabs>
          <w:tab w:val="left" w:pos="567"/>
        </w:tabs>
        <w:ind w:right="1416"/>
        <w:rPr>
          <w:color w:val="000000" w:themeColor="text1"/>
        </w:rPr>
      </w:pPr>
    </w:p>
    <w:p w14:paraId="046572DC" w14:textId="77777777" w:rsidR="00C46587" w:rsidRPr="0058432E" w:rsidRDefault="00C46587" w:rsidP="00982118">
      <w:pPr>
        <w:tabs>
          <w:tab w:val="left" w:pos="567"/>
        </w:tabs>
        <w:ind w:left="1701" w:right="1416" w:hanging="708"/>
        <w:rPr>
          <w:b/>
          <w:color w:val="000000" w:themeColor="text1"/>
        </w:rPr>
      </w:pPr>
      <w:r w:rsidRPr="0058432E">
        <w:rPr>
          <w:b/>
          <w:color w:val="000000" w:themeColor="text1"/>
        </w:rPr>
        <w:t>A.</w:t>
      </w:r>
      <w:r w:rsidRPr="0058432E">
        <w:rPr>
          <w:b/>
          <w:color w:val="000000" w:themeColor="text1"/>
        </w:rPr>
        <w:tab/>
        <w:t>FABRICANT DE LA SUBSTANCE ACTIVE D’ORIGINE BIOLOGIQUE ET FABRICANT RESPONSABLE DE LA LIBÉRATION DES LOTS</w:t>
      </w:r>
    </w:p>
    <w:p w14:paraId="42F40942" w14:textId="77777777" w:rsidR="00C46587" w:rsidRPr="0058432E" w:rsidRDefault="00C46587" w:rsidP="00982118">
      <w:pPr>
        <w:tabs>
          <w:tab w:val="left" w:pos="567"/>
        </w:tabs>
        <w:ind w:left="567" w:hanging="567"/>
        <w:rPr>
          <w:color w:val="000000" w:themeColor="text1"/>
        </w:rPr>
      </w:pPr>
    </w:p>
    <w:p w14:paraId="271410AE" w14:textId="77777777" w:rsidR="00C46587" w:rsidRPr="0058432E" w:rsidRDefault="00C46587" w:rsidP="00982118">
      <w:pPr>
        <w:tabs>
          <w:tab w:val="left" w:pos="567"/>
        </w:tabs>
        <w:ind w:left="1701" w:right="1418" w:hanging="709"/>
        <w:rPr>
          <w:b/>
          <w:color w:val="000000" w:themeColor="text1"/>
        </w:rPr>
      </w:pPr>
      <w:r w:rsidRPr="0058432E">
        <w:rPr>
          <w:b/>
          <w:color w:val="000000" w:themeColor="text1"/>
        </w:rPr>
        <w:t>B.</w:t>
      </w:r>
      <w:r w:rsidRPr="0058432E">
        <w:rPr>
          <w:b/>
          <w:color w:val="000000" w:themeColor="text1"/>
        </w:rPr>
        <w:tab/>
        <w:t>CONDITIONS OU RESTRICTIONS DE DÉLIVRANCE ET D’UTILISATION</w:t>
      </w:r>
    </w:p>
    <w:p w14:paraId="47D0A5AC" w14:textId="77777777" w:rsidR="00C46587" w:rsidRPr="0058432E" w:rsidRDefault="00C46587" w:rsidP="00982118">
      <w:pPr>
        <w:tabs>
          <w:tab w:val="left" w:pos="567"/>
        </w:tabs>
        <w:ind w:left="567" w:hanging="567"/>
        <w:rPr>
          <w:color w:val="000000" w:themeColor="text1"/>
        </w:rPr>
      </w:pPr>
    </w:p>
    <w:p w14:paraId="2A7095BF" w14:textId="77777777" w:rsidR="00C46587" w:rsidRPr="0058432E" w:rsidRDefault="00C46587" w:rsidP="00982118">
      <w:pPr>
        <w:tabs>
          <w:tab w:val="left" w:pos="567"/>
        </w:tabs>
        <w:ind w:left="1701" w:right="1559" w:hanging="709"/>
        <w:rPr>
          <w:b/>
          <w:color w:val="000000" w:themeColor="text1"/>
        </w:rPr>
      </w:pPr>
      <w:r w:rsidRPr="0058432E">
        <w:rPr>
          <w:b/>
          <w:color w:val="000000" w:themeColor="text1"/>
        </w:rPr>
        <w:t>C.</w:t>
      </w:r>
      <w:r w:rsidRPr="0058432E">
        <w:rPr>
          <w:b/>
          <w:color w:val="000000" w:themeColor="text1"/>
        </w:rPr>
        <w:tab/>
        <w:t>AUTRES CONDITIONS ET OBLIGATIONS DE L’AUTORISATION DE MISE SUR LE MARCHÉ</w:t>
      </w:r>
    </w:p>
    <w:p w14:paraId="3C2D8732" w14:textId="77777777" w:rsidR="00C46587" w:rsidRPr="0058432E" w:rsidRDefault="00C46587" w:rsidP="00982118">
      <w:pPr>
        <w:tabs>
          <w:tab w:val="left" w:pos="567"/>
        </w:tabs>
        <w:ind w:right="1558"/>
        <w:rPr>
          <w:b/>
          <w:color w:val="000000" w:themeColor="text1"/>
          <w:szCs w:val="20"/>
        </w:rPr>
      </w:pPr>
    </w:p>
    <w:p w14:paraId="39A85597" w14:textId="77777777" w:rsidR="005A7F7E" w:rsidRPr="0058432E" w:rsidRDefault="00C46587" w:rsidP="000D3575">
      <w:pPr>
        <w:tabs>
          <w:tab w:val="left" w:pos="567"/>
        </w:tabs>
        <w:ind w:left="1701" w:right="1416" w:hanging="708"/>
        <w:rPr>
          <w:color w:val="000000" w:themeColor="text1"/>
        </w:rPr>
      </w:pPr>
      <w:r w:rsidRPr="0058432E">
        <w:rPr>
          <w:b/>
          <w:color w:val="000000" w:themeColor="text1"/>
          <w:szCs w:val="20"/>
        </w:rPr>
        <w:t>D.</w:t>
      </w:r>
      <w:r w:rsidRPr="0058432E">
        <w:rPr>
          <w:b/>
          <w:color w:val="000000" w:themeColor="text1"/>
          <w:szCs w:val="20"/>
        </w:rPr>
        <w:tab/>
      </w:r>
      <w:r w:rsidRPr="0058432E">
        <w:rPr>
          <w:b/>
          <w:caps/>
          <w:color w:val="000000" w:themeColor="text1"/>
          <w:szCs w:val="20"/>
        </w:rPr>
        <w:t>CONDITIONS OU RESTRICTIONS EN VUE D’UNE UTILISATION SÛRE ET EFFICACE DU MÉDICAMENT</w:t>
      </w:r>
    </w:p>
    <w:p w14:paraId="09E86630" w14:textId="77777777" w:rsidR="000D3575" w:rsidRPr="0058432E" w:rsidRDefault="00C46587" w:rsidP="000D3575">
      <w:pPr>
        <w:pStyle w:val="Heading1"/>
        <w:ind w:left="561" w:hanging="561"/>
        <w:rPr>
          <w:color w:val="000000" w:themeColor="text1"/>
        </w:rPr>
      </w:pPr>
      <w:r w:rsidRPr="0058432E">
        <w:rPr>
          <w:color w:val="000000" w:themeColor="text1"/>
        </w:rPr>
        <w:br w:type="page"/>
      </w:r>
      <w:r w:rsidR="000D3575" w:rsidRPr="0058432E">
        <w:rPr>
          <w:color w:val="000000" w:themeColor="text1"/>
        </w:rPr>
        <w:lastRenderedPageBreak/>
        <w:t>A.</w:t>
      </w:r>
      <w:r w:rsidR="000D3575" w:rsidRPr="0058432E">
        <w:rPr>
          <w:color w:val="000000" w:themeColor="text1"/>
        </w:rPr>
        <w:tab/>
        <w:t>FABRICANT DE LA SUBSTANCE ACTIVE D’ORIGINE BIOLOGIQUE ET FABRICANT RESPONSABLE DE LA LIBÉRATION DES LOTS</w:t>
      </w:r>
    </w:p>
    <w:p w14:paraId="33A4FB3B" w14:textId="77777777" w:rsidR="00C46587" w:rsidRPr="0058432E" w:rsidRDefault="00C46587" w:rsidP="00982118">
      <w:pPr>
        <w:tabs>
          <w:tab w:val="left" w:pos="567"/>
        </w:tabs>
        <w:ind w:right="1416"/>
        <w:rPr>
          <w:color w:val="000000" w:themeColor="text1"/>
        </w:rPr>
      </w:pPr>
    </w:p>
    <w:p w14:paraId="5B46DE53" w14:textId="77777777" w:rsidR="00C46587" w:rsidRPr="0058432E" w:rsidRDefault="00C46587" w:rsidP="00982118">
      <w:pPr>
        <w:rPr>
          <w:color w:val="000000" w:themeColor="text1"/>
          <w:u w:val="single"/>
        </w:rPr>
      </w:pPr>
      <w:r w:rsidRPr="0058432E">
        <w:rPr>
          <w:color w:val="000000" w:themeColor="text1"/>
          <w:u w:val="single"/>
        </w:rPr>
        <w:t>Nom et adresse du fabricant de la substance active d’origine biologique</w:t>
      </w:r>
    </w:p>
    <w:p w14:paraId="48CBF277" w14:textId="77777777" w:rsidR="00C46587" w:rsidRPr="0058432E" w:rsidRDefault="00C46587" w:rsidP="00982118">
      <w:pPr>
        <w:tabs>
          <w:tab w:val="left" w:pos="567"/>
        </w:tabs>
        <w:ind w:right="1416"/>
        <w:rPr>
          <w:color w:val="000000" w:themeColor="text1"/>
        </w:rPr>
      </w:pPr>
    </w:p>
    <w:p w14:paraId="532190AD" w14:textId="77777777" w:rsidR="008A3A3F" w:rsidRPr="0000463E" w:rsidRDefault="008A3A3F" w:rsidP="008A3A3F">
      <w:pPr>
        <w:rPr>
          <w:color w:val="000000" w:themeColor="text1"/>
          <w:lang w:val="en-US"/>
        </w:rPr>
      </w:pPr>
      <w:r w:rsidRPr="0000463E">
        <w:rPr>
          <w:color w:val="000000" w:themeColor="text1"/>
          <w:lang w:val="en-US"/>
        </w:rPr>
        <w:t xml:space="preserve">Wyeth BioPharma </w:t>
      </w:r>
    </w:p>
    <w:p w14:paraId="49B827B2" w14:textId="77777777" w:rsidR="008A3A3F" w:rsidRPr="0000463E" w:rsidRDefault="008A3A3F" w:rsidP="008A3A3F">
      <w:pPr>
        <w:rPr>
          <w:color w:val="000000" w:themeColor="text1"/>
          <w:lang w:val="en-US"/>
        </w:rPr>
      </w:pPr>
      <w:r w:rsidRPr="0000463E">
        <w:rPr>
          <w:color w:val="000000" w:themeColor="text1"/>
          <w:lang w:val="en-US"/>
        </w:rPr>
        <w:t>Division of Wyeth Pharmaceuticals LLC</w:t>
      </w:r>
    </w:p>
    <w:p w14:paraId="38D7B241" w14:textId="77777777" w:rsidR="008A3A3F" w:rsidRPr="0000463E" w:rsidRDefault="008A3A3F" w:rsidP="008A3A3F">
      <w:pPr>
        <w:rPr>
          <w:color w:val="000000" w:themeColor="text1"/>
          <w:lang w:val="en-US"/>
        </w:rPr>
      </w:pPr>
      <w:r w:rsidRPr="0000463E">
        <w:rPr>
          <w:color w:val="000000" w:themeColor="text1"/>
          <w:lang w:val="en-US"/>
        </w:rPr>
        <w:t>One Burtt Road</w:t>
      </w:r>
    </w:p>
    <w:p w14:paraId="45DE323E" w14:textId="77777777" w:rsidR="008A3A3F" w:rsidRPr="0000463E" w:rsidRDefault="008A3A3F" w:rsidP="008A3A3F">
      <w:pPr>
        <w:rPr>
          <w:color w:val="000000" w:themeColor="text1"/>
          <w:lang w:val="en-US"/>
        </w:rPr>
      </w:pPr>
      <w:r w:rsidRPr="0000463E">
        <w:rPr>
          <w:color w:val="000000" w:themeColor="text1"/>
          <w:lang w:val="en-US"/>
        </w:rPr>
        <w:t>Andover, MA 01810</w:t>
      </w:r>
    </w:p>
    <w:p w14:paraId="783A4B10" w14:textId="77777777" w:rsidR="008A3A3F" w:rsidRPr="0058432E" w:rsidRDefault="008A3A3F" w:rsidP="008A3A3F">
      <w:pPr>
        <w:rPr>
          <w:color w:val="000000" w:themeColor="text1"/>
        </w:rPr>
      </w:pPr>
      <w:r w:rsidRPr="0058432E">
        <w:rPr>
          <w:color w:val="000000" w:themeColor="text1"/>
        </w:rPr>
        <w:t>États-Unis</w:t>
      </w:r>
    </w:p>
    <w:p w14:paraId="6F5E9D25" w14:textId="77777777" w:rsidR="00C46587" w:rsidRPr="0058432E" w:rsidRDefault="00C46587" w:rsidP="00982118">
      <w:pPr>
        <w:rPr>
          <w:color w:val="000000" w:themeColor="text1"/>
        </w:rPr>
      </w:pPr>
    </w:p>
    <w:p w14:paraId="1BBF89DB" w14:textId="77777777" w:rsidR="00C46587" w:rsidRPr="0058432E" w:rsidRDefault="00C46587" w:rsidP="00982118">
      <w:pPr>
        <w:rPr>
          <w:color w:val="000000" w:themeColor="text1"/>
          <w:u w:val="single"/>
        </w:rPr>
      </w:pPr>
      <w:r w:rsidRPr="0058432E">
        <w:rPr>
          <w:color w:val="000000" w:themeColor="text1"/>
          <w:u w:val="single"/>
        </w:rPr>
        <w:t xml:space="preserve">Nom et adresse du fabricant responsable de la libération des lots </w:t>
      </w:r>
    </w:p>
    <w:p w14:paraId="1E186250" w14:textId="77777777" w:rsidR="00C46587" w:rsidRPr="0058432E" w:rsidRDefault="00C46587" w:rsidP="00982118">
      <w:pPr>
        <w:rPr>
          <w:color w:val="000000" w:themeColor="text1"/>
        </w:rPr>
      </w:pPr>
    </w:p>
    <w:p w14:paraId="2880630B" w14:textId="5747E7B0" w:rsidR="0059603B" w:rsidRPr="0000463E" w:rsidRDefault="0059603B" w:rsidP="0059603B">
      <w:pPr>
        <w:rPr>
          <w:color w:val="000000" w:themeColor="text1"/>
          <w:lang w:val="en-US"/>
        </w:rPr>
      </w:pPr>
      <w:r w:rsidRPr="0000463E">
        <w:rPr>
          <w:color w:val="000000" w:themeColor="text1"/>
          <w:lang w:val="en-US"/>
        </w:rPr>
        <w:t>Pfizer Service Company BV</w:t>
      </w:r>
    </w:p>
    <w:p w14:paraId="0E80A4E3" w14:textId="77777777" w:rsidR="001E2FDF" w:rsidRPr="005D7DC4" w:rsidRDefault="001E2FDF" w:rsidP="001E2FDF">
      <w:pPr>
        <w:rPr>
          <w:ins w:id="6" w:author="Author" w:date="2025-06-12T13:43:00Z" w16du:dateUtc="2025-06-12T12:43:00Z"/>
          <w:lang w:val="en-GB"/>
        </w:rPr>
      </w:pPr>
      <w:proofErr w:type="spellStart"/>
      <w:ins w:id="7" w:author="Author" w:date="2025-06-12T13:43:00Z" w16du:dateUtc="2025-06-12T12:43:00Z">
        <w:r w:rsidRPr="00C12AA0">
          <w:rPr>
            <w:lang w:val="en-GB"/>
          </w:rPr>
          <w:t>Hermeslaan</w:t>
        </w:r>
        <w:proofErr w:type="spellEnd"/>
        <w:r w:rsidRPr="00C12AA0">
          <w:rPr>
            <w:lang w:val="en-GB"/>
          </w:rPr>
          <w:t xml:space="preserve"> 11</w:t>
        </w:r>
      </w:ins>
    </w:p>
    <w:p w14:paraId="60645783" w14:textId="11C58B6C" w:rsidR="0059603B" w:rsidRPr="00B03C37" w:rsidDel="001E2FDF" w:rsidRDefault="001E2FDF" w:rsidP="0059603B">
      <w:pPr>
        <w:rPr>
          <w:del w:id="8" w:author="Author" w:date="2025-06-12T13:43:00Z" w16du:dateUtc="2025-06-12T12:43:00Z"/>
          <w:color w:val="000000" w:themeColor="text1"/>
        </w:rPr>
      </w:pPr>
      <w:ins w:id="9" w:author="Author" w:date="2025-06-12T13:43:00Z" w16du:dateUtc="2025-06-12T12:43:00Z">
        <w:r w:rsidRPr="00B03C37">
          <w:rPr>
            <w:color w:val="000000" w:themeColor="text1"/>
          </w:rPr>
          <w:t xml:space="preserve">1932 </w:t>
        </w:r>
      </w:ins>
      <w:del w:id="10" w:author="Author" w:date="2025-06-12T13:43:00Z" w16du:dateUtc="2025-06-12T12:43:00Z">
        <w:r w:rsidR="0059603B" w:rsidRPr="00B03C37" w:rsidDel="001E2FDF">
          <w:rPr>
            <w:color w:val="000000" w:themeColor="text1"/>
          </w:rPr>
          <w:delText>Hoge Wei 10</w:delText>
        </w:r>
      </w:del>
    </w:p>
    <w:p w14:paraId="047E377A" w14:textId="77777777" w:rsidR="0059603B" w:rsidRPr="0058432E" w:rsidRDefault="0059603B" w:rsidP="0059603B">
      <w:pPr>
        <w:rPr>
          <w:color w:val="000000" w:themeColor="text1"/>
        </w:rPr>
      </w:pPr>
      <w:r w:rsidRPr="0058432E">
        <w:rPr>
          <w:color w:val="000000" w:themeColor="text1"/>
        </w:rPr>
        <w:t>Zaventem</w:t>
      </w:r>
      <w:del w:id="11" w:author="Author" w:date="2025-06-12T13:43:00Z" w16du:dateUtc="2025-06-12T12:43:00Z">
        <w:r w:rsidRPr="0058432E" w:rsidDel="001E2FDF">
          <w:rPr>
            <w:color w:val="000000" w:themeColor="text1"/>
          </w:rPr>
          <w:delText xml:space="preserve"> 1930</w:delText>
        </w:r>
      </w:del>
    </w:p>
    <w:p w14:paraId="7922F299" w14:textId="77777777" w:rsidR="0059603B" w:rsidRPr="0058432E" w:rsidRDefault="0059603B" w:rsidP="0059603B">
      <w:pPr>
        <w:rPr>
          <w:color w:val="000000" w:themeColor="text1"/>
        </w:rPr>
      </w:pPr>
      <w:r w:rsidRPr="0058432E">
        <w:rPr>
          <w:color w:val="000000" w:themeColor="text1"/>
        </w:rPr>
        <w:t>Belgique</w:t>
      </w:r>
    </w:p>
    <w:p w14:paraId="4CC1C906" w14:textId="77777777" w:rsidR="00C46587" w:rsidRPr="0058432E" w:rsidRDefault="00C46587" w:rsidP="00982118">
      <w:pPr>
        <w:rPr>
          <w:color w:val="000000" w:themeColor="text1"/>
        </w:rPr>
      </w:pPr>
    </w:p>
    <w:p w14:paraId="4149C552" w14:textId="77777777" w:rsidR="00C46587" w:rsidRPr="0058432E" w:rsidRDefault="00C46587" w:rsidP="00982118">
      <w:pPr>
        <w:rPr>
          <w:color w:val="000000" w:themeColor="text1"/>
        </w:rPr>
      </w:pPr>
    </w:p>
    <w:p w14:paraId="4623A1F9" w14:textId="77777777" w:rsidR="00C46587" w:rsidRPr="0058432E" w:rsidRDefault="00C46587" w:rsidP="00C831C4">
      <w:pPr>
        <w:pStyle w:val="Heading1"/>
        <w:ind w:left="561" w:hanging="561"/>
        <w:rPr>
          <w:color w:val="000000" w:themeColor="text1"/>
        </w:rPr>
      </w:pPr>
      <w:r w:rsidRPr="0058432E">
        <w:rPr>
          <w:color w:val="000000" w:themeColor="text1"/>
        </w:rPr>
        <w:t>B.</w:t>
      </w:r>
      <w:r w:rsidRPr="0058432E">
        <w:rPr>
          <w:color w:val="000000" w:themeColor="text1"/>
        </w:rPr>
        <w:tab/>
        <w:t xml:space="preserve">CONDITIONS OU RESTRICTIONS DE DÉLIVRANCE ET D’UTILISATION </w:t>
      </w:r>
    </w:p>
    <w:p w14:paraId="6009965C" w14:textId="77777777" w:rsidR="00C46587" w:rsidRPr="0058432E" w:rsidRDefault="00C46587" w:rsidP="00982118">
      <w:pPr>
        <w:rPr>
          <w:color w:val="000000" w:themeColor="text1"/>
        </w:rPr>
      </w:pPr>
    </w:p>
    <w:p w14:paraId="6ADA3D82" w14:textId="77777777" w:rsidR="00C46587" w:rsidRPr="0058432E" w:rsidRDefault="00C46587" w:rsidP="00982118">
      <w:pPr>
        <w:rPr>
          <w:color w:val="000000" w:themeColor="text1"/>
        </w:rPr>
      </w:pPr>
      <w:r w:rsidRPr="0058432E">
        <w:rPr>
          <w:color w:val="000000" w:themeColor="text1"/>
        </w:rPr>
        <w:t xml:space="preserve">Médicament soumis à prescription médicale restreinte (voir annexe I : Résumé des Caractéristiques du Produit, rubrique 4.2). </w:t>
      </w:r>
    </w:p>
    <w:p w14:paraId="51768841" w14:textId="77777777" w:rsidR="00C46587" w:rsidRPr="0058432E" w:rsidRDefault="00C46587" w:rsidP="00982118">
      <w:pPr>
        <w:rPr>
          <w:color w:val="000000" w:themeColor="text1"/>
        </w:rPr>
      </w:pPr>
    </w:p>
    <w:p w14:paraId="4B561255" w14:textId="77777777" w:rsidR="00C46587" w:rsidRPr="0058432E" w:rsidRDefault="00C46587" w:rsidP="00982118">
      <w:pPr>
        <w:rPr>
          <w:color w:val="000000" w:themeColor="text1"/>
        </w:rPr>
      </w:pPr>
    </w:p>
    <w:p w14:paraId="400A3639" w14:textId="77777777" w:rsidR="00C46587" w:rsidRPr="0058432E" w:rsidRDefault="00C46587" w:rsidP="00C831C4">
      <w:pPr>
        <w:pStyle w:val="Heading1"/>
        <w:ind w:left="561" w:hanging="561"/>
        <w:rPr>
          <w:color w:val="000000" w:themeColor="text1"/>
        </w:rPr>
      </w:pPr>
      <w:r w:rsidRPr="0058432E">
        <w:rPr>
          <w:color w:val="000000" w:themeColor="text1"/>
        </w:rPr>
        <w:t>C</w:t>
      </w:r>
      <w:r w:rsidRPr="0058432E">
        <w:rPr>
          <w:color w:val="000000" w:themeColor="text1"/>
        </w:rPr>
        <w:tab/>
        <w:t xml:space="preserve">AUTRES CONDITIONS ET OBLIGATIONS DE L’AUTORISATION DE MISE SUR LE MARCHÉ </w:t>
      </w:r>
    </w:p>
    <w:p w14:paraId="62CEFF66" w14:textId="77777777" w:rsidR="00C46587" w:rsidRPr="0058432E" w:rsidRDefault="00C46587" w:rsidP="00982118">
      <w:pPr>
        <w:rPr>
          <w:color w:val="000000" w:themeColor="text1"/>
        </w:rPr>
      </w:pPr>
    </w:p>
    <w:p w14:paraId="3A28CBF7" w14:textId="77777777" w:rsidR="00C46587" w:rsidRPr="0058432E" w:rsidRDefault="00C46587" w:rsidP="007C4B2C">
      <w:pPr>
        <w:numPr>
          <w:ilvl w:val="0"/>
          <w:numId w:val="2"/>
        </w:numPr>
        <w:tabs>
          <w:tab w:val="left" w:pos="562"/>
        </w:tabs>
        <w:ind w:left="562" w:hanging="562"/>
        <w:rPr>
          <w:b/>
          <w:color w:val="000000" w:themeColor="text1"/>
        </w:rPr>
      </w:pPr>
      <w:r w:rsidRPr="0058432E">
        <w:rPr>
          <w:b/>
          <w:color w:val="000000" w:themeColor="text1"/>
        </w:rPr>
        <w:t xml:space="preserve">Rapports périodiques actualisés de sécurité (PSURs) </w:t>
      </w:r>
    </w:p>
    <w:p w14:paraId="4A258963" w14:textId="77777777" w:rsidR="00502CD7" w:rsidRPr="0058432E" w:rsidRDefault="00502CD7" w:rsidP="00982118">
      <w:pPr>
        <w:rPr>
          <w:color w:val="000000" w:themeColor="text1"/>
        </w:rPr>
      </w:pPr>
    </w:p>
    <w:p w14:paraId="1D147FD2" w14:textId="77777777" w:rsidR="00C46587" w:rsidRPr="0058432E" w:rsidRDefault="00C46587" w:rsidP="00982118">
      <w:pPr>
        <w:rPr>
          <w:color w:val="000000" w:themeColor="text1"/>
        </w:rPr>
      </w:pPr>
      <w:r w:rsidRPr="0058432E">
        <w:rPr>
          <w:color w:val="000000" w:themeColor="text1"/>
        </w:rPr>
        <w:t xml:space="preserve">Les exigences relatives à la soumission des PSURs pour ce médicament sont définies dans la liste des dates de référence pour l’Union (liste EURD) prévue à l’article 107 quater, paragraphe 7, de la directive 2001/83/CE et ses actualisations publiées sur le portail web européen des médicaments. </w:t>
      </w:r>
    </w:p>
    <w:p w14:paraId="3678617F" w14:textId="77777777" w:rsidR="00C46587" w:rsidRPr="0058432E" w:rsidRDefault="00C46587" w:rsidP="00982118">
      <w:pPr>
        <w:rPr>
          <w:color w:val="000000" w:themeColor="text1"/>
        </w:rPr>
      </w:pPr>
    </w:p>
    <w:p w14:paraId="4341268B" w14:textId="77777777" w:rsidR="00C46587" w:rsidRPr="0058432E" w:rsidRDefault="00C46587" w:rsidP="00982118">
      <w:pPr>
        <w:rPr>
          <w:color w:val="000000" w:themeColor="text1"/>
        </w:rPr>
      </w:pPr>
    </w:p>
    <w:p w14:paraId="3570816E" w14:textId="77777777" w:rsidR="00C46587" w:rsidRPr="0058432E" w:rsidRDefault="00C46587" w:rsidP="00C831C4">
      <w:pPr>
        <w:pStyle w:val="Heading1"/>
        <w:ind w:left="561" w:hanging="561"/>
        <w:rPr>
          <w:color w:val="000000" w:themeColor="text1"/>
        </w:rPr>
      </w:pPr>
      <w:r w:rsidRPr="0058432E">
        <w:rPr>
          <w:color w:val="000000" w:themeColor="text1"/>
        </w:rPr>
        <w:t>D.</w:t>
      </w:r>
      <w:r w:rsidRPr="0058432E">
        <w:rPr>
          <w:color w:val="000000" w:themeColor="text1"/>
        </w:rPr>
        <w:tab/>
        <w:t xml:space="preserve">CONDITIONS OU RESTRICTIONS EN VUE D’UNE UTILISATION SÛRE ET EFFICACE DU MÉDICAMENT </w:t>
      </w:r>
    </w:p>
    <w:p w14:paraId="3822381F" w14:textId="77777777" w:rsidR="00C46587" w:rsidRPr="0058432E" w:rsidRDefault="00C46587" w:rsidP="00982118">
      <w:pPr>
        <w:rPr>
          <w:color w:val="000000" w:themeColor="text1"/>
        </w:rPr>
      </w:pPr>
    </w:p>
    <w:p w14:paraId="13CFCAF7" w14:textId="77777777" w:rsidR="00C46587" w:rsidRPr="0058432E" w:rsidRDefault="00C46587" w:rsidP="00982118">
      <w:pPr>
        <w:numPr>
          <w:ilvl w:val="0"/>
          <w:numId w:val="2"/>
        </w:numPr>
        <w:tabs>
          <w:tab w:val="left" w:pos="562"/>
        </w:tabs>
        <w:ind w:left="562" w:hanging="562"/>
        <w:rPr>
          <w:b/>
          <w:color w:val="000000" w:themeColor="text1"/>
        </w:rPr>
      </w:pPr>
      <w:r w:rsidRPr="0058432E">
        <w:rPr>
          <w:b/>
          <w:color w:val="000000" w:themeColor="text1"/>
        </w:rPr>
        <w:t xml:space="preserve">Plan de gestion des risques (PGR) </w:t>
      </w:r>
    </w:p>
    <w:p w14:paraId="25AA2712" w14:textId="77777777" w:rsidR="00C46587" w:rsidRPr="0058432E" w:rsidRDefault="00C46587" w:rsidP="00982118">
      <w:pPr>
        <w:rPr>
          <w:color w:val="000000" w:themeColor="text1"/>
        </w:rPr>
      </w:pPr>
    </w:p>
    <w:p w14:paraId="0BA9A001" w14:textId="77777777" w:rsidR="00C46587" w:rsidRPr="0058432E" w:rsidRDefault="00C46587" w:rsidP="00982118">
      <w:pPr>
        <w:rPr>
          <w:color w:val="000000" w:themeColor="text1"/>
        </w:rPr>
      </w:pPr>
      <w:r w:rsidRPr="0058432E">
        <w:rPr>
          <w:color w:val="000000" w:themeColor="text1"/>
        </w:rPr>
        <w:t xml:space="preserve">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 </w:t>
      </w:r>
    </w:p>
    <w:p w14:paraId="056BFE44" w14:textId="77777777" w:rsidR="00C46587" w:rsidRPr="0058432E" w:rsidRDefault="00C46587" w:rsidP="00982118">
      <w:pPr>
        <w:rPr>
          <w:color w:val="000000" w:themeColor="text1"/>
        </w:rPr>
      </w:pPr>
    </w:p>
    <w:p w14:paraId="1B061726" w14:textId="77777777" w:rsidR="00C46587" w:rsidRPr="0058432E" w:rsidRDefault="00C46587" w:rsidP="00982118">
      <w:pPr>
        <w:rPr>
          <w:color w:val="000000" w:themeColor="text1"/>
        </w:rPr>
      </w:pPr>
      <w:r w:rsidRPr="0058432E">
        <w:rPr>
          <w:color w:val="000000" w:themeColor="text1"/>
        </w:rPr>
        <w:t xml:space="preserve">De plus, un PGR actualisé doit être soumis : </w:t>
      </w:r>
    </w:p>
    <w:p w14:paraId="53B2D93B" w14:textId="77777777" w:rsidR="00C46587" w:rsidRPr="0058432E" w:rsidRDefault="00C46587" w:rsidP="007C4B2C">
      <w:pPr>
        <w:numPr>
          <w:ilvl w:val="0"/>
          <w:numId w:val="2"/>
        </w:numPr>
        <w:ind w:hanging="436"/>
        <w:rPr>
          <w:color w:val="000000" w:themeColor="text1"/>
        </w:rPr>
      </w:pPr>
      <w:proofErr w:type="gramStart"/>
      <w:r w:rsidRPr="0058432E">
        <w:rPr>
          <w:color w:val="000000" w:themeColor="text1"/>
        </w:rPr>
        <w:t>à</w:t>
      </w:r>
      <w:proofErr w:type="gramEnd"/>
      <w:r w:rsidRPr="0058432E">
        <w:rPr>
          <w:color w:val="000000" w:themeColor="text1"/>
        </w:rPr>
        <w:t xml:space="preserve"> la demande de l’Agence européenne des médicaments ; </w:t>
      </w:r>
    </w:p>
    <w:p w14:paraId="0F4490C4" w14:textId="77777777" w:rsidR="00C46587" w:rsidRPr="0058432E" w:rsidRDefault="00C46587" w:rsidP="00B51A46">
      <w:pPr>
        <w:numPr>
          <w:ilvl w:val="0"/>
          <w:numId w:val="2"/>
        </w:numPr>
        <w:ind w:hanging="436"/>
        <w:rPr>
          <w:color w:val="000000" w:themeColor="text1"/>
        </w:rPr>
      </w:pPr>
      <w:proofErr w:type="gramStart"/>
      <w:r w:rsidRPr="0058432E">
        <w:rPr>
          <w:color w:val="000000" w:themeColor="text1"/>
        </w:rPr>
        <w:t>dès</w:t>
      </w:r>
      <w:proofErr w:type="gramEnd"/>
      <w:r w:rsidRPr="0058432E">
        <w:rPr>
          <w:color w:val="000000" w:themeColor="text1"/>
        </w:rPr>
        <w:t xml:space="preserve"> lors que le système de gestion des risques est modifié, notamment en cas de réception de nouvelles informations pouvant entraîner un changement significatif du profil bénéfice/risque, ou lorsqu’une étape importante (pharmacovigilance ou réduction du risque) est franchie. </w:t>
      </w:r>
    </w:p>
    <w:p w14:paraId="54726AFF" w14:textId="77777777" w:rsidR="00C46587" w:rsidRPr="0058432E" w:rsidRDefault="00C46587" w:rsidP="00982118">
      <w:pPr>
        <w:rPr>
          <w:color w:val="000000" w:themeColor="text1"/>
        </w:rPr>
      </w:pPr>
    </w:p>
    <w:p w14:paraId="447F9087" w14:textId="77777777" w:rsidR="00C46587" w:rsidRPr="0058432E" w:rsidRDefault="00C46587" w:rsidP="006D1A33">
      <w:pPr>
        <w:keepNext/>
        <w:keepLines/>
        <w:numPr>
          <w:ilvl w:val="0"/>
          <w:numId w:val="2"/>
        </w:numPr>
        <w:tabs>
          <w:tab w:val="left" w:pos="562"/>
        </w:tabs>
        <w:ind w:left="562" w:hanging="562"/>
        <w:rPr>
          <w:b/>
          <w:color w:val="000000" w:themeColor="text1"/>
        </w:rPr>
      </w:pPr>
      <w:r w:rsidRPr="0058432E">
        <w:rPr>
          <w:b/>
          <w:color w:val="000000" w:themeColor="text1"/>
        </w:rPr>
        <w:lastRenderedPageBreak/>
        <w:t xml:space="preserve">Mesures additionnelles de réduction du risque </w:t>
      </w:r>
    </w:p>
    <w:p w14:paraId="6CD8675A" w14:textId="77777777" w:rsidR="00A134D1" w:rsidRPr="0058432E" w:rsidRDefault="00A134D1" w:rsidP="006D1A33">
      <w:pPr>
        <w:keepNext/>
        <w:keepLines/>
        <w:tabs>
          <w:tab w:val="left" w:pos="562"/>
        </w:tabs>
        <w:ind w:left="562"/>
        <w:rPr>
          <w:color w:val="000000" w:themeColor="text1"/>
        </w:rPr>
      </w:pPr>
    </w:p>
    <w:p w14:paraId="4501DF81" w14:textId="77777777" w:rsidR="00A134D1" w:rsidRPr="0058432E" w:rsidRDefault="00A134D1" w:rsidP="006D1A33">
      <w:pPr>
        <w:keepNext/>
        <w:keepLines/>
        <w:tabs>
          <w:tab w:val="left" w:pos="562"/>
        </w:tabs>
        <w:rPr>
          <w:color w:val="000000" w:themeColor="text1"/>
        </w:rPr>
      </w:pPr>
      <w:r w:rsidRPr="0058432E">
        <w:rPr>
          <w:color w:val="000000" w:themeColor="text1"/>
        </w:rPr>
        <w:t xml:space="preserve">La carte de </w:t>
      </w:r>
      <w:r w:rsidR="005C2359" w:rsidRPr="0058432E">
        <w:rPr>
          <w:color w:val="000000" w:themeColor="text1"/>
        </w:rPr>
        <w:t>rappel</w:t>
      </w:r>
      <w:r w:rsidRPr="0058432E">
        <w:rPr>
          <w:color w:val="000000" w:themeColor="text1"/>
        </w:rPr>
        <w:t xml:space="preserve"> patient (adulte et enfant) contient les éléments clés suivants :</w:t>
      </w:r>
    </w:p>
    <w:p w14:paraId="73E842C8" w14:textId="77777777" w:rsidR="00A134D1" w:rsidRPr="0058432E" w:rsidRDefault="00A134D1" w:rsidP="006D1A33">
      <w:pPr>
        <w:keepNext/>
        <w:keepLines/>
        <w:tabs>
          <w:tab w:val="left" w:pos="562"/>
        </w:tabs>
        <w:rPr>
          <w:color w:val="000000" w:themeColor="text1"/>
        </w:rPr>
      </w:pPr>
    </w:p>
    <w:p w14:paraId="3056FA94" w14:textId="77777777" w:rsidR="00A134D1" w:rsidRPr="0058432E" w:rsidRDefault="00A134D1" w:rsidP="006D1A33">
      <w:pPr>
        <w:keepNext/>
        <w:keepLines/>
        <w:tabs>
          <w:tab w:val="left" w:pos="562"/>
        </w:tabs>
        <w:rPr>
          <w:color w:val="000000" w:themeColor="text1"/>
        </w:rPr>
      </w:pPr>
      <w:r w:rsidRPr="0058432E">
        <w:rPr>
          <w:color w:val="000000" w:themeColor="text1"/>
        </w:rPr>
        <w:t xml:space="preserve">- </w:t>
      </w:r>
      <w:r w:rsidRPr="0058432E">
        <w:rPr>
          <w:color w:val="000000" w:themeColor="text1"/>
        </w:rPr>
        <w:tab/>
        <w:t>Les infections, y compris la tuberculose</w:t>
      </w:r>
    </w:p>
    <w:p w14:paraId="13D7C66D" w14:textId="77777777" w:rsidR="00A134D1" w:rsidRPr="0058432E" w:rsidRDefault="00A134D1" w:rsidP="006D1A33">
      <w:pPr>
        <w:keepNext/>
        <w:keepLines/>
        <w:tabs>
          <w:tab w:val="left" w:pos="562"/>
        </w:tabs>
        <w:rPr>
          <w:color w:val="000000" w:themeColor="text1"/>
        </w:rPr>
      </w:pPr>
      <w:r w:rsidRPr="0058432E">
        <w:rPr>
          <w:color w:val="000000" w:themeColor="text1"/>
        </w:rPr>
        <w:t xml:space="preserve">- </w:t>
      </w:r>
      <w:r w:rsidRPr="0058432E">
        <w:rPr>
          <w:color w:val="000000" w:themeColor="text1"/>
        </w:rPr>
        <w:tab/>
        <w:t>Les cancers</w:t>
      </w:r>
    </w:p>
    <w:p w14:paraId="57E40216" w14:textId="77777777" w:rsidR="00A134D1" w:rsidRPr="0058432E" w:rsidRDefault="00A134D1" w:rsidP="006D1A33">
      <w:pPr>
        <w:keepNext/>
        <w:keepLines/>
        <w:tabs>
          <w:tab w:val="left" w:pos="562"/>
        </w:tabs>
        <w:rPr>
          <w:color w:val="000000" w:themeColor="text1"/>
        </w:rPr>
      </w:pPr>
      <w:r w:rsidRPr="0058432E">
        <w:rPr>
          <w:color w:val="000000" w:themeColor="text1"/>
        </w:rPr>
        <w:t xml:space="preserve">- </w:t>
      </w:r>
      <w:r w:rsidRPr="0058432E">
        <w:rPr>
          <w:color w:val="000000" w:themeColor="text1"/>
        </w:rPr>
        <w:tab/>
        <w:t>Les affections du système nerveux</w:t>
      </w:r>
    </w:p>
    <w:p w14:paraId="6130F290" w14:textId="77777777" w:rsidR="00A134D1" w:rsidRPr="0058432E" w:rsidRDefault="00A134D1" w:rsidP="00A134D1">
      <w:pPr>
        <w:tabs>
          <w:tab w:val="left" w:pos="562"/>
        </w:tabs>
        <w:rPr>
          <w:color w:val="000000" w:themeColor="text1"/>
        </w:rPr>
      </w:pPr>
      <w:r w:rsidRPr="0058432E">
        <w:rPr>
          <w:color w:val="000000" w:themeColor="text1"/>
        </w:rPr>
        <w:t xml:space="preserve">- </w:t>
      </w:r>
      <w:r w:rsidRPr="0058432E">
        <w:rPr>
          <w:color w:val="000000" w:themeColor="text1"/>
        </w:rPr>
        <w:tab/>
        <w:t>Les vaccinations</w:t>
      </w:r>
    </w:p>
    <w:p w14:paraId="2DD65FB9" w14:textId="77777777" w:rsidR="00C46587" w:rsidRPr="0058432E" w:rsidRDefault="00C46587" w:rsidP="00A134D1">
      <w:pPr>
        <w:tabs>
          <w:tab w:val="left" w:pos="562"/>
        </w:tabs>
        <w:rPr>
          <w:color w:val="000000" w:themeColor="text1"/>
        </w:rPr>
      </w:pPr>
      <w:r w:rsidRPr="0058432E">
        <w:rPr>
          <w:color w:val="000000" w:themeColor="text1"/>
        </w:rPr>
        <w:br w:type="page"/>
      </w:r>
    </w:p>
    <w:p w14:paraId="1422F4C8" w14:textId="77777777" w:rsidR="00C46587" w:rsidRPr="0058432E" w:rsidRDefault="00C46587" w:rsidP="00982118">
      <w:pPr>
        <w:rPr>
          <w:color w:val="000000" w:themeColor="text1"/>
        </w:rPr>
      </w:pPr>
    </w:p>
    <w:p w14:paraId="1C155574" w14:textId="77777777" w:rsidR="00C46587" w:rsidRPr="0058432E" w:rsidRDefault="00C46587" w:rsidP="00982118">
      <w:pPr>
        <w:rPr>
          <w:color w:val="000000" w:themeColor="text1"/>
        </w:rPr>
      </w:pPr>
    </w:p>
    <w:p w14:paraId="797C10D7" w14:textId="77777777" w:rsidR="00C46587" w:rsidRPr="0058432E" w:rsidRDefault="00C46587" w:rsidP="00982118">
      <w:pPr>
        <w:rPr>
          <w:color w:val="000000" w:themeColor="text1"/>
        </w:rPr>
      </w:pPr>
    </w:p>
    <w:p w14:paraId="279EEFCF" w14:textId="77777777" w:rsidR="00C46587" w:rsidRPr="0058432E" w:rsidRDefault="00C46587" w:rsidP="00982118">
      <w:pPr>
        <w:rPr>
          <w:color w:val="000000" w:themeColor="text1"/>
        </w:rPr>
      </w:pPr>
    </w:p>
    <w:p w14:paraId="17629AAA" w14:textId="77777777" w:rsidR="00C46587" w:rsidRPr="0058432E" w:rsidRDefault="00C46587" w:rsidP="00982118">
      <w:pPr>
        <w:rPr>
          <w:color w:val="000000" w:themeColor="text1"/>
        </w:rPr>
      </w:pPr>
    </w:p>
    <w:p w14:paraId="3CD423A8" w14:textId="77777777" w:rsidR="00C46587" w:rsidRPr="0058432E" w:rsidRDefault="00C46587" w:rsidP="00982118">
      <w:pPr>
        <w:rPr>
          <w:color w:val="000000" w:themeColor="text1"/>
        </w:rPr>
      </w:pPr>
    </w:p>
    <w:p w14:paraId="3168AAD7" w14:textId="77777777" w:rsidR="00C46587" w:rsidRPr="0058432E" w:rsidRDefault="00C46587" w:rsidP="00982118">
      <w:pPr>
        <w:rPr>
          <w:color w:val="000000" w:themeColor="text1"/>
        </w:rPr>
      </w:pPr>
    </w:p>
    <w:p w14:paraId="176EC689" w14:textId="77777777" w:rsidR="00C46587" w:rsidRPr="0058432E" w:rsidRDefault="00C46587" w:rsidP="00982118">
      <w:pPr>
        <w:rPr>
          <w:color w:val="000000" w:themeColor="text1"/>
        </w:rPr>
      </w:pPr>
    </w:p>
    <w:p w14:paraId="0FC333BD" w14:textId="77777777" w:rsidR="00C46587" w:rsidRPr="0058432E" w:rsidRDefault="00C46587" w:rsidP="00982118">
      <w:pPr>
        <w:rPr>
          <w:color w:val="000000" w:themeColor="text1"/>
        </w:rPr>
      </w:pPr>
    </w:p>
    <w:p w14:paraId="4EA49574" w14:textId="77777777" w:rsidR="00C46587" w:rsidRPr="0058432E" w:rsidRDefault="00C46587" w:rsidP="00982118">
      <w:pPr>
        <w:rPr>
          <w:color w:val="000000" w:themeColor="text1"/>
        </w:rPr>
      </w:pPr>
    </w:p>
    <w:p w14:paraId="1B065B09" w14:textId="77777777" w:rsidR="00C46587" w:rsidRPr="0058432E" w:rsidRDefault="00C46587" w:rsidP="00982118">
      <w:pPr>
        <w:rPr>
          <w:color w:val="000000" w:themeColor="text1"/>
        </w:rPr>
      </w:pPr>
    </w:p>
    <w:p w14:paraId="5DDF1E37" w14:textId="77777777" w:rsidR="00C46587" w:rsidRPr="0058432E" w:rsidRDefault="00C46587" w:rsidP="00982118">
      <w:pPr>
        <w:rPr>
          <w:color w:val="000000" w:themeColor="text1"/>
        </w:rPr>
      </w:pPr>
    </w:p>
    <w:p w14:paraId="53971BCA" w14:textId="77777777" w:rsidR="00C46587" w:rsidRPr="0058432E" w:rsidRDefault="00C46587" w:rsidP="00982118">
      <w:pPr>
        <w:rPr>
          <w:color w:val="000000" w:themeColor="text1"/>
        </w:rPr>
      </w:pPr>
    </w:p>
    <w:p w14:paraId="6711FF3A" w14:textId="77777777" w:rsidR="00C46587" w:rsidRPr="0058432E" w:rsidRDefault="00C46587" w:rsidP="00982118">
      <w:pPr>
        <w:rPr>
          <w:color w:val="000000" w:themeColor="text1"/>
        </w:rPr>
      </w:pPr>
    </w:p>
    <w:p w14:paraId="38795506" w14:textId="77777777" w:rsidR="00C46587" w:rsidRPr="0058432E" w:rsidRDefault="00C46587" w:rsidP="00982118">
      <w:pPr>
        <w:rPr>
          <w:color w:val="000000" w:themeColor="text1"/>
        </w:rPr>
      </w:pPr>
    </w:p>
    <w:p w14:paraId="21BF91CF" w14:textId="77777777" w:rsidR="00C46587" w:rsidRPr="0058432E" w:rsidRDefault="00C46587" w:rsidP="00982118">
      <w:pPr>
        <w:rPr>
          <w:color w:val="000000" w:themeColor="text1"/>
        </w:rPr>
      </w:pPr>
    </w:p>
    <w:p w14:paraId="4D4988BE" w14:textId="77777777" w:rsidR="00C46587" w:rsidRPr="0058432E" w:rsidRDefault="00C46587" w:rsidP="00982118">
      <w:pPr>
        <w:rPr>
          <w:color w:val="000000" w:themeColor="text1"/>
        </w:rPr>
      </w:pPr>
    </w:p>
    <w:p w14:paraId="190FB2FF" w14:textId="77777777" w:rsidR="00C46587" w:rsidRPr="0058432E" w:rsidRDefault="00C46587" w:rsidP="00982118">
      <w:pPr>
        <w:rPr>
          <w:color w:val="000000" w:themeColor="text1"/>
        </w:rPr>
      </w:pPr>
    </w:p>
    <w:p w14:paraId="59E65FA9" w14:textId="77777777" w:rsidR="00B55D3E" w:rsidRPr="0058432E" w:rsidRDefault="00B55D3E" w:rsidP="00982118">
      <w:pPr>
        <w:rPr>
          <w:color w:val="000000" w:themeColor="text1"/>
        </w:rPr>
      </w:pPr>
    </w:p>
    <w:p w14:paraId="0A52AF8A" w14:textId="77777777" w:rsidR="00C46587" w:rsidRPr="0058432E" w:rsidRDefault="00C46587" w:rsidP="00982118">
      <w:pPr>
        <w:rPr>
          <w:color w:val="000000" w:themeColor="text1"/>
        </w:rPr>
      </w:pPr>
    </w:p>
    <w:p w14:paraId="2124FEE0" w14:textId="77777777" w:rsidR="00C46587" w:rsidRPr="0058432E" w:rsidRDefault="00C46587" w:rsidP="00982118">
      <w:pPr>
        <w:rPr>
          <w:color w:val="000000" w:themeColor="text1"/>
        </w:rPr>
      </w:pPr>
    </w:p>
    <w:p w14:paraId="2352A4A1" w14:textId="77777777" w:rsidR="00C46587" w:rsidRPr="0058432E" w:rsidRDefault="00C46587" w:rsidP="00982118">
      <w:pPr>
        <w:rPr>
          <w:color w:val="000000" w:themeColor="text1"/>
        </w:rPr>
      </w:pPr>
    </w:p>
    <w:p w14:paraId="34827261" w14:textId="77777777" w:rsidR="00C46587" w:rsidRPr="0058432E" w:rsidRDefault="00C46587" w:rsidP="00982118">
      <w:pPr>
        <w:rPr>
          <w:color w:val="000000" w:themeColor="text1"/>
        </w:rPr>
      </w:pPr>
    </w:p>
    <w:p w14:paraId="0B6ACE6E" w14:textId="77777777" w:rsidR="00C46587" w:rsidRPr="0058432E" w:rsidRDefault="00C46587" w:rsidP="00982118">
      <w:pPr>
        <w:jc w:val="center"/>
        <w:rPr>
          <w:b/>
          <w:color w:val="000000" w:themeColor="text1"/>
        </w:rPr>
      </w:pPr>
      <w:r w:rsidRPr="0058432E">
        <w:rPr>
          <w:b/>
          <w:color w:val="000000" w:themeColor="text1"/>
        </w:rPr>
        <w:t>ANNEXE III</w:t>
      </w:r>
    </w:p>
    <w:p w14:paraId="1B7E079D" w14:textId="77777777" w:rsidR="00C46587" w:rsidRPr="0058432E" w:rsidRDefault="00C46587" w:rsidP="00982118">
      <w:pPr>
        <w:jc w:val="center"/>
        <w:rPr>
          <w:b/>
          <w:color w:val="000000" w:themeColor="text1"/>
        </w:rPr>
      </w:pPr>
    </w:p>
    <w:p w14:paraId="4CF6C79C" w14:textId="77777777" w:rsidR="00C46587" w:rsidRPr="0058432E" w:rsidRDefault="00C46587" w:rsidP="00982118">
      <w:pPr>
        <w:jc w:val="center"/>
        <w:rPr>
          <w:b/>
          <w:color w:val="000000" w:themeColor="text1"/>
        </w:rPr>
      </w:pPr>
      <w:r w:rsidRPr="0058432E">
        <w:rPr>
          <w:b/>
          <w:color w:val="000000" w:themeColor="text1"/>
        </w:rPr>
        <w:t>ÉTIQUETAGE ET NOTICE</w:t>
      </w:r>
    </w:p>
    <w:p w14:paraId="325480A4" w14:textId="77777777" w:rsidR="00C46587" w:rsidRPr="0058432E" w:rsidRDefault="00C46587" w:rsidP="00982118">
      <w:pPr>
        <w:rPr>
          <w:color w:val="000000" w:themeColor="text1"/>
        </w:rPr>
      </w:pPr>
      <w:r w:rsidRPr="0058432E">
        <w:rPr>
          <w:color w:val="000000" w:themeColor="text1"/>
        </w:rPr>
        <w:br w:type="page"/>
      </w:r>
    </w:p>
    <w:p w14:paraId="6ED7ECAA" w14:textId="77777777" w:rsidR="00C46587" w:rsidRPr="0058432E" w:rsidRDefault="00C46587" w:rsidP="00982118">
      <w:pPr>
        <w:rPr>
          <w:color w:val="000000" w:themeColor="text1"/>
        </w:rPr>
      </w:pPr>
    </w:p>
    <w:p w14:paraId="6C9F34D5" w14:textId="77777777" w:rsidR="00C46587" w:rsidRPr="0058432E" w:rsidRDefault="00C46587" w:rsidP="00982118">
      <w:pPr>
        <w:rPr>
          <w:color w:val="000000" w:themeColor="text1"/>
        </w:rPr>
      </w:pPr>
    </w:p>
    <w:p w14:paraId="32BAD1FB" w14:textId="77777777" w:rsidR="00C46587" w:rsidRPr="0058432E" w:rsidRDefault="00C46587" w:rsidP="00982118">
      <w:pPr>
        <w:rPr>
          <w:color w:val="000000" w:themeColor="text1"/>
        </w:rPr>
      </w:pPr>
    </w:p>
    <w:p w14:paraId="441654BD" w14:textId="77777777" w:rsidR="00C46587" w:rsidRPr="0058432E" w:rsidRDefault="00C46587" w:rsidP="00982118">
      <w:pPr>
        <w:rPr>
          <w:color w:val="000000" w:themeColor="text1"/>
        </w:rPr>
      </w:pPr>
    </w:p>
    <w:p w14:paraId="27BDA63C" w14:textId="77777777" w:rsidR="00C46587" w:rsidRPr="0058432E" w:rsidRDefault="00C46587" w:rsidP="00982118">
      <w:pPr>
        <w:rPr>
          <w:color w:val="000000" w:themeColor="text1"/>
        </w:rPr>
      </w:pPr>
    </w:p>
    <w:p w14:paraId="319F21E4" w14:textId="77777777" w:rsidR="00C46587" w:rsidRPr="0058432E" w:rsidRDefault="00C46587" w:rsidP="00982118">
      <w:pPr>
        <w:rPr>
          <w:color w:val="000000" w:themeColor="text1"/>
        </w:rPr>
      </w:pPr>
    </w:p>
    <w:p w14:paraId="40E3F65A" w14:textId="77777777" w:rsidR="00C46587" w:rsidRPr="0058432E" w:rsidRDefault="00C46587" w:rsidP="00982118">
      <w:pPr>
        <w:rPr>
          <w:color w:val="000000" w:themeColor="text1"/>
        </w:rPr>
      </w:pPr>
    </w:p>
    <w:p w14:paraId="046EC253" w14:textId="77777777" w:rsidR="00C46587" w:rsidRPr="0058432E" w:rsidRDefault="00C46587" w:rsidP="00982118">
      <w:pPr>
        <w:rPr>
          <w:color w:val="000000" w:themeColor="text1"/>
        </w:rPr>
      </w:pPr>
    </w:p>
    <w:p w14:paraId="2821A5A6" w14:textId="77777777" w:rsidR="00C46587" w:rsidRPr="0058432E" w:rsidRDefault="00C46587" w:rsidP="00982118">
      <w:pPr>
        <w:rPr>
          <w:color w:val="000000" w:themeColor="text1"/>
        </w:rPr>
      </w:pPr>
    </w:p>
    <w:p w14:paraId="2DDC8D53" w14:textId="77777777" w:rsidR="00C46587" w:rsidRPr="0058432E" w:rsidRDefault="00C46587" w:rsidP="00982118">
      <w:pPr>
        <w:rPr>
          <w:color w:val="000000" w:themeColor="text1"/>
        </w:rPr>
      </w:pPr>
    </w:p>
    <w:p w14:paraId="01266F97" w14:textId="77777777" w:rsidR="00C46587" w:rsidRPr="0058432E" w:rsidRDefault="00C46587" w:rsidP="00982118">
      <w:pPr>
        <w:rPr>
          <w:color w:val="000000" w:themeColor="text1"/>
        </w:rPr>
      </w:pPr>
    </w:p>
    <w:p w14:paraId="3A939D71" w14:textId="77777777" w:rsidR="00C46587" w:rsidRPr="0058432E" w:rsidRDefault="00C46587" w:rsidP="00982118">
      <w:pPr>
        <w:rPr>
          <w:color w:val="000000" w:themeColor="text1"/>
        </w:rPr>
      </w:pPr>
    </w:p>
    <w:p w14:paraId="4C0BCA9F" w14:textId="77777777" w:rsidR="00C46587" w:rsidRPr="0058432E" w:rsidRDefault="00C46587" w:rsidP="00982118">
      <w:pPr>
        <w:rPr>
          <w:color w:val="000000" w:themeColor="text1"/>
        </w:rPr>
      </w:pPr>
    </w:p>
    <w:p w14:paraId="7B692181" w14:textId="77777777" w:rsidR="00C46587" w:rsidRPr="0058432E" w:rsidRDefault="00C46587" w:rsidP="00982118">
      <w:pPr>
        <w:rPr>
          <w:color w:val="000000" w:themeColor="text1"/>
        </w:rPr>
      </w:pPr>
    </w:p>
    <w:p w14:paraId="0B3759B6" w14:textId="77777777" w:rsidR="00C46587" w:rsidRPr="0058432E" w:rsidRDefault="00C46587" w:rsidP="00982118">
      <w:pPr>
        <w:rPr>
          <w:color w:val="000000" w:themeColor="text1"/>
        </w:rPr>
      </w:pPr>
    </w:p>
    <w:p w14:paraId="65795ABB" w14:textId="77777777" w:rsidR="00C46587" w:rsidRPr="0058432E" w:rsidRDefault="00C46587" w:rsidP="00982118">
      <w:pPr>
        <w:rPr>
          <w:color w:val="000000" w:themeColor="text1"/>
        </w:rPr>
      </w:pPr>
    </w:p>
    <w:p w14:paraId="263064D1" w14:textId="77777777" w:rsidR="00B55D3E" w:rsidRPr="0058432E" w:rsidRDefault="00B55D3E" w:rsidP="00982118">
      <w:pPr>
        <w:rPr>
          <w:color w:val="000000" w:themeColor="text1"/>
        </w:rPr>
      </w:pPr>
    </w:p>
    <w:p w14:paraId="7B9A99F0" w14:textId="77777777" w:rsidR="00C46587" w:rsidRPr="0058432E" w:rsidRDefault="00C46587" w:rsidP="00982118">
      <w:pPr>
        <w:rPr>
          <w:color w:val="000000" w:themeColor="text1"/>
        </w:rPr>
      </w:pPr>
    </w:p>
    <w:p w14:paraId="75107C81" w14:textId="77777777" w:rsidR="00C46587" w:rsidRPr="0058432E" w:rsidRDefault="00C46587" w:rsidP="00982118">
      <w:pPr>
        <w:rPr>
          <w:color w:val="000000" w:themeColor="text1"/>
        </w:rPr>
      </w:pPr>
    </w:p>
    <w:p w14:paraId="1485457F" w14:textId="77777777" w:rsidR="00C46587" w:rsidRPr="0058432E" w:rsidRDefault="00C46587" w:rsidP="00982118">
      <w:pPr>
        <w:rPr>
          <w:color w:val="000000" w:themeColor="text1"/>
        </w:rPr>
      </w:pPr>
    </w:p>
    <w:p w14:paraId="57C7CA83" w14:textId="77777777" w:rsidR="00C46587" w:rsidRPr="0058432E" w:rsidRDefault="00C46587" w:rsidP="00982118">
      <w:pPr>
        <w:rPr>
          <w:color w:val="000000" w:themeColor="text1"/>
        </w:rPr>
      </w:pPr>
    </w:p>
    <w:p w14:paraId="26B0F854" w14:textId="77777777" w:rsidR="00C46587" w:rsidRPr="0058432E" w:rsidRDefault="00C46587" w:rsidP="00982118">
      <w:pPr>
        <w:rPr>
          <w:color w:val="000000" w:themeColor="text1"/>
        </w:rPr>
      </w:pPr>
    </w:p>
    <w:p w14:paraId="6E338834" w14:textId="77777777" w:rsidR="00C46587" w:rsidRPr="0058432E" w:rsidRDefault="00C46587" w:rsidP="00982118">
      <w:pPr>
        <w:rPr>
          <w:color w:val="000000" w:themeColor="text1"/>
        </w:rPr>
      </w:pPr>
    </w:p>
    <w:p w14:paraId="49FD1CFD" w14:textId="77777777" w:rsidR="00C46587" w:rsidRPr="0058432E" w:rsidRDefault="00C46587" w:rsidP="00C831C4">
      <w:pPr>
        <w:pStyle w:val="Heading1"/>
        <w:jc w:val="center"/>
        <w:rPr>
          <w:color w:val="000000" w:themeColor="text1"/>
        </w:rPr>
      </w:pPr>
      <w:r w:rsidRPr="0058432E">
        <w:rPr>
          <w:color w:val="000000" w:themeColor="text1"/>
        </w:rPr>
        <w:t>A. ÉTIQUETAGE</w:t>
      </w:r>
    </w:p>
    <w:p w14:paraId="0E4DF78C" w14:textId="77777777" w:rsidR="00C46587" w:rsidRPr="0058432E" w:rsidRDefault="00C46587" w:rsidP="00A924EE">
      <w:pPr>
        <w:rPr>
          <w:color w:val="000000" w:themeColor="text1"/>
        </w:rPr>
      </w:pPr>
      <w:r w:rsidRPr="0058432E">
        <w:rPr>
          <w:color w:val="000000" w:themeColor="text1"/>
        </w:rPr>
        <w:br w:type="page"/>
      </w:r>
      <w:bookmarkStart w:id="12" w:name="_Hlk22721066"/>
    </w:p>
    <w:p w14:paraId="601E5CF8" w14:textId="77777777" w:rsidR="0049343D" w:rsidRPr="0058432E" w:rsidRDefault="0049343D" w:rsidP="00A924EE">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DEVANT FIGURER SUR L’EMBALLAGE EXTÉRIEUR </w:t>
      </w:r>
    </w:p>
    <w:p w14:paraId="07E18F42" w14:textId="77777777" w:rsidR="0049343D" w:rsidRPr="0058432E" w:rsidRDefault="0049343D" w:rsidP="00A924EE">
      <w:pPr>
        <w:pBdr>
          <w:top w:val="single" w:sz="4" w:space="1" w:color="auto"/>
          <w:left w:val="single" w:sz="4" w:space="4" w:color="auto"/>
          <w:bottom w:val="single" w:sz="4" w:space="1" w:color="auto"/>
          <w:right w:val="single" w:sz="4" w:space="4" w:color="auto"/>
        </w:pBdr>
        <w:rPr>
          <w:b/>
          <w:color w:val="000000" w:themeColor="text1"/>
        </w:rPr>
      </w:pPr>
    </w:p>
    <w:p w14:paraId="73417F6F" w14:textId="77777777" w:rsidR="0049343D" w:rsidRPr="0058432E" w:rsidRDefault="0049343D" w:rsidP="00A924EE">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EMBALLAGE EXTÉRIEUR </w:t>
      </w:r>
    </w:p>
    <w:p w14:paraId="32C2C8D3" w14:textId="77777777" w:rsidR="0049343D" w:rsidRPr="0058432E" w:rsidRDefault="0049343D" w:rsidP="00A924EE">
      <w:pPr>
        <w:rPr>
          <w:color w:val="000000" w:themeColor="text1"/>
        </w:rPr>
      </w:pPr>
    </w:p>
    <w:p w14:paraId="759F1819" w14:textId="77777777" w:rsidR="0049343D" w:rsidRPr="0058432E" w:rsidRDefault="0049343D" w:rsidP="00A924EE">
      <w:pPr>
        <w:rPr>
          <w:color w:val="000000" w:themeColor="text1"/>
        </w:rPr>
      </w:pPr>
    </w:p>
    <w:p w14:paraId="736C61ED" w14:textId="77777777" w:rsidR="0049343D" w:rsidRPr="0058432E"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1FF5C234" w14:textId="77777777" w:rsidR="0049343D" w:rsidRPr="0058432E" w:rsidRDefault="0049343D" w:rsidP="00A924EE">
      <w:pPr>
        <w:pStyle w:val="BodyText"/>
        <w:widowControl/>
        <w:kinsoku w:val="0"/>
        <w:overflowPunct w:val="0"/>
        <w:ind w:left="0"/>
        <w:rPr>
          <w:color w:val="000000" w:themeColor="text1"/>
        </w:rPr>
      </w:pPr>
    </w:p>
    <w:p w14:paraId="3227F72B" w14:textId="77777777" w:rsidR="00A924EE" w:rsidRPr="0058432E" w:rsidRDefault="006A1144" w:rsidP="00A924EE">
      <w:pPr>
        <w:pStyle w:val="BodyText"/>
        <w:widowControl/>
        <w:tabs>
          <w:tab w:val="left" w:pos="8640"/>
        </w:tabs>
        <w:kinsoku w:val="0"/>
        <w:overflowPunct w:val="0"/>
        <w:ind w:left="0"/>
        <w:rPr>
          <w:color w:val="000000" w:themeColor="text1"/>
        </w:rPr>
      </w:pPr>
      <w:r w:rsidRPr="0058432E">
        <w:rPr>
          <w:color w:val="000000" w:themeColor="text1"/>
        </w:rPr>
        <w:t xml:space="preserve">Amsparity 20 mg, solution injectable en seringue préremplie </w:t>
      </w:r>
    </w:p>
    <w:p w14:paraId="424201E4" w14:textId="77777777" w:rsidR="0049343D" w:rsidRPr="0058432E" w:rsidRDefault="0049343D" w:rsidP="00A924EE">
      <w:pPr>
        <w:pStyle w:val="BodyText"/>
        <w:widowControl/>
        <w:tabs>
          <w:tab w:val="left" w:pos="8640"/>
        </w:tabs>
        <w:kinsoku w:val="0"/>
        <w:overflowPunct w:val="0"/>
        <w:ind w:left="0"/>
        <w:rPr>
          <w:color w:val="000000" w:themeColor="text1"/>
        </w:rPr>
      </w:pPr>
      <w:proofErr w:type="gramStart"/>
      <w:r w:rsidRPr="0058432E">
        <w:rPr>
          <w:color w:val="000000" w:themeColor="text1"/>
        </w:rPr>
        <w:t>adalimumab</w:t>
      </w:r>
      <w:proofErr w:type="gramEnd"/>
    </w:p>
    <w:p w14:paraId="794F566D" w14:textId="77777777" w:rsidR="0049343D" w:rsidRPr="0058432E" w:rsidRDefault="0049343D" w:rsidP="00A924EE">
      <w:pPr>
        <w:rPr>
          <w:color w:val="000000" w:themeColor="text1"/>
        </w:rPr>
      </w:pPr>
    </w:p>
    <w:p w14:paraId="73B38230" w14:textId="77777777" w:rsidR="0049343D" w:rsidRPr="0058432E" w:rsidRDefault="0049343D" w:rsidP="00A924EE">
      <w:pPr>
        <w:rPr>
          <w:color w:val="000000" w:themeColor="text1"/>
        </w:rPr>
      </w:pPr>
    </w:p>
    <w:p w14:paraId="48966F89" w14:textId="77777777" w:rsidR="0049343D" w:rsidRPr="0058432E"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COMPOSITION EN SUBSTANCE ACTIVE </w:t>
      </w:r>
    </w:p>
    <w:p w14:paraId="4E41BD99" w14:textId="77777777" w:rsidR="0049343D" w:rsidRPr="0058432E" w:rsidRDefault="0049343D" w:rsidP="00A924EE">
      <w:pPr>
        <w:rPr>
          <w:color w:val="000000" w:themeColor="text1"/>
        </w:rPr>
      </w:pPr>
    </w:p>
    <w:p w14:paraId="4B1386D3" w14:textId="77777777" w:rsidR="0049343D" w:rsidRPr="0058432E" w:rsidRDefault="0049343D" w:rsidP="00A924EE">
      <w:pPr>
        <w:pStyle w:val="BodyText"/>
        <w:widowControl/>
        <w:kinsoku w:val="0"/>
        <w:overflowPunct w:val="0"/>
        <w:ind w:left="0"/>
        <w:rPr>
          <w:color w:val="000000" w:themeColor="text1"/>
        </w:rPr>
      </w:pPr>
      <w:r w:rsidRPr="0058432E">
        <w:rPr>
          <w:color w:val="000000" w:themeColor="text1"/>
        </w:rPr>
        <w:t>Une seringue préremplie de 0,4 ml contient 20 mg d’adalimumab.</w:t>
      </w:r>
    </w:p>
    <w:p w14:paraId="47282A3D" w14:textId="77777777" w:rsidR="0049343D" w:rsidRPr="0058432E" w:rsidRDefault="0049343D" w:rsidP="00A924EE">
      <w:pPr>
        <w:pStyle w:val="BodyText"/>
        <w:widowControl/>
        <w:kinsoku w:val="0"/>
        <w:overflowPunct w:val="0"/>
        <w:ind w:left="0"/>
        <w:rPr>
          <w:color w:val="000000" w:themeColor="text1"/>
        </w:rPr>
      </w:pPr>
    </w:p>
    <w:p w14:paraId="6AE93AFA" w14:textId="77777777" w:rsidR="0049343D" w:rsidRPr="0058432E" w:rsidRDefault="0049343D" w:rsidP="00A924EE">
      <w:pPr>
        <w:rPr>
          <w:color w:val="000000" w:themeColor="text1"/>
        </w:rPr>
      </w:pPr>
    </w:p>
    <w:p w14:paraId="10887A57" w14:textId="77777777" w:rsidR="0049343D" w:rsidRPr="0058432E"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LISTE DES EXCIPIENTS </w:t>
      </w:r>
    </w:p>
    <w:p w14:paraId="5ECA1646" w14:textId="77777777" w:rsidR="0049343D" w:rsidRPr="0058432E" w:rsidRDefault="0049343D" w:rsidP="00A924EE">
      <w:pPr>
        <w:rPr>
          <w:color w:val="000000" w:themeColor="text1"/>
        </w:rPr>
      </w:pPr>
    </w:p>
    <w:p w14:paraId="09C55DE4" w14:textId="77777777" w:rsidR="0049343D" w:rsidRPr="0058432E" w:rsidRDefault="0049343D" w:rsidP="00A924EE">
      <w:pPr>
        <w:rPr>
          <w:color w:val="000000" w:themeColor="text1"/>
        </w:rPr>
      </w:pPr>
      <w:r w:rsidRPr="0058432E">
        <w:rPr>
          <w:color w:val="000000" w:themeColor="text1"/>
        </w:rPr>
        <w:t>Excipients : L-histidine, chlorhydrate de L-histidine monohydraté, saccharose, édétate disodique dihydraté, L-méthionine, polysorbate 80 et eau pour préparations injectables.</w:t>
      </w:r>
      <w:r w:rsidR="006A6449" w:rsidRPr="0058432E">
        <w:rPr>
          <w:color w:val="000000" w:themeColor="text1"/>
        </w:rPr>
        <w:t xml:space="preserve"> </w:t>
      </w:r>
      <w:r w:rsidR="006A6449" w:rsidRPr="0058432E">
        <w:rPr>
          <w:color w:val="000000" w:themeColor="text1"/>
          <w:highlight w:val="lightGray"/>
        </w:rPr>
        <w:t>Voir la notice pour plus d'information</w:t>
      </w:r>
      <w:r w:rsidR="00490D75" w:rsidRPr="0058432E">
        <w:rPr>
          <w:color w:val="000000" w:themeColor="text1"/>
          <w:highlight w:val="lightGray"/>
        </w:rPr>
        <w:t>s</w:t>
      </w:r>
      <w:r w:rsidR="00A63A3F" w:rsidRPr="0058432E">
        <w:rPr>
          <w:color w:val="000000" w:themeColor="text1"/>
          <w:highlight w:val="lightGray"/>
        </w:rPr>
        <w:t>.</w:t>
      </w:r>
    </w:p>
    <w:p w14:paraId="73AF9ADD" w14:textId="77777777" w:rsidR="0049343D" w:rsidRPr="0058432E" w:rsidRDefault="0049343D" w:rsidP="00A924EE">
      <w:pPr>
        <w:rPr>
          <w:color w:val="000000" w:themeColor="text1"/>
        </w:rPr>
      </w:pPr>
    </w:p>
    <w:p w14:paraId="32D5027A" w14:textId="77777777" w:rsidR="0049343D" w:rsidRPr="0058432E" w:rsidRDefault="0049343D" w:rsidP="00A924EE">
      <w:pPr>
        <w:rPr>
          <w:color w:val="000000" w:themeColor="text1"/>
        </w:rPr>
      </w:pPr>
    </w:p>
    <w:p w14:paraId="30CCD544" w14:textId="77777777" w:rsidR="0049343D" w:rsidRPr="0058432E" w:rsidRDefault="0049343D" w:rsidP="00A924EE">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FORME PHARMACEUTIQUE ET CONTENU </w:t>
      </w:r>
    </w:p>
    <w:p w14:paraId="3D1E6E77" w14:textId="77777777" w:rsidR="0049343D" w:rsidRPr="0058432E" w:rsidRDefault="0049343D" w:rsidP="00A924EE">
      <w:pPr>
        <w:rPr>
          <w:color w:val="000000" w:themeColor="text1"/>
        </w:rPr>
      </w:pPr>
    </w:p>
    <w:p w14:paraId="5380A020" w14:textId="77777777" w:rsidR="000D160F" w:rsidRPr="0058432E" w:rsidRDefault="0049343D" w:rsidP="00A924EE">
      <w:pPr>
        <w:pStyle w:val="BodyText"/>
        <w:widowControl/>
        <w:kinsoku w:val="0"/>
        <w:overflowPunct w:val="0"/>
        <w:ind w:left="0"/>
        <w:rPr>
          <w:color w:val="000000" w:themeColor="text1"/>
        </w:rPr>
      </w:pPr>
      <w:r w:rsidRPr="0058432E">
        <w:rPr>
          <w:color w:val="000000" w:themeColor="text1"/>
          <w:highlight w:val="lightGray"/>
        </w:rPr>
        <w:t>Solution injectable</w:t>
      </w:r>
      <w:r w:rsidRPr="0058432E">
        <w:rPr>
          <w:color w:val="000000" w:themeColor="text1"/>
        </w:rPr>
        <w:t xml:space="preserve"> </w:t>
      </w:r>
    </w:p>
    <w:p w14:paraId="088BBDC0" w14:textId="77777777" w:rsidR="0049343D" w:rsidRPr="0058432E" w:rsidRDefault="0049343D" w:rsidP="00A924EE">
      <w:pPr>
        <w:pStyle w:val="BodyText"/>
        <w:widowControl/>
        <w:kinsoku w:val="0"/>
        <w:overflowPunct w:val="0"/>
        <w:ind w:left="0"/>
        <w:rPr>
          <w:color w:val="000000" w:themeColor="text1"/>
        </w:rPr>
      </w:pPr>
      <w:r w:rsidRPr="0058432E">
        <w:rPr>
          <w:color w:val="000000" w:themeColor="text1"/>
        </w:rPr>
        <w:t>2 seringues préremplies</w:t>
      </w:r>
    </w:p>
    <w:p w14:paraId="73FB2538" w14:textId="77777777" w:rsidR="0049343D" w:rsidRPr="0058432E" w:rsidRDefault="0049343D" w:rsidP="00A924EE">
      <w:pPr>
        <w:pStyle w:val="BodyText"/>
        <w:widowControl/>
        <w:kinsoku w:val="0"/>
        <w:overflowPunct w:val="0"/>
        <w:ind w:left="0"/>
        <w:rPr>
          <w:color w:val="000000" w:themeColor="text1"/>
        </w:rPr>
      </w:pPr>
      <w:r w:rsidRPr="0058432E">
        <w:rPr>
          <w:color w:val="000000" w:themeColor="text1"/>
        </w:rPr>
        <w:t>2 tampons d’alcool</w:t>
      </w:r>
    </w:p>
    <w:p w14:paraId="04CFD793" w14:textId="77777777" w:rsidR="0049343D" w:rsidRPr="0058432E" w:rsidRDefault="0049343D" w:rsidP="00C1481F">
      <w:pPr>
        <w:pStyle w:val="BodyText"/>
        <w:widowControl/>
        <w:kinsoku w:val="0"/>
        <w:overflowPunct w:val="0"/>
        <w:ind w:left="0"/>
        <w:rPr>
          <w:color w:val="000000" w:themeColor="text1"/>
        </w:rPr>
      </w:pPr>
    </w:p>
    <w:p w14:paraId="348DCA31" w14:textId="77777777" w:rsidR="0049343D" w:rsidRPr="0058432E" w:rsidRDefault="0049343D" w:rsidP="00A924EE">
      <w:pPr>
        <w:rPr>
          <w:color w:val="000000" w:themeColor="text1"/>
        </w:rPr>
      </w:pPr>
    </w:p>
    <w:p w14:paraId="3E927E96" w14:textId="77777777" w:rsidR="000D160F" w:rsidRPr="0058432E" w:rsidRDefault="000D160F" w:rsidP="00A924EE">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5.</w:t>
      </w:r>
      <w:r w:rsidRPr="0058432E">
        <w:rPr>
          <w:b/>
          <w:color w:val="000000" w:themeColor="text1"/>
        </w:rPr>
        <w:tab/>
        <w:t xml:space="preserve">MODE ET VOIE D’ADMINISTRATION </w:t>
      </w:r>
    </w:p>
    <w:p w14:paraId="150F1098" w14:textId="77777777" w:rsidR="0049343D" w:rsidRPr="0058432E" w:rsidRDefault="0049343D" w:rsidP="00A924EE">
      <w:pPr>
        <w:pStyle w:val="BodyText"/>
        <w:widowControl/>
        <w:kinsoku w:val="0"/>
        <w:overflowPunct w:val="0"/>
        <w:ind w:left="0"/>
        <w:rPr>
          <w:color w:val="000000" w:themeColor="text1"/>
        </w:rPr>
      </w:pPr>
    </w:p>
    <w:p w14:paraId="7DFC515C" w14:textId="77777777" w:rsidR="000D160F" w:rsidRPr="0058432E" w:rsidRDefault="000D160F" w:rsidP="00A924EE">
      <w:pPr>
        <w:pStyle w:val="BodyText"/>
        <w:widowControl/>
        <w:kinsoku w:val="0"/>
        <w:overflowPunct w:val="0"/>
        <w:ind w:left="0"/>
        <w:rPr>
          <w:color w:val="000000" w:themeColor="text1"/>
        </w:rPr>
      </w:pPr>
      <w:r w:rsidRPr="0058432E">
        <w:rPr>
          <w:color w:val="000000" w:themeColor="text1"/>
        </w:rPr>
        <w:t>Voie sous-cutanée</w:t>
      </w:r>
    </w:p>
    <w:p w14:paraId="53CA34D3" w14:textId="77777777" w:rsidR="000D160F" w:rsidRPr="0058432E" w:rsidRDefault="000D160F" w:rsidP="00A924EE">
      <w:pPr>
        <w:pStyle w:val="BodyText"/>
        <w:widowControl/>
        <w:kinsoku w:val="0"/>
        <w:overflowPunct w:val="0"/>
        <w:ind w:left="0"/>
        <w:rPr>
          <w:color w:val="000000" w:themeColor="text1"/>
        </w:rPr>
      </w:pPr>
    </w:p>
    <w:p w14:paraId="0F596CFB" w14:textId="77777777" w:rsidR="000D160F" w:rsidRPr="0058432E" w:rsidRDefault="000D160F" w:rsidP="00A924EE">
      <w:pPr>
        <w:pStyle w:val="BodyText"/>
        <w:widowControl/>
        <w:kinsoku w:val="0"/>
        <w:overflowPunct w:val="0"/>
        <w:ind w:left="0"/>
        <w:rPr>
          <w:color w:val="000000" w:themeColor="text1"/>
        </w:rPr>
      </w:pPr>
      <w:r w:rsidRPr="0058432E">
        <w:rPr>
          <w:color w:val="000000" w:themeColor="text1"/>
        </w:rPr>
        <w:t xml:space="preserve">Lire la notice avant utilisation. </w:t>
      </w:r>
    </w:p>
    <w:p w14:paraId="74B682FE" w14:textId="77777777" w:rsidR="000D160F" w:rsidRPr="0058432E" w:rsidRDefault="000D160F" w:rsidP="00A924EE">
      <w:pPr>
        <w:pStyle w:val="BodyText"/>
        <w:widowControl/>
        <w:kinsoku w:val="0"/>
        <w:overflowPunct w:val="0"/>
        <w:ind w:left="0"/>
        <w:rPr>
          <w:color w:val="000000" w:themeColor="text1"/>
        </w:rPr>
      </w:pPr>
    </w:p>
    <w:p w14:paraId="18CC31C1" w14:textId="77777777" w:rsidR="000D160F" w:rsidRPr="0058432E" w:rsidRDefault="000D160F" w:rsidP="00A924EE">
      <w:pPr>
        <w:pStyle w:val="BodyText"/>
        <w:widowControl/>
        <w:kinsoku w:val="0"/>
        <w:overflowPunct w:val="0"/>
        <w:ind w:left="0"/>
        <w:rPr>
          <w:color w:val="000000" w:themeColor="text1"/>
        </w:rPr>
      </w:pPr>
      <w:r w:rsidRPr="0058432E">
        <w:rPr>
          <w:color w:val="000000" w:themeColor="text1"/>
        </w:rPr>
        <w:t>À usage unique.</w:t>
      </w:r>
    </w:p>
    <w:p w14:paraId="6C9D66BE" w14:textId="77777777" w:rsidR="000D160F" w:rsidRPr="0058432E" w:rsidRDefault="000D160F" w:rsidP="00A924EE">
      <w:pPr>
        <w:pStyle w:val="BodyText"/>
        <w:widowControl/>
        <w:kinsoku w:val="0"/>
        <w:overflowPunct w:val="0"/>
        <w:ind w:left="0"/>
        <w:rPr>
          <w:color w:val="000000" w:themeColor="text1"/>
        </w:rPr>
      </w:pPr>
    </w:p>
    <w:p w14:paraId="6D7B789D" w14:textId="77777777" w:rsidR="0049343D" w:rsidRPr="0058432E" w:rsidRDefault="00291C62" w:rsidP="00A924EE">
      <w:pPr>
        <w:pStyle w:val="BodyText"/>
        <w:widowControl/>
        <w:kinsoku w:val="0"/>
        <w:overflowPunct w:val="0"/>
        <w:ind w:left="0"/>
        <w:rPr>
          <w:color w:val="000000" w:themeColor="text1"/>
        </w:rPr>
      </w:pPr>
      <w:r w:rsidRPr="0058432E">
        <w:rPr>
          <w:color w:val="000000" w:themeColor="text1"/>
        </w:rPr>
        <w:t>U</w:t>
      </w:r>
      <w:r w:rsidR="000D160F" w:rsidRPr="0058432E">
        <w:rPr>
          <w:color w:val="000000" w:themeColor="text1"/>
        </w:rPr>
        <w:t>sage pédiatrique</w:t>
      </w:r>
    </w:p>
    <w:p w14:paraId="34CF06F6" w14:textId="77777777" w:rsidR="000D160F" w:rsidRPr="0058432E" w:rsidRDefault="000D160F" w:rsidP="00A924EE">
      <w:pPr>
        <w:rPr>
          <w:color w:val="000000" w:themeColor="text1"/>
        </w:rPr>
      </w:pPr>
    </w:p>
    <w:p w14:paraId="054AE2D0" w14:textId="77777777" w:rsidR="000D160F" w:rsidRPr="0058432E" w:rsidRDefault="000D160F" w:rsidP="00A924EE">
      <w:pPr>
        <w:rPr>
          <w:color w:val="000000" w:themeColor="text1"/>
        </w:rPr>
      </w:pPr>
    </w:p>
    <w:p w14:paraId="24EBF811" w14:textId="77777777" w:rsidR="000D160F" w:rsidRPr="0058432E" w:rsidRDefault="000D160F" w:rsidP="00A924EE">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6.</w:t>
      </w:r>
      <w:r w:rsidRPr="0058432E">
        <w:rPr>
          <w:b/>
          <w:color w:val="000000" w:themeColor="text1"/>
        </w:rPr>
        <w:tab/>
        <w:t xml:space="preserve">MISE EN GARDE SPÉCIALE INDIQUANT QUE LE MÉDICAMENT DOIT ÊTRE CONSERVÉ HORS DE VUE ET DE PORTÉE DES ENFANTS </w:t>
      </w:r>
    </w:p>
    <w:p w14:paraId="0B9867FD" w14:textId="77777777" w:rsidR="000D160F" w:rsidRPr="0058432E" w:rsidRDefault="000D160F" w:rsidP="00A924EE">
      <w:pPr>
        <w:rPr>
          <w:color w:val="000000" w:themeColor="text1"/>
        </w:rPr>
      </w:pPr>
    </w:p>
    <w:p w14:paraId="70DA1725" w14:textId="77777777" w:rsidR="000D160F" w:rsidRPr="0058432E" w:rsidRDefault="000D160F" w:rsidP="00A924EE">
      <w:pPr>
        <w:pStyle w:val="BodyText"/>
        <w:widowControl/>
        <w:kinsoku w:val="0"/>
        <w:overflowPunct w:val="0"/>
        <w:ind w:left="0"/>
        <w:rPr>
          <w:color w:val="000000" w:themeColor="text1"/>
        </w:rPr>
      </w:pPr>
      <w:r w:rsidRPr="0058432E">
        <w:rPr>
          <w:color w:val="000000" w:themeColor="text1"/>
        </w:rPr>
        <w:t>Tenir hors de la vue et de la portée des enfants.</w:t>
      </w:r>
    </w:p>
    <w:p w14:paraId="79B6D628" w14:textId="77777777" w:rsidR="000D160F" w:rsidRPr="0058432E" w:rsidRDefault="000D160F" w:rsidP="00A924EE">
      <w:pPr>
        <w:rPr>
          <w:color w:val="000000" w:themeColor="text1"/>
        </w:rPr>
      </w:pPr>
    </w:p>
    <w:p w14:paraId="7642B623" w14:textId="77777777" w:rsidR="000D160F" w:rsidRPr="0058432E" w:rsidRDefault="000D160F" w:rsidP="00A924EE">
      <w:pPr>
        <w:rPr>
          <w:color w:val="000000" w:themeColor="text1"/>
        </w:rPr>
      </w:pPr>
    </w:p>
    <w:p w14:paraId="7852556C" w14:textId="77777777" w:rsidR="000D160F" w:rsidRPr="0058432E" w:rsidRDefault="000D160F" w:rsidP="00A924EE">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7.</w:t>
      </w:r>
      <w:r w:rsidRPr="0058432E">
        <w:rPr>
          <w:b/>
          <w:color w:val="000000" w:themeColor="text1"/>
        </w:rPr>
        <w:tab/>
        <w:t xml:space="preserve">AUTRE MISE EN GARDE SPÉCIALE, SI NÉCESSAIRE </w:t>
      </w:r>
    </w:p>
    <w:p w14:paraId="09A4020E" w14:textId="77777777" w:rsidR="000D160F" w:rsidRPr="0058432E" w:rsidRDefault="000D160F" w:rsidP="00A924EE">
      <w:pPr>
        <w:rPr>
          <w:color w:val="000000" w:themeColor="text1"/>
        </w:rPr>
      </w:pPr>
    </w:p>
    <w:p w14:paraId="73EF8343" w14:textId="77777777" w:rsidR="000D160F" w:rsidRPr="0058432E" w:rsidRDefault="000D160F" w:rsidP="00A924EE">
      <w:pPr>
        <w:rPr>
          <w:color w:val="000000" w:themeColor="text1"/>
        </w:rPr>
      </w:pPr>
    </w:p>
    <w:p w14:paraId="468B99AD" w14:textId="77777777" w:rsidR="000D160F" w:rsidRPr="0058432E" w:rsidRDefault="000D160F" w:rsidP="003146E9">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8.</w:t>
      </w:r>
      <w:r w:rsidRPr="0058432E">
        <w:rPr>
          <w:b/>
          <w:color w:val="000000" w:themeColor="text1"/>
        </w:rPr>
        <w:tab/>
        <w:t xml:space="preserve">DATE DE PÉREMPTION </w:t>
      </w:r>
    </w:p>
    <w:p w14:paraId="749350E5" w14:textId="77777777" w:rsidR="000D160F" w:rsidRPr="0058432E" w:rsidRDefault="000D160F" w:rsidP="003146E9">
      <w:pPr>
        <w:keepNext/>
        <w:rPr>
          <w:color w:val="000000" w:themeColor="text1"/>
        </w:rPr>
      </w:pPr>
    </w:p>
    <w:p w14:paraId="5293533B" w14:textId="77777777" w:rsidR="000D160F" w:rsidRPr="0058432E" w:rsidRDefault="000D160F" w:rsidP="003146E9">
      <w:pPr>
        <w:pStyle w:val="BodyText"/>
        <w:keepNext/>
        <w:widowControl/>
        <w:kinsoku w:val="0"/>
        <w:overflowPunct w:val="0"/>
        <w:ind w:left="0"/>
        <w:rPr>
          <w:color w:val="000000" w:themeColor="text1"/>
        </w:rPr>
      </w:pPr>
      <w:r w:rsidRPr="0058432E">
        <w:rPr>
          <w:color w:val="000000" w:themeColor="text1"/>
        </w:rPr>
        <w:t>EXP</w:t>
      </w:r>
    </w:p>
    <w:p w14:paraId="78ECE9F4" w14:textId="77777777" w:rsidR="000D160F" w:rsidRPr="0058432E" w:rsidRDefault="000D160F" w:rsidP="003146E9">
      <w:pPr>
        <w:keepNext/>
        <w:rPr>
          <w:color w:val="000000" w:themeColor="text1"/>
        </w:rPr>
      </w:pPr>
    </w:p>
    <w:p w14:paraId="33D82895" w14:textId="77777777" w:rsidR="000D160F" w:rsidRPr="0058432E" w:rsidRDefault="000D160F" w:rsidP="003146E9">
      <w:pPr>
        <w:keepNext/>
        <w:rPr>
          <w:color w:val="000000" w:themeColor="text1"/>
        </w:rPr>
      </w:pPr>
    </w:p>
    <w:p w14:paraId="0699A82F"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9.</w:t>
      </w:r>
      <w:r w:rsidRPr="0058432E">
        <w:rPr>
          <w:b/>
          <w:color w:val="000000" w:themeColor="text1"/>
        </w:rPr>
        <w:tab/>
        <w:t xml:space="preserve">PRÉCAUTIONS PARTICULIÈRES DE CONSERVATION </w:t>
      </w:r>
    </w:p>
    <w:p w14:paraId="4FD5D490" w14:textId="77777777" w:rsidR="000D160F" w:rsidRPr="0058432E" w:rsidRDefault="000D160F" w:rsidP="00982118">
      <w:pPr>
        <w:rPr>
          <w:color w:val="000000" w:themeColor="text1"/>
        </w:rPr>
      </w:pPr>
    </w:p>
    <w:p w14:paraId="594868B6" w14:textId="77777777" w:rsidR="000D160F" w:rsidRPr="0058432E" w:rsidRDefault="005C790C" w:rsidP="00982118">
      <w:pPr>
        <w:pStyle w:val="BodyText"/>
        <w:widowControl/>
        <w:kinsoku w:val="0"/>
        <w:overflowPunct w:val="0"/>
        <w:ind w:left="0"/>
        <w:rPr>
          <w:color w:val="000000" w:themeColor="text1"/>
        </w:rPr>
      </w:pPr>
      <w:r w:rsidRPr="0058432E">
        <w:rPr>
          <w:color w:val="000000" w:themeColor="text1"/>
        </w:rPr>
        <w:t>À</w:t>
      </w:r>
      <w:r w:rsidR="000D160F" w:rsidRPr="0058432E">
        <w:rPr>
          <w:color w:val="000000" w:themeColor="text1"/>
        </w:rPr>
        <w:t xml:space="preserve"> conserver au réfrigérateur. Ne pas congeler.</w:t>
      </w:r>
    </w:p>
    <w:p w14:paraId="49E5E422" w14:textId="77777777" w:rsidR="000D160F" w:rsidRPr="0058432E" w:rsidRDefault="000D160F" w:rsidP="00982118">
      <w:pPr>
        <w:pStyle w:val="BodyText"/>
        <w:widowControl/>
        <w:kinsoku w:val="0"/>
        <w:overflowPunct w:val="0"/>
        <w:ind w:left="0"/>
        <w:rPr>
          <w:color w:val="000000" w:themeColor="text1"/>
        </w:rPr>
      </w:pPr>
    </w:p>
    <w:p w14:paraId="136DDA46" w14:textId="77777777" w:rsidR="000D160F" w:rsidRPr="0058432E" w:rsidRDefault="000D160F" w:rsidP="00982118">
      <w:pPr>
        <w:pStyle w:val="BodyText"/>
        <w:widowControl/>
        <w:kinsoku w:val="0"/>
        <w:overflowPunct w:val="0"/>
        <w:ind w:left="0"/>
        <w:rPr>
          <w:color w:val="000000" w:themeColor="text1"/>
        </w:rPr>
      </w:pPr>
      <w:r w:rsidRPr="0058432E">
        <w:rPr>
          <w:color w:val="000000" w:themeColor="text1"/>
        </w:rPr>
        <w:t>Conserver la seringue dans l’emballage extérieur</w:t>
      </w:r>
      <w:r w:rsidR="00291C62" w:rsidRPr="0058432E">
        <w:rPr>
          <w:color w:val="000000" w:themeColor="text1"/>
        </w:rPr>
        <w:t>,</w:t>
      </w:r>
      <w:r w:rsidRPr="0058432E">
        <w:rPr>
          <w:color w:val="000000" w:themeColor="text1"/>
        </w:rPr>
        <w:t xml:space="preserve"> à l’abri de la lumière.</w:t>
      </w:r>
    </w:p>
    <w:p w14:paraId="785B74CF" w14:textId="77777777" w:rsidR="000D160F" w:rsidRPr="0058432E" w:rsidRDefault="000D160F" w:rsidP="00982118">
      <w:pPr>
        <w:rPr>
          <w:color w:val="000000" w:themeColor="text1"/>
        </w:rPr>
      </w:pPr>
    </w:p>
    <w:p w14:paraId="679D310B" w14:textId="77777777" w:rsidR="000D160F" w:rsidRPr="0058432E" w:rsidRDefault="000D160F" w:rsidP="00982118">
      <w:pPr>
        <w:rPr>
          <w:color w:val="000000" w:themeColor="text1"/>
        </w:rPr>
      </w:pPr>
    </w:p>
    <w:p w14:paraId="146F58FA" w14:textId="77777777" w:rsidR="000D160F" w:rsidRPr="0058432E" w:rsidRDefault="000D160F"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10.</w:t>
      </w:r>
      <w:r w:rsidRPr="0058432E">
        <w:rPr>
          <w:b/>
          <w:color w:val="000000" w:themeColor="text1"/>
        </w:rPr>
        <w:tab/>
        <w:t xml:space="preserve">PRÉCAUTIONS PARTICULIÈRES D’ÉLIMINATION DES MÉDICAMENTS NON UTILISÉS OU DES DÉCHETS PROVENANT DE CES MÉDICAMENTS S’IL Y A LIEU </w:t>
      </w:r>
    </w:p>
    <w:p w14:paraId="0EB52A77" w14:textId="77777777" w:rsidR="000D160F" w:rsidRPr="0058432E" w:rsidRDefault="000D160F" w:rsidP="00982118">
      <w:pPr>
        <w:rPr>
          <w:color w:val="000000" w:themeColor="text1"/>
        </w:rPr>
      </w:pPr>
    </w:p>
    <w:p w14:paraId="572AE12F" w14:textId="77777777" w:rsidR="000D160F" w:rsidRPr="0058432E" w:rsidRDefault="000D160F" w:rsidP="00982118">
      <w:pPr>
        <w:rPr>
          <w:color w:val="000000" w:themeColor="text1"/>
        </w:rPr>
      </w:pPr>
    </w:p>
    <w:p w14:paraId="230DACA1" w14:textId="77777777" w:rsidR="000D160F" w:rsidRPr="0058432E" w:rsidRDefault="000D160F" w:rsidP="00B51A46">
      <w:pPr>
        <w:pBdr>
          <w:top w:val="single" w:sz="4" w:space="1" w:color="auto"/>
          <w:left w:val="single" w:sz="4" w:space="4" w:color="auto"/>
          <w:bottom w:val="single" w:sz="4" w:space="1" w:color="auto"/>
          <w:right w:val="single" w:sz="4" w:space="4" w:color="auto"/>
        </w:pBdr>
        <w:ind w:left="709" w:hanging="709"/>
        <w:rPr>
          <w:b/>
          <w:color w:val="000000" w:themeColor="text1"/>
        </w:rPr>
      </w:pPr>
      <w:r w:rsidRPr="0058432E">
        <w:rPr>
          <w:b/>
          <w:color w:val="000000" w:themeColor="text1"/>
        </w:rPr>
        <w:t>11.</w:t>
      </w:r>
      <w:r w:rsidRPr="0058432E">
        <w:rPr>
          <w:b/>
          <w:color w:val="000000" w:themeColor="text1"/>
        </w:rPr>
        <w:tab/>
        <w:t xml:space="preserve">NOM ET ADRESSE DU TITULAIRE DE L’AUTORISATION DE MISE SUR LE MARCHÉ </w:t>
      </w:r>
    </w:p>
    <w:p w14:paraId="5EA46D2F" w14:textId="77777777" w:rsidR="000D160F" w:rsidRPr="0058432E" w:rsidRDefault="000D160F" w:rsidP="00982118">
      <w:pPr>
        <w:rPr>
          <w:color w:val="000000" w:themeColor="text1"/>
        </w:rPr>
      </w:pPr>
    </w:p>
    <w:p w14:paraId="64FD95F7" w14:textId="77777777" w:rsidR="00792CD9" w:rsidRPr="0058432E" w:rsidRDefault="00792CD9" w:rsidP="00982118">
      <w:pPr>
        <w:keepNext/>
        <w:ind w:right="14"/>
        <w:rPr>
          <w:color w:val="000000" w:themeColor="text1"/>
        </w:rPr>
      </w:pPr>
      <w:r w:rsidRPr="0058432E">
        <w:rPr>
          <w:color w:val="000000" w:themeColor="text1"/>
        </w:rPr>
        <w:t>Pfizer Europe MA EEIG</w:t>
      </w:r>
    </w:p>
    <w:p w14:paraId="6F6F022A"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Boulevard de la Plaine 17</w:t>
      </w:r>
    </w:p>
    <w:p w14:paraId="10B2F282"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1050 Bruxelles</w:t>
      </w:r>
    </w:p>
    <w:p w14:paraId="3C0E1269"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Belgique</w:t>
      </w:r>
    </w:p>
    <w:p w14:paraId="02E50DEE" w14:textId="77777777" w:rsidR="000D160F" w:rsidRPr="0058432E" w:rsidRDefault="000D160F" w:rsidP="00982118">
      <w:pPr>
        <w:rPr>
          <w:color w:val="000000" w:themeColor="text1"/>
        </w:rPr>
      </w:pPr>
    </w:p>
    <w:p w14:paraId="28541763" w14:textId="77777777" w:rsidR="000D160F" w:rsidRPr="0058432E" w:rsidRDefault="000D160F" w:rsidP="00982118">
      <w:pPr>
        <w:rPr>
          <w:color w:val="000000" w:themeColor="text1"/>
        </w:rPr>
      </w:pPr>
    </w:p>
    <w:p w14:paraId="3D120616"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12.</w:t>
      </w:r>
      <w:r w:rsidRPr="0058432E">
        <w:rPr>
          <w:b/>
          <w:color w:val="000000" w:themeColor="text1"/>
        </w:rPr>
        <w:tab/>
        <w:t xml:space="preserve">NUMÉRO D’AUTORISATION DE MISE SUR LE MARCHÉ </w:t>
      </w:r>
    </w:p>
    <w:p w14:paraId="778051A8" w14:textId="77777777" w:rsidR="000D160F" w:rsidRPr="0058432E" w:rsidRDefault="000D160F" w:rsidP="00982118">
      <w:pPr>
        <w:rPr>
          <w:color w:val="000000" w:themeColor="text1"/>
        </w:rPr>
      </w:pPr>
    </w:p>
    <w:p w14:paraId="10C987CE" w14:textId="77777777" w:rsidR="000D160F" w:rsidRPr="0058432E" w:rsidRDefault="005C6564" w:rsidP="00982118">
      <w:pPr>
        <w:rPr>
          <w:color w:val="000000" w:themeColor="text1"/>
        </w:rPr>
      </w:pPr>
      <w:r w:rsidRPr="0058432E">
        <w:rPr>
          <w:color w:val="000000" w:themeColor="text1"/>
        </w:rPr>
        <w:t>EU/1/19/1415/001</w:t>
      </w:r>
    </w:p>
    <w:p w14:paraId="1E6BA15C" w14:textId="77777777" w:rsidR="006A3BA1" w:rsidRPr="0058432E" w:rsidRDefault="006A3BA1" w:rsidP="00982118">
      <w:pPr>
        <w:rPr>
          <w:color w:val="000000" w:themeColor="text1"/>
        </w:rPr>
      </w:pPr>
    </w:p>
    <w:p w14:paraId="221A10C1" w14:textId="77777777" w:rsidR="000D3575" w:rsidRPr="0058432E" w:rsidRDefault="000D3575" w:rsidP="00982118">
      <w:pPr>
        <w:rPr>
          <w:color w:val="000000" w:themeColor="text1"/>
        </w:rPr>
      </w:pPr>
    </w:p>
    <w:p w14:paraId="5D0176C8"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13.</w:t>
      </w:r>
      <w:r w:rsidRPr="0058432E">
        <w:rPr>
          <w:b/>
          <w:color w:val="000000" w:themeColor="text1"/>
        </w:rPr>
        <w:tab/>
        <w:t xml:space="preserve">NUMÉRO DU LOT </w:t>
      </w:r>
    </w:p>
    <w:p w14:paraId="1C36B91D" w14:textId="77777777" w:rsidR="000D160F" w:rsidRPr="0058432E" w:rsidRDefault="000D160F" w:rsidP="00982118">
      <w:pPr>
        <w:rPr>
          <w:color w:val="000000" w:themeColor="text1"/>
        </w:rPr>
      </w:pPr>
    </w:p>
    <w:p w14:paraId="7A685AEF" w14:textId="77777777" w:rsidR="000D160F" w:rsidRPr="0058432E" w:rsidRDefault="000D160F" w:rsidP="00982118">
      <w:pPr>
        <w:rPr>
          <w:color w:val="000000" w:themeColor="text1"/>
        </w:rPr>
      </w:pPr>
      <w:r w:rsidRPr="0058432E">
        <w:rPr>
          <w:color w:val="000000" w:themeColor="text1"/>
        </w:rPr>
        <w:t xml:space="preserve">Lot </w:t>
      </w:r>
    </w:p>
    <w:p w14:paraId="10757505" w14:textId="77777777" w:rsidR="000D160F" w:rsidRPr="0058432E" w:rsidRDefault="000D160F" w:rsidP="00982118">
      <w:pPr>
        <w:rPr>
          <w:color w:val="000000" w:themeColor="text1"/>
        </w:rPr>
      </w:pPr>
    </w:p>
    <w:p w14:paraId="0516ED67" w14:textId="77777777" w:rsidR="000D160F" w:rsidRPr="0058432E" w:rsidRDefault="000D160F" w:rsidP="00982118">
      <w:pPr>
        <w:rPr>
          <w:color w:val="000000" w:themeColor="text1"/>
        </w:rPr>
      </w:pPr>
    </w:p>
    <w:p w14:paraId="5B9E3ED1"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14.</w:t>
      </w:r>
      <w:r w:rsidRPr="0058432E">
        <w:rPr>
          <w:b/>
          <w:color w:val="000000" w:themeColor="text1"/>
        </w:rPr>
        <w:tab/>
        <w:t xml:space="preserve">CONDITIONS DE PRESCRIPTION ET DE DÉLIVRANCE </w:t>
      </w:r>
    </w:p>
    <w:p w14:paraId="60DCACD1" w14:textId="77777777" w:rsidR="000D160F" w:rsidRPr="0058432E" w:rsidRDefault="000D160F" w:rsidP="00982118">
      <w:pPr>
        <w:rPr>
          <w:color w:val="000000" w:themeColor="text1"/>
        </w:rPr>
      </w:pPr>
    </w:p>
    <w:p w14:paraId="0CDEC66A" w14:textId="77777777" w:rsidR="000D160F" w:rsidRPr="0058432E" w:rsidRDefault="000D160F" w:rsidP="00982118">
      <w:pPr>
        <w:rPr>
          <w:color w:val="000000" w:themeColor="text1"/>
        </w:rPr>
      </w:pPr>
    </w:p>
    <w:p w14:paraId="596E86FB"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15.</w:t>
      </w:r>
      <w:r w:rsidRPr="0058432E">
        <w:rPr>
          <w:b/>
          <w:color w:val="000000" w:themeColor="text1"/>
        </w:rPr>
        <w:tab/>
        <w:t xml:space="preserve">INDICATIONS D’UTILISATION </w:t>
      </w:r>
    </w:p>
    <w:p w14:paraId="003D270D" w14:textId="77777777" w:rsidR="000D160F" w:rsidRPr="0058432E" w:rsidRDefault="000D160F" w:rsidP="00982118">
      <w:pPr>
        <w:rPr>
          <w:color w:val="000000" w:themeColor="text1"/>
        </w:rPr>
      </w:pPr>
    </w:p>
    <w:p w14:paraId="450FC55C" w14:textId="77777777" w:rsidR="000D160F" w:rsidRPr="0058432E" w:rsidRDefault="000D160F" w:rsidP="00982118">
      <w:pPr>
        <w:rPr>
          <w:color w:val="000000" w:themeColor="text1"/>
        </w:rPr>
      </w:pPr>
    </w:p>
    <w:p w14:paraId="091337A3" w14:textId="77777777" w:rsidR="000D160F" w:rsidRPr="0058432E" w:rsidRDefault="000D160F"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16.</w:t>
      </w:r>
      <w:r w:rsidRPr="0058432E">
        <w:rPr>
          <w:b/>
          <w:color w:val="000000" w:themeColor="text1"/>
        </w:rPr>
        <w:tab/>
        <w:t xml:space="preserve">INFORMATIONS EN BRAILLE </w:t>
      </w:r>
    </w:p>
    <w:p w14:paraId="414A2894" w14:textId="77777777" w:rsidR="000D160F" w:rsidRPr="0058432E" w:rsidRDefault="000D160F" w:rsidP="00982118">
      <w:pPr>
        <w:rPr>
          <w:color w:val="000000" w:themeColor="text1"/>
        </w:rPr>
      </w:pPr>
    </w:p>
    <w:p w14:paraId="550390BA" w14:textId="77777777" w:rsidR="000D160F" w:rsidRPr="0058432E" w:rsidRDefault="006A1144" w:rsidP="00982118">
      <w:pPr>
        <w:rPr>
          <w:color w:val="000000" w:themeColor="text1"/>
        </w:rPr>
      </w:pPr>
      <w:r w:rsidRPr="0058432E">
        <w:rPr>
          <w:color w:val="000000" w:themeColor="text1"/>
        </w:rPr>
        <w:t xml:space="preserve">Amsparity 20 mg </w:t>
      </w:r>
    </w:p>
    <w:p w14:paraId="04D41D0B" w14:textId="77777777" w:rsidR="000D160F" w:rsidRPr="0058432E" w:rsidRDefault="000D160F" w:rsidP="00982118">
      <w:pPr>
        <w:rPr>
          <w:color w:val="000000" w:themeColor="text1"/>
        </w:rPr>
      </w:pPr>
    </w:p>
    <w:p w14:paraId="586AF0EF" w14:textId="77777777" w:rsidR="000D160F" w:rsidRPr="0058432E" w:rsidRDefault="000D160F" w:rsidP="00982118">
      <w:pPr>
        <w:rPr>
          <w:color w:val="000000" w:themeColor="text1"/>
        </w:rPr>
      </w:pPr>
    </w:p>
    <w:p w14:paraId="19A9D4AC" w14:textId="77777777" w:rsidR="000D160F" w:rsidRPr="0058432E" w:rsidRDefault="000D160F"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17.</w:t>
      </w:r>
      <w:r w:rsidRPr="0058432E">
        <w:rPr>
          <w:b/>
          <w:color w:val="000000" w:themeColor="text1"/>
        </w:rPr>
        <w:tab/>
        <w:t xml:space="preserve">IDENTIFIANT UNIQUE - CODE-BARRES 2D </w:t>
      </w:r>
    </w:p>
    <w:p w14:paraId="235087C7" w14:textId="77777777" w:rsidR="000D160F" w:rsidRPr="0058432E" w:rsidRDefault="000D160F" w:rsidP="00982118">
      <w:pPr>
        <w:keepNext/>
        <w:rPr>
          <w:color w:val="000000" w:themeColor="text1"/>
        </w:rPr>
      </w:pPr>
    </w:p>
    <w:p w14:paraId="6375A718" w14:textId="77777777" w:rsidR="000D160F" w:rsidRPr="0058432E" w:rsidRDefault="000D160F" w:rsidP="00982118">
      <w:pPr>
        <w:pStyle w:val="BodyText"/>
        <w:keepNext/>
        <w:widowControl/>
        <w:kinsoku w:val="0"/>
        <w:overflowPunct w:val="0"/>
        <w:ind w:left="0"/>
        <w:rPr>
          <w:color w:val="000000" w:themeColor="text1"/>
        </w:rPr>
      </w:pPr>
      <w:r w:rsidRPr="0058432E">
        <w:rPr>
          <w:color w:val="000000" w:themeColor="text1"/>
          <w:highlight w:val="lightGray"/>
        </w:rPr>
        <w:t>Code-barres 2D portant l’identifiant unique inclus.</w:t>
      </w:r>
    </w:p>
    <w:p w14:paraId="339840B3" w14:textId="77777777" w:rsidR="000D160F" w:rsidRPr="0058432E" w:rsidRDefault="000D160F" w:rsidP="00982118">
      <w:pPr>
        <w:keepNext/>
        <w:rPr>
          <w:color w:val="000000" w:themeColor="text1"/>
        </w:rPr>
      </w:pPr>
    </w:p>
    <w:p w14:paraId="72F6EBF7" w14:textId="77777777" w:rsidR="000D160F" w:rsidRPr="0058432E" w:rsidRDefault="000D160F" w:rsidP="00982118">
      <w:pPr>
        <w:rPr>
          <w:color w:val="000000" w:themeColor="text1"/>
        </w:rPr>
      </w:pPr>
    </w:p>
    <w:p w14:paraId="05C753E0" w14:textId="77777777" w:rsidR="000D160F" w:rsidRPr="0058432E" w:rsidRDefault="000D160F"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18.</w:t>
      </w:r>
      <w:r w:rsidRPr="0058432E">
        <w:rPr>
          <w:b/>
          <w:color w:val="000000" w:themeColor="text1"/>
        </w:rPr>
        <w:tab/>
        <w:t xml:space="preserve">IDENTIFIANT UNIQUE - DONNÉES LISIBLES PAR LES HUMAINS </w:t>
      </w:r>
    </w:p>
    <w:p w14:paraId="4AE976A4" w14:textId="77777777" w:rsidR="000D160F" w:rsidRPr="0058432E" w:rsidRDefault="000D160F" w:rsidP="00982118">
      <w:pPr>
        <w:keepNext/>
        <w:rPr>
          <w:color w:val="000000" w:themeColor="text1"/>
        </w:rPr>
      </w:pPr>
    </w:p>
    <w:p w14:paraId="7979493E" w14:textId="77777777" w:rsidR="000D160F" w:rsidRPr="0058432E" w:rsidRDefault="000D160F" w:rsidP="00982118">
      <w:pPr>
        <w:keepNext/>
        <w:rPr>
          <w:color w:val="000000" w:themeColor="text1"/>
        </w:rPr>
      </w:pPr>
      <w:r w:rsidRPr="0058432E">
        <w:rPr>
          <w:color w:val="000000" w:themeColor="text1"/>
        </w:rPr>
        <w:t>PC</w:t>
      </w:r>
    </w:p>
    <w:p w14:paraId="3CFBBD4B" w14:textId="77777777" w:rsidR="000D160F" w:rsidRPr="0058432E" w:rsidRDefault="000D160F" w:rsidP="00982118">
      <w:pPr>
        <w:keepNext/>
        <w:rPr>
          <w:color w:val="000000" w:themeColor="text1"/>
        </w:rPr>
      </w:pPr>
      <w:r w:rsidRPr="0058432E">
        <w:rPr>
          <w:color w:val="000000" w:themeColor="text1"/>
        </w:rPr>
        <w:t>SN</w:t>
      </w:r>
    </w:p>
    <w:p w14:paraId="2099C422" w14:textId="77777777" w:rsidR="000D160F" w:rsidRPr="0058432E" w:rsidRDefault="000D160F" w:rsidP="00982118">
      <w:pPr>
        <w:rPr>
          <w:color w:val="000000" w:themeColor="text1"/>
        </w:rPr>
      </w:pPr>
      <w:r w:rsidRPr="0058432E">
        <w:rPr>
          <w:color w:val="000000" w:themeColor="text1"/>
        </w:rPr>
        <w:t>NN</w:t>
      </w:r>
    </w:p>
    <w:p w14:paraId="460616AE" w14:textId="77777777" w:rsidR="000D160F" w:rsidRPr="0058432E" w:rsidRDefault="000D160F" w:rsidP="00982118">
      <w:pPr>
        <w:rPr>
          <w:color w:val="000000" w:themeColor="text1"/>
        </w:rPr>
      </w:pPr>
      <w:r w:rsidRPr="0058432E">
        <w:rPr>
          <w:color w:val="000000" w:themeColor="text1"/>
        </w:rPr>
        <w:br w:type="page"/>
      </w:r>
    </w:p>
    <w:p w14:paraId="72A0F23E" w14:textId="77777777" w:rsidR="00A7312E" w:rsidRPr="0058432E" w:rsidRDefault="00A7312E" w:rsidP="00982118">
      <w:pPr>
        <w:pBdr>
          <w:top w:val="single" w:sz="4" w:space="1" w:color="auto"/>
          <w:left w:val="single" w:sz="4" w:space="4" w:color="auto"/>
          <w:bottom w:val="single" w:sz="4" w:space="1" w:color="auto"/>
          <w:right w:val="single" w:sz="4" w:space="4" w:color="auto"/>
        </w:pBdr>
        <w:rPr>
          <w:color w:val="000000" w:themeColor="text1"/>
        </w:rPr>
      </w:pPr>
      <w:r w:rsidRPr="0058432E">
        <w:rPr>
          <w:b/>
          <w:color w:val="000000" w:themeColor="text1"/>
        </w:rPr>
        <w:lastRenderedPageBreak/>
        <w:t>MENTIONS MINIMALES DEVANT FIGURER SUR LES PLAQUETTES OU LES FILMS THERMOSOUDÉS</w:t>
      </w:r>
    </w:p>
    <w:p w14:paraId="237A16FB" w14:textId="77777777" w:rsidR="00A7312E" w:rsidRPr="0058432E" w:rsidRDefault="00A7312E" w:rsidP="00982118">
      <w:pPr>
        <w:pBdr>
          <w:top w:val="single" w:sz="4" w:space="1" w:color="auto"/>
          <w:left w:val="single" w:sz="4" w:space="4" w:color="auto"/>
          <w:bottom w:val="single" w:sz="4" w:space="1" w:color="auto"/>
          <w:right w:val="single" w:sz="4" w:space="4" w:color="auto"/>
        </w:pBdr>
        <w:rPr>
          <w:b/>
          <w:color w:val="000000" w:themeColor="text1"/>
        </w:rPr>
      </w:pPr>
    </w:p>
    <w:p w14:paraId="1DD068BD" w14:textId="77777777" w:rsidR="00A7312E" w:rsidRPr="0058432E" w:rsidRDefault="00A7312E"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bCs/>
          <w:color w:val="000000" w:themeColor="text1"/>
        </w:rPr>
        <w:t>CONTRE-ÉTIQUETTE</w:t>
      </w:r>
    </w:p>
    <w:p w14:paraId="5F4ECE0F" w14:textId="77777777" w:rsidR="00A7312E" w:rsidRPr="0058432E" w:rsidRDefault="00A7312E" w:rsidP="00982118">
      <w:pPr>
        <w:rPr>
          <w:color w:val="000000" w:themeColor="text1"/>
        </w:rPr>
      </w:pPr>
    </w:p>
    <w:p w14:paraId="6D440683" w14:textId="77777777" w:rsidR="00A7312E" w:rsidRPr="0058432E" w:rsidRDefault="00A7312E" w:rsidP="00982118">
      <w:pPr>
        <w:rPr>
          <w:color w:val="000000" w:themeColor="text1"/>
        </w:rPr>
      </w:pPr>
    </w:p>
    <w:p w14:paraId="65BAD376" w14:textId="77777777" w:rsidR="00A7312E" w:rsidRPr="0058432E"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4B4F4A15" w14:textId="77777777" w:rsidR="00A7312E" w:rsidRPr="0058432E" w:rsidRDefault="00A7312E" w:rsidP="00982118">
      <w:pPr>
        <w:rPr>
          <w:color w:val="000000" w:themeColor="text1"/>
        </w:rPr>
      </w:pPr>
    </w:p>
    <w:p w14:paraId="3BD9D6E7" w14:textId="77777777" w:rsidR="00A7312E" w:rsidRPr="0058432E" w:rsidRDefault="006A1144" w:rsidP="00982118">
      <w:pPr>
        <w:rPr>
          <w:color w:val="000000" w:themeColor="text1"/>
        </w:rPr>
      </w:pPr>
      <w:r w:rsidRPr="0058432E">
        <w:rPr>
          <w:color w:val="000000" w:themeColor="text1"/>
        </w:rPr>
        <w:t xml:space="preserve">Amsparity 20 mg, solution injectable en seringue préremplie </w:t>
      </w:r>
    </w:p>
    <w:p w14:paraId="2F163C80" w14:textId="77777777" w:rsidR="00A7312E" w:rsidRPr="0058432E" w:rsidRDefault="00A7312E"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031BD983" w14:textId="77777777" w:rsidR="00A7312E" w:rsidRPr="0058432E" w:rsidRDefault="00A7312E" w:rsidP="00982118">
      <w:pPr>
        <w:rPr>
          <w:color w:val="000000" w:themeColor="text1"/>
        </w:rPr>
      </w:pPr>
    </w:p>
    <w:p w14:paraId="5E74365A" w14:textId="77777777" w:rsidR="00A7312E" w:rsidRPr="0058432E" w:rsidRDefault="00A7312E" w:rsidP="00982118">
      <w:pPr>
        <w:rPr>
          <w:color w:val="000000" w:themeColor="text1"/>
        </w:rPr>
      </w:pPr>
    </w:p>
    <w:p w14:paraId="2B560AA4" w14:textId="77777777" w:rsidR="00A7312E" w:rsidRPr="0058432E"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NOM DU TITULAIRE DE L‘AUTORISATION DE MISE SUR LE MARCHÉ</w:t>
      </w:r>
    </w:p>
    <w:p w14:paraId="1EE30E4C" w14:textId="77777777" w:rsidR="00A7312E" w:rsidRPr="0058432E" w:rsidRDefault="00A7312E" w:rsidP="00982118">
      <w:pPr>
        <w:rPr>
          <w:color w:val="000000" w:themeColor="text1"/>
        </w:rPr>
      </w:pPr>
    </w:p>
    <w:p w14:paraId="07A82F7D" w14:textId="77777777" w:rsidR="00A7312E" w:rsidRPr="0058432E" w:rsidRDefault="00792CD9" w:rsidP="00982118">
      <w:pPr>
        <w:rPr>
          <w:color w:val="000000" w:themeColor="text1"/>
        </w:rPr>
      </w:pPr>
      <w:r w:rsidRPr="0058432E">
        <w:rPr>
          <w:color w:val="000000" w:themeColor="text1"/>
        </w:rPr>
        <w:t>Pfizer Europe MA EEIG</w:t>
      </w:r>
    </w:p>
    <w:p w14:paraId="5A327286" w14:textId="77777777" w:rsidR="00792CD9" w:rsidRPr="0058432E" w:rsidRDefault="00792CD9" w:rsidP="00982118">
      <w:pPr>
        <w:rPr>
          <w:color w:val="000000" w:themeColor="text1"/>
        </w:rPr>
      </w:pPr>
    </w:p>
    <w:p w14:paraId="5C606DA6" w14:textId="77777777" w:rsidR="00A7312E" w:rsidRPr="0058432E" w:rsidRDefault="00A7312E" w:rsidP="00982118">
      <w:pPr>
        <w:rPr>
          <w:color w:val="000000" w:themeColor="text1"/>
        </w:rPr>
      </w:pPr>
    </w:p>
    <w:p w14:paraId="7A5B5384" w14:textId="77777777" w:rsidR="00A7312E" w:rsidRPr="0058432E"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DATE DE PÉREMPTION</w:t>
      </w:r>
    </w:p>
    <w:p w14:paraId="1C9FE378" w14:textId="77777777" w:rsidR="00A7312E" w:rsidRPr="0058432E" w:rsidRDefault="00A7312E" w:rsidP="00982118">
      <w:pPr>
        <w:rPr>
          <w:color w:val="000000" w:themeColor="text1"/>
        </w:rPr>
      </w:pPr>
    </w:p>
    <w:p w14:paraId="3CE63774" w14:textId="77777777" w:rsidR="00A7312E" w:rsidRPr="0058432E" w:rsidRDefault="00A7312E" w:rsidP="00982118">
      <w:pPr>
        <w:rPr>
          <w:color w:val="000000" w:themeColor="text1"/>
        </w:rPr>
      </w:pPr>
      <w:r w:rsidRPr="0058432E">
        <w:rPr>
          <w:color w:val="000000" w:themeColor="text1"/>
        </w:rPr>
        <w:t xml:space="preserve">EXP </w:t>
      </w:r>
    </w:p>
    <w:p w14:paraId="66EA3435" w14:textId="77777777" w:rsidR="00A7312E" w:rsidRPr="0058432E" w:rsidRDefault="00A7312E" w:rsidP="00982118">
      <w:pPr>
        <w:rPr>
          <w:color w:val="000000" w:themeColor="text1"/>
        </w:rPr>
      </w:pPr>
    </w:p>
    <w:p w14:paraId="41E1B1A4" w14:textId="77777777" w:rsidR="00A7312E" w:rsidRPr="0058432E" w:rsidRDefault="00A7312E" w:rsidP="00982118">
      <w:pPr>
        <w:rPr>
          <w:color w:val="000000" w:themeColor="text1"/>
        </w:rPr>
      </w:pPr>
    </w:p>
    <w:p w14:paraId="0A68B8FF" w14:textId="77777777" w:rsidR="00A7312E" w:rsidRPr="0058432E" w:rsidRDefault="00A7312E"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NUMÉRO DU LOT</w:t>
      </w:r>
    </w:p>
    <w:p w14:paraId="6E8DCEFF" w14:textId="77777777" w:rsidR="00A7312E" w:rsidRPr="0058432E" w:rsidRDefault="00A7312E" w:rsidP="00982118">
      <w:pPr>
        <w:rPr>
          <w:color w:val="000000" w:themeColor="text1"/>
        </w:rPr>
      </w:pPr>
    </w:p>
    <w:p w14:paraId="514B0DF6" w14:textId="77777777" w:rsidR="00A7312E" w:rsidRPr="0058432E" w:rsidRDefault="00A7312E" w:rsidP="00982118">
      <w:pPr>
        <w:rPr>
          <w:color w:val="000000" w:themeColor="text1"/>
        </w:rPr>
      </w:pPr>
      <w:r w:rsidRPr="0058432E">
        <w:rPr>
          <w:color w:val="000000" w:themeColor="text1"/>
        </w:rPr>
        <w:t xml:space="preserve">Lot </w:t>
      </w:r>
    </w:p>
    <w:p w14:paraId="476383FD" w14:textId="77777777" w:rsidR="00A7312E" w:rsidRPr="0058432E" w:rsidRDefault="00A7312E" w:rsidP="00982118">
      <w:pPr>
        <w:rPr>
          <w:color w:val="000000" w:themeColor="text1"/>
        </w:rPr>
      </w:pPr>
    </w:p>
    <w:p w14:paraId="4FCB50C8" w14:textId="77777777" w:rsidR="00A7312E" w:rsidRPr="0058432E" w:rsidRDefault="00A7312E" w:rsidP="00982118">
      <w:pPr>
        <w:rPr>
          <w:color w:val="000000" w:themeColor="text1"/>
        </w:rPr>
      </w:pPr>
    </w:p>
    <w:p w14:paraId="45E6FA9F" w14:textId="77777777" w:rsidR="00A7312E" w:rsidRPr="0058432E" w:rsidRDefault="00A7312E" w:rsidP="00982118">
      <w:pPr>
        <w:pBdr>
          <w:top w:val="single" w:sz="4" w:space="1" w:color="auto"/>
          <w:left w:val="single" w:sz="4" w:space="4" w:color="auto"/>
          <w:bottom w:val="single" w:sz="4" w:space="1" w:color="auto"/>
          <w:right w:val="single" w:sz="4" w:space="4" w:color="auto"/>
        </w:pBdr>
        <w:tabs>
          <w:tab w:val="left" w:pos="562"/>
        </w:tabs>
        <w:rPr>
          <w:color w:val="000000" w:themeColor="text1"/>
        </w:rPr>
      </w:pPr>
      <w:r w:rsidRPr="0058432E">
        <w:rPr>
          <w:b/>
          <w:color w:val="000000" w:themeColor="text1"/>
        </w:rPr>
        <w:t>5.</w:t>
      </w:r>
      <w:r w:rsidRPr="0058432E">
        <w:rPr>
          <w:b/>
          <w:color w:val="000000" w:themeColor="text1"/>
        </w:rPr>
        <w:tab/>
        <w:t>AUTRE</w:t>
      </w:r>
    </w:p>
    <w:p w14:paraId="49298A2A" w14:textId="77777777" w:rsidR="00A7312E" w:rsidRPr="0058432E" w:rsidRDefault="00A7312E" w:rsidP="00982118">
      <w:pPr>
        <w:rPr>
          <w:color w:val="000000" w:themeColor="text1"/>
        </w:rPr>
      </w:pPr>
    </w:p>
    <w:p w14:paraId="59A65662" w14:textId="77777777" w:rsidR="00A7312E" w:rsidRPr="0058432E" w:rsidRDefault="00A7312E" w:rsidP="00982118">
      <w:pPr>
        <w:pStyle w:val="BodyText"/>
        <w:widowControl/>
        <w:kinsoku w:val="0"/>
        <w:overflowPunct w:val="0"/>
        <w:ind w:left="0" w:right="447"/>
        <w:rPr>
          <w:color w:val="000000" w:themeColor="text1"/>
        </w:rPr>
      </w:pPr>
      <w:r w:rsidRPr="0058432E">
        <w:rPr>
          <w:color w:val="000000" w:themeColor="text1"/>
        </w:rPr>
        <w:t>Pour les conditions de conservation, voir la notice.</w:t>
      </w:r>
    </w:p>
    <w:p w14:paraId="5D4CC15F" w14:textId="77777777" w:rsidR="00A7312E" w:rsidRPr="0058432E" w:rsidRDefault="00A7312E" w:rsidP="00982118">
      <w:pPr>
        <w:pStyle w:val="BodyText"/>
        <w:widowControl/>
        <w:kinsoku w:val="0"/>
        <w:overflowPunct w:val="0"/>
        <w:ind w:left="0" w:right="447"/>
        <w:rPr>
          <w:color w:val="000000" w:themeColor="text1"/>
        </w:rPr>
      </w:pPr>
    </w:p>
    <w:p w14:paraId="64A33632" w14:textId="77777777" w:rsidR="00A7312E" w:rsidRPr="0058432E" w:rsidRDefault="00A7312E" w:rsidP="00982118">
      <w:pPr>
        <w:pStyle w:val="BodyText"/>
        <w:widowControl/>
        <w:kinsoku w:val="0"/>
        <w:overflowPunct w:val="0"/>
        <w:ind w:left="0" w:right="447"/>
        <w:rPr>
          <w:color w:val="000000" w:themeColor="text1"/>
        </w:rPr>
      </w:pPr>
      <w:r w:rsidRPr="0058432E">
        <w:rPr>
          <w:color w:val="000000" w:themeColor="text1"/>
        </w:rPr>
        <w:t>À usage unique.</w:t>
      </w:r>
    </w:p>
    <w:p w14:paraId="64631073" w14:textId="77777777" w:rsidR="00A7312E" w:rsidRPr="0058432E" w:rsidRDefault="00A7312E" w:rsidP="00982118">
      <w:pPr>
        <w:pStyle w:val="BodyText"/>
        <w:widowControl/>
        <w:kinsoku w:val="0"/>
        <w:overflowPunct w:val="0"/>
        <w:ind w:left="0" w:right="447"/>
        <w:rPr>
          <w:color w:val="000000" w:themeColor="text1"/>
        </w:rPr>
      </w:pPr>
    </w:p>
    <w:p w14:paraId="477B0862" w14:textId="77777777" w:rsidR="000D160F" w:rsidRPr="0058432E" w:rsidRDefault="00291C62" w:rsidP="000D3575">
      <w:pPr>
        <w:pStyle w:val="BodyText"/>
        <w:widowControl/>
        <w:kinsoku w:val="0"/>
        <w:overflowPunct w:val="0"/>
        <w:ind w:left="0" w:right="447"/>
        <w:rPr>
          <w:color w:val="000000" w:themeColor="text1"/>
        </w:rPr>
      </w:pPr>
      <w:r w:rsidRPr="0058432E">
        <w:rPr>
          <w:color w:val="000000" w:themeColor="text1"/>
        </w:rPr>
        <w:t>U</w:t>
      </w:r>
      <w:r w:rsidR="00A7312E" w:rsidRPr="0058432E">
        <w:rPr>
          <w:color w:val="000000" w:themeColor="text1"/>
        </w:rPr>
        <w:t>sage pédiatrique</w:t>
      </w:r>
    </w:p>
    <w:p w14:paraId="55FD7410" w14:textId="77777777" w:rsidR="00A7312E" w:rsidRPr="0058432E" w:rsidRDefault="00A7312E" w:rsidP="00982118">
      <w:pPr>
        <w:rPr>
          <w:color w:val="000000" w:themeColor="text1"/>
        </w:rPr>
      </w:pPr>
      <w:r w:rsidRPr="0058432E">
        <w:rPr>
          <w:color w:val="000000" w:themeColor="text1"/>
        </w:rPr>
        <w:br w:type="page"/>
      </w:r>
    </w:p>
    <w:p w14:paraId="775A6931" w14:textId="77777777" w:rsidR="00691065" w:rsidRPr="0058432E" w:rsidRDefault="00691065"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MINIMALES DEVANT FIGURER SUR LES PETITS CONDITIONNEMENTS PRIMAIRES </w:t>
      </w:r>
    </w:p>
    <w:p w14:paraId="628285C5" w14:textId="77777777" w:rsidR="00691065" w:rsidRPr="0058432E" w:rsidRDefault="00691065" w:rsidP="00982118">
      <w:pPr>
        <w:pBdr>
          <w:top w:val="single" w:sz="4" w:space="1" w:color="auto"/>
          <w:left w:val="single" w:sz="4" w:space="4" w:color="auto"/>
          <w:bottom w:val="single" w:sz="4" w:space="1" w:color="auto"/>
          <w:right w:val="single" w:sz="4" w:space="4" w:color="auto"/>
        </w:pBdr>
        <w:rPr>
          <w:b/>
          <w:color w:val="000000" w:themeColor="text1"/>
        </w:rPr>
      </w:pPr>
    </w:p>
    <w:p w14:paraId="4452B1E7" w14:textId="77777777" w:rsidR="00691065" w:rsidRPr="0058432E" w:rsidRDefault="00691065"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ÉTIQUETTE DE LA SERINGUE </w:t>
      </w:r>
    </w:p>
    <w:p w14:paraId="337FD4DE" w14:textId="77777777" w:rsidR="00691065" w:rsidRPr="0058432E" w:rsidRDefault="00691065" w:rsidP="00982118">
      <w:pPr>
        <w:rPr>
          <w:color w:val="000000" w:themeColor="text1"/>
        </w:rPr>
      </w:pPr>
    </w:p>
    <w:p w14:paraId="4A161C58" w14:textId="77777777" w:rsidR="00691065" w:rsidRPr="0058432E" w:rsidRDefault="00691065" w:rsidP="00982118">
      <w:pPr>
        <w:rPr>
          <w:color w:val="000000" w:themeColor="text1"/>
        </w:rPr>
      </w:pPr>
    </w:p>
    <w:p w14:paraId="4D4A31B0"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ET VOIE D’ADMINISTRATION </w:t>
      </w:r>
    </w:p>
    <w:p w14:paraId="3260FEFC" w14:textId="77777777" w:rsidR="00691065" w:rsidRPr="0058432E" w:rsidRDefault="00691065" w:rsidP="00982118">
      <w:pPr>
        <w:rPr>
          <w:color w:val="000000" w:themeColor="text1"/>
        </w:rPr>
      </w:pPr>
    </w:p>
    <w:p w14:paraId="4E22DF6A" w14:textId="77777777" w:rsidR="00691065" w:rsidRPr="0058432E" w:rsidRDefault="006A1144" w:rsidP="00982118">
      <w:pPr>
        <w:rPr>
          <w:color w:val="000000" w:themeColor="text1"/>
        </w:rPr>
      </w:pPr>
      <w:r w:rsidRPr="0058432E">
        <w:rPr>
          <w:color w:val="000000" w:themeColor="text1"/>
        </w:rPr>
        <w:t xml:space="preserve">Amsparity 20 mg, solution injectable </w:t>
      </w:r>
    </w:p>
    <w:p w14:paraId="2AE1C57E" w14:textId="77777777" w:rsidR="00691065" w:rsidRPr="0058432E" w:rsidRDefault="00691065"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32624066" w14:textId="77777777" w:rsidR="00691065" w:rsidRPr="0058432E" w:rsidRDefault="00595F1B" w:rsidP="00982118">
      <w:pPr>
        <w:rPr>
          <w:color w:val="000000" w:themeColor="text1"/>
        </w:rPr>
      </w:pPr>
      <w:r w:rsidRPr="0058432E">
        <w:rPr>
          <w:color w:val="000000" w:themeColor="text1"/>
        </w:rPr>
        <w:t>SC</w:t>
      </w:r>
    </w:p>
    <w:p w14:paraId="7E4D69C9" w14:textId="77777777" w:rsidR="00691065" w:rsidRPr="0058432E" w:rsidRDefault="00691065" w:rsidP="00982118">
      <w:pPr>
        <w:rPr>
          <w:color w:val="000000" w:themeColor="text1"/>
        </w:rPr>
      </w:pPr>
    </w:p>
    <w:p w14:paraId="7AE030F6" w14:textId="77777777" w:rsidR="00691065" w:rsidRPr="0058432E" w:rsidRDefault="00691065" w:rsidP="00982118">
      <w:pPr>
        <w:rPr>
          <w:color w:val="000000" w:themeColor="text1"/>
        </w:rPr>
      </w:pPr>
    </w:p>
    <w:p w14:paraId="05C351C5"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MODE D’ADMINISTRATION </w:t>
      </w:r>
    </w:p>
    <w:p w14:paraId="3124A48B" w14:textId="77777777" w:rsidR="00691065" w:rsidRPr="0058432E" w:rsidRDefault="00691065" w:rsidP="00982118">
      <w:pPr>
        <w:rPr>
          <w:color w:val="000000" w:themeColor="text1"/>
        </w:rPr>
      </w:pPr>
    </w:p>
    <w:p w14:paraId="65C94841" w14:textId="77777777" w:rsidR="00691065" w:rsidRPr="0058432E" w:rsidRDefault="00691065" w:rsidP="00982118">
      <w:pPr>
        <w:rPr>
          <w:color w:val="000000" w:themeColor="text1"/>
        </w:rPr>
      </w:pPr>
    </w:p>
    <w:p w14:paraId="75E5C4B2"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DATE DE PÉREMPTION </w:t>
      </w:r>
    </w:p>
    <w:p w14:paraId="0AB7CDC3" w14:textId="77777777" w:rsidR="00691065" w:rsidRPr="0058432E" w:rsidRDefault="00691065" w:rsidP="00982118">
      <w:pPr>
        <w:rPr>
          <w:color w:val="000000" w:themeColor="text1"/>
        </w:rPr>
      </w:pPr>
    </w:p>
    <w:p w14:paraId="485D774C" w14:textId="77777777" w:rsidR="00691065" w:rsidRPr="0058432E" w:rsidRDefault="00691065" w:rsidP="00982118">
      <w:pPr>
        <w:rPr>
          <w:color w:val="000000" w:themeColor="text1"/>
        </w:rPr>
      </w:pPr>
      <w:r w:rsidRPr="0058432E">
        <w:rPr>
          <w:color w:val="000000" w:themeColor="text1"/>
        </w:rPr>
        <w:t xml:space="preserve">EXP </w:t>
      </w:r>
    </w:p>
    <w:p w14:paraId="44B6870F" w14:textId="77777777" w:rsidR="00691065" w:rsidRPr="0058432E" w:rsidRDefault="00691065" w:rsidP="00982118">
      <w:pPr>
        <w:rPr>
          <w:color w:val="000000" w:themeColor="text1"/>
        </w:rPr>
      </w:pPr>
    </w:p>
    <w:p w14:paraId="29682C3B" w14:textId="77777777" w:rsidR="00691065" w:rsidRPr="0058432E" w:rsidRDefault="00691065" w:rsidP="00982118">
      <w:pPr>
        <w:rPr>
          <w:color w:val="000000" w:themeColor="text1"/>
        </w:rPr>
      </w:pPr>
    </w:p>
    <w:p w14:paraId="1C75AED9"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NUMÉRO DU LOT </w:t>
      </w:r>
    </w:p>
    <w:p w14:paraId="69C18562" w14:textId="77777777" w:rsidR="00691065" w:rsidRPr="0058432E" w:rsidRDefault="00691065" w:rsidP="00982118">
      <w:pPr>
        <w:rPr>
          <w:color w:val="000000" w:themeColor="text1"/>
        </w:rPr>
      </w:pPr>
    </w:p>
    <w:p w14:paraId="4026F68A" w14:textId="77777777" w:rsidR="00691065" w:rsidRPr="0058432E" w:rsidRDefault="00691065" w:rsidP="00982118">
      <w:pPr>
        <w:rPr>
          <w:color w:val="000000" w:themeColor="text1"/>
        </w:rPr>
      </w:pPr>
      <w:r w:rsidRPr="0058432E">
        <w:rPr>
          <w:color w:val="000000" w:themeColor="text1"/>
        </w:rPr>
        <w:t xml:space="preserve">Lot </w:t>
      </w:r>
    </w:p>
    <w:p w14:paraId="31CCE23A" w14:textId="77777777" w:rsidR="00691065" w:rsidRPr="0058432E" w:rsidRDefault="00691065" w:rsidP="00982118">
      <w:pPr>
        <w:rPr>
          <w:color w:val="000000" w:themeColor="text1"/>
        </w:rPr>
      </w:pPr>
    </w:p>
    <w:p w14:paraId="1C0F9999" w14:textId="77777777" w:rsidR="00691065" w:rsidRPr="0058432E" w:rsidRDefault="00691065" w:rsidP="00982118">
      <w:pPr>
        <w:rPr>
          <w:color w:val="000000" w:themeColor="text1"/>
        </w:rPr>
      </w:pPr>
    </w:p>
    <w:p w14:paraId="1D8443D9"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5.</w:t>
      </w:r>
      <w:r w:rsidRPr="0058432E">
        <w:rPr>
          <w:b/>
          <w:color w:val="000000" w:themeColor="text1"/>
        </w:rPr>
        <w:tab/>
        <w:t xml:space="preserve">CONTENU EN POIDS, VOLUME OU UNITÉ </w:t>
      </w:r>
    </w:p>
    <w:p w14:paraId="762B9752" w14:textId="77777777" w:rsidR="00691065" w:rsidRPr="0058432E" w:rsidRDefault="00691065" w:rsidP="00982118">
      <w:pPr>
        <w:rPr>
          <w:color w:val="000000" w:themeColor="text1"/>
        </w:rPr>
      </w:pPr>
    </w:p>
    <w:p w14:paraId="01592D8A" w14:textId="77777777" w:rsidR="00691065" w:rsidRPr="0058432E" w:rsidRDefault="00691065" w:rsidP="00982118">
      <w:pPr>
        <w:pStyle w:val="BodyText"/>
        <w:widowControl/>
        <w:kinsoku w:val="0"/>
        <w:overflowPunct w:val="0"/>
        <w:spacing w:before="71"/>
        <w:ind w:left="0"/>
        <w:rPr>
          <w:color w:val="000000" w:themeColor="text1"/>
        </w:rPr>
      </w:pPr>
      <w:r w:rsidRPr="0058432E">
        <w:rPr>
          <w:color w:val="000000" w:themeColor="text1"/>
          <w:highlight w:val="lightGray"/>
        </w:rPr>
        <w:t>20 mg/0,4 ml</w:t>
      </w:r>
    </w:p>
    <w:p w14:paraId="5534A747" w14:textId="77777777" w:rsidR="00691065" w:rsidRPr="0058432E" w:rsidRDefault="00691065" w:rsidP="00982118">
      <w:pPr>
        <w:rPr>
          <w:color w:val="000000" w:themeColor="text1"/>
        </w:rPr>
      </w:pPr>
    </w:p>
    <w:p w14:paraId="600225B6" w14:textId="77777777" w:rsidR="00691065" w:rsidRPr="0058432E" w:rsidRDefault="00691065" w:rsidP="00982118">
      <w:pPr>
        <w:rPr>
          <w:color w:val="000000" w:themeColor="text1"/>
        </w:rPr>
      </w:pPr>
    </w:p>
    <w:p w14:paraId="4D6D9108" w14:textId="77777777" w:rsidR="00691065" w:rsidRPr="0058432E" w:rsidRDefault="00691065"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6.</w:t>
      </w:r>
      <w:r w:rsidRPr="0058432E">
        <w:rPr>
          <w:b/>
          <w:color w:val="000000" w:themeColor="text1"/>
        </w:rPr>
        <w:tab/>
        <w:t xml:space="preserve">AUTRE </w:t>
      </w:r>
    </w:p>
    <w:p w14:paraId="7F61B88B" w14:textId="77777777" w:rsidR="00691065" w:rsidRPr="0058432E" w:rsidRDefault="00691065" w:rsidP="00982118">
      <w:pPr>
        <w:rPr>
          <w:color w:val="000000" w:themeColor="text1"/>
        </w:rPr>
      </w:pPr>
    </w:p>
    <w:p w14:paraId="62F1A820" w14:textId="77777777" w:rsidR="00A7312E" w:rsidRPr="0058432E" w:rsidRDefault="00691065" w:rsidP="00982118">
      <w:pPr>
        <w:rPr>
          <w:color w:val="000000" w:themeColor="text1"/>
        </w:rPr>
      </w:pPr>
      <w:r w:rsidRPr="0058432E">
        <w:rPr>
          <w:color w:val="000000" w:themeColor="text1"/>
        </w:rPr>
        <w:br w:type="page"/>
      </w:r>
    </w:p>
    <w:p w14:paraId="6BCBC8BC"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DEVANT FIGURER SUR L’EMBALLAGE EXTÉRIEUR </w:t>
      </w:r>
    </w:p>
    <w:p w14:paraId="03E0D0D5"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62B82AA8" w14:textId="77777777" w:rsidR="00C46587" w:rsidRPr="0058432E" w:rsidRDefault="004218C2"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EMBALLAGE EXTÉRIEUR </w:t>
      </w:r>
    </w:p>
    <w:p w14:paraId="4E496079" w14:textId="77777777" w:rsidR="00C46587" w:rsidRPr="0058432E" w:rsidRDefault="00C46587" w:rsidP="00982118">
      <w:pPr>
        <w:rPr>
          <w:color w:val="000000" w:themeColor="text1"/>
        </w:rPr>
      </w:pPr>
    </w:p>
    <w:p w14:paraId="7006DBF1" w14:textId="77777777" w:rsidR="00C46587" w:rsidRPr="0058432E" w:rsidRDefault="00C46587" w:rsidP="00982118">
      <w:pPr>
        <w:rPr>
          <w:color w:val="000000" w:themeColor="text1"/>
        </w:rPr>
      </w:pPr>
    </w:p>
    <w:p w14:paraId="5230B286"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313D8FD4" w14:textId="77777777" w:rsidR="00C46587" w:rsidRPr="0058432E" w:rsidRDefault="00C46587" w:rsidP="00982118">
      <w:pPr>
        <w:rPr>
          <w:color w:val="000000" w:themeColor="text1"/>
        </w:rPr>
      </w:pPr>
    </w:p>
    <w:p w14:paraId="21C386FE" w14:textId="77777777" w:rsidR="00C46587" w:rsidRPr="0058432E" w:rsidRDefault="006A1144" w:rsidP="00982118">
      <w:pPr>
        <w:rPr>
          <w:color w:val="000000" w:themeColor="text1"/>
        </w:rPr>
      </w:pPr>
      <w:r w:rsidRPr="0058432E">
        <w:rPr>
          <w:color w:val="000000" w:themeColor="text1"/>
        </w:rPr>
        <w:t xml:space="preserve">Amsparity 40 mg/0,8 ml, solution injectable </w:t>
      </w:r>
    </w:p>
    <w:p w14:paraId="651E82FB"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5E93C6AD" w14:textId="77777777" w:rsidR="00C46587" w:rsidRPr="0058432E" w:rsidRDefault="00C46587" w:rsidP="00982118">
      <w:pPr>
        <w:rPr>
          <w:color w:val="000000" w:themeColor="text1"/>
        </w:rPr>
      </w:pPr>
    </w:p>
    <w:p w14:paraId="6639BF79" w14:textId="77777777" w:rsidR="00C46587" w:rsidRPr="0058432E" w:rsidRDefault="00C46587" w:rsidP="00982118">
      <w:pPr>
        <w:rPr>
          <w:color w:val="000000" w:themeColor="text1"/>
        </w:rPr>
      </w:pPr>
    </w:p>
    <w:p w14:paraId="507382FC"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COMPOSITION EN SUBSTANCE ACTIVE </w:t>
      </w:r>
    </w:p>
    <w:p w14:paraId="7A74EB50" w14:textId="77777777" w:rsidR="00C46587" w:rsidRPr="0058432E" w:rsidRDefault="00C46587" w:rsidP="00982118">
      <w:pPr>
        <w:rPr>
          <w:color w:val="000000" w:themeColor="text1"/>
        </w:rPr>
      </w:pPr>
    </w:p>
    <w:p w14:paraId="7274603C" w14:textId="77777777" w:rsidR="00C46587" w:rsidRPr="0058432E" w:rsidRDefault="00C46587" w:rsidP="00982118">
      <w:pPr>
        <w:rPr>
          <w:color w:val="000000" w:themeColor="text1"/>
        </w:rPr>
      </w:pPr>
      <w:r w:rsidRPr="0058432E">
        <w:rPr>
          <w:color w:val="000000" w:themeColor="text1"/>
        </w:rPr>
        <w:t xml:space="preserve">Un flacon de 0,8 ml contient 40 mg d’adalimumab. </w:t>
      </w:r>
    </w:p>
    <w:p w14:paraId="759CC785" w14:textId="77777777" w:rsidR="00C46587" w:rsidRPr="0058432E" w:rsidRDefault="00C46587" w:rsidP="00982118">
      <w:pPr>
        <w:rPr>
          <w:color w:val="000000" w:themeColor="text1"/>
        </w:rPr>
      </w:pPr>
    </w:p>
    <w:p w14:paraId="1A9F1E8C" w14:textId="77777777" w:rsidR="00C46587" w:rsidRPr="0058432E" w:rsidRDefault="00C46587" w:rsidP="00982118">
      <w:pPr>
        <w:rPr>
          <w:color w:val="000000" w:themeColor="text1"/>
        </w:rPr>
      </w:pPr>
    </w:p>
    <w:p w14:paraId="6563A39E"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LISTE DES EXCIPIENTS </w:t>
      </w:r>
    </w:p>
    <w:p w14:paraId="3A88DE88" w14:textId="77777777" w:rsidR="00C46587" w:rsidRPr="0058432E" w:rsidRDefault="00C46587" w:rsidP="00982118">
      <w:pPr>
        <w:rPr>
          <w:color w:val="000000" w:themeColor="text1"/>
        </w:rPr>
      </w:pPr>
    </w:p>
    <w:p w14:paraId="2FCDE418" w14:textId="77777777" w:rsidR="00C46587" w:rsidRPr="0058432E" w:rsidRDefault="00C46587" w:rsidP="00982118">
      <w:pPr>
        <w:rPr>
          <w:color w:val="000000" w:themeColor="text1"/>
        </w:rPr>
      </w:pPr>
      <w:r w:rsidRPr="0058432E">
        <w:rPr>
          <w:color w:val="000000" w:themeColor="text1"/>
        </w:rPr>
        <w:t>Excipients : L-histidine, chlorhydrate de L-histidine monohydraté, saccharose, édétate disodique dihydraté, L-méthionine, polysorbate 80 et eau pour préparations injectables.</w:t>
      </w:r>
      <w:r w:rsidR="006A6449" w:rsidRPr="0058432E">
        <w:rPr>
          <w:color w:val="000000" w:themeColor="text1"/>
        </w:rPr>
        <w:t xml:space="preserve"> </w:t>
      </w:r>
      <w:r w:rsidR="006A6449" w:rsidRPr="0058432E">
        <w:rPr>
          <w:color w:val="000000" w:themeColor="text1"/>
          <w:highlight w:val="lightGray"/>
        </w:rPr>
        <w:t>Voir la notice pour plus d'information</w:t>
      </w:r>
      <w:r w:rsidR="00490D75" w:rsidRPr="0058432E">
        <w:rPr>
          <w:color w:val="000000" w:themeColor="text1"/>
          <w:highlight w:val="lightGray"/>
        </w:rPr>
        <w:t>s</w:t>
      </w:r>
      <w:r w:rsidR="00A63A3F" w:rsidRPr="0058432E">
        <w:rPr>
          <w:color w:val="000000" w:themeColor="text1"/>
          <w:highlight w:val="lightGray"/>
        </w:rPr>
        <w:t>.</w:t>
      </w:r>
      <w:r w:rsidRPr="0058432E">
        <w:rPr>
          <w:color w:val="000000" w:themeColor="text1"/>
        </w:rPr>
        <w:t xml:space="preserve"> </w:t>
      </w:r>
    </w:p>
    <w:p w14:paraId="08B43AA6" w14:textId="77777777" w:rsidR="00C46587" w:rsidRPr="0058432E" w:rsidRDefault="00C46587" w:rsidP="00982118">
      <w:pPr>
        <w:tabs>
          <w:tab w:val="left" w:pos="562"/>
        </w:tabs>
        <w:rPr>
          <w:color w:val="000000" w:themeColor="text1"/>
        </w:rPr>
      </w:pPr>
    </w:p>
    <w:p w14:paraId="053AA230" w14:textId="77777777" w:rsidR="00C46587" w:rsidRPr="0058432E" w:rsidRDefault="00C46587" w:rsidP="00982118">
      <w:pPr>
        <w:tabs>
          <w:tab w:val="left" w:pos="562"/>
        </w:tabs>
        <w:rPr>
          <w:color w:val="000000" w:themeColor="text1"/>
        </w:rPr>
      </w:pPr>
    </w:p>
    <w:p w14:paraId="356CC189"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FORME PHARMACEUTIQUE ET CONTENU </w:t>
      </w:r>
    </w:p>
    <w:p w14:paraId="28498428" w14:textId="77777777" w:rsidR="00C46587" w:rsidRPr="0058432E" w:rsidRDefault="00C46587" w:rsidP="00982118">
      <w:pPr>
        <w:rPr>
          <w:color w:val="000000" w:themeColor="text1"/>
        </w:rPr>
      </w:pPr>
    </w:p>
    <w:p w14:paraId="275FAEC7" w14:textId="77777777" w:rsidR="004218C2" w:rsidRPr="0058432E" w:rsidRDefault="004218C2" w:rsidP="00982118">
      <w:pPr>
        <w:rPr>
          <w:color w:val="000000" w:themeColor="text1"/>
        </w:rPr>
      </w:pPr>
      <w:r w:rsidRPr="0058432E">
        <w:rPr>
          <w:color w:val="000000" w:themeColor="text1"/>
          <w:highlight w:val="lightGray"/>
        </w:rPr>
        <w:t>Solution injectable</w:t>
      </w:r>
    </w:p>
    <w:p w14:paraId="1CC0BD45" w14:textId="77777777" w:rsidR="00C46587" w:rsidRPr="0058432E" w:rsidRDefault="00C46587" w:rsidP="00982118">
      <w:pPr>
        <w:rPr>
          <w:color w:val="000000" w:themeColor="text1"/>
        </w:rPr>
      </w:pPr>
      <w:r w:rsidRPr="0058432E">
        <w:rPr>
          <w:color w:val="000000" w:themeColor="text1"/>
        </w:rPr>
        <w:t xml:space="preserve">Contient 2 boîtes, chacune pour une injection unique </w:t>
      </w:r>
    </w:p>
    <w:p w14:paraId="2929C3A7" w14:textId="77777777" w:rsidR="00C46587" w:rsidRPr="0058432E" w:rsidRDefault="00C46587" w:rsidP="00982118">
      <w:pPr>
        <w:rPr>
          <w:b/>
          <w:color w:val="000000" w:themeColor="text1"/>
        </w:rPr>
      </w:pPr>
      <w:r w:rsidRPr="0058432E">
        <w:rPr>
          <w:b/>
          <w:color w:val="000000" w:themeColor="text1"/>
        </w:rPr>
        <w:t xml:space="preserve">Chaque boîte contient : </w:t>
      </w:r>
    </w:p>
    <w:p w14:paraId="4243B15D" w14:textId="77777777" w:rsidR="00C46587" w:rsidRPr="0058432E" w:rsidRDefault="00C46587" w:rsidP="00982118">
      <w:pPr>
        <w:rPr>
          <w:color w:val="000000" w:themeColor="text1"/>
        </w:rPr>
      </w:pPr>
      <w:r w:rsidRPr="0058432E">
        <w:rPr>
          <w:color w:val="000000" w:themeColor="text1"/>
        </w:rPr>
        <w:t xml:space="preserve">1 flacon </w:t>
      </w:r>
    </w:p>
    <w:p w14:paraId="39F81281" w14:textId="77777777" w:rsidR="00C46587" w:rsidRPr="0058432E" w:rsidRDefault="00C46587" w:rsidP="00982118">
      <w:pPr>
        <w:rPr>
          <w:color w:val="000000" w:themeColor="text1"/>
        </w:rPr>
      </w:pPr>
      <w:r w:rsidRPr="0058432E">
        <w:rPr>
          <w:color w:val="000000" w:themeColor="text1"/>
        </w:rPr>
        <w:t xml:space="preserve">1 seringue pour injection stérile </w:t>
      </w:r>
    </w:p>
    <w:p w14:paraId="7CEAB0E8" w14:textId="77777777" w:rsidR="00C46587" w:rsidRPr="0058432E" w:rsidRDefault="00C46587" w:rsidP="00982118">
      <w:pPr>
        <w:rPr>
          <w:color w:val="000000" w:themeColor="text1"/>
        </w:rPr>
      </w:pPr>
      <w:r w:rsidRPr="0058432E">
        <w:rPr>
          <w:color w:val="000000" w:themeColor="text1"/>
        </w:rPr>
        <w:t xml:space="preserve">1 aiguille stérile </w:t>
      </w:r>
    </w:p>
    <w:p w14:paraId="5291B083" w14:textId="77777777" w:rsidR="00C46587" w:rsidRPr="0058432E" w:rsidRDefault="00C46587" w:rsidP="00982118">
      <w:pPr>
        <w:rPr>
          <w:color w:val="000000" w:themeColor="text1"/>
        </w:rPr>
      </w:pPr>
      <w:r w:rsidRPr="0058432E">
        <w:rPr>
          <w:color w:val="000000" w:themeColor="text1"/>
        </w:rPr>
        <w:t xml:space="preserve">1 adaptateur stérile pour flacon </w:t>
      </w:r>
    </w:p>
    <w:p w14:paraId="3A2D71B9" w14:textId="77777777" w:rsidR="00C46587" w:rsidRPr="0058432E" w:rsidRDefault="00C46587" w:rsidP="00982118">
      <w:pPr>
        <w:rPr>
          <w:color w:val="000000" w:themeColor="text1"/>
        </w:rPr>
      </w:pPr>
      <w:r w:rsidRPr="0058432E">
        <w:rPr>
          <w:color w:val="000000" w:themeColor="text1"/>
        </w:rPr>
        <w:t xml:space="preserve">2 tampons d’alcool </w:t>
      </w:r>
    </w:p>
    <w:p w14:paraId="7C70A1C4" w14:textId="77777777" w:rsidR="00C46587" w:rsidRPr="0058432E" w:rsidRDefault="00C46587" w:rsidP="00982118">
      <w:pPr>
        <w:rPr>
          <w:color w:val="000000" w:themeColor="text1"/>
        </w:rPr>
      </w:pPr>
    </w:p>
    <w:p w14:paraId="07FADB0F" w14:textId="77777777" w:rsidR="00C46587" w:rsidRPr="0058432E" w:rsidRDefault="00C46587" w:rsidP="00982118">
      <w:pPr>
        <w:rPr>
          <w:color w:val="000000" w:themeColor="text1"/>
        </w:rPr>
      </w:pPr>
    </w:p>
    <w:p w14:paraId="3DB295DB"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5.</w:t>
      </w:r>
      <w:r w:rsidRPr="0058432E">
        <w:rPr>
          <w:b/>
          <w:color w:val="000000" w:themeColor="text1"/>
        </w:rPr>
        <w:tab/>
        <w:t xml:space="preserve">MODE ET VOIE D’ADMINISTRATION </w:t>
      </w:r>
    </w:p>
    <w:p w14:paraId="072BD05F" w14:textId="77777777" w:rsidR="00C46587" w:rsidRPr="0058432E" w:rsidRDefault="00C46587" w:rsidP="00982118">
      <w:pPr>
        <w:rPr>
          <w:color w:val="000000" w:themeColor="text1"/>
        </w:rPr>
      </w:pPr>
    </w:p>
    <w:p w14:paraId="36E58FE0" w14:textId="77777777" w:rsidR="00C46587" w:rsidRPr="0058432E" w:rsidRDefault="00C46587" w:rsidP="00982118">
      <w:pPr>
        <w:rPr>
          <w:color w:val="000000" w:themeColor="text1"/>
        </w:rPr>
      </w:pPr>
      <w:r w:rsidRPr="0058432E">
        <w:rPr>
          <w:color w:val="000000" w:themeColor="text1"/>
        </w:rPr>
        <w:t xml:space="preserve">Voie sous-cutanée </w:t>
      </w:r>
    </w:p>
    <w:p w14:paraId="1FCD432B" w14:textId="77777777" w:rsidR="00C46587" w:rsidRPr="0058432E" w:rsidRDefault="00C46587" w:rsidP="00982118">
      <w:pPr>
        <w:rPr>
          <w:color w:val="000000" w:themeColor="text1"/>
        </w:rPr>
      </w:pPr>
    </w:p>
    <w:p w14:paraId="20968457" w14:textId="77777777" w:rsidR="00C46587" w:rsidRPr="0058432E" w:rsidRDefault="00C46587" w:rsidP="00982118">
      <w:pPr>
        <w:rPr>
          <w:color w:val="000000" w:themeColor="text1"/>
        </w:rPr>
      </w:pPr>
      <w:r w:rsidRPr="0058432E">
        <w:rPr>
          <w:color w:val="000000" w:themeColor="text1"/>
        </w:rPr>
        <w:t xml:space="preserve">Lire la notice avant utilisation. </w:t>
      </w:r>
    </w:p>
    <w:p w14:paraId="495FCE87" w14:textId="77777777" w:rsidR="004218C2" w:rsidRPr="0058432E" w:rsidRDefault="004218C2" w:rsidP="00982118">
      <w:pPr>
        <w:rPr>
          <w:color w:val="000000" w:themeColor="text1"/>
        </w:rPr>
      </w:pPr>
    </w:p>
    <w:p w14:paraId="7B82F179" w14:textId="77777777" w:rsidR="004218C2" w:rsidRPr="0058432E" w:rsidRDefault="001F7F58" w:rsidP="00982118">
      <w:pPr>
        <w:rPr>
          <w:color w:val="000000" w:themeColor="text1"/>
        </w:rPr>
      </w:pPr>
      <w:r w:rsidRPr="0058432E">
        <w:rPr>
          <w:color w:val="000000" w:themeColor="text1"/>
        </w:rPr>
        <w:t>U</w:t>
      </w:r>
      <w:r w:rsidR="00724AF5" w:rsidRPr="0058432E">
        <w:rPr>
          <w:color w:val="000000" w:themeColor="text1"/>
        </w:rPr>
        <w:t>sage pédiatrique</w:t>
      </w:r>
    </w:p>
    <w:p w14:paraId="6976A664" w14:textId="77777777" w:rsidR="00C46587" w:rsidRPr="0058432E" w:rsidRDefault="00C46587" w:rsidP="00982118">
      <w:pPr>
        <w:rPr>
          <w:color w:val="000000" w:themeColor="text1"/>
        </w:rPr>
      </w:pPr>
    </w:p>
    <w:p w14:paraId="07DA38DA" w14:textId="77777777" w:rsidR="00C46587" w:rsidRPr="0058432E" w:rsidRDefault="00C46587" w:rsidP="00982118">
      <w:pPr>
        <w:rPr>
          <w:color w:val="000000" w:themeColor="text1"/>
        </w:rPr>
      </w:pPr>
    </w:p>
    <w:p w14:paraId="59C3B399"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6.</w:t>
      </w:r>
      <w:r w:rsidRPr="0058432E">
        <w:rPr>
          <w:b/>
          <w:color w:val="000000" w:themeColor="text1"/>
        </w:rPr>
        <w:tab/>
        <w:t xml:space="preserve">MISE EN GARDE SPÉCIALE INDIQUANT QUE LE MÉDICAMENT DOIT ÊTRE CONSERVÉ HORS DE VUE ET DE PORTÉE DES ENFANTS </w:t>
      </w:r>
    </w:p>
    <w:p w14:paraId="43CDDB75" w14:textId="77777777" w:rsidR="00C46587" w:rsidRPr="0058432E" w:rsidRDefault="00C46587" w:rsidP="00982118">
      <w:pPr>
        <w:rPr>
          <w:color w:val="000000" w:themeColor="text1"/>
        </w:rPr>
      </w:pPr>
    </w:p>
    <w:p w14:paraId="4B690067" w14:textId="77777777" w:rsidR="00C46587" w:rsidRPr="0058432E" w:rsidRDefault="00C46587" w:rsidP="00982118">
      <w:pPr>
        <w:rPr>
          <w:color w:val="000000" w:themeColor="text1"/>
        </w:rPr>
      </w:pPr>
      <w:r w:rsidRPr="0058432E">
        <w:rPr>
          <w:color w:val="000000" w:themeColor="text1"/>
        </w:rPr>
        <w:t xml:space="preserve">Tenir hors de la vue et de la portée des enfants. </w:t>
      </w:r>
    </w:p>
    <w:p w14:paraId="164154A6" w14:textId="77777777" w:rsidR="00C46587" w:rsidRPr="0058432E" w:rsidRDefault="00C46587" w:rsidP="00982118">
      <w:pPr>
        <w:rPr>
          <w:color w:val="000000" w:themeColor="text1"/>
        </w:rPr>
      </w:pPr>
    </w:p>
    <w:p w14:paraId="635926FD" w14:textId="77777777" w:rsidR="00C46587" w:rsidRPr="0058432E" w:rsidRDefault="00C46587" w:rsidP="00982118">
      <w:pPr>
        <w:rPr>
          <w:color w:val="000000" w:themeColor="text1"/>
        </w:rPr>
      </w:pPr>
    </w:p>
    <w:p w14:paraId="6E39AB13"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7.</w:t>
      </w:r>
      <w:r w:rsidRPr="0058432E">
        <w:rPr>
          <w:b/>
          <w:color w:val="000000" w:themeColor="text1"/>
        </w:rPr>
        <w:tab/>
        <w:t xml:space="preserve">AUTRE MISE EN GARDE SPÉCIALE, SI NÉCESSAIRE </w:t>
      </w:r>
    </w:p>
    <w:p w14:paraId="3564D8B6" w14:textId="77777777" w:rsidR="00C46587" w:rsidRPr="0058432E" w:rsidRDefault="00C46587" w:rsidP="00982118">
      <w:pPr>
        <w:keepNext/>
        <w:rPr>
          <w:color w:val="000000" w:themeColor="text1"/>
        </w:rPr>
      </w:pPr>
    </w:p>
    <w:p w14:paraId="78DA8BAA" w14:textId="77777777" w:rsidR="00C46587" w:rsidRPr="0058432E" w:rsidRDefault="00C46587" w:rsidP="00982118">
      <w:pPr>
        <w:rPr>
          <w:color w:val="000000" w:themeColor="text1"/>
        </w:rPr>
      </w:pPr>
    </w:p>
    <w:p w14:paraId="732CF8E2"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8.</w:t>
      </w:r>
      <w:r w:rsidRPr="0058432E">
        <w:rPr>
          <w:b/>
          <w:color w:val="000000" w:themeColor="text1"/>
        </w:rPr>
        <w:tab/>
        <w:t xml:space="preserve">DATE DE PÉREMPTION </w:t>
      </w:r>
    </w:p>
    <w:p w14:paraId="1F54E752" w14:textId="77777777" w:rsidR="00C46587" w:rsidRPr="0058432E" w:rsidRDefault="00C46587" w:rsidP="00A924EE">
      <w:pPr>
        <w:keepNext/>
        <w:rPr>
          <w:color w:val="000000" w:themeColor="text1"/>
        </w:rPr>
      </w:pPr>
    </w:p>
    <w:p w14:paraId="173AF9F3" w14:textId="77777777" w:rsidR="00C46587" w:rsidRPr="0058432E" w:rsidRDefault="00C46587" w:rsidP="00982118">
      <w:pPr>
        <w:rPr>
          <w:color w:val="000000" w:themeColor="text1"/>
        </w:rPr>
      </w:pPr>
      <w:r w:rsidRPr="0058432E">
        <w:rPr>
          <w:color w:val="000000" w:themeColor="text1"/>
        </w:rPr>
        <w:t xml:space="preserve">EXP </w:t>
      </w:r>
    </w:p>
    <w:p w14:paraId="4C93ABDB" w14:textId="77777777" w:rsidR="00C46587" w:rsidRPr="0058432E" w:rsidRDefault="00C46587" w:rsidP="00982118">
      <w:pPr>
        <w:rPr>
          <w:color w:val="000000" w:themeColor="text1"/>
        </w:rPr>
      </w:pPr>
    </w:p>
    <w:p w14:paraId="5834BC76" w14:textId="77777777" w:rsidR="00C46587" w:rsidRPr="0058432E" w:rsidRDefault="00C46587" w:rsidP="00982118">
      <w:pPr>
        <w:rPr>
          <w:color w:val="000000" w:themeColor="text1"/>
        </w:rPr>
      </w:pPr>
    </w:p>
    <w:p w14:paraId="7A2ED4C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9.</w:t>
      </w:r>
      <w:r w:rsidRPr="0058432E">
        <w:rPr>
          <w:b/>
          <w:color w:val="000000" w:themeColor="text1"/>
        </w:rPr>
        <w:tab/>
        <w:t xml:space="preserve">PRÉCAUTIONS PARTICULIÈRES DE CONSERVATION </w:t>
      </w:r>
    </w:p>
    <w:p w14:paraId="71A5D54B" w14:textId="77777777" w:rsidR="00C46587" w:rsidRPr="0058432E" w:rsidRDefault="00C46587" w:rsidP="00982118">
      <w:pPr>
        <w:rPr>
          <w:color w:val="000000" w:themeColor="text1"/>
        </w:rPr>
      </w:pPr>
    </w:p>
    <w:p w14:paraId="01F499F5" w14:textId="77777777" w:rsidR="00CA01BA" w:rsidRPr="0058432E" w:rsidRDefault="005C4454" w:rsidP="00982118">
      <w:pPr>
        <w:rPr>
          <w:color w:val="000000" w:themeColor="text1"/>
        </w:rPr>
      </w:pPr>
      <w:r w:rsidRPr="0058432E">
        <w:rPr>
          <w:color w:val="000000" w:themeColor="text1"/>
        </w:rPr>
        <w:t>À</w:t>
      </w:r>
      <w:r w:rsidR="00C46587" w:rsidRPr="0058432E">
        <w:rPr>
          <w:color w:val="000000" w:themeColor="text1"/>
        </w:rPr>
        <w:t xml:space="preserve"> conserver au réfrigérateur. Ne pas congeler.</w:t>
      </w:r>
    </w:p>
    <w:p w14:paraId="1FC2FB49" w14:textId="77777777" w:rsidR="00C46587" w:rsidRPr="0058432E" w:rsidRDefault="00C46587" w:rsidP="00982118">
      <w:pPr>
        <w:rPr>
          <w:color w:val="000000" w:themeColor="text1"/>
        </w:rPr>
      </w:pPr>
    </w:p>
    <w:p w14:paraId="162EEA9A" w14:textId="77777777" w:rsidR="00C46587" w:rsidRPr="0058432E" w:rsidRDefault="00C46587" w:rsidP="00982118">
      <w:pPr>
        <w:rPr>
          <w:color w:val="000000" w:themeColor="text1"/>
        </w:rPr>
      </w:pPr>
      <w:r w:rsidRPr="0058432E">
        <w:rPr>
          <w:color w:val="000000" w:themeColor="text1"/>
        </w:rPr>
        <w:t xml:space="preserve">Conserver le flacon dans l’emballage extérieur à l’abri de la lumière. </w:t>
      </w:r>
    </w:p>
    <w:p w14:paraId="20EAE093" w14:textId="77777777" w:rsidR="00C46587" w:rsidRPr="0058432E" w:rsidRDefault="00C46587" w:rsidP="00982118">
      <w:pPr>
        <w:rPr>
          <w:color w:val="000000" w:themeColor="text1"/>
        </w:rPr>
      </w:pPr>
    </w:p>
    <w:p w14:paraId="6DB63DF1" w14:textId="77777777" w:rsidR="00C46587" w:rsidRPr="0058432E" w:rsidRDefault="00C46587" w:rsidP="00982118">
      <w:pPr>
        <w:rPr>
          <w:color w:val="000000" w:themeColor="text1"/>
        </w:rPr>
      </w:pPr>
    </w:p>
    <w:p w14:paraId="03733EE4"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10.</w:t>
      </w:r>
      <w:r w:rsidRPr="0058432E">
        <w:rPr>
          <w:b/>
          <w:color w:val="000000" w:themeColor="text1"/>
        </w:rPr>
        <w:tab/>
        <w:t xml:space="preserve">PRÉCAUTIONS PARTICULIÈRES D’ÉLIMINATION DES MÉDICAMENTS NON UTILISÉS OU DES DÉCHETS PROVENANT DE CES MÉDICAMENTS S’IL Y A LIEU </w:t>
      </w:r>
    </w:p>
    <w:p w14:paraId="77405983" w14:textId="77777777" w:rsidR="00C46587" w:rsidRPr="0058432E" w:rsidRDefault="00C46587" w:rsidP="00982118">
      <w:pPr>
        <w:rPr>
          <w:color w:val="000000" w:themeColor="text1"/>
        </w:rPr>
      </w:pPr>
    </w:p>
    <w:p w14:paraId="7AB6E8A1" w14:textId="77777777" w:rsidR="00C46587" w:rsidRPr="0058432E" w:rsidRDefault="00C46587" w:rsidP="00982118">
      <w:pPr>
        <w:rPr>
          <w:color w:val="000000" w:themeColor="text1"/>
        </w:rPr>
      </w:pPr>
    </w:p>
    <w:p w14:paraId="56075402" w14:textId="77777777" w:rsidR="00C46587" w:rsidRPr="0058432E" w:rsidRDefault="00C46587" w:rsidP="00B51A46">
      <w:pPr>
        <w:pBdr>
          <w:top w:val="single" w:sz="4" w:space="1" w:color="auto"/>
          <w:left w:val="single" w:sz="4" w:space="4" w:color="auto"/>
          <w:bottom w:val="single" w:sz="4" w:space="1" w:color="auto"/>
          <w:right w:val="single" w:sz="4" w:space="4" w:color="auto"/>
        </w:pBdr>
        <w:ind w:left="709" w:hanging="709"/>
        <w:rPr>
          <w:b/>
          <w:color w:val="000000" w:themeColor="text1"/>
        </w:rPr>
      </w:pPr>
      <w:r w:rsidRPr="0058432E">
        <w:rPr>
          <w:b/>
          <w:color w:val="000000" w:themeColor="text1"/>
        </w:rPr>
        <w:t>11.</w:t>
      </w:r>
      <w:r w:rsidRPr="0058432E">
        <w:rPr>
          <w:b/>
          <w:color w:val="000000" w:themeColor="text1"/>
        </w:rPr>
        <w:tab/>
        <w:t xml:space="preserve">NOM ET ADRESSE DU TITULAIRE DE L’AUTORISATION DE MISE SUR LE MARCHÉ </w:t>
      </w:r>
    </w:p>
    <w:p w14:paraId="722EC3BD" w14:textId="77777777" w:rsidR="00C46587" w:rsidRPr="0058432E" w:rsidRDefault="00C46587" w:rsidP="00982118">
      <w:pPr>
        <w:rPr>
          <w:b/>
          <w:color w:val="000000" w:themeColor="text1"/>
        </w:rPr>
      </w:pPr>
    </w:p>
    <w:p w14:paraId="071822E6" w14:textId="77777777" w:rsidR="00792CD9" w:rsidRPr="0058432E" w:rsidRDefault="00792CD9" w:rsidP="00982118">
      <w:pPr>
        <w:keepNext/>
        <w:ind w:right="14"/>
        <w:rPr>
          <w:color w:val="000000" w:themeColor="text1"/>
        </w:rPr>
      </w:pPr>
      <w:r w:rsidRPr="0058432E">
        <w:rPr>
          <w:color w:val="000000" w:themeColor="text1"/>
        </w:rPr>
        <w:t>Pfizer Europe MA EEIG</w:t>
      </w:r>
    </w:p>
    <w:p w14:paraId="43FF8122"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Boulevard de la Plaine 17</w:t>
      </w:r>
    </w:p>
    <w:p w14:paraId="3C09DC4E"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1050 Bruxelles</w:t>
      </w:r>
    </w:p>
    <w:p w14:paraId="615565D7"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Belgique</w:t>
      </w:r>
    </w:p>
    <w:p w14:paraId="2430CA37" w14:textId="77777777" w:rsidR="00C46587" w:rsidRPr="0058432E" w:rsidRDefault="00C46587" w:rsidP="00982118">
      <w:pPr>
        <w:rPr>
          <w:color w:val="000000" w:themeColor="text1"/>
        </w:rPr>
      </w:pPr>
    </w:p>
    <w:p w14:paraId="7ECA630A" w14:textId="77777777" w:rsidR="00C46587" w:rsidRPr="0058432E" w:rsidRDefault="00C46587" w:rsidP="00982118">
      <w:pPr>
        <w:rPr>
          <w:color w:val="000000" w:themeColor="text1"/>
        </w:rPr>
      </w:pPr>
    </w:p>
    <w:p w14:paraId="3546664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12.</w:t>
      </w:r>
      <w:r w:rsidRPr="0058432E">
        <w:rPr>
          <w:b/>
          <w:color w:val="000000" w:themeColor="text1"/>
        </w:rPr>
        <w:tab/>
        <w:t xml:space="preserve">NUMÉRO D’AUTORISATION DE MISE SUR LE MARCHÉ </w:t>
      </w:r>
    </w:p>
    <w:p w14:paraId="68CE7E25" w14:textId="77777777" w:rsidR="00C46587" w:rsidRPr="0058432E" w:rsidRDefault="00C46587" w:rsidP="00982118">
      <w:pPr>
        <w:rPr>
          <w:color w:val="000000" w:themeColor="text1"/>
        </w:rPr>
      </w:pPr>
    </w:p>
    <w:p w14:paraId="54CA2ECD" w14:textId="77777777" w:rsidR="00C46587" w:rsidRPr="0058432E" w:rsidRDefault="005C6564" w:rsidP="00982118">
      <w:pPr>
        <w:rPr>
          <w:color w:val="000000" w:themeColor="text1"/>
        </w:rPr>
      </w:pPr>
      <w:r w:rsidRPr="0058432E">
        <w:rPr>
          <w:color w:val="000000" w:themeColor="text1"/>
        </w:rPr>
        <w:t>EU/1/19/1415/002</w:t>
      </w:r>
    </w:p>
    <w:p w14:paraId="6B7254BF" w14:textId="77777777" w:rsidR="00C46587" w:rsidRPr="0058432E" w:rsidRDefault="00C46587" w:rsidP="00982118">
      <w:pPr>
        <w:rPr>
          <w:color w:val="000000" w:themeColor="text1"/>
        </w:rPr>
      </w:pPr>
    </w:p>
    <w:p w14:paraId="1C2A2145" w14:textId="77777777" w:rsidR="000D3575" w:rsidRPr="0058432E" w:rsidRDefault="000D3575" w:rsidP="00982118">
      <w:pPr>
        <w:rPr>
          <w:color w:val="000000" w:themeColor="text1"/>
        </w:rPr>
      </w:pPr>
    </w:p>
    <w:p w14:paraId="174B0D8A"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13.</w:t>
      </w:r>
      <w:r w:rsidRPr="0058432E">
        <w:rPr>
          <w:b/>
          <w:color w:val="000000" w:themeColor="text1"/>
        </w:rPr>
        <w:tab/>
        <w:t xml:space="preserve">NUMÉRO DU LOT </w:t>
      </w:r>
    </w:p>
    <w:p w14:paraId="355326D3" w14:textId="77777777" w:rsidR="00C46587" w:rsidRPr="0058432E" w:rsidRDefault="00C46587" w:rsidP="00982118">
      <w:pPr>
        <w:rPr>
          <w:color w:val="000000" w:themeColor="text1"/>
        </w:rPr>
      </w:pPr>
    </w:p>
    <w:p w14:paraId="52052F43" w14:textId="77777777" w:rsidR="00C46587" w:rsidRPr="0058432E" w:rsidRDefault="00C46587" w:rsidP="00982118">
      <w:pPr>
        <w:rPr>
          <w:color w:val="000000" w:themeColor="text1"/>
        </w:rPr>
      </w:pPr>
      <w:r w:rsidRPr="0058432E">
        <w:rPr>
          <w:color w:val="000000" w:themeColor="text1"/>
        </w:rPr>
        <w:t xml:space="preserve">Lot </w:t>
      </w:r>
    </w:p>
    <w:p w14:paraId="2BF3098A" w14:textId="77777777" w:rsidR="00C46587" w:rsidRPr="0058432E" w:rsidRDefault="00C46587" w:rsidP="00982118">
      <w:pPr>
        <w:rPr>
          <w:color w:val="000000" w:themeColor="text1"/>
        </w:rPr>
      </w:pPr>
    </w:p>
    <w:p w14:paraId="25C1B1B3" w14:textId="77777777" w:rsidR="00C46587" w:rsidRPr="0058432E" w:rsidRDefault="00C46587" w:rsidP="00982118">
      <w:pPr>
        <w:rPr>
          <w:color w:val="000000" w:themeColor="text1"/>
        </w:rPr>
      </w:pPr>
    </w:p>
    <w:p w14:paraId="12CAED35"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14.</w:t>
      </w:r>
      <w:r w:rsidRPr="0058432E">
        <w:rPr>
          <w:b/>
          <w:color w:val="000000" w:themeColor="text1"/>
        </w:rPr>
        <w:tab/>
        <w:t xml:space="preserve">CONDITIONS DE PRESCRIPTION ET DE DÉLIVRANCE </w:t>
      </w:r>
    </w:p>
    <w:p w14:paraId="0DFAC12E" w14:textId="77777777" w:rsidR="00C46587" w:rsidRPr="0058432E" w:rsidRDefault="00C46587" w:rsidP="00982118">
      <w:pPr>
        <w:rPr>
          <w:color w:val="000000" w:themeColor="text1"/>
        </w:rPr>
      </w:pPr>
    </w:p>
    <w:p w14:paraId="67D1BAA8" w14:textId="77777777" w:rsidR="00C46587" w:rsidRPr="0058432E" w:rsidRDefault="00C46587" w:rsidP="00982118">
      <w:pPr>
        <w:rPr>
          <w:color w:val="000000" w:themeColor="text1"/>
        </w:rPr>
      </w:pPr>
    </w:p>
    <w:p w14:paraId="73F29AAA"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15.</w:t>
      </w:r>
      <w:r w:rsidRPr="0058432E">
        <w:rPr>
          <w:b/>
          <w:color w:val="000000" w:themeColor="text1"/>
        </w:rPr>
        <w:tab/>
        <w:t xml:space="preserve">INDICATIONS D’UTILISATION </w:t>
      </w:r>
    </w:p>
    <w:p w14:paraId="3D247195" w14:textId="77777777" w:rsidR="00C46587" w:rsidRPr="0058432E" w:rsidRDefault="00C46587" w:rsidP="00982118">
      <w:pPr>
        <w:rPr>
          <w:color w:val="000000" w:themeColor="text1"/>
        </w:rPr>
      </w:pPr>
    </w:p>
    <w:p w14:paraId="3A26247D" w14:textId="77777777" w:rsidR="00C46587" w:rsidRPr="0058432E" w:rsidRDefault="00C46587" w:rsidP="00982118">
      <w:pPr>
        <w:rPr>
          <w:color w:val="000000" w:themeColor="text1"/>
        </w:rPr>
      </w:pPr>
    </w:p>
    <w:p w14:paraId="6452B490"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16.</w:t>
      </w:r>
      <w:r w:rsidRPr="0058432E">
        <w:rPr>
          <w:b/>
          <w:color w:val="000000" w:themeColor="text1"/>
        </w:rPr>
        <w:tab/>
        <w:t xml:space="preserve">INFORMATIONS EN BRAILLE </w:t>
      </w:r>
    </w:p>
    <w:p w14:paraId="53E5DA65" w14:textId="77777777" w:rsidR="00C46587" w:rsidRPr="0058432E" w:rsidRDefault="00C46587" w:rsidP="00982118">
      <w:pPr>
        <w:keepNext/>
        <w:rPr>
          <w:color w:val="000000" w:themeColor="text1"/>
        </w:rPr>
      </w:pPr>
    </w:p>
    <w:p w14:paraId="33F8259D" w14:textId="77777777" w:rsidR="00C46587" w:rsidRPr="0058432E" w:rsidRDefault="006A1144" w:rsidP="00982118">
      <w:pPr>
        <w:keepNext/>
        <w:rPr>
          <w:color w:val="000000" w:themeColor="text1"/>
        </w:rPr>
      </w:pPr>
      <w:r w:rsidRPr="0058432E">
        <w:rPr>
          <w:color w:val="000000" w:themeColor="text1"/>
        </w:rPr>
        <w:t xml:space="preserve">Amsparity 40 mg/0,8 ml </w:t>
      </w:r>
    </w:p>
    <w:p w14:paraId="51C7D878" w14:textId="77777777" w:rsidR="00515687" w:rsidRPr="0058432E" w:rsidRDefault="00515687" w:rsidP="00982118">
      <w:pPr>
        <w:keepNext/>
        <w:rPr>
          <w:color w:val="000000" w:themeColor="text1"/>
        </w:rPr>
      </w:pPr>
    </w:p>
    <w:p w14:paraId="7AC844AA" w14:textId="77777777" w:rsidR="00C46587" w:rsidRPr="0058432E" w:rsidRDefault="00C46587" w:rsidP="00982118">
      <w:pPr>
        <w:rPr>
          <w:color w:val="000000" w:themeColor="text1"/>
        </w:rPr>
      </w:pPr>
    </w:p>
    <w:p w14:paraId="6FFF1C20" w14:textId="77777777" w:rsidR="00C46587" w:rsidRPr="0058432E" w:rsidRDefault="00C46587" w:rsidP="003D5162">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17.</w:t>
      </w:r>
      <w:r w:rsidRPr="0058432E">
        <w:rPr>
          <w:b/>
          <w:color w:val="000000" w:themeColor="text1"/>
        </w:rPr>
        <w:tab/>
        <w:t xml:space="preserve">IDENTIFIANT UNIQUE - CODE-BARRES 2D </w:t>
      </w:r>
    </w:p>
    <w:p w14:paraId="28E6E6E5" w14:textId="77777777" w:rsidR="00C46587" w:rsidRPr="0058432E" w:rsidRDefault="00C46587" w:rsidP="003D5162">
      <w:pPr>
        <w:keepNext/>
        <w:rPr>
          <w:color w:val="000000" w:themeColor="text1"/>
        </w:rPr>
      </w:pPr>
    </w:p>
    <w:p w14:paraId="3D34AEFE" w14:textId="77777777" w:rsidR="00C46587" w:rsidRPr="0058432E" w:rsidRDefault="00C46587" w:rsidP="00982118">
      <w:pPr>
        <w:rPr>
          <w:color w:val="000000" w:themeColor="text1"/>
        </w:rPr>
      </w:pPr>
      <w:r w:rsidRPr="0058432E">
        <w:rPr>
          <w:color w:val="000000" w:themeColor="text1"/>
          <w:highlight w:val="lightGray"/>
        </w:rPr>
        <w:t>Code-barres 2D portant l’identifiant unique inclus.</w:t>
      </w:r>
      <w:r w:rsidRPr="0058432E">
        <w:rPr>
          <w:color w:val="000000" w:themeColor="text1"/>
        </w:rPr>
        <w:t xml:space="preserve"> </w:t>
      </w:r>
    </w:p>
    <w:p w14:paraId="292A0AE9" w14:textId="77777777" w:rsidR="00C46587" w:rsidRPr="0058432E" w:rsidRDefault="00C46587" w:rsidP="00982118">
      <w:pPr>
        <w:rPr>
          <w:color w:val="000000" w:themeColor="text1"/>
        </w:rPr>
      </w:pPr>
    </w:p>
    <w:p w14:paraId="4CF14ECE" w14:textId="77777777" w:rsidR="00C46587" w:rsidRPr="0058432E" w:rsidRDefault="00C46587" w:rsidP="00982118">
      <w:pPr>
        <w:rPr>
          <w:color w:val="000000" w:themeColor="text1"/>
        </w:rPr>
      </w:pPr>
    </w:p>
    <w:p w14:paraId="60691D96"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18.</w:t>
      </w:r>
      <w:r w:rsidRPr="0058432E">
        <w:rPr>
          <w:b/>
          <w:color w:val="000000" w:themeColor="text1"/>
        </w:rPr>
        <w:tab/>
        <w:t xml:space="preserve">IDENTIFIANT UNIQUE - DONNÉES LISIBLES PAR LES HUMAINS </w:t>
      </w:r>
    </w:p>
    <w:p w14:paraId="3BA0DAC9" w14:textId="77777777" w:rsidR="00C46587" w:rsidRPr="0058432E" w:rsidRDefault="00C46587" w:rsidP="00982118">
      <w:pPr>
        <w:keepNext/>
        <w:rPr>
          <w:color w:val="000000" w:themeColor="text1"/>
        </w:rPr>
      </w:pPr>
    </w:p>
    <w:p w14:paraId="24F61BF3" w14:textId="77777777" w:rsidR="00C46587" w:rsidRPr="0058432E" w:rsidRDefault="00C46587" w:rsidP="00982118">
      <w:pPr>
        <w:keepNext/>
        <w:rPr>
          <w:color w:val="000000" w:themeColor="text1"/>
        </w:rPr>
      </w:pPr>
      <w:r w:rsidRPr="0058432E">
        <w:rPr>
          <w:color w:val="000000" w:themeColor="text1"/>
        </w:rPr>
        <w:t xml:space="preserve">PC </w:t>
      </w:r>
    </w:p>
    <w:p w14:paraId="109B0555" w14:textId="77777777" w:rsidR="00C46587" w:rsidRPr="0058432E" w:rsidRDefault="00C46587" w:rsidP="00982118">
      <w:pPr>
        <w:keepNext/>
        <w:rPr>
          <w:color w:val="000000" w:themeColor="text1"/>
        </w:rPr>
      </w:pPr>
      <w:r w:rsidRPr="0058432E">
        <w:rPr>
          <w:color w:val="000000" w:themeColor="text1"/>
        </w:rPr>
        <w:t>SN</w:t>
      </w:r>
    </w:p>
    <w:p w14:paraId="26284F5E" w14:textId="77777777" w:rsidR="00C46587" w:rsidRPr="0058432E" w:rsidRDefault="00C46587" w:rsidP="00982118">
      <w:pPr>
        <w:rPr>
          <w:color w:val="000000" w:themeColor="text1"/>
        </w:rPr>
      </w:pPr>
      <w:r w:rsidRPr="0058432E">
        <w:rPr>
          <w:color w:val="000000" w:themeColor="text1"/>
        </w:rPr>
        <w:t>NN</w:t>
      </w:r>
    </w:p>
    <w:p w14:paraId="7379998B" w14:textId="77777777" w:rsidR="00C46587" w:rsidRPr="0058432E" w:rsidRDefault="00C46587" w:rsidP="00982118">
      <w:pPr>
        <w:rPr>
          <w:color w:val="000000" w:themeColor="text1"/>
        </w:rPr>
      </w:pPr>
      <w:r w:rsidRPr="0058432E">
        <w:rPr>
          <w:color w:val="000000" w:themeColor="text1"/>
        </w:rPr>
        <w:br w:type="page"/>
      </w:r>
    </w:p>
    <w:p w14:paraId="1B0465E1"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DEVANT FIGURER SUR L’EMBALLAGE EXTÉRIEUR </w:t>
      </w:r>
    </w:p>
    <w:p w14:paraId="12C5304C"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31DA98FF" w14:textId="77777777" w:rsidR="00C46587" w:rsidRPr="0058432E" w:rsidRDefault="004218C2"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EMBALLAGE INTÉRIEUR </w:t>
      </w:r>
    </w:p>
    <w:p w14:paraId="2A2C29C2" w14:textId="77777777" w:rsidR="00C46587" w:rsidRPr="0058432E" w:rsidRDefault="00C46587" w:rsidP="00982118">
      <w:pPr>
        <w:rPr>
          <w:color w:val="000000" w:themeColor="text1"/>
        </w:rPr>
      </w:pPr>
    </w:p>
    <w:p w14:paraId="7B4AB703" w14:textId="77777777" w:rsidR="00C46587" w:rsidRPr="0058432E" w:rsidRDefault="00C46587" w:rsidP="00982118">
      <w:pPr>
        <w:rPr>
          <w:color w:val="000000" w:themeColor="text1"/>
        </w:rPr>
      </w:pPr>
    </w:p>
    <w:p w14:paraId="7C5BEF7D"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6DFF82EC" w14:textId="77777777" w:rsidR="00C46587" w:rsidRPr="0058432E" w:rsidRDefault="00C46587" w:rsidP="00982118">
      <w:pPr>
        <w:rPr>
          <w:color w:val="000000" w:themeColor="text1"/>
        </w:rPr>
      </w:pPr>
    </w:p>
    <w:p w14:paraId="7E4E82F4" w14:textId="77777777" w:rsidR="00C46587" w:rsidRPr="0058432E" w:rsidRDefault="006A1144" w:rsidP="00982118">
      <w:pPr>
        <w:rPr>
          <w:color w:val="000000" w:themeColor="text1"/>
        </w:rPr>
      </w:pPr>
      <w:r w:rsidRPr="0058432E">
        <w:rPr>
          <w:color w:val="000000" w:themeColor="text1"/>
        </w:rPr>
        <w:t xml:space="preserve">Amsparity 40 mg/0,8 ml, solution injectable </w:t>
      </w:r>
    </w:p>
    <w:p w14:paraId="2502C826"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76C516DE" w14:textId="77777777" w:rsidR="00C46587" w:rsidRPr="0058432E" w:rsidRDefault="00C46587" w:rsidP="00982118">
      <w:pPr>
        <w:rPr>
          <w:color w:val="000000" w:themeColor="text1"/>
        </w:rPr>
      </w:pPr>
    </w:p>
    <w:p w14:paraId="020B4447" w14:textId="77777777" w:rsidR="00C46587" w:rsidRPr="0058432E" w:rsidRDefault="00C46587" w:rsidP="00982118">
      <w:pPr>
        <w:rPr>
          <w:color w:val="000000" w:themeColor="text1"/>
        </w:rPr>
      </w:pPr>
    </w:p>
    <w:p w14:paraId="05471490"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COMPOSITION EN SUBSTANCE ACTIVE </w:t>
      </w:r>
    </w:p>
    <w:p w14:paraId="12EC97B5" w14:textId="77777777" w:rsidR="00C46587" w:rsidRPr="0058432E" w:rsidRDefault="00C46587" w:rsidP="00982118">
      <w:pPr>
        <w:rPr>
          <w:color w:val="000000" w:themeColor="text1"/>
        </w:rPr>
      </w:pPr>
    </w:p>
    <w:p w14:paraId="1984B87D" w14:textId="77777777" w:rsidR="00C46587" w:rsidRPr="0058432E" w:rsidRDefault="00C46587" w:rsidP="00982118">
      <w:pPr>
        <w:rPr>
          <w:color w:val="000000" w:themeColor="text1"/>
        </w:rPr>
      </w:pPr>
      <w:r w:rsidRPr="0058432E">
        <w:rPr>
          <w:color w:val="000000" w:themeColor="text1"/>
        </w:rPr>
        <w:t xml:space="preserve">Un flacon de 0,8 ml contient 40 mg d’adalimumab. </w:t>
      </w:r>
    </w:p>
    <w:p w14:paraId="13A6516B" w14:textId="77777777" w:rsidR="00C46587" w:rsidRPr="0058432E" w:rsidRDefault="00C46587" w:rsidP="00982118">
      <w:pPr>
        <w:rPr>
          <w:color w:val="000000" w:themeColor="text1"/>
        </w:rPr>
      </w:pPr>
    </w:p>
    <w:p w14:paraId="6E8E21F7" w14:textId="77777777" w:rsidR="00C46587" w:rsidRPr="0058432E" w:rsidRDefault="00C46587" w:rsidP="00982118">
      <w:pPr>
        <w:rPr>
          <w:color w:val="000000" w:themeColor="text1"/>
        </w:rPr>
      </w:pPr>
    </w:p>
    <w:p w14:paraId="5DB9E9BE"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LISTE DES EXCIPIENTS </w:t>
      </w:r>
    </w:p>
    <w:p w14:paraId="4048FA8F" w14:textId="77777777" w:rsidR="00C46587" w:rsidRPr="0058432E" w:rsidRDefault="00C46587" w:rsidP="00982118">
      <w:pPr>
        <w:rPr>
          <w:color w:val="000000" w:themeColor="text1"/>
        </w:rPr>
      </w:pPr>
    </w:p>
    <w:p w14:paraId="4AC1264D" w14:textId="77777777" w:rsidR="00C46587" w:rsidRPr="0058432E" w:rsidRDefault="00C46587" w:rsidP="00982118">
      <w:pPr>
        <w:rPr>
          <w:color w:val="000000" w:themeColor="text1"/>
        </w:rPr>
      </w:pPr>
      <w:r w:rsidRPr="0058432E">
        <w:rPr>
          <w:color w:val="000000" w:themeColor="text1"/>
        </w:rPr>
        <w:t>Excipients : L-histidine, chlorhydrate de L-histidine monohydraté, saccharose, édétate disodique dihydraté, L-méthionine, polysorbate 80 et eau pour préparations injectables.</w:t>
      </w:r>
      <w:r w:rsidR="006A6449" w:rsidRPr="0058432E">
        <w:rPr>
          <w:color w:val="000000" w:themeColor="text1"/>
        </w:rPr>
        <w:t xml:space="preserve"> </w:t>
      </w:r>
      <w:r w:rsidR="006A6449" w:rsidRPr="0058432E">
        <w:rPr>
          <w:color w:val="000000" w:themeColor="text1"/>
          <w:highlight w:val="lightGray"/>
        </w:rPr>
        <w:t>Voir la notice pour plus d'information</w:t>
      </w:r>
      <w:r w:rsidR="00490D75" w:rsidRPr="0058432E">
        <w:rPr>
          <w:color w:val="000000" w:themeColor="text1"/>
          <w:highlight w:val="lightGray"/>
        </w:rPr>
        <w:t>s</w:t>
      </w:r>
      <w:r w:rsidR="003510E7" w:rsidRPr="0058432E">
        <w:rPr>
          <w:color w:val="000000" w:themeColor="text1"/>
          <w:highlight w:val="lightGray"/>
        </w:rPr>
        <w:t>.</w:t>
      </w:r>
      <w:r w:rsidRPr="0058432E">
        <w:rPr>
          <w:color w:val="000000" w:themeColor="text1"/>
        </w:rPr>
        <w:t xml:space="preserve"> </w:t>
      </w:r>
    </w:p>
    <w:p w14:paraId="6EE73674" w14:textId="77777777" w:rsidR="00C46587" w:rsidRPr="0058432E" w:rsidRDefault="00C46587" w:rsidP="00982118">
      <w:pPr>
        <w:tabs>
          <w:tab w:val="left" w:pos="562"/>
        </w:tabs>
        <w:rPr>
          <w:color w:val="000000" w:themeColor="text1"/>
        </w:rPr>
      </w:pPr>
    </w:p>
    <w:p w14:paraId="37210238" w14:textId="77777777" w:rsidR="00C46587" w:rsidRPr="0058432E" w:rsidRDefault="00C46587" w:rsidP="00982118">
      <w:pPr>
        <w:tabs>
          <w:tab w:val="left" w:pos="562"/>
        </w:tabs>
        <w:rPr>
          <w:color w:val="000000" w:themeColor="text1"/>
        </w:rPr>
      </w:pPr>
    </w:p>
    <w:p w14:paraId="085EDE69"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FORME PHARMACEUTIQUE ET CONTENU </w:t>
      </w:r>
    </w:p>
    <w:p w14:paraId="3A87213C" w14:textId="77777777" w:rsidR="00C46587" w:rsidRPr="0058432E" w:rsidRDefault="00C46587" w:rsidP="00982118">
      <w:pPr>
        <w:rPr>
          <w:color w:val="000000" w:themeColor="text1"/>
        </w:rPr>
      </w:pPr>
    </w:p>
    <w:p w14:paraId="6D12D263" w14:textId="77777777" w:rsidR="004218C2" w:rsidRPr="0058432E" w:rsidRDefault="004218C2" w:rsidP="00982118">
      <w:pPr>
        <w:rPr>
          <w:color w:val="000000" w:themeColor="text1"/>
        </w:rPr>
      </w:pPr>
      <w:r w:rsidRPr="0058432E">
        <w:rPr>
          <w:color w:val="000000" w:themeColor="text1"/>
          <w:highlight w:val="lightGray"/>
        </w:rPr>
        <w:t>Solution injectable</w:t>
      </w:r>
    </w:p>
    <w:p w14:paraId="061E06C5" w14:textId="77777777" w:rsidR="00C46587" w:rsidRPr="0058432E" w:rsidRDefault="00C46587" w:rsidP="00982118">
      <w:pPr>
        <w:rPr>
          <w:color w:val="000000" w:themeColor="text1"/>
        </w:rPr>
      </w:pPr>
      <w:r w:rsidRPr="0058432E">
        <w:rPr>
          <w:color w:val="000000" w:themeColor="text1"/>
        </w:rPr>
        <w:t xml:space="preserve">1 flacon </w:t>
      </w:r>
    </w:p>
    <w:p w14:paraId="48F66F22" w14:textId="77777777" w:rsidR="00C46587" w:rsidRPr="0058432E" w:rsidRDefault="00C46587" w:rsidP="00982118">
      <w:pPr>
        <w:rPr>
          <w:color w:val="000000" w:themeColor="text1"/>
        </w:rPr>
      </w:pPr>
      <w:r w:rsidRPr="0058432E">
        <w:rPr>
          <w:color w:val="000000" w:themeColor="text1"/>
        </w:rPr>
        <w:t xml:space="preserve">1 seringue pour injection stérile </w:t>
      </w:r>
    </w:p>
    <w:p w14:paraId="311254B4" w14:textId="77777777" w:rsidR="00C46587" w:rsidRPr="0058432E" w:rsidRDefault="00C46587" w:rsidP="00982118">
      <w:pPr>
        <w:rPr>
          <w:color w:val="000000" w:themeColor="text1"/>
        </w:rPr>
      </w:pPr>
      <w:r w:rsidRPr="0058432E">
        <w:rPr>
          <w:color w:val="000000" w:themeColor="text1"/>
        </w:rPr>
        <w:t xml:space="preserve">1 aiguille stérile </w:t>
      </w:r>
    </w:p>
    <w:p w14:paraId="27483FB4" w14:textId="77777777" w:rsidR="00C46587" w:rsidRPr="0058432E" w:rsidRDefault="00C46587" w:rsidP="00982118">
      <w:pPr>
        <w:rPr>
          <w:color w:val="000000" w:themeColor="text1"/>
        </w:rPr>
      </w:pPr>
      <w:r w:rsidRPr="0058432E">
        <w:rPr>
          <w:color w:val="000000" w:themeColor="text1"/>
        </w:rPr>
        <w:t xml:space="preserve">1 adaptateur stérile pour flacon </w:t>
      </w:r>
    </w:p>
    <w:p w14:paraId="19C0ACB7" w14:textId="77777777" w:rsidR="00C46587" w:rsidRPr="0058432E" w:rsidRDefault="00C46587" w:rsidP="00982118">
      <w:pPr>
        <w:rPr>
          <w:color w:val="000000" w:themeColor="text1"/>
        </w:rPr>
      </w:pPr>
      <w:r w:rsidRPr="0058432E">
        <w:rPr>
          <w:color w:val="000000" w:themeColor="text1"/>
        </w:rPr>
        <w:t xml:space="preserve">2 tampons d’alcool </w:t>
      </w:r>
    </w:p>
    <w:p w14:paraId="0FAEB788" w14:textId="77777777" w:rsidR="00C46587" w:rsidRPr="0058432E" w:rsidRDefault="00C46587" w:rsidP="00982118">
      <w:pPr>
        <w:rPr>
          <w:color w:val="000000" w:themeColor="text1"/>
        </w:rPr>
      </w:pPr>
    </w:p>
    <w:p w14:paraId="3CC3A816" w14:textId="77777777" w:rsidR="00C46587" w:rsidRPr="0058432E" w:rsidRDefault="00C46587" w:rsidP="00982118">
      <w:pPr>
        <w:rPr>
          <w:color w:val="000000" w:themeColor="text1"/>
        </w:rPr>
      </w:pPr>
    </w:p>
    <w:p w14:paraId="39141900"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5.</w:t>
      </w:r>
      <w:r w:rsidRPr="0058432E">
        <w:rPr>
          <w:b/>
          <w:color w:val="000000" w:themeColor="text1"/>
        </w:rPr>
        <w:tab/>
        <w:t xml:space="preserve">MODE ET VOIE D’ADMINISTRATION </w:t>
      </w:r>
    </w:p>
    <w:p w14:paraId="530FFA01" w14:textId="77777777" w:rsidR="00C46587" w:rsidRPr="0058432E" w:rsidRDefault="00C46587" w:rsidP="00982118">
      <w:pPr>
        <w:rPr>
          <w:color w:val="000000" w:themeColor="text1"/>
        </w:rPr>
      </w:pPr>
    </w:p>
    <w:p w14:paraId="26F6CC82" w14:textId="77777777" w:rsidR="00C46587" w:rsidRPr="0058432E" w:rsidRDefault="00C46587" w:rsidP="00982118">
      <w:pPr>
        <w:rPr>
          <w:color w:val="000000" w:themeColor="text1"/>
        </w:rPr>
      </w:pPr>
      <w:r w:rsidRPr="0058432E">
        <w:rPr>
          <w:color w:val="000000" w:themeColor="text1"/>
        </w:rPr>
        <w:t xml:space="preserve">Voie sous-cutanée </w:t>
      </w:r>
    </w:p>
    <w:p w14:paraId="65107064" w14:textId="77777777" w:rsidR="00C46587" w:rsidRPr="0058432E" w:rsidRDefault="00C46587" w:rsidP="00982118">
      <w:pPr>
        <w:rPr>
          <w:color w:val="000000" w:themeColor="text1"/>
        </w:rPr>
      </w:pPr>
    </w:p>
    <w:p w14:paraId="42B48C03" w14:textId="77777777" w:rsidR="00C46587" w:rsidRPr="0058432E" w:rsidRDefault="00C46587" w:rsidP="00982118">
      <w:pPr>
        <w:rPr>
          <w:color w:val="000000" w:themeColor="text1"/>
        </w:rPr>
      </w:pPr>
      <w:r w:rsidRPr="0058432E">
        <w:rPr>
          <w:color w:val="000000" w:themeColor="text1"/>
        </w:rPr>
        <w:t xml:space="preserve">Lire la notice avant utilisation. </w:t>
      </w:r>
    </w:p>
    <w:p w14:paraId="236C2735" w14:textId="77777777" w:rsidR="004218C2" w:rsidRPr="0058432E" w:rsidRDefault="004218C2" w:rsidP="00982118">
      <w:pPr>
        <w:rPr>
          <w:color w:val="000000" w:themeColor="text1"/>
        </w:rPr>
      </w:pPr>
    </w:p>
    <w:p w14:paraId="0728E71C" w14:textId="77777777" w:rsidR="004218C2" w:rsidRPr="0058432E" w:rsidRDefault="004218C2" w:rsidP="00982118">
      <w:pPr>
        <w:rPr>
          <w:color w:val="000000" w:themeColor="text1"/>
        </w:rPr>
      </w:pPr>
      <w:r w:rsidRPr="0058432E">
        <w:rPr>
          <w:color w:val="000000" w:themeColor="text1"/>
        </w:rPr>
        <w:t>À usage unique.</w:t>
      </w:r>
    </w:p>
    <w:p w14:paraId="4736E241" w14:textId="77777777" w:rsidR="004218C2" w:rsidRPr="0058432E" w:rsidRDefault="004218C2" w:rsidP="00982118">
      <w:pPr>
        <w:rPr>
          <w:color w:val="000000" w:themeColor="text1"/>
        </w:rPr>
      </w:pPr>
    </w:p>
    <w:p w14:paraId="1F92C396" w14:textId="77777777" w:rsidR="004218C2" w:rsidRPr="0058432E" w:rsidRDefault="00FE3E76" w:rsidP="00982118">
      <w:pPr>
        <w:rPr>
          <w:color w:val="000000" w:themeColor="text1"/>
        </w:rPr>
      </w:pPr>
      <w:r w:rsidRPr="0058432E">
        <w:rPr>
          <w:color w:val="000000" w:themeColor="text1"/>
        </w:rPr>
        <w:t>U</w:t>
      </w:r>
      <w:r w:rsidR="00724AF5" w:rsidRPr="0058432E">
        <w:rPr>
          <w:color w:val="000000" w:themeColor="text1"/>
        </w:rPr>
        <w:t>sage pédiatrique</w:t>
      </w:r>
    </w:p>
    <w:p w14:paraId="5C662184" w14:textId="77777777" w:rsidR="00C46587" w:rsidRPr="0058432E" w:rsidRDefault="00C46587" w:rsidP="00982118">
      <w:pPr>
        <w:rPr>
          <w:color w:val="000000" w:themeColor="text1"/>
        </w:rPr>
      </w:pPr>
    </w:p>
    <w:p w14:paraId="55209E7E" w14:textId="77777777" w:rsidR="00C46587" w:rsidRPr="0058432E" w:rsidRDefault="00C46587" w:rsidP="00982118">
      <w:pPr>
        <w:rPr>
          <w:color w:val="000000" w:themeColor="text1"/>
        </w:rPr>
      </w:pPr>
    </w:p>
    <w:p w14:paraId="5F6D23EF"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6.</w:t>
      </w:r>
      <w:r w:rsidRPr="0058432E">
        <w:rPr>
          <w:b/>
          <w:color w:val="000000" w:themeColor="text1"/>
        </w:rPr>
        <w:tab/>
        <w:t xml:space="preserve">MISE EN GARDE SPÉCIALE INDIQUANT QUE LE MÉDICAMENT DOIT ÊTRE CONSERVÉ HORS DE VUE ET DE PORTÉE DES ENFANTS </w:t>
      </w:r>
    </w:p>
    <w:p w14:paraId="790871B2" w14:textId="77777777" w:rsidR="00C46587" w:rsidRPr="0058432E" w:rsidRDefault="00C46587" w:rsidP="00982118">
      <w:pPr>
        <w:rPr>
          <w:color w:val="000000" w:themeColor="text1"/>
        </w:rPr>
      </w:pPr>
    </w:p>
    <w:p w14:paraId="53FEACC1" w14:textId="77777777" w:rsidR="00C46587" w:rsidRPr="0058432E" w:rsidRDefault="00C46587" w:rsidP="00982118">
      <w:pPr>
        <w:rPr>
          <w:color w:val="000000" w:themeColor="text1"/>
        </w:rPr>
      </w:pPr>
      <w:r w:rsidRPr="0058432E">
        <w:rPr>
          <w:color w:val="000000" w:themeColor="text1"/>
        </w:rPr>
        <w:t xml:space="preserve">Tenir hors de la vue et de la portée des enfants. </w:t>
      </w:r>
    </w:p>
    <w:p w14:paraId="6C3641F3" w14:textId="77777777" w:rsidR="00C46587" w:rsidRPr="0058432E" w:rsidRDefault="00C46587" w:rsidP="00982118">
      <w:pPr>
        <w:rPr>
          <w:color w:val="000000" w:themeColor="text1"/>
        </w:rPr>
      </w:pPr>
    </w:p>
    <w:p w14:paraId="788CFF4F" w14:textId="77777777" w:rsidR="00C46587" w:rsidRPr="0058432E" w:rsidRDefault="00C46587" w:rsidP="00982118">
      <w:pPr>
        <w:rPr>
          <w:color w:val="000000" w:themeColor="text1"/>
        </w:rPr>
      </w:pPr>
    </w:p>
    <w:p w14:paraId="542B799A" w14:textId="77777777" w:rsidR="00C46587" w:rsidRPr="0058432E" w:rsidRDefault="00C46587" w:rsidP="006304AB">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7.</w:t>
      </w:r>
      <w:r w:rsidRPr="0058432E">
        <w:rPr>
          <w:b/>
          <w:color w:val="000000" w:themeColor="text1"/>
        </w:rPr>
        <w:tab/>
        <w:t xml:space="preserve">AUTRE MISE EN GARDE SPÉCIALE, SI NÉCESSAIRE </w:t>
      </w:r>
    </w:p>
    <w:p w14:paraId="22E4E52F" w14:textId="77777777" w:rsidR="00C46587" w:rsidRPr="0058432E" w:rsidRDefault="00C46587" w:rsidP="006304AB">
      <w:pPr>
        <w:rPr>
          <w:color w:val="000000" w:themeColor="text1"/>
        </w:rPr>
      </w:pPr>
    </w:p>
    <w:p w14:paraId="4239068E" w14:textId="77777777" w:rsidR="00C46587" w:rsidRPr="0058432E" w:rsidRDefault="00C46587" w:rsidP="00982118">
      <w:pPr>
        <w:rPr>
          <w:color w:val="000000" w:themeColor="text1"/>
        </w:rPr>
      </w:pPr>
    </w:p>
    <w:p w14:paraId="20BD3E32" w14:textId="77777777" w:rsidR="00C46587" w:rsidRPr="0058432E" w:rsidRDefault="00C46587" w:rsidP="00A924EE">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8.</w:t>
      </w:r>
      <w:r w:rsidRPr="0058432E">
        <w:rPr>
          <w:b/>
          <w:color w:val="000000" w:themeColor="text1"/>
        </w:rPr>
        <w:tab/>
        <w:t xml:space="preserve">DATE DE PÉREMPTION </w:t>
      </w:r>
    </w:p>
    <w:p w14:paraId="1707B804" w14:textId="77777777" w:rsidR="00C46587" w:rsidRPr="0058432E" w:rsidRDefault="00C46587" w:rsidP="00A924EE">
      <w:pPr>
        <w:keepNext/>
        <w:rPr>
          <w:color w:val="000000" w:themeColor="text1"/>
        </w:rPr>
      </w:pPr>
    </w:p>
    <w:p w14:paraId="1E2B3F9B" w14:textId="77777777" w:rsidR="00C46587" w:rsidRPr="0058432E" w:rsidRDefault="00C46587" w:rsidP="00982118">
      <w:pPr>
        <w:rPr>
          <w:color w:val="000000" w:themeColor="text1"/>
        </w:rPr>
      </w:pPr>
      <w:r w:rsidRPr="0058432E">
        <w:rPr>
          <w:color w:val="000000" w:themeColor="text1"/>
        </w:rPr>
        <w:t xml:space="preserve">EXP </w:t>
      </w:r>
    </w:p>
    <w:p w14:paraId="7C33E217" w14:textId="77777777" w:rsidR="00C46587" w:rsidRPr="0058432E" w:rsidRDefault="00C46587" w:rsidP="00982118">
      <w:pPr>
        <w:rPr>
          <w:color w:val="000000" w:themeColor="text1"/>
        </w:rPr>
      </w:pPr>
    </w:p>
    <w:p w14:paraId="6D7582D1" w14:textId="77777777" w:rsidR="00C46587" w:rsidRPr="0058432E" w:rsidRDefault="00C46587" w:rsidP="00982118">
      <w:pPr>
        <w:rPr>
          <w:color w:val="000000" w:themeColor="text1"/>
        </w:rPr>
      </w:pPr>
    </w:p>
    <w:p w14:paraId="50286C82"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9.</w:t>
      </w:r>
      <w:r w:rsidRPr="0058432E">
        <w:rPr>
          <w:b/>
          <w:color w:val="000000" w:themeColor="text1"/>
        </w:rPr>
        <w:tab/>
        <w:t xml:space="preserve">PRÉCAUTIONS PARTICULIÈRES DE CONSERVATION </w:t>
      </w:r>
    </w:p>
    <w:p w14:paraId="39D79650" w14:textId="77777777" w:rsidR="00C46587" w:rsidRPr="0058432E" w:rsidRDefault="00C46587" w:rsidP="00982118">
      <w:pPr>
        <w:rPr>
          <w:color w:val="000000" w:themeColor="text1"/>
        </w:rPr>
      </w:pPr>
    </w:p>
    <w:p w14:paraId="1EAE41CC" w14:textId="77777777" w:rsidR="00CA01BA" w:rsidRPr="0058432E" w:rsidRDefault="009D23FE" w:rsidP="00982118">
      <w:pPr>
        <w:rPr>
          <w:color w:val="000000" w:themeColor="text1"/>
        </w:rPr>
      </w:pPr>
      <w:r w:rsidRPr="0058432E">
        <w:rPr>
          <w:color w:val="000000" w:themeColor="text1"/>
        </w:rPr>
        <w:t>À</w:t>
      </w:r>
      <w:r w:rsidR="00C46587" w:rsidRPr="0058432E">
        <w:rPr>
          <w:color w:val="000000" w:themeColor="text1"/>
        </w:rPr>
        <w:t xml:space="preserve"> conserver au réfrigérateur. Ne pas congeler.</w:t>
      </w:r>
    </w:p>
    <w:p w14:paraId="1E1EF492" w14:textId="77777777" w:rsidR="00C46587" w:rsidRPr="0058432E" w:rsidRDefault="00C46587" w:rsidP="00982118">
      <w:pPr>
        <w:rPr>
          <w:color w:val="000000" w:themeColor="text1"/>
        </w:rPr>
      </w:pPr>
    </w:p>
    <w:p w14:paraId="24994721" w14:textId="77777777" w:rsidR="00C46587" w:rsidRPr="0058432E" w:rsidRDefault="00C46587" w:rsidP="00982118">
      <w:pPr>
        <w:rPr>
          <w:color w:val="000000" w:themeColor="text1"/>
        </w:rPr>
      </w:pPr>
      <w:r w:rsidRPr="0058432E">
        <w:rPr>
          <w:color w:val="000000" w:themeColor="text1"/>
        </w:rPr>
        <w:t xml:space="preserve">Conserver le flacon dans l’emballage extérieur à l’abri de la lumière. </w:t>
      </w:r>
    </w:p>
    <w:p w14:paraId="274A7869" w14:textId="77777777" w:rsidR="00C46587" w:rsidRPr="0058432E" w:rsidRDefault="00C46587" w:rsidP="00982118">
      <w:pPr>
        <w:rPr>
          <w:color w:val="000000" w:themeColor="text1"/>
        </w:rPr>
      </w:pPr>
    </w:p>
    <w:p w14:paraId="6EFA0931" w14:textId="77777777" w:rsidR="00C46587" w:rsidRPr="0058432E" w:rsidRDefault="00C46587" w:rsidP="00982118">
      <w:pPr>
        <w:rPr>
          <w:color w:val="000000" w:themeColor="text1"/>
        </w:rPr>
      </w:pPr>
    </w:p>
    <w:p w14:paraId="093F8DB9"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10.</w:t>
      </w:r>
      <w:r w:rsidRPr="0058432E">
        <w:rPr>
          <w:b/>
          <w:color w:val="000000" w:themeColor="text1"/>
        </w:rPr>
        <w:tab/>
        <w:t xml:space="preserve">PRÉCAUTIONS PARTICULIÈRES D’ÉLIMINATION DES MÉDICAMENTS NON UTILISÉS OU DES DÉCHETS PROVENANT DE CES MÉDICAMENTS S’IL Y A LIEU </w:t>
      </w:r>
    </w:p>
    <w:p w14:paraId="662C9B7E" w14:textId="77777777" w:rsidR="00C46587" w:rsidRPr="0058432E" w:rsidRDefault="00C46587" w:rsidP="00982118">
      <w:pPr>
        <w:rPr>
          <w:color w:val="000000" w:themeColor="text1"/>
        </w:rPr>
      </w:pPr>
    </w:p>
    <w:p w14:paraId="58560DD5" w14:textId="77777777" w:rsidR="00C46587" w:rsidRPr="0058432E" w:rsidRDefault="00C46587" w:rsidP="00982118">
      <w:pPr>
        <w:rPr>
          <w:color w:val="000000" w:themeColor="text1"/>
        </w:rPr>
      </w:pPr>
    </w:p>
    <w:p w14:paraId="785D9525" w14:textId="77777777" w:rsidR="00C46587" w:rsidRPr="0058432E" w:rsidRDefault="00C46587" w:rsidP="00B51A46">
      <w:pPr>
        <w:pBdr>
          <w:top w:val="single" w:sz="4" w:space="1" w:color="auto"/>
          <w:left w:val="single" w:sz="4" w:space="4" w:color="auto"/>
          <w:bottom w:val="single" w:sz="4" w:space="1" w:color="auto"/>
          <w:right w:val="single" w:sz="4" w:space="4" w:color="auto"/>
        </w:pBdr>
        <w:ind w:left="709" w:hanging="709"/>
        <w:rPr>
          <w:b/>
          <w:color w:val="000000" w:themeColor="text1"/>
        </w:rPr>
      </w:pPr>
      <w:r w:rsidRPr="0058432E">
        <w:rPr>
          <w:b/>
          <w:color w:val="000000" w:themeColor="text1"/>
        </w:rPr>
        <w:t>11.</w:t>
      </w:r>
      <w:r w:rsidRPr="0058432E">
        <w:rPr>
          <w:b/>
          <w:color w:val="000000" w:themeColor="text1"/>
        </w:rPr>
        <w:tab/>
        <w:t xml:space="preserve">NOM ET ADRESSE DU TITULAIRE DE L’AUTORISATION DE MISE SUR LE MARCHÉ </w:t>
      </w:r>
    </w:p>
    <w:p w14:paraId="392F9471" w14:textId="77777777" w:rsidR="00C46587" w:rsidRPr="0058432E" w:rsidRDefault="00C46587" w:rsidP="00982118">
      <w:pPr>
        <w:rPr>
          <w:color w:val="000000" w:themeColor="text1"/>
        </w:rPr>
      </w:pPr>
    </w:p>
    <w:p w14:paraId="715E9162" w14:textId="77777777" w:rsidR="00792CD9" w:rsidRPr="0058432E" w:rsidRDefault="00792CD9" w:rsidP="00982118">
      <w:pPr>
        <w:keepNext/>
        <w:ind w:right="14"/>
        <w:rPr>
          <w:color w:val="000000" w:themeColor="text1"/>
        </w:rPr>
      </w:pPr>
      <w:r w:rsidRPr="0058432E">
        <w:rPr>
          <w:color w:val="000000" w:themeColor="text1"/>
        </w:rPr>
        <w:t>Pfizer Europe MA EEIG</w:t>
      </w:r>
    </w:p>
    <w:p w14:paraId="53FC50BD"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Boulevard de la Plaine 17</w:t>
      </w:r>
    </w:p>
    <w:p w14:paraId="11B2517B"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1050 Bruxelles</w:t>
      </w:r>
    </w:p>
    <w:p w14:paraId="00ECA7F7"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Belgique</w:t>
      </w:r>
    </w:p>
    <w:p w14:paraId="11F45EC3" w14:textId="77777777" w:rsidR="00C46587" w:rsidRPr="0058432E" w:rsidRDefault="00C46587" w:rsidP="00982118">
      <w:pPr>
        <w:rPr>
          <w:color w:val="000000" w:themeColor="text1"/>
        </w:rPr>
      </w:pPr>
    </w:p>
    <w:p w14:paraId="66E422E0" w14:textId="77777777" w:rsidR="00C46587" w:rsidRPr="0058432E" w:rsidRDefault="00C46587" w:rsidP="00982118">
      <w:pPr>
        <w:rPr>
          <w:color w:val="000000" w:themeColor="text1"/>
        </w:rPr>
      </w:pPr>
    </w:p>
    <w:p w14:paraId="591ACE04"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12.</w:t>
      </w:r>
      <w:r w:rsidRPr="0058432E">
        <w:rPr>
          <w:b/>
          <w:color w:val="000000" w:themeColor="text1"/>
        </w:rPr>
        <w:tab/>
        <w:t xml:space="preserve">NUMÉRO D’AUTORISATION DE MISE SUR LE MARCHÉ </w:t>
      </w:r>
    </w:p>
    <w:p w14:paraId="745E617E" w14:textId="77777777" w:rsidR="00C46587" w:rsidRPr="0058432E" w:rsidRDefault="00C46587" w:rsidP="00982118">
      <w:pPr>
        <w:rPr>
          <w:color w:val="000000" w:themeColor="text1"/>
        </w:rPr>
      </w:pPr>
    </w:p>
    <w:p w14:paraId="63CF0A25" w14:textId="77777777" w:rsidR="00C46587" w:rsidRPr="0058432E" w:rsidRDefault="005C6564" w:rsidP="00982118">
      <w:pPr>
        <w:rPr>
          <w:color w:val="000000" w:themeColor="text1"/>
        </w:rPr>
      </w:pPr>
      <w:r w:rsidRPr="0058432E">
        <w:rPr>
          <w:color w:val="000000" w:themeColor="text1"/>
        </w:rPr>
        <w:t>EU/1/19/1415/002</w:t>
      </w:r>
    </w:p>
    <w:p w14:paraId="18C51286" w14:textId="77777777" w:rsidR="00A924EE" w:rsidRPr="0058432E" w:rsidRDefault="00A924EE" w:rsidP="00982118">
      <w:pPr>
        <w:rPr>
          <w:color w:val="000000" w:themeColor="text1"/>
        </w:rPr>
      </w:pPr>
    </w:p>
    <w:p w14:paraId="5B64536E" w14:textId="77777777" w:rsidR="000D3575" w:rsidRPr="0058432E" w:rsidRDefault="000D3575" w:rsidP="00982118">
      <w:pPr>
        <w:rPr>
          <w:color w:val="000000" w:themeColor="text1"/>
        </w:rPr>
      </w:pPr>
    </w:p>
    <w:p w14:paraId="32E17801"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13.</w:t>
      </w:r>
      <w:r w:rsidRPr="0058432E">
        <w:rPr>
          <w:b/>
          <w:color w:val="000000" w:themeColor="text1"/>
        </w:rPr>
        <w:tab/>
        <w:t xml:space="preserve">NUMÉRO DU LOT </w:t>
      </w:r>
    </w:p>
    <w:p w14:paraId="0EC59E6D" w14:textId="77777777" w:rsidR="00C46587" w:rsidRPr="0058432E" w:rsidRDefault="00C46587" w:rsidP="00982118">
      <w:pPr>
        <w:rPr>
          <w:color w:val="000000" w:themeColor="text1"/>
        </w:rPr>
      </w:pPr>
    </w:p>
    <w:p w14:paraId="4E5B69D4" w14:textId="77777777" w:rsidR="00C46587" w:rsidRPr="0058432E" w:rsidRDefault="00C46587" w:rsidP="00982118">
      <w:pPr>
        <w:rPr>
          <w:color w:val="000000" w:themeColor="text1"/>
        </w:rPr>
      </w:pPr>
      <w:r w:rsidRPr="0058432E">
        <w:rPr>
          <w:color w:val="000000" w:themeColor="text1"/>
        </w:rPr>
        <w:t xml:space="preserve">Lot </w:t>
      </w:r>
    </w:p>
    <w:p w14:paraId="23F7C6A1" w14:textId="77777777" w:rsidR="00C46587" w:rsidRPr="0058432E" w:rsidRDefault="00C46587" w:rsidP="00982118">
      <w:pPr>
        <w:rPr>
          <w:color w:val="000000" w:themeColor="text1"/>
        </w:rPr>
      </w:pPr>
    </w:p>
    <w:p w14:paraId="738BD571" w14:textId="77777777" w:rsidR="00C46587" w:rsidRPr="0058432E" w:rsidRDefault="00C46587" w:rsidP="00982118">
      <w:pPr>
        <w:rPr>
          <w:color w:val="000000" w:themeColor="text1"/>
        </w:rPr>
      </w:pPr>
    </w:p>
    <w:p w14:paraId="568850C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14.</w:t>
      </w:r>
      <w:r w:rsidRPr="0058432E">
        <w:rPr>
          <w:b/>
          <w:color w:val="000000" w:themeColor="text1"/>
        </w:rPr>
        <w:tab/>
        <w:t xml:space="preserve">CONDITIONS DE PRESCRIPTION ET DE DÉLIVRANCE </w:t>
      </w:r>
    </w:p>
    <w:p w14:paraId="468FBE88" w14:textId="77777777" w:rsidR="00C46587" w:rsidRPr="0058432E" w:rsidRDefault="00C46587" w:rsidP="00982118">
      <w:pPr>
        <w:rPr>
          <w:color w:val="000000" w:themeColor="text1"/>
        </w:rPr>
      </w:pPr>
    </w:p>
    <w:p w14:paraId="138D31E3" w14:textId="77777777" w:rsidR="00C46587" w:rsidRPr="0058432E" w:rsidRDefault="00C46587" w:rsidP="00982118">
      <w:pPr>
        <w:rPr>
          <w:color w:val="000000" w:themeColor="text1"/>
        </w:rPr>
      </w:pPr>
    </w:p>
    <w:p w14:paraId="2ABF9A12"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15.</w:t>
      </w:r>
      <w:r w:rsidRPr="0058432E">
        <w:rPr>
          <w:b/>
          <w:color w:val="000000" w:themeColor="text1"/>
        </w:rPr>
        <w:tab/>
        <w:t xml:space="preserve">INDICATIONS D’UTILISATION </w:t>
      </w:r>
    </w:p>
    <w:p w14:paraId="13867EC1" w14:textId="77777777" w:rsidR="00C46587" w:rsidRPr="0058432E" w:rsidRDefault="00C46587" w:rsidP="00982118">
      <w:pPr>
        <w:rPr>
          <w:color w:val="000000" w:themeColor="text1"/>
        </w:rPr>
      </w:pPr>
    </w:p>
    <w:p w14:paraId="29B98044" w14:textId="77777777" w:rsidR="00C46587" w:rsidRPr="0058432E" w:rsidRDefault="00C46587" w:rsidP="00982118">
      <w:pPr>
        <w:rPr>
          <w:color w:val="000000" w:themeColor="text1"/>
        </w:rPr>
      </w:pPr>
    </w:p>
    <w:p w14:paraId="4C7A757D"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16.</w:t>
      </w:r>
      <w:r w:rsidRPr="0058432E">
        <w:rPr>
          <w:b/>
          <w:color w:val="000000" w:themeColor="text1"/>
        </w:rPr>
        <w:tab/>
        <w:t xml:space="preserve">INFORMATIONS EN BRAILLE </w:t>
      </w:r>
    </w:p>
    <w:p w14:paraId="10FA0C83" w14:textId="77777777" w:rsidR="00C46587" w:rsidRPr="0058432E" w:rsidRDefault="00C46587" w:rsidP="00982118">
      <w:pPr>
        <w:keepNext/>
        <w:rPr>
          <w:color w:val="000000" w:themeColor="text1"/>
        </w:rPr>
      </w:pPr>
    </w:p>
    <w:p w14:paraId="63BEB7BB" w14:textId="77777777" w:rsidR="00C46587" w:rsidRPr="0058432E" w:rsidRDefault="006A1144" w:rsidP="00982118">
      <w:pPr>
        <w:keepNext/>
        <w:rPr>
          <w:color w:val="000000" w:themeColor="text1"/>
        </w:rPr>
      </w:pPr>
      <w:r w:rsidRPr="0058432E">
        <w:rPr>
          <w:color w:val="000000" w:themeColor="text1"/>
        </w:rPr>
        <w:t xml:space="preserve">Amsparity 40 mg/0,8 ml </w:t>
      </w:r>
    </w:p>
    <w:p w14:paraId="269B7F57" w14:textId="77777777" w:rsidR="00515687" w:rsidRPr="0058432E" w:rsidRDefault="00515687" w:rsidP="00982118">
      <w:pPr>
        <w:keepNext/>
        <w:rPr>
          <w:color w:val="000000" w:themeColor="text1"/>
        </w:rPr>
      </w:pPr>
    </w:p>
    <w:p w14:paraId="3670F07E" w14:textId="77777777" w:rsidR="00C46587" w:rsidRPr="0058432E" w:rsidRDefault="00C46587" w:rsidP="00982118">
      <w:pPr>
        <w:rPr>
          <w:color w:val="000000" w:themeColor="text1"/>
        </w:rPr>
      </w:pPr>
    </w:p>
    <w:p w14:paraId="25C6DAFB" w14:textId="77777777" w:rsidR="00C46587" w:rsidRPr="0058432E" w:rsidRDefault="00C46587" w:rsidP="006304AB">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17.</w:t>
      </w:r>
      <w:r w:rsidRPr="0058432E">
        <w:rPr>
          <w:b/>
          <w:color w:val="000000" w:themeColor="text1"/>
        </w:rPr>
        <w:tab/>
        <w:t xml:space="preserve">IDENTIFIANT UNIQUE - CODE-BARRES 2D </w:t>
      </w:r>
    </w:p>
    <w:p w14:paraId="58CB946B" w14:textId="77777777" w:rsidR="00C46587" w:rsidRPr="0058432E" w:rsidRDefault="00C46587" w:rsidP="006304AB">
      <w:pPr>
        <w:keepNext/>
        <w:rPr>
          <w:color w:val="000000" w:themeColor="text1"/>
        </w:rPr>
      </w:pPr>
    </w:p>
    <w:p w14:paraId="1509A06B" w14:textId="77777777" w:rsidR="00C46587" w:rsidRPr="0058432E" w:rsidRDefault="00C46587" w:rsidP="00982118">
      <w:pPr>
        <w:rPr>
          <w:color w:val="000000" w:themeColor="text1"/>
        </w:rPr>
      </w:pPr>
    </w:p>
    <w:p w14:paraId="2D5BF0A7" w14:textId="77777777" w:rsidR="00C46587" w:rsidRPr="0058432E" w:rsidRDefault="00C46587" w:rsidP="003D5162">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18.</w:t>
      </w:r>
      <w:r w:rsidRPr="0058432E">
        <w:rPr>
          <w:b/>
          <w:color w:val="000000" w:themeColor="text1"/>
        </w:rPr>
        <w:tab/>
        <w:t xml:space="preserve">IDENTIFIANT UNIQUE - DONNÉES LISIBLES PAR LES HUMAINS </w:t>
      </w:r>
    </w:p>
    <w:p w14:paraId="3B2C10F5" w14:textId="77777777" w:rsidR="00C46587" w:rsidRPr="0058432E" w:rsidRDefault="00C46587" w:rsidP="00982118">
      <w:pPr>
        <w:rPr>
          <w:color w:val="000000" w:themeColor="text1"/>
        </w:rPr>
      </w:pPr>
    </w:p>
    <w:p w14:paraId="24935C20" w14:textId="77777777" w:rsidR="00C46587" w:rsidRPr="0058432E" w:rsidRDefault="00C46587" w:rsidP="00982118">
      <w:pPr>
        <w:rPr>
          <w:color w:val="000000" w:themeColor="text1"/>
        </w:rPr>
      </w:pPr>
      <w:r w:rsidRPr="0058432E">
        <w:rPr>
          <w:color w:val="000000" w:themeColor="text1"/>
        </w:rPr>
        <w:br w:type="page"/>
      </w:r>
    </w:p>
    <w:p w14:paraId="4441F84A"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MINIMALES DEVANT FIGURER SUR LES PETITS CONDITIONNEMENTS PRIMAIRES </w:t>
      </w:r>
    </w:p>
    <w:p w14:paraId="31DEFF5B"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52F7230B"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ÉTIQUETTE DU FLACON </w:t>
      </w:r>
    </w:p>
    <w:p w14:paraId="6E0846CB" w14:textId="77777777" w:rsidR="00C46587" w:rsidRPr="0058432E" w:rsidRDefault="00C46587" w:rsidP="00982118">
      <w:pPr>
        <w:rPr>
          <w:color w:val="000000" w:themeColor="text1"/>
        </w:rPr>
      </w:pPr>
    </w:p>
    <w:p w14:paraId="4E90C5DE" w14:textId="77777777" w:rsidR="00C46587" w:rsidRPr="0058432E" w:rsidRDefault="00C46587" w:rsidP="00982118">
      <w:pPr>
        <w:rPr>
          <w:color w:val="000000" w:themeColor="text1"/>
        </w:rPr>
      </w:pPr>
    </w:p>
    <w:p w14:paraId="2303B3AF"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ET VOIE D’ADMINISTRATION </w:t>
      </w:r>
    </w:p>
    <w:p w14:paraId="601118D7" w14:textId="77777777" w:rsidR="00C46587" w:rsidRPr="0058432E" w:rsidRDefault="00C46587" w:rsidP="00982118">
      <w:pPr>
        <w:rPr>
          <w:color w:val="000000" w:themeColor="text1"/>
        </w:rPr>
      </w:pPr>
    </w:p>
    <w:p w14:paraId="0AF2C8E6" w14:textId="77777777" w:rsidR="00C46587" w:rsidRPr="0058432E" w:rsidRDefault="006A1144" w:rsidP="00982118">
      <w:pPr>
        <w:rPr>
          <w:color w:val="000000" w:themeColor="text1"/>
        </w:rPr>
      </w:pPr>
      <w:r w:rsidRPr="0058432E">
        <w:rPr>
          <w:color w:val="000000" w:themeColor="text1"/>
        </w:rPr>
        <w:t xml:space="preserve">Amsparity 40 mg/0,8 ml, solution injectable </w:t>
      </w:r>
    </w:p>
    <w:p w14:paraId="1F11DC66"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0B40FB6A" w14:textId="77777777" w:rsidR="00BC5A1F" w:rsidRPr="0058432E" w:rsidRDefault="004C14CB" w:rsidP="00982118">
      <w:pPr>
        <w:rPr>
          <w:color w:val="000000" w:themeColor="text1"/>
        </w:rPr>
      </w:pPr>
      <w:r w:rsidRPr="0058432E">
        <w:rPr>
          <w:color w:val="000000" w:themeColor="text1"/>
        </w:rPr>
        <w:t>SC</w:t>
      </w:r>
    </w:p>
    <w:p w14:paraId="56F9DA7D" w14:textId="77777777" w:rsidR="00C46587" w:rsidRPr="0058432E" w:rsidRDefault="00C46587" w:rsidP="00982118">
      <w:pPr>
        <w:rPr>
          <w:color w:val="000000" w:themeColor="text1"/>
        </w:rPr>
      </w:pPr>
    </w:p>
    <w:p w14:paraId="4A3FC41A" w14:textId="77777777" w:rsidR="00C46587" w:rsidRPr="0058432E" w:rsidRDefault="00C46587" w:rsidP="00982118">
      <w:pPr>
        <w:rPr>
          <w:color w:val="000000" w:themeColor="text1"/>
        </w:rPr>
      </w:pPr>
    </w:p>
    <w:p w14:paraId="0B52F95B"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MODE D’ADMINISTRATION </w:t>
      </w:r>
    </w:p>
    <w:p w14:paraId="0934DEB8" w14:textId="77777777" w:rsidR="00C46587" w:rsidRPr="0058432E" w:rsidRDefault="00C46587" w:rsidP="00982118">
      <w:pPr>
        <w:rPr>
          <w:color w:val="000000" w:themeColor="text1"/>
        </w:rPr>
      </w:pPr>
    </w:p>
    <w:p w14:paraId="4C50F755" w14:textId="77777777" w:rsidR="00C46587" w:rsidRPr="0058432E" w:rsidRDefault="00C46587" w:rsidP="00982118">
      <w:pPr>
        <w:rPr>
          <w:color w:val="000000" w:themeColor="text1"/>
        </w:rPr>
      </w:pPr>
    </w:p>
    <w:p w14:paraId="592D6473"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DATE DE PÉREMPTION </w:t>
      </w:r>
    </w:p>
    <w:p w14:paraId="3D73712F" w14:textId="77777777" w:rsidR="00C46587" w:rsidRPr="0058432E" w:rsidRDefault="00C46587" w:rsidP="00982118">
      <w:pPr>
        <w:rPr>
          <w:color w:val="000000" w:themeColor="text1"/>
        </w:rPr>
      </w:pPr>
    </w:p>
    <w:p w14:paraId="10C9F703" w14:textId="77777777" w:rsidR="00C46587" w:rsidRPr="0058432E" w:rsidRDefault="00C46587" w:rsidP="00982118">
      <w:pPr>
        <w:rPr>
          <w:color w:val="000000" w:themeColor="text1"/>
        </w:rPr>
      </w:pPr>
      <w:r w:rsidRPr="0058432E">
        <w:rPr>
          <w:color w:val="000000" w:themeColor="text1"/>
        </w:rPr>
        <w:t xml:space="preserve">EXP </w:t>
      </w:r>
    </w:p>
    <w:p w14:paraId="2F15E6E3" w14:textId="77777777" w:rsidR="00C46587" w:rsidRPr="0058432E" w:rsidRDefault="00C46587" w:rsidP="00982118">
      <w:pPr>
        <w:rPr>
          <w:color w:val="000000" w:themeColor="text1"/>
        </w:rPr>
      </w:pPr>
    </w:p>
    <w:p w14:paraId="7647602A" w14:textId="77777777" w:rsidR="00C46587" w:rsidRPr="0058432E" w:rsidRDefault="00C46587" w:rsidP="00982118">
      <w:pPr>
        <w:rPr>
          <w:color w:val="000000" w:themeColor="text1"/>
        </w:rPr>
      </w:pPr>
    </w:p>
    <w:p w14:paraId="2B4112F6"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NUMÉRO DU LOT </w:t>
      </w:r>
    </w:p>
    <w:p w14:paraId="7A8129D3" w14:textId="77777777" w:rsidR="00C46587" w:rsidRPr="0058432E" w:rsidRDefault="00C46587" w:rsidP="00982118">
      <w:pPr>
        <w:rPr>
          <w:color w:val="000000" w:themeColor="text1"/>
        </w:rPr>
      </w:pPr>
    </w:p>
    <w:p w14:paraId="482E8846" w14:textId="77777777" w:rsidR="00C46587" w:rsidRPr="0058432E" w:rsidRDefault="00C46587" w:rsidP="00982118">
      <w:pPr>
        <w:rPr>
          <w:color w:val="000000" w:themeColor="text1"/>
        </w:rPr>
      </w:pPr>
      <w:r w:rsidRPr="0058432E">
        <w:rPr>
          <w:color w:val="000000" w:themeColor="text1"/>
        </w:rPr>
        <w:t xml:space="preserve">Lot </w:t>
      </w:r>
    </w:p>
    <w:p w14:paraId="3C2ED2C0" w14:textId="77777777" w:rsidR="00C46587" w:rsidRPr="0058432E" w:rsidRDefault="00C46587" w:rsidP="00982118">
      <w:pPr>
        <w:rPr>
          <w:color w:val="000000" w:themeColor="text1"/>
        </w:rPr>
      </w:pPr>
    </w:p>
    <w:p w14:paraId="6B57EA1C" w14:textId="77777777" w:rsidR="00C46587" w:rsidRPr="0058432E" w:rsidRDefault="00C46587" w:rsidP="00982118">
      <w:pPr>
        <w:rPr>
          <w:color w:val="000000" w:themeColor="text1"/>
        </w:rPr>
      </w:pPr>
    </w:p>
    <w:p w14:paraId="26BD36A0"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 xml:space="preserve">5. CONTENU EN POIDS, VOLUME OU UNITÉ </w:t>
      </w:r>
    </w:p>
    <w:p w14:paraId="43E554BE" w14:textId="77777777" w:rsidR="00C46587" w:rsidRPr="0058432E" w:rsidRDefault="00C46587" w:rsidP="00982118">
      <w:pPr>
        <w:rPr>
          <w:color w:val="000000" w:themeColor="text1"/>
        </w:rPr>
      </w:pPr>
    </w:p>
    <w:p w14:paraId="4FF0D4D7" w14:textId="77777777" w:rsidR="00C46587" w:rsidRPr="0058432E" w:rsidRDefault="00C46587" w:rsidP="00982118">
      <w:pPr>
        <w:rPr>
          <w:color w:val="000000" w:themeColor="text1"/>
        </w:rPr>
      </w:pPr>
      <w:r w:rsidRPr="0058432E">
        <w:rPr>
          <w:color w:val="000000" w:themeColor="text1"/>
          <w:highlight w:val="lightGray"/>
        </w:rPr>
        <w:t>40 mg/0,8 ml</w:t>
      </w:r>
      <w:r w:rsidRPr="0058432E">
        <w:rPr>
          <w:color w:val="000000" w:themeColor="text1"/>
        </w:rPr>
        <w:t xml:space="preserve"> </w:t>
      </w:r>
    </w:p>
    <w:p w14:paraId="65221172" w14:textId="77777777" w:rsidR="00C46587" w:rsidRPr="0058432E" w:rsidRDefault="00C46587" w:rsidP="00982118">
      <w:pPr>
        <w:rPr>
          <w:color w:val="000000" w:themeColor="text1"/>
        </w:rPr>
      </w:pPr>
    </w:p>
    <w:p w14:paraId="67043E58" w14:textId="77777777" w:rsidR="00C46587" w:rsidRPr="0058432E" w:rsidRDefault="00C46587" w:rsidP="00982118">
      <w:pPr>
        <w:rPr>
          <w:color w:val="000000" w:themeColor="text1"/>
        </w:rPr>
      </w:pPr>
    </w:p>
    <w:p w14:paraId="28D8A072"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 xml:space="preserve">6. AUTRE </w:t>
      </w:r>
    </w:p>
    <w:p w14:paraId="198FED2A" w14:textId="77777777" w:rsidR="00C46587" w:rsidRPr="0058432E" w:rsidRDefault="00C46587" w:rsidP="00982118">
      <w:pPr>
        <w:rPr>
          <w:color w:val="000000" w:themeColor="text1"/>
        </w:rPr>
      </w:pPr>
    </w:p>
    <w:p w14:paraId="418A1D21" w14:textId="77777777" w:rsidR="00C46587" w:rsidRPr="0058432E" w:rsidRDefault="00C46587" w:rsidP="00982118">
      <w:pPr>
        <w:rPr>
          <w:color w:val="000000" w:themeColor="text1"/>
        </w:rPr>
      </w:pPr>
      <w:r w:rsidRPr="0058432E">
        <w:rPr>
          <w:color w:val="000000" w:themeColor="text1"/>
        </w:rPr>
        <w:br w:type="page"/>
      </w:r>
    </w:p>
    <w:p w14:paraId="6A8C4FA8"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DEVANT FIGURER SUR L’EMBALLAGE EXTÉRIEUR </w:t>
      </w:r>
    </w:p>
    <w:p w14:paraId="23D8C39D"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4DD520DF"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EMBALLAGE EXTÉRIEUR </w:t>
      </w:r>
    </w:p>
    <w:p w14:paraId="045AE5C1" w14:textId="77777777" w:rsidR="00C46587" w:rsidRPr="0058432E" w:rsidRDefault="00C46587" w:rsidP="00982118">
      <w:pPr>
        <w:rPr>
          <w:color w:val="000000" w:themeColor="text1"/>
        </w:rPr>
      </w:pPr>
    </w:p>
    <w:p w14:paraId="2E2CCF51" w14:textId="77777777" w:rsidR="00C46587" w:rsidRPr="0058432E" w:rsidRDefault="00C46587" w:rsidP="00982118">
      <w:pPr>
        <w:rPr>
          <w:color w:val="000000" w:themeColor="text1"/>
        </w:rPr>
      </w:pPr>
    </w:p>
    <w:p w14:paraId="081A24BB"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6DFFC64A" w14:textId="77777777" w:rsidR="00C46587" w:rsidRPr="0058432E" w:rsidRDefault="00C46587" w:rsidP="00982118">
      <w:pPr>
        <w:rPr>
          <w:color w:val="000000" w:themeColor="text1"/>
        </w:rPr>
      </w:pPr>
    </w:p>
    <w:p w14:paraId="0866F31B" w14:textId="77777777" w:rsidR="00C46587" w:rsidRPr="0058432E" w:rsidRDefault="006A1144" w:rsidP="00982118">
      <w:pPr>
        <w:rPr>
          <w:color w:val="000000" w:themeColor="text1"/>
        </w:rPr>
      </w:pPr>
      <w:r w:rsidRPr="0058432E">
        <w:rPr>
          <w:color w:val="000000" w:themeColor="text1"/>
        </w:rPr>
        <w:t xml:space="preserve">Amsparity 40 mg, solution injectable en seringue préremplie </w:t>
      </w:r>
    </w:p>
    <w:p w14:paraId="70890DC6"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54E26342" w14:textId="77777777" w:rsidR="00C46587" w:rsidRPr="0058432E" w:rsidRDefault="00C46587" w:rsidP="00982118">
      <w:pPr>
        <w:rPr>
          <w:color w:val="000000" w:themeColor="text1"/>
        </w:rPr>
      </w:pPr>
    </w:p>
    <w:p w14:paraId="0C06BE69" w14:textId="77777777" w:rsidR="00C46587" w:rsidRPr="0058432E" w:rsidRDefault="00C46587" w:rsidP="00982118">
      <w:pPr>
        <w:rPr>
          <w:color w:val="000000" w:themeColor="text1"/>
        </w:rPr>
      </w:pPr>
    </w:p>
    <w:p w14:paraId="79C3770A"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COMPOSITION EN SUBSTANCE ACTIVE </w:t>
      </w:r>
    </w:p>
    <w:p w14:paraId="5ABAC3FA" w14:textId="77777777" w:rsidR="00C46587" w:rsidRPr="0058432E" w:rsidRDefault="00C46587" w:rsidP="00982118">
      <w:pPr>
        <w:rPr>
          <w:color w:val="000000" w:themeColor="text1"/>
        </w:rPr>
      </w:pPr>
    </w:p>
    <w:p w14:paraId="49FD25B6" w14:textId="77777777" w:rsidR="00C46587" w:rsidRPr="0058432E" w:rsidRDefault="00C46587" w:rsidP="00982118">
      <w:pPr>
        <w:rPr>
          <w:color w:val="000000" w:themeColor="text1"/>
        </w:rPr>
      </w:pPr>
      <w:r w:rsidRPr="0058432E">
        <w:rPr>
          <w:color w:val="000000" w:themeColor="text1"/>
        </w:rPr>
        <w:t xml:space="preserve">Une seringue préremplie de 0,8 ml contient 40 mg d’adalimumab. </w:t>
      </w:r>
    </w:p>
    <w:p w14:paraId="0F9C936F" w14:textId="77777777" w:rsidR="00C46587" w:rsidRPr="0058432E" w:rsidRDefault="00C46587" w:rsidP="00982118">
      <w:pPr>
        <w:rPr>
          <w:color w:val="000000" w:themeColor="text1"/>
        </w:rPr>
      </w:pPr>
    </w:p>
    <w:p w14:paraId="04D0B469" w14:textId="77777777" w:rsidR="00C46587" w:rsidRPr="0058432E" w:rsidRDefault="00C46587" w:rsidP="00982118">
      <w:pPr>
        <w:rPr>
          <w:color w:val="000000" w:themeColor="text1"/>
        </w:rPr>
      </w:pPr>
    </w:p>
    <w:p w14:paraId="55A5E4A1"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LISTE DES EXCIPIENTS </w:t>
      </w:r>
    </w:p>
    <w:p w14:paraId="5840CF13" w14:textId="77777777" w:rsidR="00C46587" w:rsidRPr="0058432E" w:rsidRDefault="00C46587" w:rsidP="00982118">
      <w:pPr>
        <w:rPr>
          <w:color w:val="000000" w:themeColor="text1"/>
        </w:rPr>
      </w:pPr>
    </w:p>
    <w:p w14:paraId="4954FCE5" w14:textId="77777777" w:rsidR="00C46587" w:rsidRPr="0058432E" w:rsidRDefault="00C46587" w:rsidP="00982118">
      <w:pPr>
        <w:rPr>
          <w:color w:val="000000" w:themeColor="text1"/>
        </w:rPr>
      </w:pPr>
      <w:r w:rsidRPr="0058432E">
        <w:rPr>
          <w:color w:val="000000" w:themeColor="text1"/>
        </w:rPr>
        <w:t xml:space="preserve">Excipients : L-histidine, chlorhydrate de L-histidine monohydraté, saccharose, édétate disodique dihydraté, L-méthionine, polysorbate 80 et eau pour préparations injectables. </w:t>
      </w:r>
      <w:r w:rsidR="006A6449" w:rsidRPr="0058432E">
        <w:rPr>
          <w:color w:val="000000" w:themeColor="text1"/>
          <w:highlight w:val="lightGray"/>
        </w:rPr>
        <w:t>Voir la notice pour plus d'information</w:t>
      </w:r>
      <w:r w:rsidR="00490D75" w:rsidRPr="0058432E">
        <w:rPr>
          <w:color w:val="000000" w:themeColor="text1"/>
          <w:highlight w:val="lightGray"/>
        </w:rPr>
        <w:t>s</w:t>
      </w:r>
      <w:r w:rsidR="003510E7" w:rsidRPr="0058432E">
        <w:rPr>
          <w:color w:val="000000" w:themeColor="text1"/>
          <w:highlight w:val="lightGray"/>
        </w:rPr>
        <w:t>.</w:t>
      </w:r>
    </w:p>
    <w:p w14:paraId="5C76B3BB" w14:textId="77777777" w:rsidR="00C46587" w:rsidRPr="0058432E" w:rsidRDefault="00C46587" w:rsidP="00982118">
      <w:pPr>
        <w:tabs>
          <w:tab w:val="left" w:pos="562"/>
        </w:tabs>
        <w:rPr>
          <w:color w:val="000000" w:themeColor="text1"/>
        </w:rPr>
      </w:pPr>
    </w:p>
    <w:p w14:paraId="50DA0545" w14:textId="77777777" w:rsidR="00C46587" w:rsidRPr="0058432E" w:rsidRDefault="00C46587" w:rsidP="00982118">
      <w:pPr>
        <w:tabs>
          <w:tab w:val="left" w:pos="562"/>
        </w:tabs>
        <w:rPr>
          <w:color w:val="000000" w:themeColor="text1"/>
        </w:rPr>
      </w:pPr>
    </w:p>
    <w:p w14:paraId="5708F6F7"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FORME PHARMACEUTIQUE ET CONTENU </w:t>
      </w:r>
    </w:p>
    <w:p w14:paraId="0DF745D7" w14:textId="77777777" w:rsidR="00C46587" w:rsidRPr="0058432E" w:rsidRDefault="00C46587" w:rsidP="00982118">
      <w:pPr>
        <w:rPr>
          <w:color w:val="000000" w:themeColor="text1"/>
        </w:rPr>
      </w:pPr>
    </w:p>
    <w:p w14:paraId="623EEFFE" w14:textId="77777777" w:rsidR="00BC5A1F" w:rsidRPr="0058432E" w:rsidRDefault="00BC5A1F" w:rsidP="00982118">
      <w:pPr>
        <w:rPr>
          <w:color w:val="000000" w:themeColor="text1"/>
        </w:rPr>
      </w:pPr>
      <w:r w:rsidRPr="0058432E">
        <w:rPr>
          <w:color w:val="000000" w:themeColor="text1"/>
          <w:highlight w:val="lightGray"/>
        </w:rPr>
        <w:t>Solution injectable</w:t>
      </w:r>
    </w:p>
    <w:p w14:paraId="2389C788" w14:textId="77777777" w:rsidR="00C46587" w:rsidRPr="0058432E" w:rsidRDefault="00C46587" w:rsidP="00982118">
      <w:pPr>
        <w:rPr>
          <w:color w:val="000000" w:themeColor="text1"/>
        </w:rPr>
      </w:pPr>
      <w:r w:rsidRPr="0058432E">
        <w:rPr>
          <w:color w:val="000000" w:themeColor="text1"/>
        </w:rPr>
        <w:t xml:space="preserve">1 seringue préremplie </w:t>
      </w:r>
    </w:p>
    <w:p w14:paraId="77B8613A" w14:textId="77777777" w:rsidR="00C46587" w:rsidRPr="0058432E" w:rsidRDefault="00CF3EFE" w:rsidP="00982118">
      <w:pPr>
        <w:rPr>
          <w:color w:val="000000" w:themeColor="text1"/>
        </w:rPr>
      </w:pPr>
      <w:r w:rsidRPr="0058432E">
        <w:rPr>
          <w:color w:val="000000" w:themeColor="text1"/>
        </w:rPr>
        <w:t xml:space="preserve">2 tampons d’alcool </w:t>
      </w:r>
    </w:p>
    <w:p w14:paraId="7776F071" w14:textId="77777777" w:rsidR="00BC5A1F" w:rsidRPr="0058432E" w:rsidRDefault="00BC5A1F" w:rsidP="007C4B2C">
      <w:pPr>
        <w:pStyle w:val="BodyText"/>
        <w:widowControl/>
        <w:kinsoku w:val="0"/>
        <w:overflowPunct w:val="0"/>
        <w:ind w:left="0" w:right="447"/>
        <w:rPr>
          <w:color w:val="000000" w:themeColor="text1"/>
        </w:rPr>
      </w:pPr>
    </w:p>
    <w:p w14:paraId="28F3215A" w14:textId="77777777" w:rsidR="00BC5A1F" w:rsidRPr="0058432E" w:rsidRDefault="00BC5A1F" w:rsidP="00982118">
      <w:pPr>
        <w:rPr>
          <w:color w:val="000000" w:themeColor="text1"/>
          <w:highlight w:val="lightGray"/>
        </w:rPr>
      </w:pPr>
      <w:r w:rsidRPr="0058432E">
        <w:rPr>
          <w:color w:val="000000" w:themeColor="text1"/>
          <w:highlight w:val="lightGray"/>
        </w:rPr>
        <w:t>2 seringues préremplies</w:t>
      </w:r>
    </w:p>
    <w:p w14:paraId="12534EBE" w14:textId="77777777" w:rsidR="00BC5A1F" w:rsidRPr="0058432E" w:rsidRDefault="00BC5A1F" w:rsidP="00982118">
      <w:pPr>
        <w:rPr>
          <w:color w:val="000000" w:themeColor="text1"/>
          <w:highlight w:val="lightGray"/>
        </w:rPr>
      </w:pPr>
      <w:r w:rsidRPr="0058432E">
        <w:rPr>
          <w:color w:val="000000" w:themeColor="text1"/>
          <w:highlight w:val="lightGray"/>
        </w:rPr>
        <w:t>2 tampons d’alcool</w:t>
      </w:r>
    </w:p>
    <w:p w14:paraId="210088B8" w14:textId="77777777" w:rsidR="00BC5A1F" w:rsidRPr="0058432E" w:rsidRDefault="00BC5A1F" w:rsidP="007C4B2C">
      <w:pPr>
        <w:pStyle w:val="BodyText"/>
        <w:widowControl/>
        <w:kinsoku w:val="0"/>
        <w:overflowPunct w:val="0"/>
        <w:ind w:left="0" w:right="447"/>
        <w:rPr>
          <w:color w:val="000000" w:themeColor="text1"/>
          <w:highlight w:val="lightGray"/>
        </w:rPr>
      </w:pPr>
    </w:p>
    <w:p w14:paraId="2C89CF70" w14:textId="77777777" w:rsidR="00BC5A1F" w:rsidRPr="0058432E" w:rsidRDefault="00BC5A1F" w:rsidP="00982118">
      <w:pPr>
        <w:rPr>
          <w:color w:val="000000" w:themeColor="text1"/>
          <w:highlight w:val="lightGray"/>
        </w:rPr>
      </w:pPr>
      <w:r w:rsidRPr="0058432E">
        <w:rPr>
          <w:color w:val="000000" w:themeColor="text1"/>
          <w:highlight w:val="lightGray"/>
        </w:rPr>
        <w:t>4 seringues préremplies</w:t>
      </w:r>
    </w:p>
    <w:p w14:paraId="3DE7D84D" w14:textId="77777777" w:rsidR="00BC5A1F" w:rsidRPr="0058432E" w:rsidRDefault="00BC5A1F" w:rsidP="00982118">
      <w:pPr>
        <w:rPr>
          <w:color w:val="000000" w:themeColor="text1"/>
          <w:highlight w:val="lightGray"/>
        </w:rPr>
      </w:pPr>
      <w:r w:rsidRPr="0058432E">
        <w:rPr>
          <w:color w:val="000000" w:themeColor="text1"/>
          <w:highlight w:val="lightGray"/>
        </w:rPr>
        <w:t>4 tampons d’alcool</w:t>
      </w:r>
    </w:p>
    <w:p w14:paraId="0261C8EF" w14:textId="77777777" w:rsidR="00BC5A1F" w:rsidRPr="0058432E" w:rsidRDefault="00BC5A1F" w:rsidP="007C4B2C">
      <w:pPr>
        <w:pStyle w:val="BodyText"/>
        <w:widowControl/>
        <w:kinsoku w:val="0"/>
        <w:overflowPunct w:val="0"/>
        <w:ind w:left="0" w:right="447"/>
        <w:rPr>
          <w:b/>
          <w:color w:val="000000" w:themeColor="text1"/>
          <w:highlight w:val="lightGray"/>
        </w:rPr>
      </w:pPr>
    </w:p>
    <w:p w14:paraId="7C662CD2" w14:textId="77777777" w:rsidR="00BC5A1F" w:rsidRPr="0058432E" w:rsidRDefault="00BC5A1F" w:rsidP="00982118">
      <w:pPr>
        <w:rPr>
          <w:color w:val="000000" w:themeColor="text1"/>
          <w:highlight w:val="lightGray"/>
        </w:rPr>
      </w:pPr>
      <w:r w:rsidRPr="0058432E">
        <w:rPr>
          <w:color w:val="000000" w:themeColor="text1"/>
          <w:highlight w:val="lightGray"/>
        </w:rPr>
        <w:t>6 seringues préremplies</w:t>
      </w:r>
    </w:p>
    <w:p w14:paraId="76D276BD" w14:textId="77777777" w:rsidR="00BC5A1F" w:rsidRPr="0058432E" w:rsidRDefault="00BC5A1F" w:rsidP="00982118">
      <w:pPr>
        <w:rPr>
          <w:color w:val="000000" w:themeColor="text1"/>
        </w:rPr>
      </w:pPr>
      <w:r w:rsidRPr="0058432E">
        <w:rPr>
          <w:color w:val="000000" w:themeColor="text1"/>
          <w:highlight w:val="lightGray"/>
        </w:rPr>
        <w:t>6 tampons d’alcool</w:t>
      </w:r>
    </w:p>
    <w:p w14:paraId="03222A93" w14:textId="77777777" w:rsidR="00C46587" w:rsidRPr="0058432E" w:rsidRDefault="00C46587" w:rsidP="007C4B2C">
      <w:pPr>
        <w:pStyle w:val="BodyText"/>
        <w:widowControl/>
        <w:kinsoku w:val="0"/>
        <w:overflowPunct w:val="0"/>
        <w:ind w:left="0" w:right="447"/>
        <w:rPr>
          <w:color w:val="000000" w:themeColor="text1"/>
        </w:rPr>
      </w:pPr>
    </w:p>
    <w:p w14:paraId="50C7EAE5" w14:textId="77777777" w:rsidR="00C46587" w:rsidRPr="0058432E" w:rsidRDefault="00C46587" w:rsidP="00982118">
      <w:pPr>
        <w:rPr>
          <w:color w:val="000000" w:themeColor="text1"/>
        </w:rPr>
      </w:pPr>
    </w:p>
    <w:p w14:paraId="208B3474"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5.</w:t>
      </w:r>
      <w:r w:rsidRPr="0058432E">
        <w:rPr>
          <w:b/>
          <w:color w:val="000000" w:themeColor="text1"/>
        </w:rPr>
        <w:tab/>
        <w:t xml:space="preserve">MODE ET VOIE D’ADMINISTRATION </w:t>
      </w:r>
    </w:p>
    <w:p w14:paraId="176807C8" w14:textId="77777777" w:rsidR="00C46587" w:rsidRPr="0058432E" w:rsidRDefault="00C46587" w:rsidP="00982118">
      <w:pPr>
        <w:keepNext/>
        <w:rPr>
          <w:color w:val="000000" w:themeColor="text1"/>
        </w:rPr>
      </w:pPr>
    </w:p>
    <w:p w14:paraId="0CFF3BA2" w14:textId="77777777" w:rsidR="00C46587" w:rsidRPr="0058432E" w:rsidRDefault="00C46587" w:rsidP="00982118">
      <w:pPr>
        <w:keepNext/>
        <w:rPr>
          <w:color w:val="000000" w:themeColor="text1"/>
        </w:rPr>
      </w:pPr>
      <w:r w:rsidRPr="0058432E">
        <w:rPr>
          <w:color w:val="000000" w:themeColor="text1"/>
        </w:rPr>
        <w:t xml:space="preserve">Voie sous-cutanée </w:t>
      </w:r>
    </w:p>
    <w:p w14:paraId="369F5D44" w14:textId="77777777" w:rsidR="00C46587" w:rsidRPr="0058432E" w:rsidRDefault="00C46587" w:rsidP="00982118">
      <w:pPr>
        <w:keepNext/>
        <w:rPr>
          <w:color w:val="000000" w:themeColor="text1"/>
        </w:rPr>
      </w:pPr>
    </w:p>
    <w:p w14:paraId="1AC9C203" w14:textId="77777777" w:rsidR="00C46587" w:rsidRPr="0058432E" w:rsidRDefault="00C46587" w:rsidP="00982118">
      <w:pPr>
        <w:keepNext/>
        <w:rPr>
          <w:color w:val="000000" w:themeColor="text1"/>
        </w:rPr>
      </w:pPr>
      <w:r w:rsidRPr="0058432E">
        <w:rPr>
          <w:color w:val="000000" w:themeColor="text1"/>
        </w:rPr>
        <w:t xml:space="preserve">Lire la notice avant utilisation. </w:t>
      </w:r>
    </w:p>
    <w:p w14:paraId="4924AB6E" w14:textId="77777777" w:rsidR="00BC5A1F" w:rsidRPr="0058432E" w:rsidRDefault="00BC5A1F" w:rsidP="00982118">
      <w:pPr>
        <w:keepNext/>
        <w:rPr>
          <w:color w:val="000000" w:themeColor="text1"/>
        </w:rPr>
      </w:pPr>
    </w:p>
    <w:p w14:paraId="1ED17999" w14:textId="77777777" w:rsidR="00BC5A1F" w:rsidRPr="0058432E" w:rsidRDefault="00BC5A1F" w:rsidP="00982118">
      <w:pPr>
        <w:keepNext/>
        <w:rPr>
          <w:color w:val="000000" w:themeColor="text1"/>
        </w:rPr>
      </w:pPr>
      <w:r w:rsidRPr="0058432E">
        <w:rPr>
          <w:color w:val="000000" w:themeColor="text1"/>
        </w:rPr>
        <w:t>À usage unique.</w:t>
      </w:r>
    </w:p>
    <w:p w14:paraId="6532A5DE" w14:textId="77777777" w:rsidR="00C46587" w:rsidRPr="0058432E" w:rsidRDefault="00C46587" w:rsidP="00982118">
      <w:pPr>
        <w:keepNext/>
        <w:rPr>
          <w:color w:val="000000" w:themeColor="text1"/>
        </w:rPr>
      </w:pPr>
    </w:p>
    <w:p w14:paraId="631213D5" w14:textId="77777777" w:rsidR="00C46587" w:rsidRPr="0058432E" w:rsidRDefault="00C46587" w:rsidP="00982118">
      <w:pPr>
        <w:rPr>
          <w:color w:val="000000" w:themeColor="text1"/>
        </w:rPr>
      </w:pPr>
    </w:p>
    <w:p w14:paraId="478FB895" w14:textId="77777777" w:rsidR="00C46587" w:rsidRPr="0058432E" w:rsidRDefault="00C46587" w:rsidP="00A924EE">
      <w:pPr>
        <w:keepNext/>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6.</w:t>
      </w:r>
      <w:r w:rsidRPr="0058432E">
        <w:rPr>
          <w:b/>
          <w:color w:val="000000" w:themeColor="text1"/>
        </w:rPr>
        <w:tab/>
        <w:t xml:space="preserve">MISE EN GARDE SPÉCIALE INDIQUANT QUE LE MÉDICAMENT DOIT ÊTRE CONSERVÉ HORS DE VUE ET DE PORTÉE DES ENFANTS </w:t>
      </w:r>
    </w:p>
    <w:p w14:paraId="6FA8FCAD" w14:textId="77777777" w:rsidR="00C46587" w:rsidRPr="0058432E" w:rsidRDefault="00C46587" w:rsidP="00A924EE">
      <w:pPr>
        <w:keepNext/>
        <w:rPr>
          <w:color w:val="000000" w:themeColor="text1"/>
        </w:rPr>
      </w:pPr>
    </w:p>
    <w:p w14:paraId="40F25CCD" w14:textId="77777777" w:rsidR="00C46587" w:rsidRPr="0058432E" w:rsidRDefault="00C46587" w:rsidP="00982118">
      <w:pPr>
        <w:rPr>
          <w:color w:val="000000" w:themeColor="text1"/>
        </w:rPr>
      </w:pPr>
      <w:r w:rsidRPr="0058432E">
        <w:rPr>
          <w:color w:val="000000" w:themeColor="text1"/>
        </w:rPr>
        <w:t xml:space="preserve">Tenir hors de la vue et de la portée des enfants. </w:t>
      </w:r>
    </w:p>
    <w:p w14:paraId="2CDF0A4D" w14:textId="77777777" w:rsidR="00C46587" w:rsidRPr="0058432E" w:rsidRDefault="00C46587" w:rsidP="00982118">
      <w:pPr>
        <w:rPr>
          <w:color w:val="000000" w:themeColor="text1"/>
        </w:rPr>
      </w:pPr>
    </w:p>
    <w:p w14:paraId="039B000C" w14:textId="77777777" w:rsidR="00C46587" w:rsidRPr="0058432E" w:rsidRDefault="00C46587" w:rsidP="00982118">
      <w:pPr>
        <w:rPr>
          <w:color w:val="000000" w:themeColor="text1"/>
        </w:rPr>
      </w:pPr>
    </w:p>
    <w:p w14:paraId="6C5D7831" w14:textId="77777777" w:rsidR="00C46587" w:rsidRPr="0058432E"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7.</w:t>
      </w:r>
      <w:r w:rsidRPr="0058432E">
        <w:rPr>
          <w:b/>
          <w:color w:val="000000" w:themeColor="text1"/>
        </w:rPr>
        <w:tab/>
        <w:t xml:space="preserve">AUTRE MISE EN GARDE SPÉCIALE, SI NÉCESSAIRE </w:t>
      </w:r>
    </w:p>
    <w:p w14:paraId="58D8D39B" w14:textId="77777777" w:rsidR="00C46587" w:rsidRPr="0058432E" w:rsidRDefault="00C46587" w:rsidP="003146E9">
      <w:pPr>
        <w:keepNext/>
        <w:rPr>
          <w:color w:val="000000" w:themeColor="text1"/>
        </w:rPr>
      </w:pPr>
    </w:p>
    <w:p w14:paraId="113AB90E" w14:textId="77777777" w:rsidR="00C46587" w:rsidRPr="0058432E" w:rsidRDefault="00C46587" w:rsidP="003146E9">
      <w:pPr>
        <w:keepNext/>
        <w:rPr>
          <w:color w:val="000000" w:themeColor="text1"/>
        </w:rPr>
      </w:pPr>
    </w:p>
    <w:p w14:paraId="14D9F61A"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8.</w:t>
      </w:r>
      <w:r w:rsidRPr="0058432E">
        <w:rPr>
          <w:b/>
          <w:color w:val="000000" w:themeColor="text1"/>
        </w:rPr>
        <w:tab/>
        <w:t xml:space="preserve">DATE DE PÉREMPTION </w:t>
      </w:r>
    </w:p>
    <w:p w14:paraId="08C2F6C6" w14:textId="77777777" w:rsidR="00C46587" w:rsidRPr="0058432E" w:rsidRDefault="00C46587" w:rsidP="00982118">
      <w:pPr>
        <w:rPr>
          <w:color w:val="000000" w:themeColor="text1"/>
        </w:rPr>
      </w:pPr>
    </w:p>
    <w:p w14:paraId="3A81CDAA" w14:textId="77777777" w:rsidR="00C46587" w:rsidRPr="0058432E" w:rsidRDefault="00C46587" w:rsidP="00982118">
      <w:pPr>
        <w:rPr>
          <w:color w:val="000000" w:themeColor="text1"/>
        </w:rPr>
      </w:pPr>
      <w:r w:rsidRPr="0058432E">
        <w:rPr>
          <w:color w:val="000000" w:themeColor="text1"/>
        </w:rPr>
        <w:t xml:space="preserve">EXP </w:t>
      </w:r>
    </w:p>
    <w:p w14:paraId="20BBD464" w14:textId="77777777" w:rsidR="00C46587" w:rsidRPr="0058432E" w:rsidRDefault="00C46587" w:rsidP="00982118">
      <w:pPr>
        <w:rPr>
          <w:color w:val="000000" w:themeColor="text1"/>
        </w:rPr>
      </w:pPr>
    </w:p>
    <w:p w14:paraId="60CFCDCD" w14:textId="77777777" w:rsidR="00C46587" w:rsidRPr="0058432E" w:rsidRDefault="00C46587" w:rsidP="00982118">
      <w:pPr>
        <w:rPr>
          <w:color w:val="000000" w:themeColor="text1"/>
        </w:rPr>
      </w:pPr>
    </w:p>
    <w:p w14:paraId="1F172AA2"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9.</w:t>
      </w:r>
      <w:r w:rsidRPr="0058432E">
        <w:rPr>
          <w:b/>
          <w:color w:val="000000" w:themeColor="text1"/>
        </w:rPr>
        <w:tab/>
        <w:t xml:space="preserve">PRÉCAUTIONS PARTICULIÈRES DE CONSERVATION </w:t>
      </w:r>
    </w:p>
    <w:p w14:paraId="56CB57AD" w14:textId="77777777" w:rsidR="00C46587" w:rsidRPr="0058432E" w:rsidRDefault="00C46587" w:rsidP="00982118">
      <w:pPr>
        <w:keepNext/>
        <w:rPr>
          <w:color w:val="000000" w:themeColor="text1"/>
        </w:rPr>
      </w:pPr>
    </w:p>
    <w:p w14:paraId="51EF64FC" w14:textId="77777777" w:rsidR="00C46587" w:rsidRPr="0058432E" w:rsidRDefault="008A0837" w:rsidP="00982118">
      <w:pPr>
        <w:rPr>
          <w:color w:val="000000" w:themeColor="text1"/>
        </w:rPr>
      </w:pPr>
      <w:r w:rsidRPr="0058432E">
        <w:rPr>
          <w:color w:val="000000" w:themeColor="text1"/>
        </w:rPr>
        <w:t>À</w:t>
      </w:r>
      <w:r w:rsidR="00C46587" w:rsidRPr="0058432E">
        <w:rPr>
          <w:color w:val="000000" w:themeColor="text1"/>
        </w:rPr>
        <w:t xml:space="preserve"> conserver au réfrigérateur. Ne pas congeler. </w:t>
      </w:r>
    </w:p>
    <w:p w14:paraId="6801E8EB" w14:textId="77777777" w:rsidR="00C46587" w:rsidRPr="0058432E" w:rsidRDefault="00C46587" w:rsidP="00982118">
      <w:pPr>
        <w:rPr>
          <w:color w:val="000000" w:themeColor="text1"/>
        </w:rPr>
      </w:pPr>
    </w:p>
    <w:p w14:paraId="2C516341" w14:textId="77777777" w:rsidR="00C46587" w:rsidRPr="0058432E" w:rsidRDefault="00C46587" w:rsidP="00982118">
      <w:pPr>
        <w:rPr>
          <w:color w:val="000000" w:themeColor="text1"/>
        </w:rPr>
      </w:pPr>
      <w:r w:rsidRPr="0058432E">
        <w:rPr>
          <w:color w:val="000000" w:themeColor="text1"/>
        </w:rPr>
        <w:t>Conserver la seringue dans l’emballage extérieur</w:t>
      </w:r>
      <w:r w:rsidR="00287D6F" w:rsidRPr="0058432E">
        <w:rPr>
          <w:color w:val="000000" w:themeColor="text1"/>
        </w:rPr>
        <w:t>,</w:t>
      </w:r>
      <w:r w:rsidRPr="0058432E">
        <w:rPr>
          <w:color w:val="000000" w:themeColor="text1"/>
        </w:rPr>
        <w:t xml:space="preserve"> à l’abri de la lumière. </w:t>
      </w:r>
    </w:p>
    <w:p w14:paraId="49596CF6" w14:textId="77777777" w:rsidR="00C46587" w:rsidRPr="0058432E" w:rsidRDefault="00C46587" w:rsidP="00982118">
      <w:pPr>
        <w:rPr>
          <w:color w:val="000000" w:themeColor="text1"/>
        </w:rPr>
      </w:pPr>
    </w:p>
    <w:p w14:paraId="06B5E3A0" w14:textId="77777777" w:rsidR="00C46587" w:rsidRPr="0058432E" w:rsidRDefault="00C46587" w:rsidP="00982118">
      <w:pPr>
        <w:rPr>
          <w:color w:val="000000" w:themeColor="text1"/>
        </w:rPr>
      </w:pPr>
    </w:p>
    <w:p w14:paraId="0AEA24D4"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10.</w:t>
      </w:r>
      <w:r w:rsidRPr="0058432E">
        <w:rPr>
          <w:b/>
          <w:color w:val="000000" w:themeColor="text1"/>
        </w:rPr>
        <w:tab/>
        <w:t xml:space="preserve">PRÉCAUTIONS PARTICULIÈRES D’ÉLIMINATION DES MÉDICAMENTS NON UTILISÉS OU DES DÉCHETS PROVENANT DE CES MÉDICAMENTS S’IL Y A LIEU </w:t>
      </w:r>
    </w:p>
    <w:p w14:paraId="5393993A" w14:textId="77777777" w:rsidR="00C46587" w:rsidRPr="0058432E" w:rsidRDefault="00C46587" w:rsidP="00982118">
      <w:pPr>
        <w:rPr>
          <w:color w:val="000000" w:themeColor="text1"/>
        </w:rPr>
      </w:pPr>
    </w:p>
    <w:p w14:paraId="606A3975" w14:textId="77777777" w:rsidR="00C46587" w:rsidRPr="0058432E" w:rsidRDefault="00C46587" w:rsidP="00982118">
      <w:pPr>
        <w:rPr>
          <w:color w:val="000000" w:themeColor="text1"/>
        </w:rPr>
      </w:pPr>
    </w:p>
    <w:p w14:paraId="662B3337" w14:textId="77777777" w:rsidR="00C46587" w:rsidRPr="0058432E" w:rsidRDefault="00C46587" w:rsidP="00B51A46">
      <w:pPr>
        <w:pBdr>
          <w:top w:val="single" w:sz="4" w:space="1" w:color="auto"/>
          <w:left w:val="single" w:sz="4" w:space="4" w:color="auto"/>
          <w:bottom w:val="single" w:sz="4" w:space="1" w:color="auto"/>
          <w:right w:val="single" w:sz="4" w:space="4" w:color="auto"/>
        </w:pBdr>
        <w:ind w:left="709" w:hanging="709"/>
        <w:rPr>
          <w:b/>
          <w:color w:val="000000" w:themeColor="text1"/>
        </w:rPr>
      </w:pPr>
      <w:r w:rsidRPr="0058432E">
        <w:rPr>
          <w:b/>
          <w:color w:val="000000" w:themeColor="text1"/>
        </w:rPr>
        <w:t>11.</w:t>
      </w:r>
      <w:r w:rsidRPr="0058432E">
        <w:rPr>
          <w:b/>
          <w:color w:val="000000" w:themeColor="text1"/>
        </w:rPr>
        <w:tab/>
        <w:t xml:space="preserve">NOM ET ADRESSE DU TITULAIRE DE L’AUTORISATION DE MISE SUR LE MARCHÉ </w:t>
      </w:r>
    </w:p>
    <w:p w14:paraId="2258AC89" w14:textId="77777777" w:rsidR="00C46587" w:rsidRPr="0058432E" w:rsidRDefault="00C46587" w:rsidP="00982118">
      <w:pPr>
        <w:rPr>
          <w:color w:val="000000" w:themeColor="text1"/>
        </w:rPr>
      </w:pPr>
    </w:p>
    <w:p w14:paraId="3EDFB84B" w14:textId="77777777" w:rsidR="00DD75F2" w:rsidRPr="0058432E" w:rsidRDefault="00DD75F2" w:rsidP="00982118">
      <w:pPr>
        <w:keepNext/>
        <w:ind w:right="14"/>
        <w:rPr>
          <w:color w:val="000000" w:themeColor="text1"/>
        </w:rPr>
      </w:pPr>
      <w:r w:rsidRPr="0058432E">
        <w:rPr>
          <w:color w:val="000000" w:themeColor="text1"/>
        </w:rPr>
        <w:t>Pfizer Europe MA EEIG</w:t>
      </w:r>
    </w:p>
    <w:p w14:paraId="27ADFBC0"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Boulevard de la Plaine 17</w:t>
      </w:r>
    </w:p>
    <w:p w14:paraId="589FBACF"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1050 Bruxelles</w:t>
      </w:r>
    </w:p>
    <w:p w14:paraId="02CE6AAC"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Belgique</w:t>
      </w:r>
    </w:p>
    <w:p w14:paraId="43DF094C" w14:textId="77777777" w:rsidR="00C46587" w:rsidRPr="0058432E" w:rsidRDefault="00C46587" w:rsidP="00982118">
      <w:pPr>
        <w:rPr>
          <w:color w:val="000000" w:themeColor="text1"/>
        </w:rPr>
      </w:pPr>
    </w:p>
    <w:p w14:paraId="5E748705" w14:textId="77777777" w:rsidR="00C46587" w:rsidRPr="0058432E" w:rsidRDefault="00C46587" w:rsidP="00982118">
      <w:pPr>
        <w:rPr>
          <w:color w:val="000000" w:themeColor="text1"/>
        </w:rPr>
      </w:pPr>
    </w:p>
    <w:p w14:paraId="376CB690"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12.</w:t>
      </w:r>
      <w:r w:rsidRPr="0058432E">
        <w:rPr>
          <w:b/>
          <w:color w:val="000000" w:themeColor="text1"/>
        </w:rPr>
        <w:tab/>
        <w:t xml:space="preserve">NUMÉRO D’AUTORISATION DE MISE SUR LE MARCHÉ </w:t>
      </w:r>
    </w:p>
    <w:p w14:paraId="60A493CB" w14:textId="77777777" w:rsidR="00C46587" w:rsidRPr="0058432E" w:rsidRDefault="00C46587" w:rsidP="00982118">
      <w:pPr>
        <w:keepNext/>
        <w:rPr>
          <w:color w:val="000000" w:themeColor="text1"/>
        </w:rPr>
      </w:pPr>
    </w:p>
    <w:p w14:paraId="24C6B8A7" w14:textId="77777777" w:rsidR="00FB0912" w:rsidRPr="0058432E" w:rsidRDefault="005C6564" w:rsidP="00982118">
      <w:pPr>
        <w:keepNext/>
        <w:rPr>
          <w:color w:val="000000" w:themeColor="text1"/>
        </w:rPr>
      </w:pPr>
      <w:r w:rsidRPr="0058432E">
        <w:rPr>
          <w:color w:val="000000" w:themeColor="text1"/>
        </w:rPr>
        <w:t>EU/1/19/1415/003</w:t>
      </w:r>
    </w:p>
    <w:p w14:paraId="76A69357" w14:textId="77777777" w:rsidR="00FB0912" w:rsidRPr="0058432E" w:rsidRDefault="005C6564" w:rsidP="00982118">
      <w:pPr>
        <w:keepNext/>
        <w:rPr>
          <w:color w:val="000000" w:themeColor="text1"/>
          <w:highlight w:val="lightGray"/>
        </w:rPr>
      </w:pPr>
      <w:r w:rsidRPr="0058432E">
        <w:rPr>
          <w:color w:val="000000" w:themeColor="text1"/>
          <w:highlight w:val="lightGray"/>
        </w:rPr>
        <w:t>EU/1/19/1415/004</w:t>
      </w:r>
    </w:p>
    <w:p w14:paraId="6F6F650B" w14:textId="77777777" w:rsidR="00FB0912" w:rsidRPr="0058432E" w:rsidRDefault="005C6564" w:rsidP="00982118">
      <w:pPr>
        <w:keepNext/>
        <w:rPr>
          <w:color w:val="000000" w:themeColor="text1"/>
          <w:highlight w:val="lightGray"/>
        </w:rPr>
      </w:pPr>
      <w:r w:rsidRPr="0058432E">
        <w:rPr>
          <w:color w:val="000000" w:themeColor="text1"/>
          <w:highlight w:val="lightGray"/>
        </w:rPr>
        <w:t>EU/1/19/1415/005</w:t>
      </w:r>
    </w:p>
    <w:p w14:paraId="1F843B54" w14:textId="77777777" w:rsidR="00C46587" w:rsidRPr="0058432E" w:rsidRDefault="005C6564" w:rsidP="00982118">
      <w:pPr>
        <w:rPr>
          <w:color w:val="000000" w:themeColor="text1"/>
        </w:rPr>
      </w:pPr>
      <w:r w:rsidRPr="0058432E">
        <w:rPr>
          <w:color w:val="000000" w:themeColor="text1"/>
          <w:highlight w:val="lightGray"/>
        </w:rPr>
        <w:t>EU/1/19/1415/006</w:t>
      </w:r>
    </w:p>
    <w:p w14:paraId="2EE4C162" w14:textId="77777777" w:rsidR="002803DB" w:rsidRPr="0058432E" w:rsidRDefault="002803DB" w:rsidP="00982118">
      <w:pPr>
        <w:rPr>
          <w:color w:val="000000" w:themeColor="text1"/>
        </w:rPr>
      </w:pPr>
    </w:p>
    <w:p w14:paraId="18DBAB77" w14:textId="77777777" w:rsidR="000D3575" w:rsidRPr="0058432E" w:rsidRDefault="000D3575" w:rsidP="00982118">
      <w:pPr>
        <w:rPr>
          <w:color w:val="000000" w:themeColor="text1"/>
        </w:rPr>
      </w:pPr>
    </w:p>
    <w:p w14:paraId="3E4DA60F"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13.</w:t>
      </w:r>
      <w:r w:rsidRPr="0058432E">
        <w:rPr>
          <w:b/>
          <w:color w:val="000000" w:themeColor="text1"/>
        </w:rPr>
        <w:tab/>
        <w:t xml:space="preserve">NUMÉRO DU LOT </w:t>
      </w:r>
    </w:p>
    <w:p w14:paraId="43E85F45" w14:textId="77777777" w:rsidR="00C46587" w:rsidRPr="0058432E" w:rsidRDefault="00C46587" w:rsidP="00982118">
      <w:pPr>
        <w:rPr>
          <w:color w:val="000000" w:themeColor="text1"/>
        </w:rPr>
      </w:pPr>
    </w:p>
    <w:p w14:paraId="449BC164" w14:textId="77777777" w:rsidR="00C46587" w:rsidRPr="0058432E" w:rsidRDefault="00C46587" w:rsidP="00982118">
      <w:pPr>
        <w:rPr>
          <w:color w:val="000000" w:themeColor="text1"/>
        </w:rPr>
      </w:pPr>
      <w:r w:rsidRPr="0058432E">
        <w:rPr>
          <w:color w:val="000000" w:themeColor="text1"/>
        </w:rPr>
        <w:t xml:space="preserve">Lot </w:t>
      </w:r>
    </w:p>
    <w:p w14:paraId="265705AD" w14:textId="77777777" w:rsidR="00C46587" w:rsidRPr="0058432E" w:rsidRDefault="00C46587" w:rsidP="00982118">
      <w:pPr>
        <w:rPr>
          <w:color w:val="000000" w:themeColor="text1"/>
        </w:rPr>
      </w:pPr>
    </w:p>
    <w:p w14:paraId="73818A59" w14:textId="77777777" w:rsidR="00C46587" w:rsidRPr="0058432E" w:rsidRDefault="00C46587" w:rsidP="00982118">
      <w:pPr>
        <w:rPr>
          <w:color w:val="000000" w:themeColor="text1"/>
        </w:rPr>
      </w:pPr>
    </w:p>
    <w:p w14:paraId="4BA563A1"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14.</w:t>
      </w:r>
      <w:r w:rsidRPr="0058432E">
        <w:rPr>
          <w:b/>
          <w:color w:val="000000" w:themeColor="text1"/>
        </w:rPr>
        <w:tab/>
        <w:t xml:space="preserve">CONDITIONS DE PRESCRIPTION ET DE DÉLIVRANCE </w:t>
      </w:r>
    </w:p>
    <w:p w14:paraId="22EBF586" w14:textId="77777777" w:rsidR="00C46587" w:rsidRPr="0058432E" w:rsidRDefault="00C46587" w:rsidP="00982118">
      <w:pPr>
        <w:rPr>
          <w:color w:val="000000" w:themeColor="text1"/>
        </w:rPr>
      </w:pPr>
    </w:p>
    <w:p w14:paraId="5136EDF2" w14:textId="77777777" w:rsidR="00C46587" w:rsidRPr="0058432E" w:rsidRDefault="00C46587" w:rsidP="00982118">
      <w:pPr>
        <w:rPr>
          <w:color w:val="000000" w:themeColor="text1"/>
        </w:rPr>
      </w:pPr>
    </w:p>
    <w:p w14:paraId="435335B4"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15.</w:t>
      </w:r>
      <w:r w:rsidRPr="0058432E">
        <w:rPr>
          <w:b/>
          <w:color w:val="000000" w:themeColor="text1"/>
        </w:rPr>
        <w:tab/>
        <w:t xml:space="preserve">INDICATIONS D’UTILISATION </w:t>
      </w:r>
    </w:p>
    <w:p w14:paraId="6A401D98" w14:textId="77777777" w:rsidR="00C46587" w:rsidRPr="0058432E" w:rsidRDefault="00C46587" w:rsidP="00982118">
      <w:pPr>
        <w:rPr>
          <w:color w:val="000000" w:themeColor="text1"/>
        </w:rPr>
      </w:pPr>
    </w:p>
    <w:p w14:paraId="38BC3CF1" w14:textId="77777777" w:rsidR="00C46587" w:rsidRPr="0058432E" w:rsidRDefault="00C46587" w:rsidP="00982118">
      <w:pPr>
        <w:rPr>
          <w:color w:val="000000" w:themeColor="text1"/>
        </w:rPr>
      </w:pPr>
    </w:p>
    <w:p w14:paraId="287AB288"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16.</w:t>
      </w:r>
      <w:r w:rsidRPr="0058432E">
        <w:rPr>
          <w:b/>
          <w:color w:val="000000" w:themeColor="text1"/>
        </w:rPr>
        <w:tab/>
        <w:t xml:space="preserve">INFORMATIONS EN BRAILLE </w:t>
      </w:r>
    </w:p>
    <w:p w14:paraId="061FE21A" w14:textId="77777777" w:rsidR="00C46587" w:rsidRPr="0058432E" w:rsidRDefault="00C46587" w:rsidP="00982118">
      <w:pPr>
        <w:rPr>
          <w:color w:val="000000" w:themeColor="text1"/>
        </w:rPr>
      </w:pPr>
    </w:p>
    <w:p w14:paraId="1031B8FE" w14:textId="77777777" w:rsidR="00C46587" w:rsidRPr="0058432E" w:rsidRDefault="006A1144" w:rsidP="00982118">
      <w:pPr>
        <w:rPr>
          <w:color w:val="000000" w:themeColor="text1"/>
        </w:rPr>
      </w:pPr>
      <w:r w:rsidRPr="0058432E">
        <w:rPr>
          <w:color w:val="000000" w:themeColor="text1"/>
        </w:rPr>
        <w:t xml:space="preserve">Amsparity 40 mg </w:t>
      </w:r>
    </w:p>
    <w:p w14:paraId="5E92AEEE" w14:textId="77777777" w:rsidR="00C46587" w:rsidRPr="0058432E" w:rsidRDefault="00C46587" w:rsidP="00982118">
      <w:pPr>
        <w:rPr>
          <w:color w:val="000000" w:themeColor="text1"/>
        </w:rPr>
      </w:pPr>
    </w:p>
    <w:p w14:paraId="3C4DC551" w14:textId="77777777" w:rsidR="00C46587" w:rsidRPr="0058432E" w:rsidRDefault="00C46587" w:rsidP="00982118">
      <w:pPr>
        <w:rPr>
          <w:color w:val="000000" w:themeColor="text1"/>
        </w:rPr>
      </w:pPr>
    </w:p>
    <w:p w14:paraId="0E977AA3" w14:textId="77777777" w:rsidR="00C46587" w:rsidRPr="0058432E"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17.</w:t>
      </w:r>
      <w:r w:rsidRPr="0058432E">
        <w:rPr>
          <w:b/>
          <w:color w:val="000000" w:themeColor="text1"/>
        </w:rPr>
        <w:tab/>
        <w:t xml:space="preserve">IDENTIFIANT UNIQUE - CODE-BARRES 2D </w:t>
      </w:r>
    </w:p>
    <w:p w14:paraId="64487A42" w14:textId="77777777" w:rsidR="00C46587" w:rsidRPr="0058432E" w:rsidRDefault="00C46587" w:rsidP="003146E9">
      <w:pPr>
        <w:keepNext/>
        <w:rPr>
          <w:color w:val="000000" w:themeColor="text1"/>
        </w:rPr>
      </w:pPr>
    </w:p>
    <w:p w14:paraId="4B8714E9" w14:textId="77777777" w:rsidR="00C46587" w:rsidRPr="0058432E" w:rsidRDefault="00C46587" w:rsidP="003146E9">
      <w:pPr>
        <w:keepNext/>
        <w:rPr>
          <w:color w:val="000000" w:themeColor="text1"/>
        </w:rPr>
      </w:pPr>
      <w:r w:rsidRPr="0058432E">
        <w:rPr>
          <w:color w:val="000000" w:themeColor="text1"/>
          <w:highlight w:val="lightGray"/>
        </w:rPr>
        <w:t>Code-barres 2D portant l’identifiant unique inclus.</w:t>
      </w:r>
      <w:r w:rsidRPr="0058432E">
        <w:rPr>
          <w:color w:val="000000" w:themeColor="text1"/>
        </w:rPr>
        <w:t xml:space="preserve"> </w:t>
      </w:r>
    </w:p>
    <w:p w14:paraId="183A0DCE" w14:textId="77777777" w:rsidR="00C46587" w:rsidRPr="0058432E" w:rsidRDefault="00C46587" w:rsidP="00982118">
      <w:pPr>
        <w:rPr>
          <w:color w:val="000000" w:themeColor="text1"/>
        </w:rPr>
      </w:pPr>
    </w:p>
    <w:p w14:paraId="0630658A" w14:textId="77777777" w:rsidR="00C46587" w:rsidRPr="0058432E" w:rsidRDefault="00C46587" w:rsidP="00982118">
      <w:pPr>
        <w:rPr>
          <w:color w:val="000000" w:themeColor="text1"/>
        </w:rPr>
      </w:pPr>
    </w:p>
    <w:p w14:paraId="09B42079"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18.</w:t>
      </w:r>
      <w:r w:rsidRPr="0058432E">
        <w:rPr>
          <w:b/>
          <w:color w:val="000000" w:themeColor="text1"/>
        </w:rPr>
        <w:tab/>
        <w:t xml:space="preserve">IDENTIFIANT UNIQUE - DONNÉES LISIBLES PAR LES HUMAINS </w:t>
      </w:r>
    </w:p>
    <w:p w14:paraId="5E4E846B" w14:textId="77777777" w:rsidR="00C46587" w:rsidRPr="0058432E" w:rsidRDefault="00C46587" w:rsidP="00982118">
      <w:pPr>
        <w:rPr>
          <w:color w:val="000000" w:themeColor="text1"/>
        </w:rPr>
      </w:pPr>
    </w:p>
    <w:p w14:paraId="053ADB23" w14:textId="77777777" w:rsidR="00C46587" w:rsidRPr="0058432E" w:rsidRDefault="00C46587" w:rsidP="00982118">
      <w:pPr>
        <w:rPr>
          <w:color w:val="000000" w:themeColor="text1"/>
        </w:rPr>
      </w:pPr>
      <w:r w:rsidRPr="0058432E">
        <w:rPr>
          <w:color w:val="000000" w:themeColor="text1"/>
        </w:rPr>
        <w:t>PC</w:t>
      </w:r>
    </w:p>
    <w:p w14:paraId="3DF56E29" w14:textId="77777777" w:rsidR="00C46587" w:rsidRPr="0058432E" w:rsidRDefault="00C46587" w:rsidP="00982118">
      <w:pPr>
        <w:rPr>
          <w:color w:val="000000" w:themeColor="text1"/>
        </w:rPr>
      </w:pPr>
      <w:r w:rsidRPr="0058432E">
        <w:rPr>
          <w:color w:val="000000" w:themeColor="text1"/>
        </w:rPr>
        <w:t>SN</w:t>
      </w:r>
    </w:p>
    <w:p w14:paraId="0B8FE753" w14:textId="77777777" w:rsidR="00C46587" w:rsidRPr="0058432E" w:rsidRDefault="00C46587" w:rsidP="00982118">
      <w:pPr>
        <w:rPr>
          <w:color w:val="000000" w:themeColor="text1"/>
        </w:rPr>
      </w:pPr>
      <w:r w:rsidRPr="0058432E">
        <w:rPr>
          <w:color w:val="000000" w:themeColor="text1"/>
        </w:rPr>
        <w:t>NN</w:t>
      </w:r>
    </w:p>
    <w:p w14:paraId="2AAA191F" w14:textId="77777777" w:rsidR="00B23549" w:rsidRPr="0058432E" w:rsidRDefault="00C46587" w:rsidP="00982118">
      <w:pPr>
        <w:rPr>
          <w:color w:val="000000" w:themeColor="text1"/>
        </w:rPr>
      </w:pPr>
      <w:r w:rsidRPr="0058432E">
        <w:rPr>
          <w:color w:val="000000" w:themeColor="text1"/>
        </w:rPr>
        <w:br w:type="page"/>
      </w:r>
    </w:p>
    <w:p w14:paraId="5A92760E" w14:textId="77777777" w:rsidR="00B23549" w:rsidRPr="0058432E" w:rsidRDefault="00B23549" w:rsidP="00982118">
      <w:pPr>
        <w:pBdr>
          <w:top w:val="single" w:sz="4" w:space="1" w:color="auto"/>
          <w:left w:val="single" w:sz="4" w:space="4" w:color="auto"/>
          <w:bottom w:val="single" w:sz="4" w:space="1" w:color="auto"/>
          <w:right w:val="single" w:sz="4" w:space="4" w:color="auto"/>
        </w:pBdr>
        <w:rPr>
          <w:color w:val="000000" w:themeColor="text1"/>
        </w:rPr>
      </w:pPr>
      <w:r w:rsidRPr="0058432E">
        <w:rPr>
          <w:b/>
          <w:color w:val="000000" w:themeColor="text1"/>
        </w:rPr>
        <w:lastRenderedPageBreak/>
        <w:t>MENTIONS MINIMALES DEVANT FIGURER SUR LES PLAQUETTES OU LES FILMS THERMOSOUDÉS</w:t>
      </w:r>
    </w:p>
    <w:p w14:paraId="3FC7CEFA" w14:textId="77777777" w:rsidR="00B23549" w:rsidRPr="0058432E" w:rsidRDefault="00B23549" w:rsidP="00982118">
      <w:pPr>
        <w:pBdr>
          <w:top w:val="single" w:sz="4" w:space="1" w:color="auto"/>
          <w:left w:val="single" w:sz="4" w:space="4" w:color="auto"/>
          <w:bottom w:val="single" w:sz="4" w:space="1" w:color="auto"/>
          <w:right w:val="single" w:sz="4" w:space="4" w:color="auto"/>
        </w:pBdr>
        <w:rPr>
          <w:b/>
          <w:color w:val="000000" w:themeColor="text1"/>
        </w:rPr>
      </w:pPr>
    </w:p>
    <w:p w14:paraId="6F5C2921" w14:textId="77777777" w:rsidR="00B23549" w:rsidRPr="0058432E" w:rsidRDefault="00B23549"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bCs/>
          <w:color w:val="000000" w:themeColor="text1"/>
        </w:rPr>
        <w:t>CONTRE-ÉTIQUETTE</w:t>
      </w:r>
    </w:p>
    <w:p w14:paraId="3DA2CECD" w14:textId="77777777" w:rsidR="00B23549" w:rsidRPr="0058432E" w:rsidRDefault="00B23549" w:rsidP="00982118">
      <w:pPr>
        <w:rPr>
          <w:color w:val="000000" w:themeColor="text1"/>
        </w:rPr>
      </w:pPr>
    </w:p>
    <w:p w14:paraId="29E45309" w14:textId="77777777" w:rsidR="00B23549" w:rsidRPr="0058432E" w:rsidRDefault="00B23549" w:rsidP="00982118">
      <w:pPr>
        <w:rPr>
          <w:color w:val="000000" w:themeColor="text1"/>
        </w:rPr>
      </w:pPr>
    </w:p>
    <w:p w14:paraId="37523B77" w14:textId="77777777" w:rsidR="00DF5384" w:rsidRPr="0058432E"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68C00ABC" w14:textId="77777777" w:rsidR="00C46587" w:rsidRPr="0058432E" w:rsidRDefault="00C46587" w:rsidP="00982118">
      <w:pPr>
        <w:rPr>
          <w:color w:val="000000" w:themeColor="text1"/>
        </w:rPr>
      </w:pPr>
    </w:p>
    <w:p w14:paraId="2A68CB94" w14:textId="77777777" w:rsidR="00C46587" w:rsidRPr="0058432E" w:rsidRDefault="006A1144" w:rsidP="00982118">
      <w:pPr>
        <w:rPr>
          <w:color w:val="000000" w:themeColor="text1"/>
        </w:rPr>
      </w:pPr>
      <w:r w:rsidRPr="0058432E">
        <w:rPr>
          <w:color w:val="000000" w:themeColor="text1"/>
        </w:rPr>
        <w:t xml:space="preserve">Amsparity 40 mg, solution injectable en seringue préremplie </w:t>
      </w:r>
    </w:p>
    <w:p w14:paraId="1156BB38"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47590DA3" w14:textId="77777777" w:rsidR="00C46587" w:rsidRPr="0058432E" w:rsidRDefault="00C46587" w:rsidP="00982118">
      <w:pPr>
        <w:rPr>
          <w:color w:val="000000" w:themeColor="text1"/>
        </w:rPr>
      </w:pPr>
    </w:p>
    <w:p w14:paraId="3E6D0C31" w14:textId="77777777" w:rsidR="00DF5384" w:rsidRPr="0058432E" w:rsidRDefault="00DF5384" w:rsidP="00982118">
      <w:pPr>
        <w:rPr>
          <w:color w:val="000000" w:themeColor="text1"/>
        </w:rPr>
      </w:pPr>
    </w:p>
    <w:p w14:paraId="787995CE" w14:textId="77777777" w:rsidR="00DF5384" w:rsidRPr="0058432E"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NOM DU TITULAIRE DE L‘AUTORISATION DE MISE SUR LE MARCHÉ</w:t>
      </w:r>
    </w:p>
    <w:p w14:paraId="6B74F027" w14:textId="77777777" w:rsidR="00DF5384" w:rsidRPr="0058432E" w:rsidRDefault="00DF5384" w:rsidP="00982118">
      <w:pPr>
        <w:rPr>
          <w:color w:val="000000" w:themeColor="text1"/>
        </w:rPr>
      </w:pPr>
    </w:p>
    <w:p w14:paraId="002DECCD" w14:textId="77777777" w:rsidR="00C46587" w:rsidRPr="0058432E" w:rsidRDefault="00DD75F2" w:rsidP="00982118">
      <w:pPr>
        <w:rPr>
          <w:color w:val="000000" w:themeColor="text1"/>
        </w:rPr>
      </w:pPr>
      <w:r w:rsidRPr="0058432E">
        <w:rPr>
          <w:color w:val="000000" w:themeColor="text1"/>
        </w:rPr>
        <w:t>Pfizer Europe MA EEIG</w:t>
      </w:r>
    </w:p>
    <w:p w14:paraId="7CE225D9" w14:textId="77777777" w:rsidR="00DD75F2" w:rsidRPr="0058432E" w:rsidRDefault="00DD75F2" w:rsidP="00982118">
      <w:pPr>
        <w:rPr>
          <w:color w:val="000000" w:themeColor="text1"/>
        </w:rPr>
      </w:pPr>
    </w:p>
    <w:p w14:paraId="0AD2EA93" w14:textId="77777777" w:rsidR="00DF5384" w:rsidRPr="0058432E" w:rsidRDefault="00DF5384" w:rsidP="00982118">
      <w:pPr>
        <w:rPr>
          <w:color w:val="000000" w:themeColor="text1"/>
        </w:rPr>
      </w:pPr>
    </w:p>
    <w:p w14:paraId="587DCB1D" w14:textId="77777777" w:rsidR="00DF5384" w:rsidRPr="0058432E"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DATE DE PÉREMPTION</w:t>
      </w:r>
    </w:p>
    <w:p w14:paraId="6CE5FCD6" w14:textId="77777777" w:rsidR="00DF5384" w:rsidRPr="0058432E" w:rsidRDefault="00DF5384" w:rsidP="00982118">
      <w:pPr>
        <w:rPr>
          <w:color w:val="000000" w:themeColor="text1"/>
        </w:rPr>
      </w:pPr>
    </w:p>
    <w:p w14:paraId="4E218DC2" w14:textId="77777777" w:rsidR="00C46587" w:rsidRPr="0058432E" w:rsidRDefault="00C46587" w:rsidP="00982118">
      <w:pPr>
        <w:rPr>
          <w:color w:val="000000" w:themeColor="text1"/>
        </w:rPr>
      </w:pPr>
      <w:r w:rsidRPr="0058432E">
        <w:rPr>
          <w:color w:val="000000" w:themeColor="text1"/>
        </w:rPr>
        <w:t xml:space="preserve">EXP </w:t>
      </w:r>
    </w:p>
    <w:p w14:paraId="78483A98" w14:textId="77777777" w:rsidR="00C46587" w:rsidRPr="0058432E" w:rsidRDefault="00C46587" w:rsidP="00982118">
      <w:pPr>
        <w:rPr>
          <w:color w:val="000000" w:themeColor="text1"/>
        </w:rPr>
      </w:pPr>
    </w:p>
    <w:p w14:paraId="05FCC15F" w14:textId="77777777" w:rsidR="00C46587" w:rsidRPr="0058432E" w:rsidRDefault="00C46587" w:rsidP="00982118">
      <w:pPr>
        <w:rPr>
          <w:color w:val="000000" w:themeColor="text1"/>
        </w:rPr>
      </w:pPr>
    </w:p>
    <w:p w14:paraId="4C931F92" w14:textId="77777777" w:rsidR="00DF5384" w:rsidRPr="0058432E" w:rsidRDefault="00DF5384"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NUMÉRO DU LOT</w:t>
      </w:r>
    </w:p>
    <w:p w14:paraId="432EF782" w14:textId="77777777" w:rsidR="00DF5384" w:rsidRPr="0058432E" w:rsidRDefault="00DF5384" w:rsidP="00982118">
      <w:pPr>
        <w:rPr>
          <w:color w:val="000000" w:themeColor="text1"/>
        </w:rPr>
      </w:pPr>
    </w:p>
    <w:p w14:paraId="7BDA1D66" w14:textId="77777777" w:rsidR="00C46587" w:rsidRPr="0058432E" w:rsidRDefault="00C46587" w:rsidP="00982118">
      <w:pPr>
        <w:rPr>
          <w:color w:val="000000" w:themeColor="text1"/>
        </w:rPr>
      </w:pPr>
      <w:r w:rsidRPr="0058432E">
        <w:rPr>
          <w:color w:val="000000" w:themeColor="text1"/>
        </w:rPr>
        <w:t xml:space="preserve">Lot </w:t>
      </w:r>
    </w:p>
    <w:p w14:paraId="79A6D6D3" w14:textId="77777777" w:rsidR="00C46587" w:rsidRPr="0058432E" w:rsidRDefault="00C46587" w:rsidP="00982118">
      <w:pPr>
        <w:rPr>
          <w:color w:val="000000" w:themeColor="text1"/>
        </w:rPr>
      </w:pPr>
    </w:p>
    <w:p w14:paraId="108C57C3" w14:textId="77777777" w:rsidR="00DF5384" w:rsidRPr="0058432E" w:rsidRDefault="00DF5384" w:rsidP="00982118">
      <w:pPr>
        <w:rPr>
          <w:color w:val="000000" w:themeColor="text1"/>
        </w:rPr>
      </w:pPr>
    </w:p>
    <w:p w14:paraId="730F9819" w14:textId="77777777" w:rsidR="00DF5384" w:rsidRPr="0058432E" w:rsidRDefault="00DF5384" w:rsidP="00982118">
      <w:pPr>
        <w:pBdr>
          <w:top w:val="single" w:sz="4" w:space="1" w:color="auto"/>
          <w:left w:val="single" w:sz="4" w:space="4" w:color="auto"/>
          <w:bottom w:val="single" w:sz="4" w:space="1" w:color="auto"/>
          <w:right w:val="single" w:sz="4" w:space="4" w:color="auto"/>
        </w:pBdr>
        <w:tabs>
          <w:tab w:val="left" w:pos="562"/>
        </w:tabs>
        <w:rPr>
          <w:color w:val="000000" w:themeColor="text1"/>
        </w:rPr>
      </w:pPr>
      <w:r w:rsidRPr="0058432E">
        <w:rPr>
          <w:b/>
          <w:color w:val="000000" w:themeColor="text1"/>
        </w:rPr>
        <w:t>5.</w:t>
      </w:r>
      <w:r w:rsidRPr="0058432E">
        <w:rPr>
          <w:b/>
          <w:color w:val="000000" w:themeColor="text1"/>
        </w:rPr>
        <w:tab/>
        <w:t>AUTRE</w:t>
      </w:r>
    </w:p>
    <w:p w14:paraId="384AE321" w14:textId="77777777" w:rsidR="00DF5384" w:rsidRPr="0058432E" w:rsidRDefault="00DF5384" w:rsidP="00982118">
      <w:pPr>
        <w:rPr>
          <w:color w:val="000000" w:themeColor="text1"/>
        </w:rPr>
      </w:pPr>
    </w:p>
    <w:p w14:paraId="2BF84022" w14:textId="77777777" w:rsidR="00C46587" w:rsidRPr="0058432E" w:rsidRDefault="00C46587" w:rsidP="00982118">
      <w:pPr>
        <w:rPr>
          <w:color w:val="000000" w:themeColor="text1"/>
        </w:rPr>
      </w:pPr>
      <w:r w:rsidRPr="0058432E">
        <w:rPr>
          <w:color w:val="000000" w:themeColor="text1"/>
        </w:rPr>
        <w:t xml:space="preserve">Pour les conditions de conservation, voir la notice. </w:t>
      </w:r>
    </w:p>
    <w:p w14:paraId="6DC11557" w14:textId="77777777" w:rsidR="00C46587" w:rsidRPr="0058432E" w:rsidRDefault="00C46587" w:rsidP="00982118">
      <w:pPr>
        <w:rPr>
          <w:color w:val="000000" w:themeColor="text1"/>
        </w:rPr>
      </w:pPr>
    </w:p>
    <w:p w14:paraId="235CA544" w14:textId="77777777" w:rsidR="00DF5384" w:rsidRPr="0058432E" w:rsidRDefault="00C46587" w:rsidP="00982118">
      <w:pPr>
        <w:rPr>
          <w:color w:val="000000" w:themeColor="text1"/>
        </w:rPr>
      </w:pPr>
      <w:r w:rsidRPr="0058432E">
        <w:rPr>
          <w:color w:val="000000" w:themeColor="text1"/>
        </w:rPr>
        <w:t xml:space="preserve">A usage unique </w:t>
      </w:r>
    </w:p>
    <w:p w14:paraId="343CE284" w14:textId="77777777" w:rsidR="00C46587" w:rsidRPr="0058432E" w:rsidRDefault="00C46587" w:rsidP="00982118">
      <w:pPr>
        <w:rPr>
          <w:color w:val="000000" w:themeColor="text1"/>
        </w:rPr>
      </w:pPr>
      <w:r w:rsidRPr="0058432E">
        <w:rPr>
          <w:color w:val="000000" w:themeColor="text1"/>
        </w:rPr>
        <w:br w:type="page"/>
      </w:r>
    </w:p>
    <w:p w14:paraId="1ECAC05D"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MINIMALES DEVANT FIGURER SUR LES PETITS CONDITIONNEMENTS PRIMAIRES </w:t>
      </w:r>
    </w:p>
    <w:p w14:paraId="6342848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09E31998"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ÉTIQUETTE DE LA SERINGUE </w:t>
      </w:r>
    </w:p>
    <w:p w14:paraId="68599AEE" w14:textId="77777777" w:rsidR="00C46587" w:rsidRPr="0058432E" w:rsidRDefault="00C46587" w:rsidP="00982118">
      <w:pPr>
        <w:rPr>
          <w:color w:val="000000" w:themeColor="text1"/>
        </w:rPr>
      </w:pPr>
    </w:p>
    <w:p w14:paraId="50999DF0" w14:textId="77777777" w:rsidR="00C46587" w:rsidRPr="0058432E" w:rsidRDefault="00C46587" w:rsidP="00982118">
      <w:pPr>
        <w:rPr>
          <w:color w:val="000000" w:themeColor="text1"/>
        </w:rPr>
      </w:pPr>
    </w:p>
    <w:p w14:paraId="304CD53B"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ET VOIE D’ADMINISTRATION </w:t>
      </w:r>
    </w:p>
    <w:p w14:paraId="0E9D187F" w14:textId="77777777" w:rsidR="00C46587" w:rsidRPr="0058432E" w:rsidRDefault="00C46587" w:rsidP="00982118">
      <w:pPr>
        <w:rPr>
          <w:color w:val="000000" w:themeColor="text1"/>
        </w:rPr>
      </w:pPr>
    </w:p>
    <w:p w14:paraId="3BC16E5E" w14:textId="77777777" w:rsidR="00C46587" w:rsidRPr="0058432E" w:rsidRDefault="006A1144" w:rsidP="00982118">
      <w:pPr>
        <w:rPr>
          <w:color w:val="000000" w:themeColor="text1"/>
        </w:rPr>
      </w:pPr>
      <w:r w:rsidRPr="0058432E">
        <w:rPr>
          <w:color w:val="000000" w:themeColor="text1"/>
        </w:rPr>
        <w:t xml:space="preserve">Amsparity 40 mg, solution injectable </w:t>
      </w:r>
    </w:p>
    <w:p w14:paraId="06B3E8C3"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3EF547CC" w14:textId="77777777" w:rsidR="00C46587" w:rsidRPr="0058432E" w:rsidRDefault="00211CB9" w:rsidP="00982118">
      <w:pPr>
        <w:rPr>
          <w:color w:val="000000" w:themeColor="text1"/>
        </w:rPr>
      </w:pPr>
      <w:r w:rsidRPr="0058432E">
        <w:rPr>
          <w:color w:val="000000" w:themeColor="text1"/>
        </w:rPr>
        <w:t>SC</w:t>
      </w:r>
    </w:p>
    <w:p w14:paraId="62D03779" w14:textId="77777777" w:rsidR="00211CB9" w:rsidRPr="0058432E" w:rsidRDefault="00211CB9" w:rsidP="00982118">
      <w:pPr>
        <w:rPr>
          <w:color w:val="000000" w:themeColor="text1"/>
        </w:rPr>
      </w:pPr>
    </w:p>
    <w:p w14:paraId="68ECF90B" w14:textId="77777777" w:rsidR="00C46587" w:rsidRPr="0058432E" w:rsidRDefault="00C46587" w:rsidP="00982118">
      <w:pPr>
        <w:rPr>
          <w:color w:val="000000" w:themeColor="text1"/>
        </w:rPr>
      </w:pPr>
    </w:p>
    <w:p w14:paraId="661AFDE6"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MODE D’ADMINISTRATION </w:t>
      </w:r>
    </w:p>
    <w:p w14:paraId="348B57C4" w14:textId="77777777" w:rsidR="00C46587" w:rsidRPr="0058432E" w:rsidRDefault="00C46587" w:rsidP="00982118">
      <w:pPr>
        <w:rPr>
          <w:color w:val="000000" w:themeColor="text1"/>
        </w:rPr>
      </w:pPr>
    </w:p>
    <w:p w14:paraId="60B2D3AA" w14:textId="77777777" w:rsidR="00C46587" w:rsidRPr="0058432E" w:rsidRDefault="00C46587" w:rsidP="00982118">
      <w:pPr>
        <w:rPr>
          <w:color w:val="000000" w:themeColor="text1"/>
        </w:rPr>
      </w:pPr>
    </w:p>
    <w:p w14:paraId="476F1C50"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DATE DE PÉREMPTION </w:t>
      </w:r>
    </w:p>
    <w:p w14:paraId="0C9E1710" w14:textId="77777777" w:rsidR="00C46587" w:rsidRPr="0058432E" w:rsidRDefault="00C46587" w:rsidP="00982118">
      <w:pPr>
        <w:rPr>
          <w:color w:val="000000" w:themeColor="text1"/>
        </w:rPr>
      </w:pPr>
    </w:p>
    <w:p w14:paraId="27E766CE" w14:textId="77777777" w:rsidR="00C46587" w:rsidRPr="0058432E" w:rsidRDefault="00C46587" w:rsidP="00982118">
      <w:pPr>
        <w:rPr>
          <w:color w:val="000000" w:themeColor="text1"/>
        </w:rPr>
      </w:pPr>
      <w:r w:rsidRPr="0058432E">
        <w:rPr>
          <w:color w:val="000000" w:themeColor="text1"/>
        </w:rPr>
        <w:t xml:space="preserve">EXP </w:t>
      </w:r>
    </w:p>
    <w:p w14:paraId="735FA3D5" w14:textId="77777777" w:rsidR="00C46587" w:rsidRPr="0058432E" w:rsidRDefault="00C46587" w:rsidP="00982118">
      <w:pPr>
        <w:rPr>
          <w:color w:val="000000" w:themeColor="text1"/>
        </w:rPr>
      </w:pPr>
    </w:p>
    <w:p w14:paraId="371D08A8" w14:textId="77777777" w:rsidR="00C46587" w:rsidRPr="0058432E" w:rsidRDefault="00C46587" w:rsidP="00982118">
      <w:pPr>
        <w:rPr>
          <w:color w:val="000000" w:themeColor="text1"/>
        </w:rPr>
      </w:pPr>
    </w:p>
    <w:p w14:paraId="6FE1EC9F"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NUMÉRO DU LOT </w:t>
      </w:r>
    </w:p>
    <w:p w14:paraId="493F7690" w14:textId="77777777" w:rsidR="00C46587" w:rsidRPr="0058432E" w:rsidRDefault="00C46587" w:rsidP="00982118">
      <w:pPr>
        <w:rPr>
          <w:color w:val="000000" w:themeColor="text1"/>
        </w:rPr>
      </w:pPr>
    </w:p>
    <w:p w14:paraId="22B4543F" w14:textId="77777777" w:rsidR="00C46587" w:rsidRPr="0058432E" w:rsidRDefault="00C46587" w:rsidP="00982118">
      <w:pPr>
        <w:rPr>
          <w:color w:val="000000" w:themeColor="text1"/>
        </w:rPr>
      </w:pPr>
      <w:r w:rsidRPr="0058432E">
        <w:rPr>
          <w:color w:val="000000" w:themeColor="text1"/>
        </w:rPr>
        <w:t xml:space="preserve">Lot </w:t>
      </w:r>
    </w:p>
    <w:p w14:paraId="7B10B7DF" w14:textId="77777777" w:rsidR="00C46587" w:rsidRPr="0058432E" w:rsidRDefault="00C46587" w:rsidP="00982118">
      <w:pPr>
        <w:rPr>
          <w:color w:val="000000" w:themeColor="text1"/>
        </w:rPr>
      </w:pPr>
    </w:p>
    <w:p w14:paraId="4B6ACEB0" w14:textId="77777777" w:rsidR="00C46587" w:rsidRPr="0058432E" w:rsidRDefault="00C46587" w:rsidP="00982118">
      <w:pPr>
        <w:rPr>
          <w:color w:val="000000" w:themeColor="text1"/>
        </w:rPr>
      </w:pPr>
    </w:p>
    <w:p w14:paraId="5B880656"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5.</w:t>
      </w:r>
      <w:r w:rsidRPr="0058432E">
        <w:rPr>
          <w:b/>
          <w:color w:val="000000" w:themeColor="text1"/>
        </w:rPr>
        <w:tab/>
        <w:t xml:space="preserve">CONTENU EN POIDS, VOLUME OU UNITÉ </w:t>
      </w:r>
    </w:p>
    <w:p w14:paraId="0C67E743" w14:textId="77777777" w:rsidR="00C46587" w:rsidRPr="0058432E" w:rsidRDefault="00C46587" w:rsidP="00982118">
      <w:pPr>
        <w:rPr>
          <w:color w:val="000000" w:themeColor="text1"/>
        </w:rPr>
      </w:pPr>
    </w:p>
    <w:p w14:paraId="091FBCE6" w14:textId="77777777" w:rsidR="00C46587" w:rsidRPr="0058432E" w:rsidRDefault="00C46587" w:rsidP="00982118">
      <w:pPr>
        <w:rPr>
          <w:color w:val="000000" w:themeColor="text1"/>
        </w:rPr>
      </w:pPr>
      <w:r w:rsidRPr="0058432E">
        <w:rPr>
          <w:color w:val="000000" w:themeColor="text1"/>
          <w:highlight w:val="lightGray"/>
        </w:rPr>
        <w:t>40 mg/0,8 ml</w:t>
      </w:r>
      <w:r w:rsidRPr="0058432E">
        <w:rPr>
          <w:color w:val="000000" w:themeColor="text1"/>
        </w:rPr>
        <w:t xml:space="preserve"> </w:t>
      </w:r>
    </w:p>
    <w:p w14:paraId="219E88F1" w14:textId="77777777" w:rsidR="00C46587" w:rsidRPr="0058432E" w:rsidRDefault="00C46587" w:rsidP="00982118">
      <w:pPr>
        <w:rPr>
          <w:color w:val="000000" w:themeColor="text1"/>
        </w:rPr>
      </w:pPr>
    </w:p>
    <w:p w14:paraId="59F840AB" w14:textId="77777777" w:rsidR="00C46587" w:rsidRPr="0058432E" w:rsidRDefault="00C46587" w:rsidP="00982118">
      <w:pPr>
        <w:rPr>
          <w:color w:val="000000" w:themeColor="text1"/>
        </w:rPr>
      </w:pPr>
    </w:p>
    <w:p w14:paraId="23D5C607"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6.</w:t>
      </w:r>
      <w:r w:rsidRPr="0058432E">
        <w:rPr>
          <w:b/>
          <w:color w:val="000000" w:themeColor="text1"/>
        </w:rPr>
        <w:tab/>
        <w:t xml:space="preserve">AUTRE </w:t>
      </w:r>
    </w:p>
    <w:p w14:paraId="5B1AAF37" w14:textId="77777777" w:rsidR="00C46587" w:rsidRPr="0058432E" w:rsidRDefault="00C46587" w:rsidP="00982118">
      <w:pPr>
        <w:rPr>
          <w:color w:val="000000" w:themeColor="text1"/>
        </w:rPr>
      </w:pPr>
    </w:p>
    <w:p w14:paraId="29C0C56C" w14:textId="77777777" w:rsidR="00C46587" w:rsidRPr="0058432E" w:rsidRDefault="00C46587" w:rsidP="00982118">
      <w:pPr>
        <w:rPr>
          <w:color w:val="000000" w:themeColor="text1"/>
        </w:rPr>
      </w:pPr>
      <w:r w:rsidRPr="0058432E">
        <w:rPr>
          <w:color w:val="000000" w:themeColor="text1"/>
        </w:rPr>
        <w:br w:type="page"/>
      </w:r>
    </w:p>
    <w:p w14:paraId="63627E0C"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DEVANT FIGURER SUR L’EMBALLAGE EXTÉRIEUR </w:t>
      </w:r>
    </w:p>
    <w:p w14:paraId="548A8CF1" w14:textId="77777777" w:rsidR="00B34D57" w:rsidRPr="0058432E" w:rsidRDefault="00B34D57" w:rsidP="00982118">
      <w:pPr>
        <w:pBdr>
          <w:top w:val="single" w:sz="4" w:space="1" w:color="auto"/>
          <w:left w:val="single" w:sz="4" w:space="4" w:color="auto"/>
          <w:bottom w:val="single" w:sz="4" w:space="1" w:color="auto"/>
          <w:right w:val="single" w:sz="4" w:space="4" w:color="auto"/>
        </w:pBdr>
        <w:rPr>
          <w:b/>
          <w:color w:val="000000" w:themeColor="text1"/>
        </w:rPr>
      </w:pPr>
    </w:p>
    <w:p w14:paraId="624DD9AF"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EMBALLAGE EXTÉRIEUR </w:t>
      </w:r>
    </w:p>
    <w:p w14:paraId="5FA4EA23" w14:textId="77777777" w:rsidR="00C46587" w:rsidRPr="0058432E" w:rsidRDefault="00C46587" w:rsidP="00982118">
      <w:pPr>
        <w:rPr>
          <w:color w:val="000000" w:themeColor="text1"/>
        </w:rPr>
      </w:pPr>
    </w:p>
    <w:p w14:paraId="54B71934" w14:textId="77777777" w:rsidR="00C46587" w:rsidRPr="0058432E" w:rsidRDefault="00C46587" w:rsidP="00982118">
      <w:pPr>
        <w:rPr>
          <w:color w:val="000000" w:themeColor="text1"/>
        </w:rPr>
      </w:pPr>
    </w:p>
    <w:p w14:paraId="0F4ECD97"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w:t>
      </w:r>
    </w:p>
    <w:p w14:paraId="5D31CA55" w14:textId="77777777" w:rsidR="00C46587" w:rsidRPr="0058432E" w:rsidRDefault="00C46587" w:rsidP="00982118">
      <w:pPr>
        <w:rPr>
          <w:color w:val="000000" w:themeColor="text1"/>
        </w:rPr>
      </w:pPr>
    </w:p>
    <w:p w14:paraId="5A2C0CB9" w14:textId="77777777" w:rsidR="00C46587" w:rsidRPr="0058432E" w:rsidRDefault="00A924EE" w:rsidP="00982118">
      <w:pPr>
        <w:rPr>
          <w:color w:val="000000" w:themeColor="text1"/>
        </w:rPr>
      </w:pPr>
      <w:r w:rsidRPr="0058432E">
        <w:rPr>
          <w:color w:val="000000" w:themeColor="text1"/>
        </w:rPr>
        <w:t xml:space="preserve">Amsparity 40 mg, solution injectable en stylo prérempli </w:t>
      </w:r>
    </w:p>
    <w:p w14:paraId="66F0F9FC"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45B31E26" w14:textId="77777777" w:rsidR="00C46587" w:rsidRPr="0058432E" w:rsidRDefault="00C46587" w:rsidP="00982118">
      <w:pPr>
        <w:rPr>
          <w:color w:val="000000" w:themeColor="text1"/>
        </w:rPr>
      </w:pPr>
    </w:p>
    <w:p w14:paraId="03987D56" w14:textId="77777777" w:rsidR="00C46587" w:rsidRPr="0058432E" w:rsidRDefault="00C46587" w:rsidP="00982118">
      <w:pPr>
        <w:rPr>
          <w:color w:val="000000" w:themeColor="text1"/>
        </w:rPr>
      </w:pPr>
    </w:p>
    <w:p w14:paraId="0C0D0471"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COMPOSITION EN SUBSTANCE ACTIVE </w:t>
      </w:r>
    </w:p>
    <w:p w14:paraId="6A701F5E" w14:textId="77777777" w:rsidR="00C46587" w:rsidRPr="0058432E" w:rsidRDefault="00C46587" w:rsidP="00982118">
      <w:pPr>
        <w:rPr>
          <w:color w:val="000000" w:themeColor="text1"/>
        </w:rPr>
      </w:pPr>
    </w:p>
    <w:p w14:paraId="6A703B74" w14:textId="77777777" w:rsidR="00C46587" w:rsidRPr="0058432E" w:rsidRDefault="00C46587" w:rsidP="00982118">
      <w:pPr>
        <w:rPr>
          <w:color w:val="000000" w:themeColor="text1"/>
        </w:rPr>
      </w:pPr>
      <w:r w:rsidRPr="0058432E">
        <w:rPr>
          <w:color w:val="000000" w:themeColor="text1"/>
        </w:rPr>
        <w:t xml:space="preserve">Un stylo prérempli de 0,8 ml contient 40 mg d’adalimumab. </w:t>
      </w:r>
    </w:p>
    <w:p w14:paraId="6EA5B6F7" w14:textId="77777777" w:rsidR="00C46587" w:rsidRPr="0058432E" w:rsidRDefault="00C46587" w:rsidP="00982118">
      <w:pPr>
        <w:rPr>
          <w:color w:val="000000" w:themeColor="text1"/>
        </w:rPr>
      </w:pPr>
    </w:p>
    <w:p w14:paraId="66691C29" w14:textId="77777777" w:rsidR="00C46587" w:rsidRPr="0058432E" w:rsidRDefault="00C46587" w:rsidP="00982118">
      <w:pPr>
        <w:rPr>
          <w:color w:val="000000" w:themeColor="text1"/>
        </w:rPr>
      </w:pPr>
    </w:p>
    <w:p w14:paraId="696A499A"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LISTE DES EXCIPIENTS </w:t>
      </w:r>
    </w:p>
    <w:p w14:paraId="2D968AB0" w14:textId="77777777" w:rsidR="00C46587" w:rsidRPr="0058432E" w:rsidRDefault="00C46587" w:rsidP="00982118">
      <w:pPr>
        <w:rPr>
          <w:color w:val="000000" w:themeColor="text1"/>
        </w:rPr>
      </w:pPr>
    </w:p>
    <w:p w14:paraId="03535171" w14:textId="77777777" w:rsidR="00C46587" w:rsidRPr="0058432E" w:rsidRDefault="00C46587" w:rsidP="00982118">
      <w:pPr>
        <w:rPr>
          <w:color w:val="000000" w:themeColor="text1"/>
        </w:rPr>
      </w:pPr>
      <w:r w:rsidRPr="0058432E">
        <w:rPr>
          <w:color w:val="000000" w:themeColor="text1"/>
        </w:rPr>
        <w:t xml:space="preserve">Excipients : L-histidine, chlorhydrate de L-histidine monohydraté, saccharose, édétate disodique dihydraté, L-méthionine, polysorbate 80 et eau pour préparations injectables. </w:t>
      </w:r>
      <w:r w:rsidR="00D10176" w:rsidRPr="0058432E">
        <w:rPr>
          <w:color w:val="000000" w:themeColor="text1"/>
          <w:highlight w:val="lightGray"/>
        </w:rPr>
        <w:t>Voir la notice pour plus d'informations</w:t>
      </w:r>
      <w:r w:rsidR="003510E7" w:rsidRPr="0058432E">
        <w:rPr>
          <w:color w:val="000000" w:themeColor="text1"/>
          <w:highlight w:val="lightGray"/>
        </w:rPr>
        <w:t>.</w:t>
      </w:r>
    </w:p>
    <w:p w14:paraId="2E6804D0" w14:textId="77777777" w:rsidR="00C46587" w:rsidRPr="0058432E" w:rsidRDefault="00C46587" w:rsidP="00982118">
      <w:pPr>
        <w:tabs>
          <w:tab w:val="left" w:pos="562"/>
        </w:tabs>
        <w:rPr>
          <w:color w:val="000000" w:themeColor="text1"/>
        </w:rPr>
      </w:pPr>
    </w:p>
    <w:p w14:paraId="678D7235" w14:textId="77777777" w:rsidR="00C46587" w:rsidRPr="0058432E" w:rsidRDefault="00C46587" w:rsidP="00982118">
      <w:pPr>
        <w:tabs>
          <w:tab w:val="left" w:pos="562"/>
        </w:tabs>
        <w:rPr>
          <w:color w:val="000000" w:themeColor="text1"/>
        </w:rPr>
      </w:pPr>
    </w:p>
    <w:p w14:paraId="38635982"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FORME PHARMACEUTIQUE ET CONTENU </w:t>
      </w:r>
    </w:p>
    <w:p w14:paraId="566DAC8A" w14:textId="77777777" w:rsidR="00C46587" w:rsidRPr="0058432E" w:rsidRDefault="00C46587" w:rsidP="00982118">
      <w:pPr>
        <w:rPr>
          <w:color w:val="000000" w:themeColor="text1"/>
        </w:rPr>
      </w:pPr>
    </w:p>
    <w:p w14:paraId="4880FB94" w14:textId="77777777" w:rsidR="003A774D" w:rsidRPr="0058432E" w:rsidRDefault="003A774D" w:rsidP="00982118">
      <w:pPr>
        <w:rPr>
          <w:color w:val="000000" w:themeColor="text1"/>
        </w:rPr>
      </w:pPr>
      <w:r w:rsidRPr="0058432E">
        <w:rPr>
          <w:color w:val="000000" w:themeColor="text1"/>
          <w:highlight w:val="lightGray"/>
        </w:rPr>
        <w:t>Solution injectable</w:t>
      </w:r>
    </w:p>
    <w:p w14:paraId="1740479E" w14:textId="77777777" w:rsidR="00C46587" w:rsidRPr="0058432E" w:rsidRDefault="00C46587" w:rsidP="00982118">
      <w:pPr>
        <w:rPr>
          <w:color w:val="000000" w:themeColor="text1"/>
        </w:rPr>
      </w:pPr>
      <w:r w:rsidRPr="0058432E">
        <w:rPr>
          <w:color w:val="000000" w:themeColor="text1"/>
        </w:rPr>
        <w:t xml:space="preserve">1 stylo prérempli </w:t>
      </w:r>
    </w:p>
    <w:p w14:paraId="18082CA0" w14:textId="77777777" w:rsidR="00C46587" w:rsidRPr="0058432E" w:rsidRDefault="00C46587" w:rsidP="00982118">
      <w:pPr>
        <w:rPr>
          <w:color w:val="000000" w:themeColor="text1"/>
        </w:rPr>
      </w:pPr>
      <w:r w:rsidRPr="0058432E">
        <w:rPr>
          <w:color w:val="000000" w:themeColor="text1"/>
        </w:rPr>
        <w:t xml:space="preserve">2 tampons d’alcool </w:t>
      </w:r>
    </w:p>
    <w:p w14:paraId="0CA4C0C2" w14:textId="77777777" w:rsidR="003A774D" w:rsidRPr="0058432E" w:rsidRDefault="003A774D" w:rsidP="007C4B2C">
      <w:pPr>
        <w:pStyle w:val="BodyText"/>
        <w:widowControl/>
        <w:kinsoku w:val="0"/>
        <w:overflowPunct w:val="0"/>
        <w:ind w:left="0" w:right="447"/>
        <w:rPr>
          <w:color w:val="000000" w:themeColor="text1"/>
        </w:rPr>
      </w:pPr>
    </w:p>
    <w:p w14:paraId="278382A8" w14:textId="77777777" w:rsidR="003A774D" w:rsidRPr="0058432E" w:rsidRDefault="003A774D" w:rsidP="00982118">
      <w:pPr>
        <w:rPr>
          <w:color w:val="000000" w:themeColor="text1"/>
          <w:highlight w:val="lightGray"/>
        </w:rPr>
      </w:pPr>
      <w:r w:rsidRPr="0058432E">
        <w:rPr>
          <w:color w:val="000000" w:themeColor="text1"/>
          <w:highlight w:val="lightGray"/>
        </w:rPr>
        <w:t xml:space="preserve">2 stylos préremplis </w:t>
      </w:r>
    </w:p>
    <w:p w14:paraId="7B383900" w14:textId="77777777" w:rsidR="003A774D" w:rsidRPr="0058432E" w:rsidRDefault="003A774D" w:rsidP="00982118">
      <w:pPr>
        <w:rPr>
          <w:color w:val="000000" w:themeColor="text1"/>
          <w:highlight w:val="lightGray"/>
        </w:rPr>
      </w:pPr>
      <w:r w:rsidRPr="0058432E">
        <w:rPr>
          <w:color w:val="000000" w:themeColor="text1"/>
          <w:highlight w:val="lightGray"/>
        </w:rPr>
        <w:t>2 tampons d’alcool</w:t>
      </w:r>
    </w:p>
    <w:p w14:paraId="36EFAA43" w14:textId="77777777" w:rsidR="003A774D" w:rsidRPr="0058432E" w:rsidRDefault="003A774D" w:rsidP="007C4B2C">
      <w:pPr>
        <w:pStyle w:val="BodyText"/>
        <w:widowControl/>
        <w:kinsoku w:val="0"/>
        <w:overflowPunct w:val="0"/>
        <w:ind w:left="0" w:right="447"/>
        <w:rPr>
          <w:color w:val="000000" w:themeColor="text1"/>
          <w:highlight w:val="lightGray"/>
        </w:rPr>
      </w:pPr>
    </w:p>
    <w:p w14:paraId="2363B085" w14:textId="77777777" w:rsidR="003A774D" w:rsidRPr="0058432E" w:rsidRDefault="003A774D" w:rsidP="00982118">
      <w:pPr>
        <w:rPr>
          <w:color w:val="000000" w:themeColor="text1"/>
          <w:highlight w:val="lightGray"/>
        </w:rPr>
      </w:pPr>
      <w:r w:rsidRPr="0058432E">
        <w:rPr>
          <w:color w:val="000000" w:themeColor="text1"/>
          <w:highlight w:val="lightGray"/>
        </w:rPr>
        <w:t xml:space="preserve">4 stylos préremplis </w:t>
      </w:r>
    </w:p>
    <w:p w14:paraId="4277B289" w14:textId="77777777" w:rsidR="003A774D" w:rsidRPr="0058432E" w:rsidRDefault="003A774D" w:rsidP="00982118">
      <w:pPr>
        <w:rPr>
          <w:color w:val="000000" w:themeColor="text1"/>
          <w:highlight w:val="lightGray"/>
        </w:rPr>
      </w:pPr>
      <w:r w:rsidRPr="0058432E">
        <w:rPr>
          <w:color w:val="000000" w:themeColor="text1"/>
          <w:highlight w:val="lightGray"/>
        </w:rPr>
        <w:t>4 tampons d’alcool</w:t>
      </w:r>
    </w:p>
    <w:p w14:paraId="050911E8" w14:textId="77777777" w:rsidR="003A774D" w:rsidRPr="0058432E" w:rsidRDefault="003A774D" w:rsidP="007C4B2C">
      <w:pPr>
        <w:pStyle w:val="BodyText"/>
        <w:widowControl/>
        <w:kinsoku w:val="0"/>
        <w:overflowPunct w:val="0"/>
        <w:ind w:left="0" w:right="447"/>
        <w:rPr>
          <w:color w:val="000000" w:themeColor="text1"/>
          <w:highlight w:val="lightGray"/>
        </w:rPr>
      </w:pPr>
    </w:p>
    <w:p w14:paraId="4800A67B" w14:textId="77777777" w:rsidR="003A774D" w:rsidRPr="0058432E" w:rsidRDefault="003A774D" w:rsidP="00982118">
      <w:pPr>
        <w:rPr>
          <w:color w:val="000000" w:themeColor="text1"/>
          <w:highlight w:val="lightGray"/>
        </w:rPr>
      </w:pPr>
      <w:r w:rsidRPr="0058432E">
        <w:rPr>
          <w:color w:val="000000" w:themeColor="text1"/>
          <w:highlight w:val="lightGray"/>
        </w:rPr>
        <w:t xml:space="preserve">6 stylos préremplis </w:t>
      </w:r>
    </w:p>
    <w:p w14:paraId="5BFF952C" w14:textId="77777777" w:rsidR="003A774D" w:rsidRPr="0058432E" w:rsidRDefault="003A774D" w:rsidP="00982118">
      <w:pPr>
        <w:rPr>
          <w:color w:val="000000" w:themeColor="text1"/>
        </w:rPr>
      </w:pPr>
      <w:r w:rsidRPr="0058432E">
        <w:rPr>
          <w:color w:val="000000" w:themeColor="text1"/>
          <w:highlight w:val="lightGray"/>
        </w:rPr>
        <w:t>6 tampons d’alcool</w:t>
      </w:r>
    </w:p>
    <w:p w14:paraId="770AA6AD" w14:textId="77777777" w:rsidR="00C46587" w:rsidRPr="0058432E" w:rsidRDefault="00C46587" w:rsidP="00982118">
      <w:pPr>
        <w:rPr>
          <w:color w:val="000000" w:themeColor="text1"/>
        </w:rPr>
      </w:pPr>
    </w:p>
    <w:p w14:paraId="6EA9380D" w14:textId="77777777" w:rsidR="00CB1BA7" w:rsidRPr="0058432E" w:rsidRDefault="00CB1BA7" w:rsidP="00982118">
      <w:pPr>
        <w:rPr>
          <w:color w:val="000000" w:themeColor="text1"/>
        </w:rPr>
      </w:pPr>
    </w:p>
    <w:p w14:paraId="6CD838A4"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5.</w:t>
      </w:r>
      <w:r w:rsidRPr="0058432E">
        <w:rPr>
          <w:b/>
          <w:color w:val="000000" w:themeColor="text1"/>
        </w:rPr>
        <w:tab/>
        <w:t xml:space="preserve">MODE ET VOIE D’ADMINISTRATION </w:t>
      </w:r>
    </w:p>
    <w:p w14:paraId="3E01D766" w14:textId="77777777" w:rsidR="00C46587" w:rsidRPr="0058432E" w:rsidRDefault="00C46587" w:rsidP="00982118">
      <w:pPr>
        <w:keepNext/>
        <w:rPr>
          <w:color w:val="000000" w:themeColor="text1"/>
        </w:rPr>
      </w:pPr>
    </w:p>
    <w:p w14:paraId="67B14C94" w14:textId="77777777" w:rsidR="00C46587" w:rsidRPr="0058432E" w:rsidRDefault="00C46587" w:rsidP="00982118">
      <w:pPr>
        <w:keepNext/>
        <w:rPr>
          <w:color w:val="000000" w:themeColor="text1"/>
        </w:rPr>
      </w:pPr>
      <w:r w:rsidRPr="0058432E">
        <w:rPr>
          <w:color w:val="000000" w:themeColor="text1"/>
        </w:rPr>
        <w:t xml:space="preserve">Voie sous-cutanée </w:t>
      </w:r>
    </w:p>
    <w:p w14:paraId="17D3B285" w14:textId="77777777" w:rsidR="00C46587" w:rsidRPr="0058432E" w:rsidRDefault="00C46587" w:rsidP="00982118">
      <w:pPr>
        <w:keepNext/>
        <w:rPr>
          <w:color w:val="000000" w:themeColor="text1"/>
        </w:rPr>
      </w:pPr>
    </w:p>
    <w:p w14:paraId="2F74493F" w14:textId="77777777" w:rsidR="00C46587" w:rsidRPr="0058432E" w:rsidRDefault="00C46587" w:rsidP="00982118">
      <w:pPr>
        <w:keepNext/>
        <w:rPr>
          <w:color w:val="000000" w:themeColor="text1"/>
        </w:rPr>
      </w:pPr>
      <w:r w:rsidRPr="0058432E">
        <w:rPr>
          <w:color w:val="000000" w:themeColor="text1"/>
        </w:rPr>
        <w:t xml:space="preserve">Lire la notice avant utilisation. </w:t>
      </w:r>
    </w:p>
    <w:p w14:paraId="1B2AC0D1" w14:textId="77777777" w:rsidR="003A774D" w:rsidRPr="0058432E" w:rsidRDefault="003A774D" w:rsidP="00982118">
      <w:pPr>
        <w:keepNext/>
        <w:rPr>
          <w:color w:val="000000" w:themeColor="text1"/>
        </w:rPr>
      </w:pPr>
    </w:p>
    <w:p w14:paraId="5233DDFA" w14:textId="77777777" w:rsidR="003A774D" w:rsidRPr="0058432E" w:rsidRDefault="003A774D" w:rsidP="00982118">
      <w:pPr>
        <w:keepNext/>
        <w:rPr>
          <w:color w:val="000000" w:themeColor="text1"/>
        </w:rPr>
      </w:pPr>
      <w:r w:rsidRPr="0058432E">
        <w:rPr>
          <w:color w:val="000000" w:themeColor="text1"/>
        </w:rPr>
        <w:t>À usage unique.</w:t>
      </w:r>
    </w:p>
    <w:p w14:paraId="2AD7A7AC" w14:textId="77777777" w:rsidR="00C46587" w:rsidRPr="0058432E" w:rsidRDefault="00C46587" w:rsidP="00982118">
      <w:pPr>
        <w:keepNext/>
        <w:rPr>
          <w:color w:val="000000" w:themeColor="text1"/>
        </w:rPr>
      </w:pPr>
    </w:p>
    <w:p w14:paraId="2E4841E2" w14:textId="77777777" w:rsidR="00C46587" w:rsidRPr="0058432E" w:rsidRDefault="00C46587" w:rsidP="00982118">
      <w:pPr>
        <w:rPr>
          <w:color w:val="000000" w:themeColor="text1"/>
        </w:rPr>
      </w:pPr>
    </w:p>
    <w:p w14:paraId="2514511F" w14:textId="77777777" w:rsidR="00C46587" w:rsidRPr="0058432E" w:rsidRDefault="00C46587" w:rsidP="00A924EE">
      <w:pPr>
        <w:keepNext/>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6.</w:t>
      </w:r>
      <w:r w:rsidRPr="0058432E">
        <w:rPr>
          <w:b/>
          <w:color w:val="000000" w:themeColor="text1"/>
        </w:rPr>
        <w:tab/>
        <w:t xml:space="preserve">MISE EN GARDE SPÉCIALE INDIQUANT QUE LE MÉDICAMENT DOIT ÊTRE CONSERVÉ HORS DE VUE ET DE PORTÉE DES ENFANTS </w:t>
      </w:r>
    </w:p>
    <w:p w14:paraId="1778D9D2" w14:textId="77777777" w:rsidR="00C46587" w:rsidRPr="0058432E" w:rsidRDefault="00C46587" w:rsidP="00A924EE">
      <w:pPr>
        <w:keepNext/>
        <w:rPr>
          <w:color w:val="000000" w:themeColor="text1"/>
        </w:rPr>
      </w:pPr>
    </w:p>
    <w:p w14:paraId="124912AD" w14:textId="77777777" w:rsidR="00C46587" w:rsidRPr="0058432E" w:rsidRDefault="00C46587" w:rsidP="00982118">
      <w:pPr>
        <w:rPr>
          <w:color w:val="000000" w:themeColor="text1"/>
        </w:rPr>
      </w:pPr>
      <w:r w:rsidRPr="0058432E">
        <w:rPr>
          <w:color w:val="000000" w:themeColor="text1"/>
        </w:rPr>
        <w:t xml:space="preserve">Tenir hors de la vue et de la portée des enfants. </w:t>
      </w:r>
    </w:p>
    <w:p w14:paraId="185E31F8" w14:textId="77777777" w:rsidR="00C46587" w:rsidRPr="0058432E" w:rsidRDefault="00C46587" w:rsidP="00982118">
      <w:pPr>
        <w:rPr>
          <w:color w:val="000000" w:themeColor="text1"/>
        </w:rPr>
      </w:pPr>
    </w:p>
    <w:p w14:paraId="70AFB6A1" w14:textId="77777777" w:rsidR="00C46587" w:rsidRPr="0058432E" w:rsidRDefault="00C46587" w:rsidP="00982118">
      <w:pPr>
        <w:rPr>
          <w:color w:val="000000" w:themeColor="text1"/>
        </w:rPr>
      </w:pPr>
    </w:p>
    <w:p w14:paraId="1FFE3FE4" w14:textId="77777777" w:rsidR="00C46587" w:rsidRPr="0058432E"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7.</w:t>
      </w:r>
      <w:r w:rsidRPr="0058432E">
        <w:rPr>
          <w:b/>
          <w:color w:val="000000" w:themeColor="text1"/>
        </w:rPr>
        <w:tab/>
        <w:t xml:space="preserve">AUTRE MISE EN GARDE SPÉCIALE, SI NÉCESSAIRE </w:t>
      </w:r>
    </w:p>
    <w:p w14:paraId="77E5DBFA" w14:textId="77777777" w:rsidR="00C46587" w:rsidRPr="0058432E" w:rsidRDefault="00C46587" w:rsidP="003146E9">
      <w:pPr>
        <w:keepNext/>
        <w:rPr>
          <w:color w:val="000000" w:themeColor="text1"/>
        </w:rPr>
      </w:pPr>
    </w:p>
    <w:p w14:paraId="4834F0F8" w14:textId="77777777" w:rsidR="00C46587" w:rsidRPr="0058432E" w:rsidRDefault="00C46587" w:rsidP="003146E9">
      <w:pPr>
        <w:keepNext/>
        <w:rPr>
          <w:color w:val="000000" w:themeColor="text1"/>
        </w:rPr>
      </w:pPr>
    </w:p>
    <w:p w14:paraId="320D2A58"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8.</w:t>
      </w:r>
      <w:r w:rsidRPr="0058432E">
        <w:rPr>
          <w:b/>
          <w:color w:val="000000" w:themeColor="text1"/>
        </w:rPr>
        <w:tab/>
        <w:t xml:space="preserve">DATE DE PÉREMPTION </w:t>
      </w:r>
    </w:p>
    <w:p w14:paraId="3E1E3A0D" w14:textId="77777777" w:rsidR="00C46587" w:rsidRPr="0058432E" w:rsidRDefault="00C46587" w:rsidP="00982118">
      <w:pPr>
        <w:rPr>
          <w:color w:val="000000" w:themeColor="text1"/>
        </w:rPr>
      </w:pPr>
    </w:p>
    <w:p w14:paraId="28A5D486" w14:textId="77777777" w:rsidR="00C46587" w:rsidRPr="0058432E" w:rsidRDefault="00C46587" w:rsidP="00982118">
      <w:pPr>
        <w:rPr>
          <w:color w:val="000000" w:themeColor="text1"/>
        </w:rPr>
      </w:pPr>
      <w:r w:rsidRPr="0058432E">
        <w:rPr>
          <w:color w:val="000000" w:themeColor="text1"/>
        </w:rPr>
        <w:t xml:space="preserve">EXP </w:t>
      </w:r>
    </w:p>
    <w:p w14:paraId="7CD6DD50" w14:textId="77777777" w:rsidR="00C46587" w:rsidRPr="0058432E" w:rsidRDefault="00C46587" w:rsidP="00982118">
      <w:pPr>
        <w:rPr>
          <w:color w:val="000000" w:themeColor="text1"/>
        </w:rPr>
      </w:pPr>
    </w:p>
    <w:p w14:paraId="59F52E96" w14:textId="77777777" w:rsidR="00C46587" w:rsidRPr="0058432E" w:rsidRDefault="00C46587" w:rsidP="00982118">
      <w:pPr>
        <w:rPr>
          <w:color w:val="000000" w:themeColor="text1"/>
        </w:rPr>
      </w:pPr>
    </w:p>
    <w:p w14:paraId="2E091951"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9.</w:t>
      </w:r>
      <w:r w:rsidRPr="0058432E">
        <w:rPr>
          <w:b/>
          <w:color w:val="000000" w:themeColor="text1"/>
        </w:rPr>
        <w:tab/>
        <w:t xml:space="preserve">PRÉCAUTIONS PARTICULIÈRES DE CONSERVATION </w:t>
      </w:r>
    </w:p>
    <w:p w14:paraId="2E1D16B0" w14:textId="77777777" w:rsidR="00C46587" w:rsidRPr="0058432E" w:rsidRDefault="00C46587" w:rsidP="00982118">
      <w:pPr>
        <w:rPr>
          <w:color w:val="000000" w:themeColor="text1"/>
        </w:rPr>
      </w:pPr>
    </w:p>
    <w:p w14:paraId="2CFC24BF" w14:textId="77777777" w:rsidR="00C46587" w:rsidRPr="0058432E" w:rsidRDefault="00D707CD" w:rsidP="00982118">
      <w:pPr>
        <w:rPr>
          <w:color w:val="000000" w:themeColor="text1"/>
        </w:rPr>
      </w:pPr>
      <w:r w:rsidRPr="0058432E">
        <w:rPr>
          <w:color w:val="000000" w:themeColor="text1"/>
        </w:rPr>
        <w:t>À</w:t>
      </w:r>
      <w:r w:rsidR="00C46587" w:rsidRPr="0058432E">
        <w:rPr>
          <w:color w:val="000000" w:themeColor="text1"/>
        </w:rPr>
        <w:t xml:space="preserve"> conserver au réfrigérateur. Ne pas congeler. </w:t>
      </w:r>
    </w:p>
    <w:p w14:paraId="601A7FD0" w14:textId="77777777" w:rsidR="00C46587" w:rsidRPr="0058432E" w:rsidRDefault="00C46587" w:rsidP="00982118">
      <w:pPr>
        <w:rPr>
          <w:color w:val="000000" w:themeColor="text1"/>
        </w:rPr>
      </w:pPr>
    </w:p>
    <w:p w14:paraId="73A632E3" w14:textId="77777777" w:rsidR="00C46587" w:rsidRPr="0058432E" w:rsidRDefault="00C46587" w:rsidP="00982118">
      <w:pPr>
        <w:rPr>
          <w:color w:val="000000" w:themeColor="text1"/>
        </w:rPr>
      </w:pPr>
      <w:r w:rsidRPr="0058432E">
        <w:rPr>
          <w:color w:val="000000" w:themeColor="text1"/>
        </w:rPr>
        <w:t xml:space="preserve">Conserver le stylo prérempli dans l’emballage extérieur à l’abri de la lumière. </w:t>
      </w:r>
    </w:p>
    <w:p w14:paraId="49FB36FC" w14:textId="77777777" w:rsidR="00C46587" w:rsidRPr="0058432E" w:rsidRDefault="00C46587" w:rsidP="00982118">
      <w:pPr>
        <w:rPr>
          <w:color w:val="000000" w:themeColor="text1"/>
        </w:rPr>
      </w:pPr>
    </w:p>
    <w:p w14:paraId="45793996" w14:textId="77777777" w:rsidR="00C46587" w:rsidRPr="0058432E" w:rsidRDefault="00C46587" w:rsidP="00982118">
      <w:pPr>
        <w:rPr>
          <w:color w:val="000000" w:themeColor="text1"/>
        </w:rPr>
      </w:pPr>
    </w:p>
    <w:p w14:paraId="56A319BD" w14:textId="77777777" w:rsidR="00C46587" w:rsidRPr="0058432E" w:rsidRDefault="00C46587" w:rsidP="00982118">
      <w:pPr>
        <w:pBdr>
          <w:top w:val="single" w:sz="4" w:space="1" w:color="auto"/>
          <w:left w:val="single" w:sz="4" w:space="4" w:color="auto"/>
          <w:bottom w:val="single" w:sz="4" w:space="1" w:color="auto"/>
          <w:right w:val="single" w:sz="4" w:space="4" w:color="auto"/>
        </w:pBdr>
        <w:ind w:left="720" w:hanging="720"/>
        <w:rPr>
          <w:b/>
          <w:color w:val="000000" w:themeColor="text1"/>
        </w:rPr>
      </w:pPr>
      <w:r w:rsidRPr="0058432E">
        <w:rPr>
          <w:b/>
          <w:color w:val="000000" w:themeColor="text1"/>
        </w:rPr>
        <w:t>10.</w:t>
      </w:r>
      <w:r w:rsidRPr="0058432E">
        <w:rPr>
          <w:b/>
          <w:color w:val="000000" w:themeColor="text1"/>
        </w:rPr>
        <w:tab/>
        <w:t xml:space="preserve">PRÉCAUTIONS PARTICULIÈRES D’ÉLIMINATION DES MÉDICAMENTS NON UTILISÉS OU DES DÉCHETS PROVENANT DE CES MÉDICAMENTS S’IL Y A LIEU </w:t>
      </w:r>
    </w:p>
    <w:p w14:paraId="4A1F573A" w14:textId="77777777" w:rsidR="00C46587" w:rsidRPr="0058432E" w:rsidRDefault="00C46587" w:rsidP="00982118">
      <w:pPr>
        <w:rPr>
          <w:color w:val="000000" w:themeColor="text1"/>
        </w:rPr>
      </w:pPr>
    </w:p>
    <w:p w14:paraId="2F6237AB" w14:textId="77777777" w:rsidR="00C46587" w:rsidRPr="0058432E" w:rsidRDefault="00C46587" w:rsidP="00982118">
      <w:pPr>
        <w:rPr>
          <w:color w:val="000000" w:themeColor="text1"/>
        </w:rPr>
      </w:pPr>
    </w:p>
    <w:p w14:paraId="65FE6EAA" w14:textId="77777777" w:rsidR="00C46587" w:rsidRPr="0058432E" w:rsidRDefault="00C46587" w:rsidP="00B51A46">
      <w:pPr>
        <w:pBdr>
          <w:top w:val="single" w:sz="4" w:space="1" w:color="auto"/>
          <w:left w:val="single" w:sz="4" w:space="4" w:color="auto"/>
          <w:bottom w:val="single" w:sz="4" w:space="1" w:color="auto"/>
          <w:right w:val="single" w:sz="4" w:space="4" w:color="auto"/>
        </w:pBdr>
        <w:ind w:left="709" w:hanging="709"/>
        <w:rPr>
          <w:b/>
          <w:color w:val="000000" w:themeColor="text1"/>
        </w:rPr>
      </w:pPr>
      <w:r w:rsidRPr="0058432E">
        <w:rPr>
          <w:b/>
          <w:color w:val="000000" w:themeColor="text1"/>
        </w:rPr>
        <w:t>11.</w:t>
      </w:r>
      <w:r w:rsidRPr="0058432E">
        <w:rPr>
          <w:b/>
          <w:color w:val="000000" w:themeColor="text1"/>
        </w:rPr>
        <w:tab/>
        <w:t xml:space="preserve">NOM ET ADRESSE DU TITULAIRE DE L’AUTORISATION DE MISE SUR LE MARCHÉ </w:t>
      </w:r>
    </w:p>
    <w:p w14:paraId="6CE85DE6" w14:textId="77777777" w:rsidR="00C46587" w:rsidRPr="0058432E" w:rsidRDefault="00C46587" w:rsidP="00982118">
      <w:pPr>
        <w:rPr>
          <w:color w:val="000000" w:themeColor="text1"/>
        </w:rPr>
      </w:pPr>
    </w:p>
    <w:p w14:paraId="29674135" w14:textId="77777777" w:rsidR="00DD75F2" w:rsidRPr="0058432E" w:rsidRDefault="00DD75F2" w:rsidP="00982118">
      <w:pPr>
        <w:keepNext/>
        <w:ind w:right="14"/>
        <w:rPr>
          <w:color w:val="000000" w:themeColor="text1"/>
        </w:rPr>
      </w:pPr>
      <w:r w:rsidRPr="0058432E">
        <w:rPr>
          <w:color w:val="000000" w:themeColor="text1"/>
        </w:rPr>
        <w:t>Pfizer Europe MA EEIG</w:t>
      </w:r>
    </w:p>
    <w:p w14:paraId="793D6372"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Boulevard de la Plaine 17</w:t>
      </w:r>
    </w:p>
    <w:p w14:paraId="431CFA69"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1050 Bruxelles</w:t>
      </w:r>
    </w:p>
    <w:p w14:paraId="49BF5A7F" w14:textId="77777777" w:rsidR="0016344D" w:rsidRPr="0058432E" w:rsidRDefault="0016344D" w:rsidP="00982118">
      <w:pPr>
        <w:pStyle w:val="BodyText"/>
        <w:widowControl/>
        <w:kinsoku w:val="0"/>
        <w:overflowPunct w:val="0"/>
        <w:ind w:left="0"/>
        <w:rPr>
          <w:color w:val="000000" w:themeColor="text1"/>
        </w:rPr>
      </w:pPr>
      <w:r w:rsidRPr="0058432E">
        <w:rPr>
          <w:color w:val="000000" w:themeColor="text1"/>
        </w:rPr>
        <w:t>Belgique</w:t>
      </w:r>
    </w:p>
    <w:p w14:paraId="4CFF977F" w14:textId="77777777" w:rsidR="00C46587" w:rsidRPr="0058432E" w:rsidRDefault="00C46587" w:rsidP="00982118">
      <w:pPr>
        <w:rPr>
          <w:color w:val="000000" w:themeColor="text1"/>
        </w:rPr>
      </w:pPr>
    </w:p>
    <w:p w14:paraId="0463C96B" w14:textId="77777777" w:rsidR="00C46587" w:rsidRPr="0058432E" w:rsidRDefault="00C46587" w:rsidP="00982118">
      <w:pPr>
        <w:rPr>
          <w:color w:val="000000" w:themeColor="text1"/>
        </w:rPr>
      </w:pPr>
    </w:p>
    <w:p w14:paraId="0332BF07" w14:textId="77777777" w:rsidR="00C46587" w:rsidRPr="0058432E" w:rsidRDefault="00C46587" w:rsidP="00982118">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12.</w:t>
      </w:r>
      <w:r w:rsidRPr="0058432E">
        <w:rPr>
          <w:b/>
          <w:color w:val="000000" w:themeColor="text1"/>
        </w:rPr>
        <w:tab/>
        <w:t xml:space="preserve">NUMÉRO D’AUTORISATION DE MISE SUR LE MARCHÉ </w:t>
      </w:r>
    </w:p>
    <w:p w14:paraId="4CD72903" w14:textId="77777777" w:rsidR="00C46587" w:rsidRPr="0058432E" w:rsidRDefault="00C46587" w:rsidP="00982118">
      <w:pPr>
        <w:keepNext/>
        <w:rPr>
          <w:color w:val="000000" w:themeColor="text1"/>
        </w:rPr>
      </w:pPr>
    </w:p>
    <w:p w14:paraId="754D3E24" w14:textId="77777777" w:rsidR="00FB0912" w:rsidRPr="0058432E" w:rsidRDefault="005C6564" w:rsidP="00982118">
      <w:pPr>
        <w:keepNext/>
        <w:rPr>
          <w:color w:val="000000" w:themeColor="text1"/>
        </w:rPr>
      </w:pPr>
      <w:r w:rsidRPr="0058432E">
        <w:rPr>
          <w:color w:val="000000" w:themeColor="text1"/>
        </w:rPr>
        <w:t>EU/1/19/1415/007</w:t>
      </w:r>
    </w:p>
    <w:p w14:paraId="2F55EB0F" w14:textId="77777777" w:rsidR="00FB0912" w:rsidRPr="0058432E" w:rsidRDefault="005C6564" w:rsidP="00982118">
      <w:pPr>
        <w:keepNext/>
        <w:rPr>
          <w:color w:val="000000" w:themeColor="text1"/>
          <w:highlight w:val="lightGray"/>
        </w:rPr>
      </w:pPr>
      <w:r w:rsidRPr="0058432E">
        <w:rPr>
          <w:color w:val="000000" w:themeColor="text1"/>
          <w:highlight w:val="lightGray"/>
        </w:rPr>
        <w:t>EU/1/19/1415/008</w:t>
      </w:r>
    </w:p>
    <w:p w14:paraId="0E275B38" w14:textId="77777777" w:rsidR="00FB0912" w:rsidRPr="0058432E" w:rsidRDefault="005C6564" w:rsidP="00982118">
      <w:pPr>
        <w:keepNext/>
        <w:rPr>
          <w:color w:val="000000" w:themeColor="text1"/>
          <w:highlight w:val="lightGray"/>
        </w:rPr>
      </w:pPr>
      <w:r w:rsidRPr="0058432E">
        <w:rPr>
          <w:color w:val="000000" w:themeColor="text1"/>
          <w:highlight w:val="lightGray"/>
        </w:rPr>
        <w:t>EU/1/19/1415/009</w:t>
      </w:r>
    </w:p>
    <w:p w14:paraId="16E332BC" w14:textId="77777777" w:rsidR="00C46587" w:rsidRPr="0058432E" w:rsidRDefault="005C6564" w:rsidP="00982118">
      <w:pPr>
        <w:keepNext/>
        <w:rPr>
          <w:color w:val="000000" w:themeColor="text1"/>
        </w:rPr>
      </w:pPr>
      <w:r w:rsidRPr="0058432E">
        <w:rPr>
          <w:color w:val="000000" w:themeColor="text1"/>
          <w:highlight w:val="lightGray"/>
        </w:rPr>
        <w:t>EU/1/19/1415/010</w:t>
      </w:r>
    </w:p>
    <w:p w14:paraId="251E2366" w14:textId="77777777" w:rsidR="00C46587" w:rsidRPr="0058432E" w:rsidRDefault="00C46587" w:rsidP="00982118">
      <w:pPr>
        <w:rPr>
          <w:color w:val="000000" w:themeColor="text1"/>
        </w:rPr>
      </w:pPr>
    </w:p>
    <w:p w14:paraId="1040D660" w14:textId="77777777" w:rsidR="000D3575" w:rsidRPr="0058432E" w:rsidRDefault="000D3575" w:rsidP="00982118">
      <w:pPr>
        <w:rPr>
          <w:color w:val="000000" w:themeColor="text1"/>
        </w:rPr>
      </w:pPr>
    </w:p>
    <w:p w14:paraId="226CDDF2"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13.</w:t>
      </w:r>
      <w:r w:rsidRPr="0058432E">
        <w:rPr>
          <w:b/>
          <w:color w:val="000000" w:themeColor="text1"/>
        </w:rPr>
        <w:tab/>
        <w:t xml:space="preserve">NUMÉRO DU LOT </w:t>
      </w:r>
    </w:p>
    <w:p w14:paraId="458B41D0" w14:textId="77777777" w:rsidR="00C46587" w:rsidRPr="0058432E" w:rsidRDefault="00C46587" w:rsidP="00982118">
      <w:pPr>
        <w:rPr>
          <w:color w:val="000000" w:themeColor="text1"/>
        </w:rPr>
      </w:pPr>
    </w:p>
    <w:p w14:paraId="0A68AB8C" w14:textId="77777777" w:rsidR="00C46587" w:rsidRPr="0058432E" w:rsidRDefault="00C46587" w:rsidP="00982118">
      <w:pPr>
        <w:rPr>
          <w:color w:val="000000" w:themeColor="text1"/>
        </w:rPr>
      </w:pPr>
      <w:r w:rsidRPr="0058432E">
        <w:rPr>
          <w:color w:val="000000" w:themeColor="text1"/>
        </w:rPr>
        <w:t xml:space="preserve">Lot </w:t>
      </w:r>
    </w:p>
    <w:p w14:paraId="6C89CB4F" w14:textId="77777777" w:rsidR="00C46587" w:rsidRPr="0058432E" w:rsidRDefault="00C46587" w:rsidP="00982118">
      <w:pPr>
        <w:rPr>
          <w:color w:val="000000" w:themeColor="text1"/>
        </w:rPr>
      </w:pPr>
    </w:p>
    <w:p w14:paraId="7D499167" w14:textId="77777777" w:rsidR="00C46587" w:rsidRPr="0058432E" w:rsidRDefault="00C46587" w:rsidP="00982118">
      <w:pPr>
        <w:rPr>
          <w:color w:val="000000" w:themeColor="text1"/>
        </w:rPr>
      </w:pPr>
    </w:p>
    <w:p w14:paraId="0A5C186E"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14.</w:t>
      </w:r>
      <w:r w:rsidRPr="0058432E">
        <w:rPr>
          <w:b/>
          <w:color w:val="000000" w:themeColor="text1"/>
        </w:rPr>
        <w:tab/>
        <w:t xml:space="preserve">CONDITIONS DE PRESCRIPTION ET DE DÉLIVRANCE </w:t>
      </w:r>
    </w:p>
    <w:p w14:paraId="0A21D8C1" w14:textId="77777777" w:rsidR="00C46587" w:rsidRPr="0058432E" w:rsidRDefault="00C46587" w:rsidP="00982118">
      <w:pPr>
        <w:rPr>
          <w:color w:val="000000" w:themeColor="text1"/>
        </w:rPr>
      </w:pPr>
    </w:p>
    <w:p w14:paraId="4F851EB5" w14:textId="77777777" w:rsidR="00C46587" w:rsidRPr="0058432E" w:rsidRDefault="00C46587" w:rsidP="00982118">
      <w:pPr>
        <w:rPr>
          <w:color w:val="000000" w:themeColor="text1"/>
        </w:rPr>
      </w:pPr>
    </w:p>
    <w:p w14:paraId="40F7E13E"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15.</w:t>
      </w:r>
      <w:r w:rsidRPr="0058432E">
        <w:rPr>
          <w:b/>
          <w:color w:val="000000" w:themeColor="text1"/>
        </w:rPr>
        <w:tab/>
        <w:t xml:space="preserve">INDICATIONS D’UTILISATION </w:t>
      </w:r>
    </w:p>
    <w:p w14:paraId="0088D90D" w14:textId="77777777" w:rsidR="00C46587" w:rsidRPr="0058432E" w:rsidRDefault="00C46587" w:rsidP="00982118">
      <w:pPr>
        <w:rPr>
          <w:color w:val="000000" w:themeColor="text1"/>
        </w:rPr>
      </w:pPr>
    </w:p>
    <w:p w14:paraId="1CFB6CD1" w14:textId="77777777" w:rsidR="00C46587" w:rsidRPr="0058432E" w:rsidRDefault="00C46587" w:rsidP="00982118">
      <w:pPr>
        <w:rPr>
          <w:color w:val="000000" w:themeColor="text1"/>
        </w:rPr>
      </w:pPr>
    </w:p>
    <w:p w14:paraId="748A3E0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16.</w:t>
      </w:r>
      <w:r w:rsidRPr="0058432E">
        <w:rPr>
          <w:b/>
          <w:color w:val="000000" w:themeColor="text1"/>
        </w:rPr>
        <w:tab/>
        <w:t xml:space="preserve">INFORMATIONS EN BRAILLE </w:t>
      </w:r>
    </w:p>
    <w:p w14:paraId="767A8F68" w14:textId="77777777" w:rsidR="00C46587" w:rsidRPr="0058432E" w:rsidRDefault="00C46587" w:rsidP="00982118">
      <w:pPr>
        <w:rPr>
          <w:color w:val="000000" w:themeColor="text1"/>
        </w:rPr>
      </w:pPr>
    </w:p>
    <w:p w14:paraId="56DC90ED" w14:textId="77777777" w:rsidR="00C46587" w:rsidRPr="0058432E" w:rsidRDefault="006A1144" w:rsidP="00982118">
      <w:pPr>
        <w:rPr>
          <w:color w:val="000000" w:themeColor="text1"/>
        </w:rPr>
      </w:pPr>
      <w:r w:rsidRPr="0058432E">
        <w:rPr>
          <w:color w:val="000000" w:themeColor="text1"/>
        </w:rPr>
        <w:t xml:space="preserve">Amsparity 40 mg </w:t>
      </w:r>
    </w:p>
    <w:p w14:paraId="66B0AF95" w14:textId="77777777" w:rsidR="00C46587" w:rsidRPr="0058432E" w:rsidRDefault="00C46587" w:rsidP="00982118">
      <w:pPr>
        <w:rPr>
          <w:color w:val="000000" w:themeColor="text1"/>
        </w:rPr>
      </w:pPr>
    </w:p>
    <w:p w14:paraId="234CDF04" w14:textId="77777777" w:rsidR="00C46587" w:rsidRPr="0058432E" w:rsidRDefault="00C46587" w:rsidP="00982118">
      <w:pPr>
        <w:rPr>
          <w:color w:val="000000" w:themeColor="text1"/>
        </w:rPr>
      </w:pPr>
    </w:p>
    <w:p w14:paraId="571467E8" w14:textId="77777777" w:rsidR="00C46587" w:rsidRPr="0058432E" w:rsidRDefault="00C46587" w:rsidP="003146E9">
      <w:pPr>
        <w:keepNext/>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17.</w:t>
      </w:r>
      <w:r w:rsidRPr="0058432E">
        <w:rPr>
          <w:b/>
          <w:color w:val="000000" w:themeColor="text1"/>
        </w:rPr>
        <w:tab/>
        <w:t xml:space="preserve">IDENTIFIANT UNIQUE - CODE-BARRES 2D </w:t>
      </w:r>
    </w:p>
    <w:p w14:paraId="44E305C0" w14:textId="77777777" w:rsidR="00C46587" w:rsidRPr="0058432E" w:rsidRDefault="00C46587" w:rsidP="003146E9">
      <w:pPr>
        <w:keepNext/>
        <w:rPr>
          <w:color w:val="000000" w:themeColor="text1"/>
        </w:rPr>
      </w:pPr>
    </w:p>
    <w:p w14:paraId="546061C1" w14:textId="77777777" w:rsidR="00C46587" w:rsidRPr="0058432E" w:rsidRDefault="00C46587" w:rsidP="00982118">
      <w:pPr>
        <w:rPr>
          <w:color w:val="000000" w:themeColor="text1"/>
        </w:rPr>
      </w:pPr>
      <w:r w:rsidRPr="0058432E">
        <w:rPr>
          <w:color w:val="000000" w:themeColor="text1"/>
          <w:highlight w:val="lightGray"/>
        </w:rPr>
        <w:t>Code-barres 2D portant l’identifiant unique inclus.</w:t>
      </w:r>
      <w:r w:rsidRPr="0058432E">
        <w:rPr>
          <w:color w:val="000000" w:themeColor="text1"/>
        </w:rPr>
        <w:t xml:space="preserve"> </w:t>
      </w:r>
    </w:p>
    <w:p w14:paraId="1092FC23" w14:textId="77777777" w:rsidR="00C46587" w:rsidRPr="0058432E" w:rsidRDefault="00C46587" w:rsidP="00982118">
      <w:pPr>
        <w:rPr>
          <w:color w:val="000000" w:themeColor="text1"/>
        </w:rPr>
      </w:pPr>
    </w:p>
    <w:p w14:paraId="71DF8814" w14:textId="77777777" w:rsidR="00C46587" w:rsidRPr="0058432E" w:rsidRDefault="00C46587" w:rsidP="00982118">
      <w:pPr>
        <w:rPr>
          <w:color w:val="000000" w:themeColor="text1"/>
        </w:rPr>
      </w:pPr>
    </w:p>
    <w:p w14:paraId="27745E67"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18.</w:t>
      </w:r>
      <w:r w:rsidRPr="0058432E">
        <w:rPr>
          <w:b/>
          <w:color w:val="000000" w:themeColor="text1"/>
        </w:rPr>
        <w:tab/>
        <w:t xml:space="preserve">IDENTIFIANT UNIQUE - DONNÉES LISIBLES PAR LES HUMAINS </w:t>
      </w:r>
    </w:p>
    <w:p w14:paraId="36566811" w14:textId="77777777" w:rsidR="00C46587" w:rsidRPr="0058432E" w:rsidRDefault="00C46587" w:rsidP="00982118">
      <w:pPr>
        <w:rPr>
          <w:color w:val="000000" w:themeColor="text1"/>
        </w:rPr>
      </w:pPr>
    </w:p>
    <w:p w14:paraId="2BE31511" w14:textId="77777777" w:rsidR="00C46587" w:rsidRPr="0058432E" w:rsidRDefault="00C46587" w:rsidP="00982118">
      <w:pPr>
        <w:rPr>
          <w:color w:val="000000" w:themeColor="text1"/>
        </w:rPr>
      </w:pPr>
      <w:r w:rsidRPr="0058432E">
        <w:rPr>
          <w:color w:val="000000" w:themeColor="text1"/>
        </w:rPr>
        <w:t>PC</w:t>
      </w:r>
    </w:p>
    <w:p w14:paraId="41ABEC31" w14:textId="77777777" w:rsidR="00C46587" w:rsidRPr="0058432E" w:rsidRDefault="00C46587" w:rsidP="00982118">
      <w:pPr>
        <w:rPr>
          <w:color w:val="000000" w:themeColor="text1"/>
        </w:rPr>
      </w:pPr>
      <w:r w:rsidRPr="0058432E">
        <w:rPr>
          <w:color w:val="000000" w:themeColor="text1"/>
        </w:rPr>
        <w:t>SN</w:t>
      </w:r>
    </w:p>
    <w:p w14:paraId="7B90E46C" w14:textId="77777777" w:rsidR="00C46587" w:rsidRPr="0058432E" w:rsidRDefault="00C46587" w:rsidP="00982118">
      <w:pPr>
        <w:rPr>
          <w:color w:val="000000" w:themeColor="text1"/>
        </w:rPr>
      </w:pPr>
      <w:r w:rsidRPr="0058432E">
        <w:rPr>
          <w:color w:val="000000" w:themeColor="text1"/>
        </w:rPr>
        <w:t>NN</w:t>
      </w:r>
    </w:p>
    <w:p w14:paraId="0097EE29" w14:textId="77777777" w:rsidR="00C46587" w:rsidRPr="0058432E" w:rsidRDefault="00C46587" w:rsidP="00982118">
      <w:pPr>
        <w:rPr>
          <w:color w:val="000000" w:themeColor="text1"/>
        </w:rPr>
      </w:pPr>
      <w:r w:rsidRPr="0058432E">
        <w:rPr>
          <w:color w:val="000000" w:themeColor="text1"/>
        </w:rPr>
        <w:br w:type="page"/>
      </w:r>
    </w:p>
    <w:p w14:paraId="5F985629"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lastRenderedPageBreak/>
        <w:t xml:space="preserve">MENTIONS MINIMALES DEVANT FIGURER SUR LES PETITS CONDITIONNEMENTS PRIMAIRES </w:t>
      </w:r>
    </w:p>
    <w:p w14:paraId="722E56BB"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p>
    <w:p w14:paraId="76C2488E" w14:textId="77777777" w:rsidR="00C46587" w:rsidRPr="0058432E" w:rsidRDefault="00C46587" w:rsidP="00982118">
      <w:pPr>
        <w:pBdr>
          <w:top w:val="single" w:sz="4" w:space="1" w:color="auto"/>
          <w:left w:val="single" w:sz="4" w:space="4" w:color="auto"/>
          <w:bottom w:val="single" w:sz="4" w:space="1" w:color="auto"/>
          <w:right w:val="single" w:sz="4" w:space="4" w:color="auto"/>
        </w:pBdr>
        <w:rPr>
          <w:b/>
          <w:color w:val="000000" w:themeColor="text1"/>
        </w:rPr>
      </w:pPr>
      <w:r w:rsidRPr="0058432E">
        <w:rPr>
          <w:b/>
          <w:color w:val="000000" w:themeColor="text1"/>
        </w:rPr>
        <w:t xml:space="preserve">ÉTIQUETTE DU STYLO </w:t>
      </w:r>
    </w:p>
    <w:p w14:paraId="16665CE9" w14:textId="77777777" w:rsidR="00C46587" w:rsidRPr="0058432E" w:rsidRDefault="00C46587" w:rsidP="00982118">
      <w:pPr>
        <w:rPr>
          <w:color w:val="000000" w:themeColor="text1"/>
        </w:rPr>
      </w:pPr>
    </w:p>
    <w:p w14:paraId="70070AB8" w14:textId="77777777" w:rsidR="00C46587" w:rsidRPr="0058432E" w:rsidRDefault="00C46587" w:rsidP="00982118">
      <w:pPr>
        <w:rPr>
          <w:color w:val="000000" w:themeColor="text1"/>
        </w:rPr>
      </w:pPr>
    </w:p>
    <w:p w14:paraId="593317E6"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1.</w:t>
      </w:r>
      <w:r w:rsidRPr="0058432E">
        <w:rPr>
          <w:b/>
          <w:color w:val="000000" w:themeColor="text1"/>
        </w:rPr>
        <w:tab/>
        <w:t xml:space="preserve">DÉNOMINATION DU MÉDICAMENT ET VOIE D’ADMINISTRATION </w:t>
      </w:r>
    </w:p>
    <w:p w14:paraId="1828B17E" w14:textId="77777777" w:rsidR="00C46587" w:rsidRPr="0058432E" w:rsidRDefault="00C46587" w:rsidP="00982118">
      <w:pPr>
        <w:rPr>
          <w:color w:val="000000" w:themeColor="text1"/>
        </w:rPr>
      </w:pPr>
    </w:p>
    <w:p w14:paraId="6C2DE791" w14:textId="77777777" w:rsidR="00C46587" w:rsidRPr="0058432E" w:rsidRDefault="006A1144" w:rsidP="00982118">
      <w:pPr>
        <w:rPr>
          <w:color w:val="000000" w:themeColor="text1"/>
        </w:rPr>
      </w:pPr>
      <w:r w:rsidRPr="0058432E">
        <w:rPr>
          <w:color w:val="000000" w:themeColor="text1"/>
        </w:rPr>
        <w:t xml:space="preserve">Amsparity 40 mg, solution injectable </w:t>
      </w:r>
    </w:p>
    <w:p w14:paraId="381999BE" w14:textId="77777777" w:rsidR="00C46587" w:rsidRPr="0058432E" w:rsidRDefault="00C46587" w:rsidP="00982118">
      <w:pPr>
        <w:rPr>
          <w:color w:val="000000" w:themeColor="text1"/>
        </w:rPr>
      </w:pPr>
      <w:proofErr w:type="gramStart"/>
      <w:r w:rsidRPr="0058432E">
        <w:rPr>
          <w:color w:val="000000" w:themeColor="text1"/>
        </w:rPr>
        <w:t>adalimumab</w:t>
      </w:r>
      <w:proofErr w:type="gramEnd"/>
      <w:r w:rsidRPr="0058432E">
        <w:rPr>
          <w:color w:val="000000" w:themeColor="text1"/>
        </w:rPr>
        <w:t xml:space="preserve"> </w:t>
      </w:r>
    </w:p>
    <w:p w14:paraId="492BCF70" w14:textId="77777777" w:rsidR="00C46587" w:rsidRPr="0058432E" w:rsidRDefault="00AA1625" w:rsidP="00982118">
      <w:pPr>
        <w:rPr>
          <w:color w:val="000000" w:themeColor="text1"/>
        </w:rPr>
      </w:pPr>
      <w:r w:rsidRPr="0058432E">
        <w:rPr>
          <w:color w:val="000000" w:themeColor="text1"/>
        </w:rPr>
        <w:t xml:space="preserve">SC </w:t>
      </w:r>
    </w:p>
    <w:p w14:paraId="30C1C51E" w14:textId="77777777" w:rsidR="00C46587" w:rsidRPr="0058432E" w:rsidRDefault="00C46587" w:rsidP="00982118">
      <w:pPr>
        <w:rPr>
          <w:color w:val="000000" w:themeColor="text1"/>
        </w:rPr>
      </w:pPr>
    </w:p>
    <w:p w14:paraId="14B3EA0A" w14:textId="77777777" w:rsidR="00C46587" w:rsidRPr="0058432E" w:rsidRDefault="00C46587" w:rsidP="00982118">
      <w:pPr>
        <w:rPr>
          <w:color w:val="000000" w:themeColor="text1"/>
        </w:rPr>
      </w:pPr>
    </w:p>
    <w:p w14:paraId="552648D0"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2.</w:t>
      </w:r>
      <w:r w:rsidRPr="0058432E">
        <w:rPr>
          <w:b/>
          <w:color w:val="000000" w:themeColor="text1"/>
        </w:rPr>
        <w:tab/>
        <w:t xml:space="preserve">MODE D’ADMINISTRATION </w:t>
      </w:r>
    </w:p>
    <w:p w14:paraId="38C442D5" w14:textId="77777777" w:rsidR="00C46587" w:rsidRPr="0058432E" w:rsidRDefault="00C46587" w:rsidP="00982118">
      <w:pPr>
        <w:rPr>
          <w:color w:val="000000" w:themeColor="text1"/>
        </w:rPr>
      </w:pPr>
    </w:p>
    <w:p w14:paraId="5C44B51A" w14:textId="77777777" w:rsidR="00C46587" w:rsidRPr="0058432E" w:rsidRDefault="00C46587" w:rsidP="00982118">
      <w:pPr>
        <w:rPr>
          <w:color w:val="000000" w:themeColor="text1"/>
        </w:rPr>
      </w:pPr>
    </w:p>
    <w:p w14:paraId="52E48A79"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3.</w:t>
      </w:r>
      <w:r w:rsidRPr="0058432E">
        <w:rPr>
          <w:b/>
          <w:color w:val="000000" w:themeColor="text1"/>
        </w:rPr>
        <w:tab/>
        <w:t xml:space="preserve">DATE DE PÉREMPTION </w:t>
      </w:r>
    </w:p>
    <w:p w14:paraId="24A1309B" w14:textId="77777777" w:rsidR="00C46587" w:rsidRPr="0058432E" w:rsidRDefault="00C46587" w:rsidP="00982118">
      <w:pPr>
        <w:rPr>
          <w:color w:val="000000" w:themeColor="text1"/>
        </w:rPr>
      </w:pPr>
    </w:p>
    <w:p w14:paraId="56D26C52" w14:textId="77777777" w:rsidR="00C46587" w:rsidRPr="0058432E" w:rsidRDefault="00C46587" w:rsidP="00982118">
      <w:pPr>
        <w:rPr>
          <w:color w:val="000000" w:themeColor="text1"/>
        </w:rPr>
      </w:pPr>
      <w:r w:rsidRPr="0058432E">
        <w:rPr>
          <w:color w:val="000000" w:themeColor="text1"/>
        </w:rPr>
        <w:t xml:space="preserve">EXP </w:t>
      </w:r>
    </w:p>
    <w:p w14:paraId="6192609A" w14:textId="77777777" w:rsidR="00C46587" w:rsidRPr="0058432E" w:rsidRDefault="00C46587" w:rsidP="00982118">
      <w:pPr>
        <w:rPr>
          <w:color w:val="000000" w:themeColor="text1"/>
        </w:rPr>
      </w:pPr>
    </w:p>
    <w:p w14:paraId="4790D37B" w14:textId="77777777" w:rsidR="00C46587" w:rsidRPr="0058432E" w:rsidRDefault="00C46587" w:rsidP="00982118">
      <w:pPr>
        <w:rPr>
          <w:color w:val="000000" w:themeColor="text1"/>
        </w:rPr>
      </w:pPr>
    </w:p>
    <w:p w14:paraId="1A0DDFDE"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4.</w:t>
      </w:r>
      <w:r w:rsidRPr="0058432E">
        <w:rPr>
          <w:b/>
          <w:color w:val="000000" w:themeColor="text1"/>
        </w:rPr>
        <w:tab/>
        <w:t xml:space="preserve">NUMÉRO DU LOT </w:t>
      </w:r>
    </w:p>
    <w:p w14:paraId="2151F462" w14:textId="77777777" w:rsidR="00C46587" w:rsidRPr="0058432E" w:rsidRDefault="00C46587" w:rsidP="00982118">
      <w:pPr>
        <w:rPr>
          <w:color w:val="000000" w:themeColor="text1"/>
        </w:rPr>
      </w:pPr>
    </w:p>
    <w:p w14:paraId="601917EF" w14:textId="77777777" w:rsidR="00C46587" w:rsidRPr="0058432E" w:rsidRDefault="00C46587" w:rsidP="00982118">
      <w:pPr>
        <w:rPr>
          <w:color w:val="000000" w:themeColor="text1"/>
        </w:rPr>
      </w:pPr>
      <w:r w:rsidRPr="0058432E">
        <w:rPr>
          <w:color w:val="000000" w:themeColor="text1"/>
        </w:rPr>
        <w:t xml:space="preserve">Lot </w:t>
      </w:r>
    </w:p>
    <w:p w14:paraId="3DB81ED7" w14:textId="77777777" w:rsidR="00C46587" w:rsidRPr="0058432E" w:rsidRDefault="00C46587" w:rsidP="00982118">
      <w:pPr>
        <w:rPr>
          <w:color w:val="000000" w:themeColor="text1"/>
        </w:rPr>
      </w:pPr>
    </w:p>
    <w:p w14:paraId="5B83F0FA" w14:textId="77777777" w:rsidR="00C46587" w:rsidRPr="0058432E" w:rsidRDefault="00C46587" w:rsidP="00982118">
      <w:pPr>
        <w:rPr>
          <w:color w:val="000000" w:themeColor="text1"/>
        </w:rPr>
      </w:pPr>
    </w:p>
    <w:p w14:paraId="6FC07C9C"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5.</w:t>
      </w:r>
      <w:r w:rsidRPr="0058432E">
        <w:rPr>
          <w:b/>
          <w:color w:val="000000" w:themeColor="text1"/>
        </w:rPr>
        <w:tab/>
        <w:t xml:space="preserve">CONTENU EN POIDS, VOLUME OU UNITÉ </w:t>
      </w:r>
    </w:p>
    <w:p w14:paraId="46796C0D" w14:textId="77777777" w:rsidR="00C46587" w:rsidRPr="0058432E" w:rsidRDefault="00C46587" w:rsidP="00982118">
      <w:pPr>
        <w:rPr>
          <w:color w:val="000000" w:themeColor="text1"/>
        </w:rPr>
      </w:pPr>
    </w:p>
    <w:p w14:paraId="3B330078" w14:textId="77777777" w:rsidR="00C46587" w:rsidRPr="0058432E" w:rsidRDefault="00C46587" w:rsidP="00982118">
      <w:pPr>
        <w:rPr>
          <w:color w:val="000000" w:themeColor="text1"/>
        </w:rPr>
      </w:pPr>
      <w:r w:rsidRPr="0058432E">
        <w:rPr>
          <w:color w:val="000000" w:themeColor="text1"/>
          <w:highlight w:val="lightGray"/>
        </w:rPr>
        <w:t>40 mg/0,8 ml</w:t>
      </w:r>
      <w:r w:rsidRPr="0058432E">
        <w:rPr>
          <w:color w:val="000000" w:themeColor="text1"/>
        </w:rPr>
        <w:t xml:space="preserve"> </w:t>
      </w:r>
    </w:p>
    <w:p w14:paraId="2EA5DBF4" w14:textId="77777777" w:rsidR="00C46587" w:rsidRPr="0058432E" w:rsidRDefault="00C46587" w:rsidP="00982118">
      <w:pPr>
        <w:rPr>
          <w:color w:val="000000" w:themeColor="text1"/>
        </w:rPr>
      </w:pPr>
    </w:p>
    <w:p w14:paraId="2BF3E9BF" w14:textId="77777777" w:rsidR="00CB1BA7" w:rsidRPr="0058432E" w:rsidRDefault="00CB1BA7" w:rsidP="00982118">
      <w:pPr>
        <w:rPr>
          <w:color w:val="000000" w:themeColor="text1"/>
        </w:rPr>
      </w:pPr>
    </w:p>
    <w:p w14:paraId="475B1084" w14:textId="77777777" w:rsidR="00C46587" w:rsidRPr="0058432E" w:rsidRDefault="00C46587" w:rsidP="00982118">
      <w:pPr>
        <w:pBdr>
          <w:top w:val="single" w:sz="4" w:space="1" w:color="auto"/>
          <w:left w:val="single" w:sz="4" w:space="4" w:color="auto"/>
          <w:bottom w:val="single" w:sz="4" w:space="1" w:color="auto"/>
          <w:right w:val="single" w:sz="4" w:space="4" w:color="auto"/>
        </w:pBdr>
        <w:tabs>
          <w:tab w:val="left" w:pos="562"/>
        </w:tabs>
        <w:rPr>
          <w:b/>
          <w:color w:val="000000" w:themeColor="text1"/>
        </w:rPr>
      </w:pPr>
      <w:r w:rsidRPr="0058432E">
        <w:rPr>
          <w:b/>
          <w:color w:val="000000" w:themeColor="text1"/>
        </w:rPr>
        <w:t>6.</w:t>
      </w:r>
      <w:r w:rsidRPr="0058432E">
        <w:rPr>
          <w:b/>
          <w:color w:val="000000" w:themeColor="text1"/>
        </w:rPr>
        <w:tab/>
        <w:t xml:space="preserve">AUTRE </w:t>
      </w:r>
    </w:p>
    <w:p w14:paraId="0B95606A" w14:textId="77777777" w:rsidR="00C46587" w:rsidRPr="0058432E" w:rsidRDefault="00C46587" w:rsidP="00982118">
      <w:pPr>
        <w:rPr>
          <w:color w:val="000000" w:themeColor="text1"/>
        </w:rPr>
      </w:pPr>
    </w:p>
    <w:bookmarkEnd w:id="12"/>
    <w:p w14:paraId="7CA0686B" w14:textId="77777777" w:rsidR="00C46587" w:rsidRPr="0058432E" w:rsidRDefault="00C46587" w:rsidP="00982118">
      <w:pPr>
        <w:rPr>
          <w:color w:val="000000" w:themeColor="text1"/>
        </w:rPr>
      </w:pPr>
      <w:r w:rsidRPr="0058432E">
        <w:rPr>
          <w:color w:val="000000" w:themeColor="text1"/>
        </w:rPr>
        <w:br w:type="page"/>
      </w:r>
    </w:p>
    <w:p w14:paraId="30D2CDA1" w14:textId="77777777" w:rsidR="00C46587" w:rsidRPr="0058432E" w:rsidRDefault="00C46587" w:rsidP="00982118">
      <w:pPr>
        <w:rPr>
          <w:color w:val="000000" w:themeColor="text1"/>
        </w:rPr>
      </w:pPr>
    </w:p>
    <w:p w14:paraId="22275D9A" w14:textId="77777777" w:rsidR="00C46587" w:rsidRPr="0058432E" w:rsidRDefault="00C46587" w:rsidP="00982118">
      <w:pPr>
        <w:rPr>
          <w:color w:val="000000" w:themeColor="text1"/>
        </w:rPr>
      </w:pPr>
    </w:p>
    <w:p w14:paraId="5B3E94B1" w14:textId="77777777" w:rsidR="00C46587" w:rsidRPr="0058432E" w:rsidRDefault="00C46587" w:rsidP="00982118">
      <w:pPr>
        <w:rPr>
          <w:color w:val="000000" w:themeColor="text1"/>
        </w:rPr>
      </w:pPr>
    </w:p>
    <w:p w14:paraId="0ADB298A" w14:textId="77777777" w:rsidR="00C46587" w:rsidRPr="0058432E" w:rsidRDefault="00C46587" w:rsidP="00982118">
      <w:pPr>
        <w:rPr>
          <w:color w:val="000000" w:themeColor="text1"/>
        </w:rPr>
      </w:pPr>
    </w:p>
    <w:p w14:paraId="14D54171" w14:textId="77777777" w:rsidR="00C46587" w:rsidRPr="0058432E" w:rsidRDefault="00C46587" w:rsidP="00982118">
      <w:pPr>
        <w:rPr>
          <w:color w:val="000000" w:themeColor="text1"/>
        </w:rPr>
      </w:pPr>
    </w:p>
    <w:p w14:paraId="543C4944" w14:textId="77777777" w:rsidR="00C46587" w:rsidRPr="0058432E" w:rsidRDefault="00C46587" w:rsidP="00982118">
      <w:pPr>
        <w:rPr>
          <w:color w:val="000000" w:themeColor="text1"/>
        </w:rPr>
      </w:pPr>
    </w:p>
    <w:p w14:paraId="27D39EE7" w14:textId="77777777" w:rsidR="00C46587" w:rsidRPr="0058432E" w:rsidRDefault="00C46587" w:rsidP="00982118">
      <w:pPr>
        <w:rPr>
          <w:color w:val="000000" w:themeColor="text1"/>
        </w:rPr>
      </w:pPr>
    </w:p>
    <w:p w14:paraId="7C83DEA7" w14:textId="77777777" w:rsidR="00C46587" w:rsidRPr="0058432E" w:rsidRDefault="00C46587" w:rsidP="00982118">
      <w:pPr>
        <w:rPr>
          <w:color w:val="000000" w:themeColor="text1"/>
        </w:rPr>
      </w:pPr>
    </w:p>
    <w:p w14:paraId="6A01AB98" w14:textId="77777777" w:rsidR="00C46587" w:rsidRPr="0058432E" w:rsidRDefault="00C46587" w:rsidP="00982118">
      <w:pPr>
        <w:rPr>
          <w:color w:val="000000" w:themeColor="text1"/>
        </w:rPr>
      </w:pPr>
    </w:p>
    <w:p w14:paraId="5D20DB08" w14:textId="77777777" w:rsidR="00C46587" w:rsidRPr="0058432E" w:rsidRDefault="00C46587" w:rsidP="00982118">
      <w:pPr>
        <w:rPr>
          <w:color w:val="000000" w:themeColor="text1"/>
        </w:rPr>
      </w:pPr>
    </w:p>
    <w:p w14:paraId="507FA290" w14:textId="77777777" w:rsidR="00C46587" w:rsidRPr="0058432E" w:rsidRDefault="00C46587" w:rsidP="00982118">
      <w:pPr>
        <w:rPr>
          <w:color w:val="000000" w:themeColor="text1"/>
        </w:rPr>
      </w:pPr>
    </w:p>
    <w:p w14:paraId="4B8C544A" w14:textId="77777777" w:rsidR="00C46587" w:rsidRPr="0058432E" w:rsidRDefault="00C46587" w:rsidP="00982118">
      <w:pPr>
        <w:rPr>
          <w:color w:val="000000" w:themeColor="text1"/>
        </w:rPr>
      </w:pPr>
    </w:p>
    <w:p w14:paraId="618A7CE3" w14:textId="77777777" w:rsidR="00C46587" w:rsidRPr="0058432E" w:rsidRDefault="00C46587" w:rsidP="00982118">
      <w:pPr>
        <w:rPr>
          <w:color w:val="000000" w:themeColor="text1"/>
        </w:rPr>
      </w:pPr>
    </w:p>
    <w:p w14:paraId="18E600C9" w14:textId="77777777" w:rsidR="00C46587" w:rsidRPr="0058432E" w:rsidRDefault="00C46587" w:rsidP="00982118">
      <w:pPr>
        <w:rPr>
          <w:color w:val="000000" w:themeColor="text1"/>
        </w:rPr>
      </w:pPr>
    </w:p>
    <w:p w14:paraId="4AB8DD36" w14:textId="77777777" w:rsidR="00C46587" w:rsidRPr="0058432E" w:rsidRDefault="00C46587" w:rsidP="00982118">
      <w:pPr>
        <w:rPr>
          <w:color w:val="000000" w:themeColor="text1"/>
        </w:rPr>
      </w:pPr>
    </w:p>
    <w:p w14:paraId="310B3151" w14:textId="77777777" w:rsidR="00C46587" w:rsidRPr="0058432E" w:rsidRDefault="00C46587" w:rsidP="00982118">
      <w:pPr>
        <w:rPr>
          <w:color w:val="000000" w:themeColor="text1"/>
        </w:rPr>
      </w:pPr>
    </w:p>
    <w:p w14:paraId="156FBBF5" w14:textId="77777777" w:rsidR="00C46587" w:rsidRPr="0058432E" w:rsidRDefault="00C46587" w:rsidP="00982118">
      <w:pPr>
        <w:rPr>
          <w:color w:val="000000" w:themeColor="text1"/>
        </w:rPr>
      </w:pPr>
    </w:p>
    <w:p w14:paraId="7A8A5D13" w14:textId="77777777" w:rsidR="00C46587" w:rsidRPr="0058432E" w:rsidRDefault="00C46587" w:rsidP="00982118">
      <w:pPr>
        <w:rPr>
          <w:color w:val="000000" w:themeColor="text1"/>
        </w:rPr>
      </w:pPr>
    </w:p>
    <w:p w14:paraId="29218F26" w14:textId="77777777" w:rsidR="00C46587" w:rsidRPr="0058432E" w:rsidRDefault="00C46587" w:rsidP="00982118">
      <w:pPr>
        <w:rPr>
          <w:color w:val="000000" w:themeColor="text1"/>
        </w:rPr>
      </w:pPr>
    </w:p>
    <w:p w14:paraId="1BECCF01" w14:textId="77777777" w:rsidR="002924C7" w:rsidRPr="0058432E" w:rsidRDefault="002924C7" w:rsidP="00982118">
      <w:pPr>
        <w:rPr>
          <w:color w:val="000000" w:themeColor="text1"/>
        </w:rPr>
      </w:pPr>
    </w:p>
    <w:p w14:paraId="077D785A" w14:textId="77777777" w:rsidR="00C46587" w:rsidRPr="0058432E" w:rsidRDefault="00C46587" w:rsidP="00982118">
      <w:pPr>
        <w:rPr>
          <w:color w:val="000000" w:themeColor="text1"/>
        </w:rPr>
      </w:pPr>
    </w:p>
    <w:p w14:paraId="737EDC79" w14:textId="77777777" w:rsidR="00C46587" w:rsidRPr="0058432E" w:rsidRDefault="00C46587" w:rsidP="00982118">
      <w:pPr>
        <w:rPr>
          <w:color w:val="000000" w:themeColor="text1"/>
        </w:rPr>
      </w:pPr>
    </w:p>
    <w:p w14:paraId="64DD0E9B" w14:textId="77777777" w:rsidR="00C46587" w:rsidRPr="0058432E" w:rsidRDefault="00C46587" w:rsidP="00982118">
      <w:pPr>
        <w:rPr>
          <w:color w:val="000000" w:themeColor="text1"/>
        </w:rPr>
      </w:pPr>
    </w:p>
    <w:p w14:paraId="0F864BDE" w14:textId="77777777" w:rsidR="00C46587" w:rsidRPr="0058432E" w:rsidRDefault="00C46587" w:rsidP="00C831C4">
      <w:pPr>
        <w:pStyle w:val="Heading1"/>
        <w:jc w:val="center"/>
        <w:rPr>
          <w:color w:val="000000" w:themeColor="text1"/>
        </w:rPr>
      </w:pPr>
      <w:r w:rsidRPr="0058432E">
        <w:rPr>
          <w:color w:val="000000" w:themeColor="text1"/>
        </w:rPr>
        <w:t>B. NOTICE</w:t>
      </w:r>
    </w:p>
    <w:p w14:paraId="2E194B48" w14:textId="77777777" w:rsidR="00B466EE" w:rsidRPr="0058432E" w:rsidRDefault="00B466EE" w:rsidP="004E705D">
      <w:pPr>
        <w:pStyle w:val="BodyText"/>
        <w:widowControl/>
        <w:kinsoku w:val="0"/>
        <w:overflowPunct w:val="0"/>
        <w:ind w:left="0"/>
        <w:jc w:val="center"/>
        <w:rPr>
          <w:color w:val="000000" w:themeColor="text1"/>
        </w:rPr>
      </w:pPr>
      <w:r w:rsidRPr="0058432E">
        <w:rPr>
          <w:color w:val="000000" w:themeColor="text1"/>
        </w:rPr>
        <w:br w:type="page"/>
      </w:r>
      <w:bookmarkStart w:id="13" w:name="_Hlk22721402"/>
      <w:r w:rsidRPr="0058432E">
        <w:rPr>
          <w:b/>
          <w:bCs/>
          <w:color w:val="000000" w:themeColor="text1"/>
        </w:rPr>
        <w:lastRenderedPageBreak/>
        <w:t>Notice : Information du patient</w:t>
      </w:r>
    </w:p>
    <w:p w14:paraId="1B69D583" w14:textId="77777777" w:rsidR="00B466EE" w:rsidRPr="0058432E" w:rsidRDefault="00B466EE" w:rsidP="004E705D">
      <w:pPr>
        <w:pStyle w:val="BodyText"/>
        <w:widowControl/>
        <w:kinsoku w:val="0"/>
        <w:overflowPunct w:val="0"/>
        <w:ind w:left="0"/>
        <w:rPr>
          <w:b/>
          <w:bCs/>
          <w:color w:val="000000" w:themeColor="text1"/>
        </w:rPr>
      </w:pPr>
    </w:p>
    <w:p w14:paraId="4630B996" w14:textId="77777777" w:rsidR="00B466EE" w:rsidRPr="0058432E" w:rsidRDefault="006A1144" w:rsidP="004E705D">
      <w:pPr>
        <w:pStyle w:val="BodyText"/>
        <w:widowControl/>
        <w:kinsoku w:val="0"/>
        <w:overflowPunct w:val="0"/>
        <w:spacing w:line="253" w:lineRule="exact"/>
        <w:ind w:left="0"/>
        <w:jc w:val="center"/>
        <w:rPr>
          <w:color w:val="000000" w:themeColor="text1"/>
        </w:rPr>
      </w:pPr>
      <w:r w:rsidRPr="0058432E">
        <w:rPr>
          <w:b/>
          <w:color w:val="000000" w:themeColor="text1"/>
        </w:rPr>
        <w:t>Amsparity</w:t>
      </w:r>
      <w:r w:rsidRPr="0058432E">
        <w:rPr>
          <w:b/>
          <w:bCs/>
          <w:color w:val="000000" w:themeColor="text1"/>
        </w:rPr>
        <w:t xml:space="preserve"> 20 mg, solution injectable en seringue préremplie</w:t>
      </w:r>
    </w:p>
    <w:p w14:paraId="564C95C5" w14:textId="77777777" w:rsidR="00B466EE" w:rsidRPr="0058432E" w:rsidRDefault="00E06B7D" w:rsidP="004E705D">
      <w:pPr>
        <w:pStyle w:val="BodyText"/>
        <w:widowControl/>
        <w:kinsoku w:val="0"/>
        <w:overflowPunct w:val="0"/>
        <w:spacing w:line="253" w:lineRule="exact"/>
        <w:ind w:left="0"/>
        <w:jc w:val="center"/>
        <w:rPr>
          <w:color w:val="000000" w:themeColor="text1"/>
        </w:rPr>
      </w:pPr>
      <w:r w:rsidRPr="0058432E">
        <w:rPr>
          <w:color w:val="000000" w:themeColor="text1"/>
        </w:rPr>
        <w:t>A</w:t>
      </w:r>
      <w:r w:rsidR="00F106C1" w:rsidRPr="0058432E">
        <w:rPr>
          <w:color w:val="000000" w:themeColor="text1"/>
        </w:rPr>
        <w:t>dalimumab</w:t>
      </w:r>
    </w:p>
    <w:p w14:paraId="531A7E15"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3A63CB76"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218153EC"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797D4758"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5626E72A"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2D7F1B30"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0042CD9E" w14:textId="77777777" w:rsidR="00E06B7D" w:rsidRPr="0058432E" w:rsidRDefault="00E06B7D" w:rsidP="004E705D">
      <w:pPr>
        <w:pStyle w:val="BodyText"/>
        <w:widowControl/>
        <w:kinsoku w:val="0"/>
        <w:overflowPunct w:val="0"/>
        <w:spacing w:line="253" w:lineRule="exact"/>
        <w:ind w:left="0"/>
        <w:jc w:val="center"/>
        <w:rPr>
          <w:color w:val="000000" w:themeColor="text1"/>
        </w:rPr>
      </w:pPr>
    </w:p>
    <w:p w14:paraId="1DD6DD53" w14:textId="369EDB2D" w:rsidR="00E06B7D" w:rsidRPr="0058432E" w:rsidRDefault="009D65D0" w:rsidP="004E705D">
      <w:pPr>
        <w:pStyle w:val="BodyText"/>
        <w:widowControl/>
        <w:kinsoku w:val="0"/>
        <w:overflowPunct w:val="0"/>
        <w:spacing w:line="253" w:lineRule="exact"/>
        <w:ind w:left="0"/>
        <w:jc w:val="center"/>
        <w:rPr>
          <w:color w:val="000000" w:themeColor="text1"/>
        </w:rPr>
      </w:pPr>
      <w:r w:rsidRPr="0058432E">
        <w:rPr>
          <w:noProof/>
          <w:color w:val="000000" w:themeColor="text1"/>
        </w:rPr>
        <w:drawing>
          <wp:anchor distT="0" distB="0" distL="114300" distR="114300" simplePos="0" relativeHeight="251708928" behindDoc="0" locked="0" layoutInCell="1" allowOverlap="1" wp14:anchorId="5EFD0F75" wp14:editId="7E199610">
            <wp:simplePos x="0" y="0"/>
            <wp:positionH relativeFrom="column">
              <wp:posOffset>863600</wp:posOffset>
            </wp:positionH>
            <wp:positionV relativeFrom="paragraph">
              <wp:posOffset>-1089025</wp:posOffset>
            </wp:positionV>
            <wp:extent cx="4036695" cy="1228090"/>
            <wp:effectExtent l="0" t="0" r="0" b="0"/>
            <wp:wrapNone/>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36695" cy="1228090"/>
                    </a:xfrm>
                    <a:prstGeom prst="rect">
                      <a:avLst/>
                    </a:prstGeom>
                    <a:noFill/>
                  </pic:spPr>
                </pic:pic>
              </a:graphicData>
            </a:graphic>
            <wp14:sizeRelH relativeFrom="page">
              <wp14:pctWidth>0</wp14:pctWidth>
            </wp14:sizeRelH>
            <wp14:sizeRelV relativeFrom="page">
              <wp14:pctHeight>0</wp14:pctHeight>
            </wp14:sizeRelV>
          </wp:anchor>
        </w:drawing>
      </w:r>
    </w:p>
    <w:p w14:paraId="56F57219" w14:textId="77777777" w:rsidR="00934A4A" w:rsidRPr="0058432E" w:rsidRDefault="00934A4A" w:rsidP="004E705D">
      <w:pPr>
        <w:pStyle w:val="BodyText"/>
        <w:widowControl/>
        <w:kinsoku w:val="0"/>
        <w:overflowPunct w:val="0"/>
        <w:spacing w:line="253" w:lineRule="exact"/>
        <w:ind w:left="0"/>
        <w:jc w:val="center"/>
        <w:rPr>
          <w:color w:val="000000" w:themeColor="text1"/>
        </w:rPr>
      </w:pPr>
    </w:p>
    <w:p w14:paraId="7314CD78" w14:textId="77777777" w:rsidR="00B466EE" w:rsidRPr="0058432E" w:rsidRDefault="00B466EE" w:rsidP="004E705D">
      <w:pPr>
        <w:pStyle w:val="BodyText"/>
        <w:widowControl/>
        <w:kinsoku w:val="0"/>
        <w:overflowPunct w:val="0"/>
        <w:ind w:left="0"/>
        <w:rPr>
          <w:color w:val="000000" w:themeColor="text1"/>
        </w:rPr>
      </w:pPr>
    </w:p>
    <w:p w14:paraId="001B6C8F"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Veuillez lire attentivement cette notice avant que votre enfant</w:t>
      </w:r>
      <w:r w:rsidR="004E5EC8" w:rsidRPr="0058432E">
        <w:rPr>
          <w:b/>
          <w:bCs/>
          <w:color w:val="000000" w:themeColor="text1"/>
        </w:rPr>
        <w:t xml:space="preserve"> </w:t>
      </w:r>
      <w:r w:rsidR="002469CB" w:rsidRPr="0058432E">
        <w:rPr>
          <w:b/>
          <w:bCs/>
          <w:color w:val="000000" w:themeColor="text1"/>
        </w:rPr>
        <w:t>n’utilise</w:t>
      </w:r>
      <w:r w:rsidRPr="0058432E">
        <w:rPr>
          <w:b/>
          <w:bCs/>
          <w:color w:val="000000" w:themeColor="text1"/>
        </w:rPr>
        <w:t xml:space="preserve"> ce médicament car elle contient des informations importantes.</w:t>
      </w:r>
    </w:p>
    <w:p w14:paraId="37205615" w14:textId="77777777" w:rsidR="00B466EE" w:rsidRPr="0058432E"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58432E">
        <w:rPr>
          <w:color w:val="000000" w:themeColor="text1"/>
        </w:rPr>
        <w:t>Gardez cette notice. Vous pourriez avoir besoin de la relire.</w:t>
      </w:r>
    </w:p>
    <w:p w14:paraId="6E933CF1" w14:textId="77777777" w:rsidR="00B466EE" w:rsidRPr="0058432E"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58432E">
        <w:rPr>
          <w:color w:val="000000" w:themeColor="text1"/>
        </w:rPr>
        <w:t xml:space="preserve">Le médecin de votre enfant vous remettra </w:t>
      </w:r>
      <w:r w:rsidR="008E3739" w:rsidRPr="0058432E">
        <w:rPr>
          <w:color w:val="000000" w:themeColor="text1"/>
        </w:rPr>
        <w:t xml:space="preserve">également </w:t>
      </w:r>
      <w:r w:rsidRPr="0058432E">
        <w:rPr>
          <w:color w:val="000000" w:themeColor="text1"/>
        </w:rPr>
        <w:t xml:space="preserve">une carte de </w:t>
      </w:r>
      <w:r w:rsidR="0045425F" w:rsidRPr="0058432E">
        <w:rPr>
          <w:color w:val="000000" w:themeColor="text1"/>
        </w:rPr>
        <w:t xml:space="preserve">rappel patient </w:t>
      </w:r>
      <w:r w:rsidRPr="0058432E">
        <w:rPr>
          <w:color w:val="000000" w:themeColor="text1"/>
        </w:rPr>
        <w:t xml:space="preserve">qui comporte d’importantes informations sur la </w:t>
      </w:r>
      <w:r w:rsidR="004E5EC8" w:rsidRPr="0058432E">
        <w:rPr>
          <w:color w:val="000000" w:themeColor="text1"/>
        </w:rPr>
        <w:t>tolérance</w:t>
      </w:r>
      <w:r w:rsidR="00CA435B" w:rsidRPr="0058432E">
        <w:rPr>
          <w:color w:val="000000" w:themeColor="text1"/>
        </w:rPr>
        <w:t xml:space="preserve"> </w:t>
      </w:r>
      <w:r w:rsidRPr="0058432E">
        <w:rPr>
          <w:color w:val="000000" w:themeColor="text1"/>
        </w:rPr>
        <w:t xml:space="preserve">que vous devez connaître avant que l’on administre Amsparity à votre enfant et pendant le traitement. Vous ou votre enfant devez conserver cette </w:t>
      </w:r>
      <w:r w:rsidR="0045425F" w:rsidRPr="0058432E">
        <w:rPr>
          <w:color w:val="000000" w:themeColor="text1"/>
        </w:rPr>
        <w:t>carte de rappel patient</w:t>
      </w:r>
      <w:r w:rsidRPr="0058432E">
        <w:rPr>
          <w:color w:val="000000" w:themeColor="text1"/>
        </w:rPr>
        <w:t>.</w:t>
      </w:r>
    </w:p>
    <w:p w14:paraId="2195E58F" w14:textId="77777777" w:rsidR="00B466EE" w:rsidRPr="0058432E"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58432E">
        <w:rPr>
          <w:color w:val="000000" w:themeColor="text1"/>
        </w:rPr>
        <w:t xml:space="preserve">Si vous avez d’autres questions, interrogez le médecin </w:t>
      </w:r>
      <w:r w:rsidR="002A5A6F" w:rsidRPr="0058432E">
        <w:rPr>
          <w:color w:val="000000" w:themeColor="text1"/>
        </w:rPr>
        <w:t xml:space="preserve">de votre enfant </w:t>
      </w:r>
      <w:r w:rsidRPr="0058432E">
        <w:rPr>
          <w:color w:val="000000" w:themeColor="text1"/>
        </w:rPr>
        <w:t>ou le pharmacien.</w:t>
      </w:r>
    </w:p>
    <w:p w14:paraId="0E946A1B" w14:textId="77777777" w:rsidR="00B466EE" w:rsidRPr="0058432E"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58432E">
        <w:rPr>
          <w:color w:val="000000" w:themeColor="text1"/>
        </w:rPr>
        <w:t xml:space="preserve">Ce médicament a été prescrit </w:t>
      </w:r>
      <w:r w:rsidR="002A5A6F" w:rsidRPr="0058432E">
        <w:rPr>
          <w:color w:val="000000" w:themeColor="text1"/>
        </w:rPr>
        <w:t xml:space="preserve">uniquement </w:t>
      </w:r>
      <w:r w:rsidRPr="0058432E">
        <w:rPr>
          <w:color w:val="000000" w:themeColor="text1"/>
        </w:rPr>
        <w:t>à votre enfant. Ne le donnez pas à d’autres personnes. Il pourrait leur être nocif, même si les signes de leur maladie sont identiques à ceux de votre enfant.</w:t>
      </w:r>
    </w:p>
    <w:p w14:paraId="6EB74866" w14:textId="77777777" w:rsidR="00B466EE" w:rsidRPr="0058432E" w:rsidRDefault="00B466EE" w:rsidP="007431C8">
      <w:pPr>
        <w:pStyle w:val="BodyText"/>
        <w:widowControl/>
        <w:numPr>
          <w:ilvl w:val="0"/>
          <w:numId w:val="25"/>
        </w:numPr>
        <w:kinsoku w:val="0"/>
        <w:overflowPunct w:val="0"/>
        <w:autoSpaceDE w:val="0"/>
        <w:autoSpaceDN w:val="0"/>
        <w:adjustRightInd w:val="0"/>
        <w:ind w:left="562" w:hanging="562"/>
        <w:rPr>
          <w:color w:val="000000" w:themeColor="text1"/>
        </w:rPr>
      </w:pPr>
      <w:r w:rsidRPr="0058432E">
        <w:rPr>
          <w:color w:val="000000" w:themeColor="text1"/>
        </w:rPr>
        <w:t>Si votre enfant ressent un quelconque effet indésirable, parlez-en au médecin</w:t>
      </w:r>
      <w:r w:rsidR="002A5A6F" w:rsidRPr="0058432E">
        <w:rPr>
          <w:color w:val="000000" w:themeColor="text1"/>
        </w:rPr>
        <w:t xml:space="preserve"> de votre enfant</w:t>
      </w:r>
      <w:r w:rsidRPr="0058432E">
        <w:rPr>
          <w:color w:val="000000" w:themeColor="text1"/>
        </w:rPr>
        <w:t xml:space="preserve"> ou au pharmacien. Ceci s’applique aussi à tout effet indésirable qui ne serait pas mentionné dans cette notice. Voir rubrique 4.</w:t>
      </w:r>
    </w:p>
    <w:p w14:paraId="086172E9" w14:textId="77777777" w:rsidR="00B466EE" w:rsidRPr="0058432E" w:rsidRDefault="00B466EE" w:rsidP="004E705D">
      <w:pPr>
        <w:pStyle w:val="BodyText"/>
        <w:widowControl/>
        <w:kinsoku w:val="0"/>
        <w:overflowPunct w:val="0"/>
        <w:ind w:left="0"/>
        <w:rPr>
          <w:color w:val="000000" w:themeColor="text1"/>
        </w:rPr>
      </w:pPr>
    </w:p>
    <w:p w14:paraId="1D81FFE1"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Que contient cette notice ?</w:t>
      </w:r>
    </w:p>
    <w:p w14:paraId="1F422D29" w14:textId="77777777" w:rsidR="00B466EE" w:rsidRPr="0058432E"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58432E">
        <w:rPr>
          <w:color w:val="000000" w:themeColor="text1"/>
        </w:rPr>
        <w:t>Qu’est-ce qu’Amsparity et dans quels cas est-il utilisé</w:t>
      </w:r>
    </w:p>
    <w:p w14:paraId="48CB503E" w14:textId="77777777" w:rsidR="00B466EE" w:rsidRPr="0058432E" w:rsidRDefault="00B466EE" w:rsidP="004E705D">
      <w:pPr>
        <w:pStyle w:val="BodyText"/>
        <w:widowControl/>
        <w:numPr>
          <w:ilvl w:val="0"/>
          <w:numId w:val="56"/>
        </w:numPr>
        <w:kinsoku w:val="0"/>
        <w:overflowPunct w:val="0"/>
        <w:autoSpaceDE w:val="0"/>
        <w:autoSpaceDN w:val="0"/>
        <w:adjustRightInd w:val="0"/>
        <w:spacing w:line="253" w:lineRule="exact"/>
        <w:ind w:left="562" w:hanging="562"/>
        <w:rPr>
          <w:color w:val="000000" w:themeColor="text1"/>
        </w:rPr>
      </w:pPr>
      <w:r w:rsidRPr="0058432E">
        <w:rPr>
          <w:color w:val="000000" w:themeColor="text1"/>
        </w:rPr>
        <w:t>Quelles sont les informations à connaître avant que votre enfant n’utilise Amsparity</w:t>
      </w:r>
    </w:p>
    <w:p w14:paraId="3AD225E7" w14:textId="77777777" w:rsidR="00B466EE" w:rsidRPr="0058432E"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58432E">
        <w:rPr>
          <w:color w:val="000000" w:themeColor="text1"/>
        </w:rPr>
        <w:t>Comment utiliser Amsparity</w:t>
      </w:r>
    </w:p>
    <w:p w14:paraId="2B04DE6B" w14:textId="77777777" w:rsidR="00B466EE" w:rsidRPr="0058432E" w:rsidRDefault="00B466EE" w:rsidP="004E705D">
      <w:pPr>
        <w:pStyle w:val="BodyText"/>
        <w:widowControl/>
        <w:numPr>
          <w:ilvl w:val="0"/>
          <w:numId w:val="56"/>
        </w:numPr>
        <w:kinsoku w:val="0"/>
        <w:overflowPunct w:val="0"/>
        <w:autoSpaceDE w:val="0"/>
        <w:autoSpaceDN w:val="0"/>
        <w:adjustRightInd w:val="0"/>
        <w:ind w:left="562" w:hanging="562"/>
        <w:rPr>
          <w:color w:val="000000" w:themeColor="text1"/>
        </w:rPr>
      </w:pPr>
      <w:r w:rsidRPr="0058432E">
        <w:rPr>
          <w:color w:val="000000" w:themeColor="text1"/>
        </w:rPr>
        <w:t>Quels sont les effets indésirables éventuels ?</w:t>
      </w:r>
    </w:p>
    <w:p w14:paraId="74D57DFE" w14:textId="77777777" w:rsidR="00B466EE" w:rsidRPr="0058432E" w:rsidRDefault="00B466EE" w:rsidP="004E705D">
      <w:pPr>
        <w:pStyle w:val="BodyText"/>
        <w:widowControl/>
        <w:numPr>
          <w:ilvl w:val="0"/>
          <w:numId w:val="56"/>
        </w:numPr>
        <w:kinsoku w:val="0"/>
        <w:overflowPunct w:val="0"/>
        <w:ind w:left="562" w:hanging="562"/>
        <w:rPr>
          <w:color w:val="000000" w:themeColor="text1"/>
        </w:rPr>
      </w:pPr>
      <w:r w:rsidRPr="0058432E">
        <w:rPr>
          <w:color w:val="000000" w:themeColor="text1"/>
        </w:rPr>
        <w:t>Comment conserver Amsparity</w:t>
      </w:r>
    </w:p>
    <w:p w14:paraId="3D4F7248" w14:textId="77777777" w:rsidR="00B466EE" w:rsidRPr="0058432E" w:rsidRDefault="00B466EE" w:rsidP="004E705D">
      <w:pPr>
        <w:pStyle w:val="BodyText"/>
        <w:widowControl/>
        <w:numPr>
          <w:ilvl w:val="0"/>
          <w:numId w:val="23"/>
        </w:numPr>
        <w:kinsoku w:val="0"/>
        <w:overflowPunct w:val="0"/>
        <w:autoSpaceDE w:val="0"/>
        <w:autoSpaceDN w:val="0"/>
        <w:adjustRightInd w:val="0"/>
        <w:ind w:left="562" w:hanging="562"/>
        <w:rPr>
          <w:color w:val="000000" w:themeColor="text1"/>
        </w:rPr>
      </w:pPr>
      <w:r w:rsidRPr="0058432E">
        <w:rPr>
          <w:color w:val="000000" w:themeColor="text1"/>
        </w:rPr>
        <w:t>Contenu de l’emballage et autres informations</w:t>
      </w:r>
    </w:p>
    <w:p w14:paraId="2BE01B7C" w14:textId="77777777" w:rsidR="00B466EE" w:rsidRPr="0058432E" w:rsidRDefault="00B466EE" w:rsidP="004E705D">
      <w:pPr>
        <w:pStyle w:val="BodyText"/>
        <w:widowControl/>
        <w:kinsoku w:val="0"/>
        <w:overflowPunct w:val="0"/>
        <w:ind w:left="0"/>
        <w:rPr>
          <w:color w:val="000000" w:themeColor="text1"/>
        </w:rPr>
      </w:pPr>
    </w:p>
    <w:p w14:paraId="4F8B2A07" w14:textId="77777777" w:rsidR="00B466EE" w:rsidRPr="0058432E" w:rsidRDefault="00B466EE" w:rsidP="004E705D">
      <w:pPr>
        <w:pStyle w:val="BodyText"/>
        <w:widowControl/>
        <w:kinsoku w:val="0"/>
        <w:overflowPunct w:val="0"/>
        <w:ind w:left="0"/>
        <w:rPr>
          <w:color w:val="000000" w:themeColor="text1"/>
        </w:rPr>
      </w:pPr>
    </w:p>
    <w:p w14:paraId="28D84169" w14:textId="77777777" w:rsidR="00B466EE" w:rsidRPr="0058432E" w:rsidRDefault="004E705D" w:rsidP="00B93DAC">
      <w:pPr>
        <w:pStyle w:val="BodyText"/>
        <w:widowControl/>
        <w:kinsoku w:val="0"/>
        <w:overflowPunct w:val="0"/>
        <w:ind w:left="0"/>
        <w:rPr>
          <w:b/>
          <w:bCs/>
          <w:color w:val="000000" w:themeColor="text1"/>
        </w:rPr>
      </w:pPr>
      <w:r w:rsidRPr="0058432E">
        <w:rPr>
          <w:b/>
          <w:bCs/>
          <w:color w:val="000000" w:themeColor="text1"/>
        </w:rPr>
        <w:t>1.</w:t>
      </w:r>
      <w:r w:rsidRPr="0058432E">
        <w:rPr>
          <w:b/>
          <w:bCs/>
          <w:color w:val="000000" w:themeColor="text1"/>
        </w:rPr>
        <w:tab/>
        <w:t>Qu’est-ce qu’Amsparity et dans quels cas est-il utilisé</w:t>
      </w:r>
      <w:r w:rsidR="004B2108" w:rsidRPr="0058432E">
        <w:rPr>
          <w:b/>
          <w:bCs/>
          <w:color w:val="000000" w:themeColor="text1"/>
        </w:rPr>
        <w:t> </w:t>
      </w:r>
    </w:p>
    <w:p w14:paraId="0B521E15" w14:textId="77777777" w:rsidR="00B466EE" w:rsidRPr="0058432E" w:rsidRDefault="00B466EE" w:rsidP="004E705D">
      <w:pPr>
        <w:pStyle w:val="BodyText"/>
        <w:widowControl/>
        <w:kinsoku w:val="0"/>
        <w:overflowPunct w:val="0"/>
        <w:ind w:left="0"/>
        <w:rPr>
          <w:bCs/>
          <w:color w:val="000000" w:themeColor="text1"/>
          <w:szCs w:val="21"/>
        </w:rPr>
      </w:pPr>
    </w:p>
    <w:p w14:paraId="6858C34C" w14:textId="77777777" w:rsidR="00B466EE" w:rsidRPr="0058432E" w:rsidRDefault="006A1144" w:rsidP="004E705D">
      <w:pPr>
        <w:pStyle w:val="BodyText"/>
        <w:widowControl/>
        <w:kinsoku w:val="0"/>
        <w:overflowPunct w:val="0"/>
        <w:ind w:left="0"/>
        <w:rPr>
          <w:color w:val="000000" w:themeColor="text1"/>
          <w:szCs w:val="21"/>
        </w:rPr>
      </w:pPr>
      <w:r w:rsidRPr="0058432E">
        <w:rPr>
          <w:color w:val="000000" w:themeColor="text1"/>
        </w:rPr>
        <w:t>Amsparity contient la substance active adalimumab</w:t>
      </w:r>
      <w:bookmarkStart w:id="14" w:name="_Hlk23932448"/>
      <w:r w:rsidRPr="0058432E">
        <w:rPr>
          <w:color w:val="000000" w:themeColor="text1"/>
        </w:rPr>
        <w:t xml:space="preserve">, </w:t>
      </w:r>
      <w:r w:rsidR="006A6449" w:rsidRPr="0058432E">
        <w:rPr>
          <w:color w:val="000000" w:themeColor="text1"/>
        </w:rPr>
        <w:t>un médicament qui agit sur le système immunitaire (défense) de votre enfant</w:t>
      </w:r>
      <w:r w:rsidR="00705BA3" w:rsidRPr="0058432E">
        <w:rPr>
          <w:color w:val="000000" w:themeColor="text1"/>
        </w:rPr>
        <w:t>.</w:t>
      </w:r>
      <w:r w:rsidR="006A6449" w:rsidRPr="0058432E" w:rsidDel="006A6449">
        <w:rPr>
          <w:color w:val="000000" w:themeColor="text1"/>
        </w:rPr>
        <w:t xml:space="preserve"> </w:t>
      </w:r>
      <w:bookmarkEnd w:id="14"/>
    </w:p>
    <w:p w14:paraId="3049393D" w14:textId="77777777" w:rsidR="00B466EE" w:rsidRPr="0058432E" w:rsidRDefault="006A1144" w:rsidP="004E705D">
      <w:pPr>
        <w:pStyle w:val="BodyText"/>
        <w:widowControl/>
        <w:kinsoku w:val="0"/>
        <w:overflowPunct w:val="0"/>
        <w:ind w:left="0"/>
        <w:rPr>
          <w:color w:val="000000" w:themeColor="text1"/>
        </w:rPr>
      </w:pPr>
      <w:r w:rsidRPr="0058432E">
        <w:rPr>
          <w:color w:val="000000" w:themeColor="text1"/>
        </w:rPr>
        <w:t>Amsparity est destiné au traitement des maladies inflammatoires décrites ci-dessous :</w:t>
      </w:r>
    </w:p>
    <w:p w14:paraId="0425B1F4" w14:textId="77777777" w:rsidR="00B466EE" w:rsidRPr="0058432E"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proofErr w:type="gramStart"/>
      <w:r w:rsidRPr="0058432E">
        <w:rPr>
          <w:color w:val="000000" w:themeColor="text1"/>
        </w:rPr>
        <w:t>arthrite</w:t>
      </w:r>
      <w:proofErr w:type="gramEnd"/>
      <w:r w:rsidRPr="0058432E">
        <w:rPr>
          <w:color w:val="000000" w:themeColor="text1"/>
        </w:rPr>
        <w:t xml:space="preserve"> juvénile idiopathique polyarticulaire</w:t>
      </w:r>
    </w:p>
    <w:p w14:paraId="35289A7C" w14:textId="77777777" w:rsidR="00B466EE" w:rsidRPr="0058432E" w:rsidRDefault="00461BCB"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proofErr w:type="gramStart"/>
      <w:r w:rsidRPr="0058432E">
        <w:rPr>
          <w:color w:val="000000" w:themeColor="text1"/>
        </w:rPr>
        <w:t>arthrite</w:t>
      </w:r>
      <w:proofErr w:type="gramEnd"/>
      <w:r w:rsidRPr="0058432E">
        <w:rPr>
          <w:color w:val="000000" w:themeColor="text1"/>
        </w:rPr>
        <w:t xml:space="preserve"> liée à l’enthésite chez l’enfant et l’adolescent</w:t>
      </w:r>
    </w:p>
    <w:p w14:paraId="71BB4D67" w14:textId="77777777" w:rsidR="00B466EE" w:rsidRPr="0058432E"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proofErr w:type="gramStart"/>
      <w:r w:rsidRPr="0058432E">
        <w:rPr>
          <w:color w:val="000000" w:themeColor="text1"/>
        </w:rPr>
        <w:t>psoriasis</w:t>
      </w:r>
      <w:proofErr w:type="gramEnd"/>
      <w:r w:rsidRPr="0058432E">
        <w:rPr>
          <w:color w:val="000000" w:themeColor="text1"/>
        </w:rPr>
        <w:t xml:space="preserve"> en plaques chez l’enfant et l’adolescent</w:t>
      </w:r>
    </w:p>
    <w:p w14:paraId="399557C3" w14:textId="77777777" w:rsidR="00B466EE" w:rsidRPr="0058432E"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proofErr w:type="gramStart"/>
      <w:r w:rsidRPr="0058432E">
        <w:rPr>
          <w:color w:val="000000" w:themeColor="text1"/>
        </w:rPr>
        <w:t>maladie</w:t>
      </w:r>
      <w:proofErr w:type="gramEnd"/>
      <w:r w:rsidRPr="0058432E">
        <w:rPr>
          <w:color w:val="000000" w:themeColor="text1"/>
        </w:rPr>
        <w:t xml:space="preserve"> de Crohn chez l’enfant et l’adolescent</w:t>
      </w:r>
    </w:p>
    <w:p w14:paraId="3154AAAF" w14:textId="77777777" w:rsidR="00B466EE" w:rsidRPr="0058432E" w:rsidRDefault="007224D7" w:rsidP="004E705D">
      <w:pPr>
        <w:pStyle w:val="BodyText"/>
        <w:widowControl/>
        <w:numPr>
          <w:ilvl w:val="1"/>
          <w:numId w:val="22"/>
        </w:numPr>
        <w:kinsoku w:val="0"/>
        <w:overflowPunct w:val="0"/>
        <w:autoSpaceDE w:val="0"/>
        <w:autoSpaceDN w:val="0"/>
        <w:adjustRightInd w:val="0"/>
        <w:spacing w:line="269" w:lineRule="exact"/>
        <w:ind w:left="0" w:firstLine="0"/>
        <w:rPr>
          <w:color w:val="000000" w:themeColor="text1"/>
        </w:rPr>
      </w:pPr>
      <w:proofErr w:type="gramStart"/>
      <w:r w:rsidRPr="0058432E">
        <w:rPr>
          <w:color w:val="000000" w:themeColor="text1"/>
        </w:rPr>
        <w:t>uvéite</w:t>
      </w:r>
      <w:proofErr w:type="gramEnd"/>
      <w:r w:rsidRPr="0058432E">
        <w:rPr>
          <w:color w:val="000000" w:themeColor="text1"/>
        </w:rPr>
        <w:t xml:space="preserve"> chez l’enfant et l’adolescent</w:t>
      </w:r>
    </w:p>
    <w:p w14:paraId="1824C30F" w14:textId="77777777" w:rsidR="00B466EE" w:rsidRPr="0058432E" w:rsidRDefault="00B466EE" w:rsidP="004E705D">
      <w:pPr>
        <w:pStyle w:val="BodyText"/>
        <w:widowControl/>
        <w:kinsoku w:val="0"/>
        <w:overflowPunct w:val="0"/>
        <w:ind w:left="0"/>
        <w:rPr>
          <w:color w:val="000000" w:themeColor="text1"/>
          <w:szCs w:val="21"/>
        </w:rPr>
      </w:pPr>
    </w:p>
    <w:p w14:paraId="555BD4DD"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Le principe actif dans Amsparity, l’adalimumab, est un anticorps monoclonal. Les anticorps monoclonaux sont des protéines qui se lient à une cible spécifique dans l’organisme.</w:t>
      </w:r>
    </w:p>
    <w:p w14:paraId="3F0207E3" w14:textId="77777777" w:rsidR="00B466EE" w:rsidRPr="0058432E" w:rsidRDefault="00B466EE" w:rsidP="004E705D">
      <w:pPr>
        <w:pStyle w:val="BodyText"/>
        <w:widowControl/>
        <w:kinsoku w:val="0"/>
        <w:overflowPunct w:val="0"/>
        <w:ind w:left="0"/>
        <w:rPr>
          <w:color w:val="000000" w:themeColor="text1"/>
          <w:szCs w:val="21"/>
        </w:rPr>
      </w:pPr>
    </w:p>
    <w:p w14:paraId="4BF574FE"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 xml:space="preserve">La cible de l’adalimumab est une autre protéine appelée facteur de nécrose tumorale (TNFα) qui est impliquée dans le système immunitaire (défense) et est présente à des taux augmentés dans les maladies inflammatoires mentionnées ci-dessus. En se liant au TNFα, Amsparity </w:t>
      </w:r>
      <w:r w:rsidR="004B2108" w:rsidRPr="0058432E">
        <w:rPr>
          <w:color w:val="000000" w:themeColor="text1"/>
        </w:rPr>
        <w:t xml:space="preserve">bloque cette action et </w:t>
      </w:r>
      <w:r w:rsidRPr="0058432E">
        <w:rPr>
          <w:color w:val="000000" w:themeColor="text1"/>
        </w:rPr>
        <w:t>diminue le processus inflammatoire dans ces maladies.</w:t>
      </w:r>
    </w:p>
    <w:p w14:paraId="229612D6" w14:textId="77777777" w:rsidR="00351BAA" w:rsidRPr="0058432E" w:rsidRDefault="00351BAA" w:rsidP="004E705D">
      <w:pPr>
        <w:pStyle w:val="BodyText"/>
        <w:widowControl/>
        <w:kinsoku w:val="0"/>
        <w:overflowPunct w:val="0"/>
        <w:ind w:left="0"/>
        <w:rPr>
          <w:color w:val="000000" w:themeColor="text1"/>
        </w:rPr>
      </w:pPr>
    </w:p>
    <w:p w14:paraId="725D580F" w14:textId="77777777" w:rsidR="00B466EE" w:rsidRPr="0058432E" w:rsidRDefault="00B466EE" w:rsidP="004E705D">
      <w:pPr>
        <w:pStyle w:val="BodyText"/>
        <w:keepNext/>
        <w:widowControl/>
        <w:kinsoku w:val="0"/>
        <w:overflowPunct w:val="0"/>
        <w:ind w:left="0"/>
        <w:rPr>
          <w:color w:val="000000" w:themeColor="text1"/>
        </w:rPr>
      </w:pPr>
      <w:r w:rsidRPr="0058432E">
        <w:rPr>
          <w:color w:val="000000" w:themeColor="text1"/>
          <w:u w:val="single"/>
        </w:rPr>
        <w:t xml:space="preserve">Arthrite juvénile idiopathique polyarticulaire </w:t>
      </w:r>
    </w:p>
    <w:p w14:paraId="020819C2" w14:textId="77777777" w:rsidR="00FC32E1" w:rsidRPr="0058432E" w:rsidRDefault="00FC32E1" w:rsidP="004E705D">
      <w:pPr>
        <w:pStyle w:val="BodyText"/>
        <w:widowControl/>
        <w:kinsoku w:val="0"/>
        <w:overflowPunct w:val="0"/>
        <w:ind w:left="0"/>
        <w:rPr>
          <w:color w:val="000000" w:themeColor="text1"/>
        </w:rPr>
      </w:pPr>
    </w:p>
    <w:p w14:paraId="0BD0E6F2"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 xml:space="preserve">L’arthrite juvénile idiopathique polyarticulaire </w:t>
      </w:r>
      <w:r w:rsidR="006A6449" w:rsidRPr="0058432E">
        <w:rPr>
          <w:color w:val="000000" w:themeColor="text1"/>
        </w:rPr>
        <w:t>est une</w:t>
      </w:r>
      <w:r w:rsidRPr="0058432E">
        <w:rPr>
          <w:color w:val="000000" w:themeColor="text1"/>
        </w:rPr>
        <w:t xml:space="preserve"> maladie inflammatoire des articulations qui </w:t>
      </w:r>
      <w:r w:rsidR="006A6449" w:rsidRPr="0058432E">
        <w:rPr>
          <w:color w:val="000000" w:themeColor="text1"/>
        </w:rPr>
        <w:t>apparaît</w:t>
      </w:r>
      <w:r w:rsidRPr="0058432E">
        <w:rPr>
          <w:color w:val="000000" w:themeColor="text1"/>
        </w:rPr>
        <w:t xml:space="preserve"> habituellement d’abord dans l’enfance.</w:t>
      </w:r>
    </w:p>
    <w:p w14:paraId="68387F9F" w14:textId="77777777" w:rsidR="00B466EE" w:rsidRPr="0058432E" w:rsidRDefault="00B466EE" w:rsidP="004E705D">
      <w:pPr>
        <w:pStyle w:val="BodyText"/>
        <w:widowControl/>
        <w:kinsoku w:val="0"/>
        <w:overflowPunct w:val="0"/>
        <w:ind w:left="0"/>
        <w:rPr>
          <w:color w:val="000000" w:themeColor="text1"/>
        </w:rPr>
      </w:pPr>
    </w:p>
    <w:p w14:paraId="5A84DFF3" w14:textId="77777777" w:rsidR="00B466EE" w:rsidRPr="0058432E" w:rsidRDefault="006A1144" w:rsidP="004E705D">
      <w:pPr>
        <w:pStyle w:val="BodyText"/>
        <w:widowControl/>
        <w:kinsoku w:val="0"/>
        <w:overflowPunct w:val="0"/>
        <w:ind w:left="0"/>
        <w:rPr>
          <w:color w:val="000000" w:themeColor="text1"/>
        </w:rPr>
      </w:pPr>
      <w:r w:rsidRPr="0058432E">
        <w:rPr>
          <w:color w:val="000000" w:themeColor="text1"/>
        </w:rPr>
        <w:t>Amsparity est utilisé pour traiter l’arthrite juvénile idiopathique polyarticulaire chez l</w:t>
      </w:r>
      <w:r w:rsidR="00345C0F" w:rsidRPr="0058432E">
        <w:rPr>
          <w:color w:val="000000" w:themeColor="text1"/>
        </w:rPr>
        <w:t xml:space="preserve">es </w:t>
      </w:r>
      <w:r w:rsidRPr="0058432E">
        <w:rPr>
          <w:color w:val="000000" w:themeColor="text1"/>
        </w:rPr>
        <w:t>enfant</w:t>
      </w:r>
      <w:r w:rsidR="00345C0F" w:rsidRPr="0058432E">
        <w:rPr>
          <w:color w:val="000000" w:themeColor="text1"/>
        </w:rPr>
        <w:t>s</w:t>
      </w:r>
      <w:r w:rsidRPr="0058432E">
        <w:rPr>
          <w:color w:val="000000" w:themeColor="text1"/>
        </w:rPr>
        <w:t xml:space="preserve"> </w:t>
      </w:r>
      <w:r w:rsidR="007E45BE" w:rsidRPr="0058432E">
        <w:rPr>
          <w:color w:val="000000" w:themeColor="text1"/>
        </w:rPr>
        <w:t>et l</w:t>
      </w:r>
      <w:r w:rsidR="00345C0F" w:rsidRPr="0058432E">
        <w:rPr>
          <w:color w:val="000000" w:themeColor="text1"/>
        </w:rPr>
        <w:t xml:space="preserve">es </w:t>
      </w:r>
      <w:r w:rsidR="007E45BE" w:rsidRPr="0058432E">
        <w:rPr>
          <w:color w:val="000000" w:themeColor="text1"/>
        </w:rPr>
        <w:t>adolescent</w:t>
      </w:r>
      <w:r w:rsidR="00345C0F" w:rsidRPr="0058432E">
        <w:rPr>
          <w:color w:val="000000" w:themeColor="text1"/>
        </w:rPr>
        <w:t>s</w:t>
      </w:r>
      <w:r w:rsidR="007E45BE" w:rsidRPr="0058432E">
        <w:rPr>
          <w:color w:val="000000" w:themeColor="text1"/>
        </w:rPr>
        <w:t xml:space="preserve"> </w:t>
      </w:r>
      <w:r w:rsidR="00705BA3" w:rsidRPr="0058432E">
        <w:rPr>
          <w:color w:val="000000" w:themeColor="text1"/>
        </w:rPr>
        <w:t xml:space="preserve">âgés </w:t>
      </w:r>
      <w:r w:rsidRPr="0058432E">
        <w:rPr>
          <w:color w:val="000000" w:themeColor="text1"/>
        </w:rPr>
        <w:t xml:space="preserve">de 2 à 17 ans. Votre enfant peut d’abord recevoir d’autres traitements de fond tels que du méthotrexate. Si ces </w:t>
      </w:r>
      <w:r w:rsidR="003B1D2A" w:rsidRPr="0058432E">
        <w:rPr>
          <w:color w:val="000000" w:themeColor="text1"/>
        </w:rPr>
        <w:t xml:space="preserve">médicaments </w:t>
      </w:r>
      <w:r w:rsidRPr="0058432E">
        <w:rPr>
          <w:color w:val="000000" w:themeColor="text1"/>
        </w:rPr>
        <w:t xml:space="preserve">ne fonctionnent pas </w:t>
      </w:r>
      <w:r w:rsidR="009C02FF" w:rsidRPr="0058432E">
        <w:rPr>
          <w:color w:val="000000" w:themeColor="text1"/>
        </w:rPr>
        <w:t xml:space="preserve">assez </w:t>
      </w:r>
      <w:r w:rsidRPr="0058432E">
        <w:rPr>
          <w:color w:val="000000" w:themeColor="text1"/>
        </w:rPr>
        <w:t>bien, votre enfant peut recevoir Amsparity pour traiter son arthrite juvénile idiopathique polyarticulaire.</w:t>
      </w:r>
    </w:p>
    <w:p w14:paraId="36905F18" w14:textId="77777777" w:rsidR="007E45BE" w:rsidRPr="0058432E" w:rsidRDefault="007E45BE" w:rsidP="004E705D">
      <w:pPr>
        <w:pStyle w:val="BodyText"/>
        <w:widowControl/>
        <w:kinsoku w:val="0"/>
        <w:overflowPunct w:val="0"/>
        <w:ind w:left="0"/>
        <w:rPr>
          <w:color w:val="000000" w:themeColor="text1"/>
        </w:rPr>
      </w:pPr>
    </w:p>
    <w:p w14:paraId="5B9CF22F" w14:textId="77777777" w:rsidR="00B466EE" w:rsidRPr="0058432E" w:rsidRDefault="007E45BE" w:rsidP="004E705D">
      <w:pPr>
        <w:pStyle w:val="BodyText"/>
        <w:widowControl/>
        <w:kinsoku w:val="0"/>
        <w:overflowPunct w:val="0"/>
        <w:ind w:left="0"/>
        <w:rPr>
          <w:color w:val="000000" w:themeColor="text1"/>
          <w:u w:val="single"/>
        </w:rPr>
      </w:pPr>
      <w:r w:rsidRPr="0058432E">
        <w:rPr>
          <w:color w:val="000000" w:themeColor="text1"/>
          <w:u w:val="single"/>
        </w:rPr>
        <w:t xml:space="preserve">Arthrite liée à l'enthésite </w:t>
      </w:r>
      <w:r w:rsidR="00705BA3" w:rsidRPr="0058432E">
        <w:rPr>
          <w:color w:val="000000" w:themeColor="text1"/>
          <w:u w:val="single"/>
        </w:rPr>
        <w:t>chez l’enfant et l’adolescent</w:t>
      </w:r>
    </w:p>
    <w:p w14:paraId="2F03E671" w14:textId="77777777" w:rsidR="007E45BE" w:rsidRPr="0058432E" w:rsidRDefault="007E45BE" w:rsidP="004E705D">
      <w:pPr>
        <w:pStyle w:val="BodyText"/>
        <w:widowControl/>
        <w:kinsoku w:val="0"/>
        <w:overflowPunct w:val="0"/>
        <w:ind w:left="0"/>
        <w:rPr>
          <w:color w:val="000000" w:themeColor="text1"/>
        </w:rPr>
      </w:pPr>
    </w:p>
    <w:p w14:paraId="43AC5012" w14:textId="77777777" w:rsidR="007E45BE" w:rsidRPr="0058432E" w:rsidRDefault="007E45BE" w:rsidP="004E705D">
      <w:pPr>
        <w:pStyle w:val="BodyText"/>
        <w:widowControl/>
        <w:kinsoku w:val="0"/>
        <w:overflowPunct w:val="0"/>
        <w:ind w:left="0"/>
        <w:rPr>
          <w:color w:val="000000" w:themeColor="text1"/>
        </w:rPr>
      </w:pPr>
      <w:r w:rsidRPr="0058432E">
        <w:rPr>
          <w:color w:val="000000" w:themeColor="text1"/>
        </w:rPr>
        <w:t>L’arthrite liée à l’enthésite pédiatrique est une maladie inflammatoire des articulations et des points d’attache entre les tendons et les os.</w:t>
      </w:r>
    </w:p>
    <w:p w14:paraId="4488A645" w14:textId="77777777" w:rsidR="007E45BE" w:rsidRPr="0058432E" w:rsidRDefault="007E45BE" w:rsidP="004E705D">
      <w:pPr>
        <w:pStyle w:val="BodyText"/>
        <w:widowControl/>
        <w:kinsoku w:val="0"/>
        <w:overflowPunct w:val="0"/>
        <w:ind w:left="0"/>
        <w:rPr>
          <w:color w:val="000000" w:themeColor="text1"/>
        </w:rPr>
      </w:pPr>
    </w:p>
    <w:p w14:paraId="495F75D7" w14:textId="77777777" w:rsidR="007E45BE" w:rsidRPr="0058432E" w:rsidRDefault="007E45BE" w:rsidP="004E705D">
      <w:pPr>
        <w:pStyle w:val="BodyText"/>
        <w:widowControl/>
        <w:kinsoku w:val="0"/>
        <w:overflowPunct w:val="0"/>
        <w:ind w:left="0"/>
        <w:rPr>
          <w:color w:val="000000" w:themeColor="text1"/>
        </w:rPr>
      </w:pPr>
      <w:r w:rsidRPr="0058432E">
        <w:rPr>
          <w:color w:val="000000" w:themeColor="text1"/>
        </w:rPr>
        <w:t xml:space="preserve">Amsparity est utilisé pour traiter l’arthrite liée à l’enthésite chez les </w:t>
      </w:r>
      <w:r w:rsidR="00FC453F" w:rsidRPr="0058432E">
        <w:rPr>
          <w:color w:val="000000" w:themeColor="text1"/>
        </w:rPr>
        <w:t>enfants et les adolescents âgés</w:t>
      </w:r>
      <w:r w:rsidRPr="0058432E">
        <w:rPr>
          <w:color w:val="000000" w:themeColor="text1"/>
        </w:rPr>
        <w:t xml:space="preserve"> de 6 à 17 ans. Votre enfant peut d’abord recevoir d’autres traitements de fond tels que du méthotrexate. Si ces traitements ne fonctionnent pas assez bien, votre enfant peut recevoir Amsparity pour traiter son arthrite liée à l’enthésite</w:t>
      </w:r>
    </w:p>
    <w:p w14:paraId="6E388B99" w14:textId="77777777" w:rsidR="007E45BE" w:rsidRPr="0058432E" w:rsidRDefault="007E45BE" w:rsidP="004E705D">
      <w:pPr>
        <w:pStyle w:val="BodyText"/>
        <w:widowControl/>
        <w:kinsoku w:val="0"/>
        <w:overflowPunct w:val="0"/>
        <w:ind w:left="0"/>
        <w:rPr>
          <w:color w:val="000000" w:themeColor="text1"/>
        </w:rPr>
      </w:pPr>
    </w:p>
    <w:p w14:paraId="0A506C43"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Psoriasis en plaques chez l’enfant et l’adolescent</w:t>
      </w:r>
    </w:p>
    <w:p w14:paraId="4A560D99" w14:textId="77777777" w:rsidR="00B466EE" w:rsidRPr="0058432E" w:rsidRDefault="00B466EE" w:rsidP="004E705D">
      <w:pPr>
        <w:pStyle w:val="BodyText"/>
        <w:widowControl/>
        <w:kinsoku w:val="0"/>
        <w:overflowPunct w:val="0"/>
        <w:ind w:left="0"/>
        <w:rPr>
          <w:color w:val="000000" w:themeColor="text1"/>
        </w:rPr>
      </w:pPr>
    </w:p>
    <w:p w14:paraId="62547674"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Le psoriasis en plaques est une maladie de peau inflammatoire qui provoque la formation de plaques squameuses rouges croûteuses couvertes d</w:t>
      </w:r>
      <w:r w:rsidR="008F444F" w:rsidRPr="0058432E">
        <w:rPr>
          <w:color w:val="000000" w:themeColor="text1"/>
        </w:rPr>
        <w:t>’</w:t>
      </w:r>
      <w:r w:rsidR="003B1D2A" w:rsidRPr="0058432E">
        <w:rPr>
          <w:color w:val="000000" w:themeColor="text1"/>
        </w:rPr>
        <w:t xml:space="preserve">écailles </w:t>
      </w:r>
      <w:r w:rsidRPr="0058432E">
        <w:rPr>
          <w:color w:val="000000" w:themeColor="text1"/>
        </w:rPr>
        <w:t>argentées. Le psoriasis en plaques peut aussi toucher les ongles, entrainant leur effritement, leur épaississement et leur décollement du lit de l’ongle, ce qui peut être douloureux. On pense que le psoriasis est causé par un dérèglement du système immunitaire de l’organisme qui entraîne une augmentation de la production de cellules cutanées.</w:t>
      </w:r>
    </w:p>
    <w:p w14:paraId="5D51321B" w14:textId="77777777" w:rsidR="00B466EE" w:rsidRPr="0058432E" w:rsidRDefault="00B466EE" w:rsidP="004E705D">
      <w:pPr>
        <w:pStyle w:val="BodyText"/>
        <w:widowControl/>
        <w:kinsoku w:val="0"/>
        <w:overflowPunct w:val="0"/>
        <w:ind w:left="0"/>
        <w:rPr>
          <w:color w:val="000000" w:themeColor="text1"/>
        </w:rPr>
      </w:pPr>
    </w:p>
    <w:p w14:paraId="0EFC1A37" w14:textId="77777777" w:rsidR="00B466EE" w:rsidRPr="0058432E" w:rsidRDefault="006A1144" w:rsidP="004E705D">
      <w:pPr>
        <w:pStyle w:val="BodyText"/>
        <w:widowControl/>
        <w:kinsoku w:val="0"/>
        <w:overflowPunct w:val="0"/>
        <w:ind w:left="0"/>
        <w:rPr>
          <w:color w:val="000000" w:themeColor="text1"/>
        </w:rPr>
      </w:pPr>
      <w:r w:rsidRPr="0058432E">
        <w:rPr>
          <w:color w:val="000000" w:themeColor="text1"/>
        </w:rPr>
        <w:t>Amsparity est utilisé pour traiter le psoriasis en plaques chronique sévère chez les enfants et adolescents âgés de 4 à 17 ans pour lesquels un traitement topique et les photothérapies n’ont pas été assez efficaces ou ne sont pas adaptés.</w:t>
      </w:r>
    </w:p>
    <w:p w14:paraId="788672BD" w14:textId="77777777" w:rsidR="00B466EE" w:rsidRPr="0058432E" w:rsidRDefault="00B466EE" w:rsidP="004E705D">
      <w:pPr>
        <w:pStyle w:val="BodyText"/>
        <w:widowControl/>
        <w:kinsoku w:val="0"/>
        <w:overflowPunct w:val="0"/>
        <w:ind w:left="0"/>
        <w:rPr>
          <w:color w:val="000000" w:themeColor="text1"/>
        </w:rPr>
      </w:pPr>
    </w:p>
    <w:p w14:paraId="58ECB6CB"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Maladie de Crohn chez l’enfant et l’adolescent</w:t>
      </w:r>
    </w:p>
    <w:p w14:paraId="0C2D6696" w14:textId="77777777" w:rsidR="00B466EE" w:rsidRPr="0058432E" w:rsidRDefault="00B466EE" w:rsidP="004E705D">
      <w:pPr>
        <w:pStyle w:val="BodyText"/>
        <w:widowControl/>
        <w:kinsoku w:val="0"/>
        <w:overflowPunct w:val="0"/>
        <w:ind w:left="0"/>
        <w:rPr>
          <w:color w:val="000000" w:themeColor="text1"/>
        </w:rPr>
      </w:pPr>
    </w:p>
    <w:p w14:paraId="44C53DFE"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La maladie de Crohn est une maladie inflammatoire de l’intestin.</w:t>
      </w:r>
    </w:p>
    <w:p w14:paraId="5DE80746" w14:textId="77777777" w:rsidR="00B466EE" w:rsidRPr="0058432E" w:rsidRDefault="00B466EE" w:rsidP="004E705D">
      <w:pPr>
        <w:pStyle w:val="BodyText"/>
        <w:widowControl/>
        <w:kinsoku w:val="0"/>
        <w:overflowPunct w:val="0"/>
        <w:ind w:left="0"/>
        <w:rPr>
          <w:color w:val="000000" w:themeColor="text1"/>
        </w:rPr>
      </w:pPr>
    </w:p>
    <w:p w14:paraId="296BE5A4" w14:textId="77777777" w:rsidR="00B466EE" w:rsidRPr="0058432E" w:rsidRDefault="006A1144" w:rsidP="004E705D">
      <w:pPr>
        <w:pStyle w:val="BodyText"/>
        <w:widowControl/>
        <w:kinsoku w:val="0"/>
        <w:overflowPunct w:val="0"/>
        <w:ind w:left="0" w:hanging="1"/>
        <w:rPr>
          <w:color w:val="000000" w:themeColor="text1"/>
        </w:rPr>
      </w:pPr>
      <w:r w:rsidRPr="0058432E">
        <w:rPr>
          <w:color w:val="000000" w:themeColor="text1"/>
        </w:rPr>
        <w:t>Amsparity est utilisé pour traiter la maladie de Crohn chez l</w:t>
      </w:r>
      <w:r w:rsidR="004E5EC8" w:rsidRPr="0058432E">
        <w:rPr>
          <w:color w:val="000000" w:themeColor="text1"/>
        </w:rPr>
        <w:t xml:space="preserve">es </w:t>
      </w:r>
      <w:r w:rsidRPr="0058432E">
        <w:rPr>
          <w:color w:val="000000" w:themeColor="text1"/>
        </w:rPr>
        <w:t>enfant</w:t>
      </w:r>
      <w:r w:rsidR="00810C33" w:rsidRPr="0058432E">
        <w:rPr>
          <w:color w:val="000000" w:themeColor="text1"/>
        </w:rPr>
        <w:t>s</w:t>
      </w:r>
      <w:r w:rsidRPr="0058432E">
        <w:rPr>
          <w:color w:val="000000" w:themeColor="text1"/>
        </w:rPr>
        <w:t xml:space="preserve"> et </w:t>
      </w:r>
      <w:r w:rsidR="000D161F" w:rsidRPr="0058432E">
        <w:rPr>
          <w:color w:val="000000" w:themeColor="text1"/>
        </w:rPr>
        <w:t xml:space="preserve">les </w:t>
      </w:r>
      <w:r w:rsidRPr="0058432E">
        <w:rPr>
          <w:color w:val="000000" w:themeColor="text1"/>
        </w:rPr>
        <w:t>adolescent</w:t>
      </w:r>
      <w:r w:rsidR="00810C33" w:rsidRPr="0058432E">
        <w:rPr>
          <w:color w:val="000000" w:themeColor="text1"/>
        </w:rPr>
        <w:t>s</w:t>
      </w:r>
      <w:r w:rsidRPr="0058432E">
        <w:rPr>
          <w:color w:val="000000" w:themeColor="text1"/>
        </w:rPr>
        <w:t xml:space="preserve"> </w:t>
      </w:r>
      <w:r w:rsidR="004E5EC8" w:rsidRPr="0058432E">
        <w:rPr>
          <w:color w:val="000000" w:themeColor="text1"/>
        </w:rPr>
        <w:t xml:space="preserve">âgés </w:t>
      </w:r>
      <w:r w:rsidRPr="0058432E">
        <w:rPr>
          <w:color w:val="000000" w:themeColor="text1"/>
        </w:rPr>
        <w:t>de 6 à 17 ans.</w:t>
      </w:r>
    </w:p>
    <w:p w14:paraId="2B559CEC" w14:textId="77777777" w:rsidR="00B466EE" w:rsidRPr="0058432E" w:rsidRDefault="00B466EE" w:rsidP="004E705D">
      <w:pPr>
        <w:pStyle w:val="BodyText"/>
        <w:widowControl/>
        <w:kinsoku w:val="0"/>
        <w:overflowPunct w:val="0"/>
        <w:ind w:left="0"/>
        <w:rPr>
          <w:color w:val="000000" w:themeColor="text1"/>
        </w:rPr>
      </w:pPr>
    </w:p>
    <w:p w14:paraId="0E71C322" w14:textId="77777777" w:rsidR="00B466EE" w:rsidRPr="0058432E" w:rsidRDefault="00396862" w:rsidP="004E705D">
      <w:pPr>
        <w:pStyle w:val="BodyText"/>
        <w:widowControl/>
        <w:kinsoku w:val="0"/>
        <w:overflowPunct w:val="0"/>
        <w:ind w:left="0"/>
        <w:rPr>
          <w:color w:val="000000" w:themeColor="text1"/>
        </w:rPr>
      </w:pPr>
      <w:r w:rsidRPr="0058432E">
        <w:rPr>
          <w:color w:val="000000" w:themeColor="text1"/>
        </w:rPr>
        <w:t xml:space="preserve">Si votre enfant est atteint de la maladie de Crohn, on lui prescrira d’abord d’autres médicaments. Si la réponse de votre enfant à ces </w:t>
      </w:r>
      <w:r w:rsidR="007D4335" w:rsidRPr="0058432E">
        <w:rPr>
          <w:color w:val="000000" w:themeColor="text1"/>
        </w:rPr>
        <w:t xml:space="preserve">médicaments </w:t>
      </w:r>
      <w:r w:rsidRPr="0058432E">
        <w:rPr>
          <w:color w:val="000000" w:themeColor="text1"/>
        </w:rPr>
        <w:t>n’est pas assez bonne, on lui prescrira Amsparity afin d’atténuer les signes et symptômes de sa maladie de Crohn.</w:t>
      </w:r>
    </w:p>
    <w:p w14:paraId="3D57A813" w14:textId="77777777" w:rsidR="00B466EE" w:rsidRPr="0058432E" w:rsidRDefault="00B466EE" w:rsidP="004E705D">
      <w:pPr>
        <w:pStyle w:val="BodyText"/>
        <w:widowControl/>
        <w:kinsoku w:val="0"/>
        <w:overflowPunct w:val="0"/>
        <w:ind w:left="0"/>
        <w:rPr>
          <w:color w:val="000000" w:themeColor="text1"/>
        </w:rPr>
      </w:pPr>
    </w:p>
    <w:p w14:paraId="66D7A7A2"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Uvéite chez l’enfant et l’adolescent</w:t>
      </w:r>
    </w:p>
    <w:p w14:paraId="7A46DDAC" w14:textId="77777777" w:rsidR="00B466EE" w:rsidRPr="0058432E" w:rsidRDefault="00B466EE" w:rsidP="004E705D">
      <w:pPr>
        <w:pStyle w:val="BodyText"/>
        <w:widowControl/>
        <w:kinsoku w:val="0"/>
        <w:overflowPunct w:val="0"/>
        <w:ind w:left="0"/>
        <w:rPr>
          <w:color w:val="000000" w:themeColor="text1"/>
        </w:rPr>
      </w:pPr>
    </w:p>
    <w:p w14:paraId="0BB2F7F0"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t xml:space="preserve">L’uvéite non infectieuse est une maladie inflammatoire </w:t>
      </w:r>
      <w:r w:rsidR="00990229" w:rsidRPr="0058432E">
        <w:rPr>
          <w:color w:val="000000" w:themeColor="text1"/>
        </w:rPr>
        <w:t>touchant</w:t>
      </w:r>
      <w:r w:rsidRPr="0058432E">
        <w:rPr>
          <w:color w:val="000000" w:themeColor="text1"/>
        </w:rPr>
        <w:t xml:space="preserve"> certaines parties de l’œil. Cette inflammation peut entraîner une baisse de la vision et/ou la présence de particules flottant dans l’œil (points noirs ou filaments qui se déplacent dans le champ de vision). Amsparity agit en réduisant cette inflammation.</w:t>
      </w:r>
    </w:p>
    <w:p w14:paraId="6BDE6DC1" w14:textId="77777777" w:rsidR="00B466EE" w:rsidRPr="0058432E" w:rsidRDefault="00B466EE" w:rsidP="004E705D">
      <w:pPr>
        <w:pStyle w:val="BodyText"/>
        <w:widowControl/>
        <w:kinsoku w:val="0"/>
        <w:overflowPunct w:val="0"/>
        <w:ind w:left="0"/>
        <w:rPr>
          <w:color w:val="000000" w:themeColor="text1"/>
          <w:szCs w:val="21"/>
        </w:rPr>
      </w:pPr>
    </w:p>
    <w:p w14:paraId="4F256E76" w14:textId="77777777" w:rsidR="00B466EE" w:rsidRPr="0058432E" w:rsidRDefault="006A1144" w:rsidP="004E705D">
      <w:pPr>
        <w:pStyle w:val="BodyText"/>
        <w:widowControl/>
        <w:kinsoku w:val="0"/>
        <w:overflowPunct w:val="0"/>
        <w:ind w:left="0"/>
        <w:rPr>
          <w:color w:val="000000" w:themeColor="text1"/>
        </w:rPr>
      </w:pPr>
      <w:r w:rsidRPr="0058432E">
        <w:rPr>
          <w:color w:val="000000" w:themeColor="text1"/>
        </w:rPr>
        <w:t>Amsparity est utilisé pour traiter l’uvéite chronique non infectieuse chez les enfants</w:t>
      </w:r>
      <w:r w:rsidR="004268B4" w:rsidRPr="0058432E">
        <w:rPr>
          <w:color w:val="000000" w:themeColor="text1"/>
        </w:rPr>
        <w:t xml:space="preserve"> et les adolescents</w:t>
      </w:r>
      <w:r w:rsidRPr="0058432E">
        <w:rPr>
          <w:color w:val="000000" w:themeColor="text1"/>
        </w:rPr>
        <w:t xml:space="preserve"> à partir de l’âge de 2 ans lorsque l’inflammation affecte la partie avant de l’œil.</w:t>
      </w:r>
    </w:p>
    <w:p w14:paraId="6A0B8DB1" w14:textId="77777777" w:rsidR="00B466EE" w:rsidRPr="0058432E" w:rsidRDefault="00B466EE" w:rsidP="004E705D">
      <w:pPr>
        <w:pStyle w:val="BodyText"/>
        <w:widowControl/>
        <w:kinsoku w:val="0"/>
        <w:overflowPunct w:val="0"/>
        <w:ind w:left="0"/>
        <w:rPr>
          <w:color w:val="000000" w:themeColor="text1"/>
          <w:szCs w:val="21"/>
        </w:rPr>
      </w:pPr>
    </w:p>
    <w:p w14:paraId="58479D8F" w14:textId="77777777" w:rsidR="00B466EE" w:rsidRPr="0058432E" w:rsidRDefault="008428F0" w:rsidP="004E705D">
      <w:pPr>
        <w:pStyle w:val="BodyText"/>
        <w:widowControl/>
        <w:kinsoku w:val="0"/>
        <w:overflowPunct w:val="0"/>
        <w:ind w:left="0"/>
        <w:rPr>
          <w:color w:val="000000" w:themeColor="text1"/>
        </w:rPr>
      </w:pPr>
      <w:r w:rsidRPr="0058432E">
        <w:rPr>
          <w:color w:val="000000" w:themeColor="text1"/>
        </w:rPr>
        <w:t xml:space="preserve">Votre enfant peut d’abord recevoir d’autres </w:t>
      </w:r>
      <w:r w:rsidR="007D4335" w:rsidRPr="0058432E">
        <w:rPr>
          <w:color w:val="000000" w:themeColor="text1"/>
        </w:rPr>
        <w:t>médicaments</w:t>
      </w:r>
      <w:r w:rsidRPr="0058432E">
        <w:rPr>
          <w:color w:val="000000" w:themeColor="text1"/>
        </w:rPr>
        <w:t xml:space="preserve">. Si ces </w:t>
      </w:r>
      <w:r w:rsidR="007D4335" w:rsidRPr="0058432E">
        <w:rPr>
          <w:color w:val="000000" w:themeColor="text1"/>
        </w:rPr>
        <w:t xml:space="preserve">médicaments </w:t>
      </w:r>
      <w:r w:rsidRPr="0058432E">
        <w:rPr>
          <w:color w:val="000000" w:themeColor="text1"/>
        </w:rPr>
        <w:t>ne fonctionnent pas assez bien, votre enfant peut recevoir Amsparity pour réduire les signes et symptômes de sa maladie.</w:t>
      </w:r>
    </w:p>
    <w:p w14:paraId="4E74641F" w14:textId="77777777" w:rsidR="00B466EE" w:rsidRPr="0058432E" w:rsidRDefault="00B466EE" w:rsidP="004E705D">
      <w:pPr>
        <w:pStyle w:val="BodyText"/>
        <w:widowControl/>
        <w:kinsoku w:val="0"/>
        <w:overflowPunct w:val="0"/>
        <w:ind w:left="0"/>
        <w:rPr>
          <w:color w:val="000000" w:themeColor="text1"/>
        </w:rPr>
      </w:pPr>
    </w:p>
    <w:p w14:paraId="6231C5B0" w14:textId="77777777" w:rsidR="00764B9A" w:rsidRPr="0058432E" w:rsidRDefault="00764B9A" w:rsidP="004E705D">
      <w:pPr>
        <w:pStyle w:val="BodyText"/>
        <w:widowControl/>
        <w:kinsoku w:val="0"/>
        <w:overflowPunct w:val="0"/>
        <w:ind w:left="0"/>
        <w:rPr>
          <w:color w:val="000000" w:themeColor="text1"/>
        </w:rPr>
      </w:pPr>
    </w:p>
    <w:p w14:paraId="2A79D545" w14:textId="77777777" w:rsidR="00C76100" w:rsidRPr="0058432E" w:rsidRDefault="004E705D" w:rsidP="00B93DAC">
      <w:pPr>
        <w:pStyle w:val="BodyText"/>
        <w:widowControl/>
        <w:kinsoku w:val="0"/>
        <w:overflowPunct w:val="0"/>
        <w:ind w:left="0"/>
        <w:rPr>
          <w:b/>
          <w:bCs/>
          <w:color w:val="000000" w:themeColor="text1"/>
        </w:rPr>
      </w:pPr>
      <w:r w:rsidRPr="0058432E">
        <w:rPr>
          <w:b/>
          <w:bCs/>
          <w:color w:val="000000" w:themeColor="text1"/>
        </w:rPr>
        <w:t>2.</w:t>
      </w:r>
      <w:r w:rsidRPr="0058432E">
        <w:rPr>
          <w:b/>
          <w:bCs/>
          <w:color w:val="000000" w:themeColor="text1"/>
        </w:rPr>
        <w:tab/>
        <w:t>Quelles sont les informations à connaître avant que votre enfant n’utilise Amsparity</w:t>
      </w:r>
      <w:r w:rsidR="001B1911" w:rsidRPr="0058432E">
        <w:rPr>
          <w:b/>
          <w:bCs/>
          <w:color w:val="000000" w:themeColor="text1"/>
        </w:rPr>
        <w:t> </w:t>
      </w:r>
    </w:p>
    <w:p w14:paraId="1EF773DD" w14:textId="77777777" w:rsidR="004E705D" w:rsidRPr="0058432E" w:rsidRDefault="004E705D" w:rsidP="00B93DAC">
      <w:pPr>
        <w:pStyle w:val="BodyText"/>
        <w:widowControl/>
        <w:kinsoku w:val="0"/>
        <w:overflowPunct w:val="0"/>
        <w:ind w:left="0"/>
        <w:rPr>
          <w:b/>
          <w:bCs/>
          <w:color w:val="000000" w:themeColor="text1"/>
        </w:rPr>
      </w:pPr>
    </w:p>
    <w:p w14:paraId="162496D1" w14:textId="77777777" w:rsidR="004E705D" w:rsidRPr="0058432E" w:rsidRDefault="00B466EE" w:rsidP="00B93DAC">
      <w:pPr>
        <w:pStyle w:val="BodyText"/>
        <w:widowControl/>
        <w:kinsoku w:val="0"/>
        <w:overflowPunct w:val="0"/>
        <w:ind w:left="0"/>
        <w:rPr>
          <w:b/>
          <w:bCs/>
          <w:color w:val="000000" w:themeColor="text1"/>
        </w:rPr>
      </w:pPr>
      <w:r w:rsidRPr="0058432E">
        <w:rPr>
          <w:b/>
          <w:bCs/>
          <w:color w:val="000000" w:themeColor="text1"/>
        </w:rPr>
        <w:t>N’utilisez jamais Amsparity</w:t>
      </w:r>
    </w:p>
    <w:p w14:paraId="14BA85E1" w14:textId="77777777" w:rsidR="00B466EE" w:rsidRPr="0058432E" w:rsidRDefault="00B466EE" w:rsidP="00B93DAC">
      <w:pPr>
        <w:pStyle w:val="BodyText"/>
        <w:widowControl/>
        <w:kinsoku w:val="0"/>
        <w:overflowPunct w:val="0"/>
        <w:ind w:left="0"/>
        <w:rPr>
          <w:b/>
          <w:bCs/>
          <w:color w:val="000000" w:themeColor="text1"/>
        </w:rPr>
      </w:pPr>
    </w:p>
    <w:p w14:paraId="52AEB3D2" w14:textId="77777777" w:rsidR="00B466EE" w:rsidRPr="0058432E"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est allergique à l’adalimumab ou à l’un des autres composants contenus dans ce médicament (mentionnés dans la rubrique 6).</w:t>
      </w:r>
    </w:p>
    <w:p w14:paraId="13356A24" w14:textId="77777777" w:rsidR="00B466EE" w:rsidRPr="0058432E" w:rsidRDefault="00B466EE" w:rsidP="004E705D">
      <w:pPr>
        <w:pStyle w:val="BodyText"/>
        <w:widowControl/>
        <w:kinsoku w:val="0"/>
        <w:overflowPunct w:val="0"/>
        <w:ind w:left="562" w:hanging="562"/>
        <w:rPr>
          <w:color w:val="000000" w:themeColor="text1"/>
          <w:szCs w:val="21"/>
        </w:rPr>
      </w:pPr>
    </w:p>
    <w:p w14:paraId="03359B4F" w14:textId="77777777" w:rsidR="00B466EE" w:rsidRPr="0058432E"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présente une infection grave, y compris une tuberculose active, un</w:t>
      </w:r>
      <w:r w:rsidR="00C564BD" w:rsidRPr="0058432E">
        <w:rPr>
          <w:color w:val="000000" w:themeColor="text1"/>
        </w:rPr>
        <w:t>e</w:t>
      </w:r>
      <w:r w:rsidRPr="0058432E">
        <w:rPr>
          <w:color w:val="000000" w:themeColor="text1"/>
        </w:rPr>
        <w:t xml:space="preserve"> </w:t>
      </w:r>
      <w:r w:rsidR="00C564BD" w:rsidRPr="0058432E">
        <w:rPr>
          <w:color w:val="000000" w:themeColor="text1"/>
        </w:rPr>
        <w:t>septicémie</w:t>
      </w:r>
      <w:r w:rsidRPr="0058432E">
        <w:rPr>
          <w:color w:val="000000" w:themeColor="text1"/>
        </w:rPr>
        <w:t xml:space="preserve"> (empoisonnement du sang) ou des infections opportunistes (infections inhabituelles associées à un système immunitaire affaibli). Il est important de signaler au médecin de votre enfant si votre enfant présente des symptômes d’infections,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de la fièvre, des plaies, une sensation de fatigue, des problèmes dentaires (voir « Avertissements et précautions »).</w:t>
      </w:r>
    </w:p>
    <w:p w14:paraId="3A93C9F7" w14:textId="77777777" w:rsidR="00B466EE" w:rsidRPr="0058432E" w:rsidRDefault="00B466EE" w:rsidP="004E705D">
      <w:pPr>
        <w:pStyle w:val="BodyText"/>
        <w:widowControl/>
        <w:kinsoku w:val="0"/>
        <w:overflowPunct w:val="0"/>
        <w:ind w:left="562" w:hanging="562"/>
        <w:rPr>
          <w:color w:val="000000" w:themeColor="text1"/>
        </w:rPr>
      </w:pPr>
    </w:p>
    <w:p w14:paraId="52B7DF46" w14:textId="77777777" w:rsidR="00B466EE" w:rsidRPr="0058432E" w:rsidRDefault="003A4A16"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souffre d’insuffisance cardiaque modérée ou sévère. Il est important d’informer le médecin de votre enfant si votre enfant a ou a eu des problèmes cardiaques graves (voir « Avertissements et précautions »).</w:t>
      </w:r>
    </w:p>
    <w:p w14:paraId="72FD6967" w14:textId="77777777" w:rsidR="00B466EE" w:rsidRPr="0058432E" w:rsidRDefault="00B466EE" w:rsidP="004E705D">
      <w:pPr>
        <w:pStyle w:val="BodyText"/>
        <w:widowControl/>
        <w:kinsoku w:val="0"/>
        <w:overflowPunct w:val="0"/>
        <w:ind w:left="562" w:hanging="562"/>
        <w:rPr>
          <w:color w:val="000000" w:themeColor="text1"/>
        </w:rPr>
      </w:pPr>
    </w:p>
    <w:p w14:paraId="7EC1809C"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Avertissements et précautions</w:t>
      </w:r>
    </w:p>
    <w:p w14:paraId="606FEBF6" w14:textId="77777777" w:rsidR="00B466EE" w:rsidRPr="0058432E" w:rsidRDefault="00B466EE" w:rsidP="00764B9A">
      <w:pPr>
        <w:pStyle w:val="BodyText"/>
        <w:keepNext/>
        <w:widowControl/>
        <w:kinsoku w:val="0"/>
        <w:overflowPunct w:val="0"/>
        <w:ind w:left="0"/>
        <w:rPr>
          <w:b/>
          <w:bCs/>
          <w:color w:val="000000" w:themeColor="text1"/>
          <w:szCs w:val="21"/>
        </w:rPr>
      </w:pPr>
    </w:p>
    <w:p w14:paraId="40BC2FFB" w14:textId="77777777" w:rsidR="000558D3" w:rsidRPr="0058432E" w:rsidRDefault="00B466EE" w:rsidP="004E705D">
      <w:pPr>
        <w:pStyle w:val="BodyText"/>
        <w:widowControl/>
        <w:tabs>
          <w:tab w:val="left" w:pos="6480"/>
        </w:tabs>
        <w:kinsoku w:val="0"/>
        <w:overflowPunct w:val="0"/>
        <w:ind w:left="0"/>
        <w:rPr>
          <w:color w:val="000000" w:themeColor="text1"/>
        </w:rPr>
      </w:pPr>
      <w:r w:rsidRPr="0058432E">
        <w:rPr>
          <w:color w:val="000000" w:themeColor="text1"/>
        </w:rPr>
        <w:t>Adressez-vous au médecin</w:t>
      </w:r>
      <w:r w:rsidR="00996F94" w:rsidRPr="0058432E">
        <w:rPr>
          <w:color w:val="000000" w:themeColor="text1"/>
        </w:rPr>
        <w:t xml:space="preserve"> de votre enfant</w:t>
      </w:r>
      <w:r w:rsidRPr="0058432E">
        <w:rPr>
          <w:color w:val="000000" w:themeColor="text1"/>
        </w:rPr>
        <w:t xml:space="preserve"> ou au pharmacien avant d’utiliser Amsparity. </w:t>
      </w:r>
    </w:p>
    <w:p w14:paraId="0E899471" w14:textId="77777777" w:rsidR="005D4E3C" w:rsidRPr="0058432E" w:rsidRDefault="005D4E3C" w:rsidP="004E705D">
      <w:pPr>
        <w:pStyle w:val="BodyText"/>
        <w:widowControl/>
        <w:tabs>
          <w:tab w:val="left" w:pos="720"/>
        </w:tabs>
        <w:ind w:left="0"/>
        <w:rPr>
          <w:color w:val="000000" w:themeColor="text1"/>
        </w:rPr>
      </w:pPr>
    </w:p>
    <w:p w14:paraId="4F1067E0" w14:textId="77777777" w:rsidR="00767BFA" w:rsidRPr="0058432E" w:rsidRDefault="00767BFA" w:rsidP="004E705D">
      <w:pPr>
        <w:pStyle w:val="BodyText"/>
        <w:widowControl/>
        <w:tabs>
          <w:tab w:val="left" w:pos="720"/>
        </w:tabs>
        <w:ind w:left="0"/>
        <w:rPr>
          <w:color w:val="000000" w:themeColor="text1"/>
        </w:rPr>
      </w:pPr>
      <w:r w:rsidRPr="0058432E">
        <w:rPr>
          <w:color w:val="000000" w:themeColor="text1"/>
        </w:rPr>
        <w:t>Il est primordial que vous et le médecin de votre enfant conserviez le nom de marque et le numéro de lot du médicament de votre enfant.</w:t>
      </w:r>
    </w:p>
    <w:p w14:paraId="436DD863" w14:textId="77777777" w:rsidR="005D4E3C" w:rsidRPr="0058432E" w:rsidRDefault="005D4E3C" w:rsidP="004E705D">
      <w:pPr>
        <w:pStyle w:val="BodyText"/>
        <w:widowControl/>
        <w:tabs>
          <w:tab w:val="left" w:pos="6480"/>
        </w:tabs>
        <w:kinsoku w:val="0"/>
        <w:overflowPunct w:val="0"/>
        <w:ind w:left="0"/>
        <w:rPr>
          <w:color w:val="000000" w:themeColor="text1"/>
        </w:rPr>
      </w:pPr>
    </w:p>
    <w:p w14:paraId="681329E6" w14:textId="77777777" w:rsidR="00B466EE" w:rsidRPr="0058432E" w:rsidRDefault="00B466EE" w:rsidP="004E705D">
      <w:pPr>
        <w:pStyle w:val="BodyText"/>
        <w:widowControl/>
        <w:tabs>
          <w:tab w:val="left" w:pos="6480"/>
        </w:tabs>
        <w:kinsoku w:val="0"/>
        <w:overflowPunct w:val="0"/>
        <w:ind w:left="0"/>
        <w:rPr>
          <w:color w:val="000000" w:themeColor="text1"/>
          <w:u w:val="single"/>
        </w:rPr>
      </w:pPr>
      <w:r w:rsidRPr="0058432E">
        <w:rPr>
          <w:color w:val="000000" w:themeColor="text1"/>
          <w:u w:val="single"/>
        </w:rPr>
        <w:t>Réactions allergiques</w:t>
      </w:r>
    </w:p>
    <w:p w14:paraId="423B57E3" w14:textId="77777777" w:rsidR="004E705D" w:rsidRPr="0058432E" w:rsidRDefault="004E705D" w:rsidP="004E705D">
      <w:pPr>
        <w:pStyle w:val="BodyText"/>
        <w:widowControl/>
        <w:tabs>
          <w:tab w:val="left" w:pos="6480"/>
        </w:tabs>
        <w:kinsoku w:val="0"/>
        <w:overflowPunct w:val="0"/>
        <w:ind w:left="0"/>
        <w:rPr>
          <w:color w:val="000000" w:themeColor="text1"/>
        </w:rPr>
      </w:pPr>
    </w:p>
    <w:p w14:paraId="79A7788D"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présente des réactions allergiques avec des symptômes tels qu’oppression dans la poitrine, respiration sifflante, sensations vertigineuses, gonflement ou éruption cutanée, arrêtez les injections d’Amsparity et contactez le médecin de votre enfant immédiatement car, dans de rares cas, ces réactions peuvent menacer le pronostic vital.</w:t>
      </w:r>
    </w:p>
    <w:p w14:paraId="28C8B84E" w14:textId="77777777" w:rsidR="00B466EE" w:rsidRPr="0058432E" w:rsidRDefault="00B466EE" w:rsidP="004E705D">
      <w:pPr>
        <w:pStyle w:val="BodyText"/>
        <w:widowControl/>
        <w:kinsoku w:val="0"/>
        <w:overflowPunct w:val="0"/>
        <w:ind w:left="0"/>
        <w:rPr>
          <w:color w:val="000000" w:themeColor="text1"/>
        </w:rPr>
      </w:pPr>
    </w:p>
    <w:p w14:paraId="37533E36"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Infections</w:t>
      </w:r>
    </w:p>
    <w:p w14:paraId="0F866819" w14:textId="77777777" w:rsidR="00B466EE" w:rsidRPr="0058432E" w:rsidRDefault="00B466EE" w:rsidP="004E705D">
      <w:pPr>
        <w:pStyle w:val="BodyText"/>
        <w:widowControl/>
        <w:kinsoku w:val="0"/>
        <w:overflowPunct w:val="0"/>
        <w:ind w:left="0"/>
        <w:rPr>
          <w:color w:val="000000" w:themeColor="text1"/>
          <w:szCs w:val="16"/>
        </w:rPr>
      </w:pPr>
    </w:p>
    <w:p w14:paraId="32544FB0"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votre enfant a une infection, y compris une infection de longue durée ou une infection sur une partie du corps (par </w:t>
      </w:r>
      <w:r w:rsidR="001946D2" w:rsidRPr="0058432E">
        <w:rPr>
          <w:color w:val="000000" w:themeColor="text1"/>
        </w:rPr>
        <w:t>ex</w:t>
      </w:r>
      <w:r w:rsidR="00A67736" w:rsidRPr="0058432E">
        <w:rPr>
          <w:color w:val="000000" w:themeColor="text1"/>
        </w:rPr>
        <w:t>emple</w:t>
      </w:r>
      <w:r w:rsidRPr="0058432E">
        <w:rPr>
          <w:color w:val="000000" w:themeColor="text1"/>
        </w:rPr>
        <w:t>, ulcère de jambe), consultez le médecin de votre enfant avant de commencer Amsparity. En cas de doute, veuillez contacter le médecin de votre enfant.</w:t>
      </w:r>
    </w:p>
    <w:p w14:paraId="6781ED26" w14:textId="77777777" w:rsidR="00B466EE" w:rsidRPr="0058432E" w:rsidRDefault="00B466EE" w:rsidP="004E705D">
      <w:pPr>
        <w:pStyle w:val="BodyText"/>
        <w:widowControl/>
        <w:kinsoku w:val="0"/>
        <w:overflowPunct w:val="0"/>
        <w:ind w:left="0"/>
        <w:rPr>
          <w:color w:val="000000" w:themeColor="text1"/>
        </w:rPr>
      </w:pPr>
    </w:p>
    <w:p w14:paraId="7E73BF51"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Votre enfant peut développer plus facilement des infections au cours du traitement par Amsparity. Ce risque peut augmenter si votre enfant a des problèmes au niveau des poumons. Ces infections peuvent être</w:t>
      </w:r>
      <w:r w:rsidR="00705BA3" w:rsidRPr="0058432E">
        <w:rPr>
          <w:color w:val="000000" w:themeColor="text1"/>
        </w:rPr>
        <w:t xml:space="preserve"> </w:t>
      </w:r>
      <w:r w:rsidRPr="0058432E">
        <w:rPr>
          <w:color w:val="000000" w:themeColor="text1"/>
        </w:rPr>
        <w:t>graves et inclu</w:t>
      </w:r>
      <w:r w:rsidR="00996F94" w:rsidRPr="0058432E">
        <w:rPr>
          <w:color w:val="000000" w:themeColor="text1"/>
        </w:rPr>
        <w:t>re</w:t>
      </w:r>
      <w:r w:rsidRPr="0058432E">
        <w:rPr>
          <w:color w:val="000000" w:themeColor="text1"/>
        </w:rPr>
        <w:t xml:space="preserve"> tuberculose, infections causées par des virus, des champignons, des parasites ou des bactéries, ou autres infections opportunistes (agents infectieux inhabituels), et </w:t>
      </w:r>
      <w:r w:rsidR="00C564BD" w:rsidRPr="0058432E">
        <w:rPr>
          <w:color w:val="000000" w:themeColor="text1"/>
        </w:rPr>
        <w:t>septicémie</w:t>
      </w:r>
      <w:r w:rsidRPr="0058432E">
        <w:rPr>
          <w:color w:val="000000" w:themeColor="text1"/>
        </w:rPr>
        <w:t xml:space="preserve"> (empoisonnement du sang). Dans de rares cas, ces infections peuvent menacer </w:t>
      </w:r>
      <w:r w:rsidR="00996F94" w:rsidRPr="0058432E">
        <w:rPr>
          <w:color w:val="000000" w:themeColor="text1"/>
        </w:rPr>
        <w:t>le pronostic vital</w:t>
      </w:r>
      <w:r w:rsidRPr="0058432E">
        <w:rPr>
          <w:color w:val="000000" w:themeColor="text1"/>
        </w:rPr>
        <w:t>. Il est important de prévenir le médecin de votre enfant si votre enfant présente des symptômes tels que de la fièvre, s’il a des plaies, s’il se sent fatigué ou s’il a des problèmes dentaires. Le médecin de votre enfant peut recommander d’arrêter temporairement Amsparity.</w:t>
      </w:r>
    </w:p>
    <w:p w14:paraId="397F7193" w14:textId="77777777" w:rsidR="00033670" w:rsidRPr="0058432E" w:rsidRDefault="00033670" w:rsidP="004E705D">
      <w:pPr>
        <w:rPr>
          <w:color w:val="000000" w:themeColor="text1"/>
          <w:u w:val="single"/>
        </w:rPr>
      </w:pPr>
    </w:p>
    <w:p w14:paraId="6934E4A6" w14:textId="77777777" w:rsidR="003E4EE4" w:rsidRPr="0058432E" w:rsidRDefault="003E4EE4" w:rsidP="004E705D">
      <w:pPr>
        <w:pStyle w:val="BodyText"/>
        <w:keepNext/>
        <w:widowControl/>
        <w:kinsoku w:val="0"/>
        <w:overflowPunct w:val="0"/>
        <w:ind w:left="0"/>
        <w:rPr>
          <w:color w:val="000000" w:themeColor="text1"/>
        </w:rPr>
      </w:pPr>
      <w:r w:rsidRPr="0058432E">
        <w:rPr>
          <w:color w:val="000000" w:themeColor="text1"/>
          <w:u w:val="single"/>
        </w:rPr>
        <w:t>Tuberculose (TB)</w:t>
      </w:r>
    </w:p>
    <w:p w14:paraId="2D34A2C0" w14:textId="77777777" w:rsidR="003E4EE4" w:rsidRPr="0058432E" w:rsidRDefault="003E4EE4" w:rsidP="004E705D">
      <w:pPr>
        <w:pStyle w:val="BodyText"/>
        <w:keepNext/>
        <w:widowControl/>
        <w:kinsoku w:val="0"/>
        <w:overflowPunct w:val="0"/>
        <w:ind w:left="0"/>
        <w:rPr>
          <w:color w:val="000000" w:themeColor="text1"/>
        </w:rPr>
      </w:pPr>
    </w:p>
    <w:p w14:paraId="57546F8C" w14:textId="77777777" w:rsidR="003E4EE4" w:rsidRPr="0058432E"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Comme des cas de tuberculose ont été rapportés chez des patients traités par adalimumab, le médecin de votre enfant recherchera tout signe ou symptôme de tuberculose chez votre enfant avant de débuter le traitement</w:t>
      </w:r>
      <w:r w:rsidR="008E3739" w:rsidRPr="0058432E">
        <w:rPr>
          <w:color w:val="000000" w:themeColor="text1"/>
        </w:rPr>
        <w:t xml:space="preserve"> par Amsparity</w:t>
      </w:r>
      <w:r w:rsidRPr="0058432E">
        <w:rPr>
          <w:color w:val="000000" w:themeColor="text1"/>
        </w:rPr>
        <w:t xml:space="preserve">. Ceci comprendra une évaluation médicale approfondie incluant les antécédents médicaux de votre enfant et </w:t>
      </w:r>
      <w:r w:rsidR="005D5ED5" w:rsidRPr="0058432E">
        <w:rPr>
          <w:color w:val="000000" w:themeColor="text1"/>
        </w:rPr>
        <w:t>d</w:t>
      </w:r>
      <w:r w:rsidRPr="0058432E">
        <w:rPr>
          <w:color w:val="000000" w:themeColor="text1"/>
        </w:rPr>
        <w:t>es examens de dépistage</w:t>
      </w:r>
      <w:r w:rsidR="004E5EC8" w:rsidRPr="0058432E">
        <w:rPr>
          <w:color w:val="000000" w:themeColor="text1"/>
        </w:rPr>
        <w:t xml:space="preserve"> </w:t>
      </w:r>
      <w:r w:rsidRPr="0058432E">
        <w:rPr>
          <w:color w:val="000000" w:themeColor="text1"/>
        </w:rPr>
        <w:t xml:space="preserve">(par </w:t>
      </w:r>
      <w:r w:rsidR="001946D2" w:rsidRPr="0058432E">
        <w:rPr>
          <w:color w:val="000000" w:themeColor="text1"/>
        </w:rPr>
        <w:t>ex</w:t>
      </w:r>
      <w:r w:rsidR="00A67736" w:rsidRPr="0058432E">
        <w:rPr>
          <w:color w:val="000000" w:themeColor="text1"/>
        </w:rPr>
        <w:t>emple</w:t>
      </w:r>
      <w:r w:rsidRPr="0058432E">
        <w:rPr>
          <w:color w:val="000000" w:themeColor="text1"/>
        </w:rPr>
        <w:t xml:space="preserve">, radiographie pulmonaire et test tuberculinique). La réalisation et les résultats de ces tests devront être enregistrés sur la </w:t>
      </w:r>
      <w:r w:rsidR="0045425F" w:rsidRPr="0058432E">
        <w:rPr>
          <w:color w:val="000000" w:themeColor="text1"/>
        </w:rPr>
        <w:t>carte de rappel patient</w:t>
      </w:r>
      <w:r w:rsidRPr="0058432E">
        <w:rPr>
          <w:color w:val="000000" w:themeColor="text1"/>
        </w:rPr>
        <w:t xml:space="preserve"> de votre enfant.</w:t>
      </w:r>
    </w:p>
    <w:p w14:paraId="5D4838DB" w14:textId="77777777" w:rsidR="004E705D" w:rsidRPr="0058432E" w:rsidRDefault="004E705D" w:rsidP="004E705D">
      <w:pPr>
        <w:pStyle w:val="BodyText"/>
        <w:widowControl/>
        <w:kinsoku w:val="0"/>
        <w:overflowPunct w:val="0"/>
        <w:autoSpaceDE w:val="0"/>
        <w:autoSpaceDN w:val="0"/>
        <w:adjustRightInd w:val="0"/>
        <w:ind w:left="562"/>
        <w:rPr>
          <w:color w:val="000000" w:themeColor="text1"/>
        </w:rPr>
      </w:pPr>
    </w:p>
    <w:p w14:paraId="36BA1216" w14:textId="77777777" w:rsidR="003E4EE4" w:rsidRPr="0058432E"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lastRenderedPageBreak/>
        <w:t>Il est très important de dire au médecin de votre enfant si votre enfant a déjà contracté la tuberculose ou s’il a été en contact étroit avec quelqu’un qui a eu la tuberculose. Si votre enfant a une tuberculose active, ne pas utiliser Amsparity.</w:t>
      </w:r>
    </w:p>
    <w:p w14:paraId="1B549862" w14:textId="77777777" w:rsidR="004E705D" w:rsidRPr="0058432E" w:rsidRDefault="004E705D" w:rsidP="004E705D">
      <w:pPr>
        <w:pStyle w:val="BodyText"/>
        <w:widowControl/>
        <w:tabs>
          <w:tab w:val="left" w:pos="802"/>
        </w:tabs>
        <w:kinsoku w:val="0"/>
        <w:overflowPunct w:val="0"/>
        <w:autoSpaceDE w:val="0"/>
        <w:autoSpaceDN w:val="0"/>
        <w:adjustRightInd w:val="0"/>
        <w:ind w:left="0"/>
        <w:rPr>
          <w:color w:val="000000" w:themeColor="text1"/>
        </w:rPr>
      </w:pPr>
    </w:p>
    <w:p w14:paraId="17669888" w14:textId="77777777" w:rsidR="003E4EE4" w:rsidRPr="0058432E"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Une tuberculose peut se développer pendant le traitement, même si votre enfant a reçu un traitement pour la prévention de la tuberculose.</w:t>
      </w:r>
    </w:p>
    <w:p w14:paraId="55F66455" w14:textId="77777777" w:rsidR="004E705D" w:rsidRPr="0058432E" w:rsidRDefault="004E705D" w:rsidP="004E705D">
      <w:pPr>
        <w:pStyle w:val="BodyText"/>
        <w:widowControl/>
        <w:tabs>
          <w:tab w:val="left" w:pos="802"/>
        </w:tabs>
        <w:kinsoku w:val="0"/>
        <w:overflowPunct w:val="0"/>
        <w:autoSpaceDE w:val="0"/>
        <w:autoSpaceDN w:val="0"/>
        <w:adjustRightInd w:val="0"/>
        <w:ind w:left="0"/>
        <w:rPr>
          <w:color w:val="000000" w:themeColor="text1"/>
        </w:rPr>
      </w:pPr>
    </w:p>
    <w:p w14:paraId="6874034B" w14:textId="77777777" w:rsidR="003E4EE4" w:rsidRPr="0058432E" w:rsidRDefault="003E4EE4"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des symptômes de tuberculose (par </w:t>
      </w:r>
      <w:r w:rsidR="001946D2" w:rsidRPr="0058432E">
        <w:rPr>
          <w:color w:val="000000" w:themeColor="text1"/>
        </w:rPr>
        <w:t>ex</w:t>
      </w:r>
      <w:r w:rsidR="00A67736" w:rsidRPr="0058432E">
        <w:rPr>
          <w:color w:val="000000" w:themeColor="text1"/>
        </w:rPr>
        <w:t>emple</w:t>
      </w:r>
      <w:r w:rsidRPr="0058432E">
        <w:rPr>
          <w:color w:val="000000" w:themeColor="text1"/>
        </w:rPr>
        <w:t>, toux qui ne part pas, perte de poids, manque d’énergie, légère fièvre) ou si d’autres infections apparaissent durant ou après le traitement, prévenez le médecin de votre enfant immédiatement.</w:t>
      </w:r>
    </w:p>
    <w:p w14:paraId="45AF3C19" w14:textId="77777777" w:rsidR="004E705D" w:rsidRPr="0058432E" w:rsidRDefault="004E705D" w:rsidP="004E705D">
      <w:pPr>
        <w:pStyle w:val="ListParagraph"/>
        <w:rPr>
          <w:color w:val="000000" w:themeColor="text1"/>
        </w:rPr>
      </w:pPr>
    </w:p>
    <w:p w14:paraId="6EA15B7A" w14:textId="77777777" w:rsidR="00033670" w:rsidRPr="0058432E" w:rsidRDefault="00033670" w:rsidP="004E705D">
      <w:pPr>
        <w:keepNext/>
        <w:rPr>
          <w:color w:val="000000" w:themeColor="text1"/>
          <w:u w:val="single"/>
        </w:rPr>
      </w:pPr>
      <w:r w:rsidRPr="0058432E">
        <w:rPr>
          <w:color w:val="000000" w:themeColor="text1"/>
          <w:u w:val="single"/>
        </w:rPr>
        <w:t>Voyage/infection récurrente</w:t>
      </w:r>
    </w:p>
    <w:p w14:paraId="3F3F53B4" w14:textId="77777777" w:rsidR="00B466EE" w:rsidRPr="0058432E" w:rsidRDefault="00B466EE" w:rsidP="004E705D">
      <w:pPr>
        <w:pStyle w:val="BodyText"/>
        <w:keepNext/>
        <w:widowControl/>
        <w:kinsoku w:val="0"/>
        <w:overflowPunct w:val="0"/>
        <w:ind w:left="0"/>
        <w:rPr>
          <w:color w:val="000000" w:themeColor="text1"/>
          <w:szCs w:val="21"/>
        </w:rPr>
      </w:pPr>
    </w:p>
    <w:p w14:paraId="7B7AE7F2" w14:textId="77777777" w:rsidR="00B466EE" w:rsidRPr="0058432E" w:rsidRDefault="00B466EE" w:rsidP="004E705D">
      <w:pPr>
        <w:pStyle w:val="BodyText"/>
        <w:keepN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Avertissez le médecin de votre enfant si votre enfant a habité ou voyagé dans des régions où les infections fongiques telles qu’histoplasmose, coccidioïdomycose ou blastomycose sont endémiques (détectées).</w:t>
      </w:r>
    </w:p>
    <w:p w14:paraId="35211AA9" w14:textId="77777777" w:rsidR="00B466EE" w:rsidRPr="0058432E" w:rsidRDefault="00B466EE" w:rsidP="004E705D">
      <w:pPr>
        <w:pStyle w:val="BodyText"/>
        <w:widowControl/>
        <w:kinsoku w:val="0"/>
        <w:overflowPunct w:val="0"/>
        <w:ind w:left="562" w:hanging="562"/>
        <w:rPr>
          <w:color w:val="000000" w:themeColor="text1"/>
        </w:rPr>
      </w:pPr>
    </w:p>
    <w:p w14:paraId="5208A706"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Informez le médecin de votre enfant si votre enfant a eu des infections qui reviennent à plusieurs reprises ou d’autres problèmes de santé qui augmentent le risque d’infection.</w:t>
      </w:r>
    </w:p>
    <w:p w14:paraId="30FC8505" w14:textId="77777777" w:rsidR="00B466EE" w:rsidRPr="0058432E" w:rsidRDefault="00B466EE" w:rsidP="004E705D">
      <w:pPr>
        <w:pStyle w:val="BodyText"/>
        <w:widowControl/>
        <w:kinsoku w:val="0"/>
        <w:overflowPunct w:val="0"/>
        <w:ind w:left="562" w:hanging="562"/>
        <w:rPr>
          <w:color w:val="000000" w:themeColor="text1"/>
          <w:szCs w:val="21"/>
        </w:rPr>
      </w:pPr>
    </w:p>
    <w:p w14:paraId="6287E39C"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Vous et le médecin de votre enfant devez apporter une attention particulière aux signes d’infection lorsque </w:t>
      </w:r>
      <w:r w:rsidR="00161832" w:rsidRPr="0058432E">
        <w:rPr>
          <w:color w:val="000000" w:themeColor="text1"/>
        </w:rPr>
        <w:t>votre enfant est traité</w:t>
      </w:r>
      <w:r w:rsidRPr="0058432E">
        <w:rPr>
          <w:color w:val="000000" w:themeColor="text1"/>
        </w:rPr>
        <w:t xml:space="preserve"> par Amsparity. Il est important de signaler au médecin de votre enfant si votre enfant présente des signes d’infection tels que de la fièvre, des plaies, une sensation de fatigue ou des problèmes dentaires.</w:t>
      </w:r>
    </w:p>
    <w:p w14:paraId="1233CCDD" w14:textId="77777777" w:rsidR="00B466EE" w:rsidRPr="0058432E" w:rsidRDefault="00B466EE" w:rsidP="004E705D">
      <w:pPr>
        <w:pStyle w:val="BodyText"/>
        <w:widowControl/>
        <w:kinsoku w:val="0"/>
        <w:overflowPunct w:val="0"/>
        <w:autoSpaceDE w:val="0"/>
        <w:autoSpaceDN w:val="0"/>
        <w:adjustRightInd w:val="0"/>
        <w:ind w:left="0"/>
        <w:rPr>
          <w:color w:val="000000" w:themeColor="text1"/>
        </w:rPr>
      </w:pPr>
    </w:p>
    <w:p w14:paraId="6846F10E"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Hépatite B</w:t>
      </w:r>
    </w:p>
    <w:p w14:paraId="049A9DD3" w14:textId="77777777" w:rsidR="00B466EE" w:rsidRPr="0058432E" w:rsidRDefault="00B466EE" w:rsidP="004E705D">
      <w:pPr>
        <w:pStyle w:val="BodyText"/>
        <w:widowControl/>
        <w:kinsoku w:val="0"/>
        <w:overflowPunct w:val="0"/>
        <w:ind w:left="0"/>
        <w:rPr>
          <w:color w:val="000000" w:themeColor="text1"/>
        </w:rPr>
      </w:pPr>
    </w:p>
    <w:p w14:paraId="3AA5652B" w14:textId="77777777" w:rsidR="00AA4681" w:rsidRPr="0058432E" w:rsidRDefault="00AA4681" w:rsidP="00AA4681">
      <w:pPr>
        <w:numPr>
          <w:ilvl w:val="0"/>
          <w:numId w:val="6"/>
        </w:numPr>
        <w:ind w:left="562" w:hanging="562"/>
        <w:rPr>
          <w:color w:val="000000" w:themeColor="text1"/>
        </w:rPr>
      </w:pPr>
      <w:r w:rsidRPr="0058432E">
        <w:rPr>
          <w:color w:val="000000" w:themeColor="text1"/>
        </w:rPr>
        <w:t xml:space="preserve">Informez le médecin de votre enfant si votre enfant est porteur du virus de l’hépatite B (VHB), s’il a une infection active par le VHB ou si vous pensez qu’il peut avoir un risque d’attraper le VHB. Le médecin de votre enfant devra effectuer un dépistage du VHB chez votre enfant. L’adalimumab peut réactiver l’infection par le VHB chez les personnes porteuses du virus. Dans de rares cas, particulièrement si votre enfant prend d’autres médicaments qui diminuent le système immunitaire, une réactivation de l’infection par le VHB peut menacer le pronostic vital. </w:t>
      </w:r>
    </w:p>
    <w:p w14:paraId="76270154" w14:textId="77777777" w:rsidR="00B466EE" w:rsidRPr="0058432E" w:rsidRDefault="00B466EE" w:rsidP="004E705D">
      <w:pPr>
        <w:pStyle w:val="BodyText"/>
        <w:widowControl/>
        <w:kinsoku w:val="0"/>
        <w:overflowPunct w:val="0"/>
        <w:ind w:left="0"/>
        <w:rPr>
          <w:color w:val="000000" w:themeColor="text1"/>
        </w:rPr>
      </w:pPr>
    </w:p>
    <w:p w14:paraId="516AE422" w14:textId="77777777" w:rsidR="00B466EE" w:rsidRPr="0058432E" w:rsidRDefault="005D5ED5" w:rsidP="004E705D">
      <w:pPr>
        <w:pStyle w:val="BodyText"/>
        <w:widowControl/>
        <w:kinsoku w:val="0"/>
        <w:overflowPunct w:val="0"/>
        <w:ind w:left="0"/>
        <w:rPr>
          <w:color w:val="000000" w:themeColor="text1"/>
        </w:rPr>
      </w:pPr>
      <w:r w:rsidRPr="0058432E">
        <w:rPr>
          <w:color w:val="000000" w:themeColor="text1"/>
          <w:u w:val="single"/>
        </w:rPr>
        <w:t>Intervention chirurgicale ou</w:t>
      </w:r>
      <w:r w:rsidR="00B466EE" w:rsidRPr="0058432E">
        <w:rPr>
          <w:color w:val="000000" w:themeColor="text1"/>
          <w:u w:val="single"/>
        </w:rPr>
        <w:t xml:space="preserve"> dentaire</w:t>
      </w:r>
    </w:p>
    <w:p w14:paraId="0CBEC67E" w14:textId="77777777" w:rsidR="00B466EE" w:rsidRPr="0058432E" w:rsidRDefault="00B466EE" w:rsidP="004E705D">
      <w:pPr>
        <w:pStyle w:val="BodyText"/>
        <w:widowControl/>
        <w:kinsoku w:val="0"/>
        <w:overflowPunct w:val="0"/>
        <w:ind w:left="0"/>
        <w:rPr>
          <w:color w:val="000000" w:themeColor="text1"/>
        </w:rPr>
      </w:pPr>
    </w:p>
    <w:p w14:paraId="0DD196F5"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doit subir une intervention chirurgicale ou dentaire, informez le médecin de votre enfant qu’il est traité par Amsparity. Le médecin de votre enfant peut recommander d’arrêter temporairement Amsparity.</w:t>
      </w:r>
    </w:p>
    <w:p w14:paraId="3C98FDE9" w14:textId="77777777" w:rsidR="00B466EE" w:rsidRPr="0058432E" w:rsidRDefault="00B466EE" w:rsidP="004E705D">
      <w:pPr>
        <w:pStyle w:val="BodyText"/>
        <w:widowControl/>
        <w:kinsoku w:val="0"/>
        <w:overflowPunct w:val="0"/>
        <w:ind w:left="0"/>
        <w:rPr>
          <w:color w:val="000000" w:themeColor="text1"/>
        </w:rPr>
      </w:pPr>
    </w:p>
    <w:p w14:paraId="5451A35E"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u w:val="single"/>
        </w:rPr>
        <w:t>Maladie démyélinisante</w:t>
      </w:r>
    </w:p>
    <w:p w14:paraId="5AF5312D" w14:textId="77777777" w:rsidR="00B466EE" w:rsidRPr="0058432E" w:rsidRDefault="00B466EE" w:rsidP="004E705D">
      <w:pPr>
        <w:pStyle w:val="BodyText"/>
        <w:widowControl/>
        <w:kinsoku w:val="0"/>
        <w:overflowPunct w:val="0"/>
        <w:ind w:left="0"/>
        <w:rPr>
          <w:color w:val="000000" w:themeColor="text1"/>
        </w:rPr>
      </w:pPr>
    </w:p>
    <w:p w14:paraId="0B6C77FF"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a ou développe une maladie démyélinisante (une maladie qui affecte la gaine</w:t>
      </w:r>
      <w:r w:rsidR="00CA46C8" w:rsidRPr="0058432E">
        <w:rPr>
          <w:color w:val="000000" w:themeColor="text1"/>
        </w:rPr>
        <w:t xml:space="preserve"> isolante</w:t>
      </w:r>
      <w:r w:rsidRPr="0058432E">
        <w:rPr>
          <w:color w:val="000000" w:themeColor="text1"/>
        </w:rPr>
        <w:t xml:space="preserve"> entourant les nerfs, telle que la sclérose en plaques), le médecin de votre enfant évaluera s’il doit recevoir ou continuer de recevoir Amsparity. Informez immédiatement le médecin de votre enfant si votre enfant présente des symptômes tels que des modifications de la vision, une faiblesse dans les bras ou les jambes, ou un engourdissement ou des fourmillements dans une partie du corps.</w:t>
      </w:r>
    </w:p>
    <w:p w14:paraId="5B4433A6" w14:textId="77777777" w:rsidR="00B466EE" w:rsidRPr="0058432E" w:rsidRDefault="00B466EE" w:rsidP="004E705D">
      <w:pPr>
        <w:pStyle w:val="BodyText"/>
        <w:widowControl/>
        <w:kinsoku w:val="0"/>
        <w:overflowPunct w:val="0"/>
        <w:ind w:left="0"/>
        <w:rPr>
          <w:color w:val="000000" w:themeColor="text1"/>
        </w:rPr>
      </w:pPr>
    </w:p>
    <w:p w14:paraId="627E421E" w14:textId="77777777" w:rsidR="00B466EE" w:rsidRPr="0058432E" w:rsidRDefault="008639F1" w:rsidP="006D1A33">
      <w:pPr>
        <w:pStyle w:val="BodyText"/>
        <w:keepNext/>
        <w:keepLines/>
        <w:widowControl/>
        <w:kinsoku w:val="0"/>
        <w:overflowPunct w:val="0"/>
        <w:ind w:left="0"/>
        <w:rPr>
          <w:color w:val="000000" w:themeColor="text1"/>
        </w:rPr>
      </w:pPr>
      <w:r w:rsidRPr="0058432E">
        <w:rPr>
          <w:color w:val="000000" w:themeColor="text1"/>
          <w:u w:val="single"/>
        </w:rPr>
        <w:t>Vaccin</w:t>
      </w:r>
      <w:r w:rsidR="008E139F" w:rsidRPr="0058432E">
        <w:rPr>
          <w:color w:val="000000" w:themeColor="text1"/>
          <w:u w:val="single"/>
        </w:rPr>
        <w:t>ation</w:t>
      </w:r>
    </w:p>
    <w:p w14:paraId="20BB586F" w14:textId="77777777" w:rsidR="00B466EE" w:rsidRPr="0058432E" w:rsidRDefault="00B466EE" w:rsidP="006D1A33">
      <w:pPr>
        <w:pStyle w:val="BodyText"/>
        <w:keepNext/>
        <w:keepLines/>
        <w:widowControl/>
        <w:kinsoku w:val="0"/>
        <w:overflowPunct w:val="0"/>
        <w:ind w:left="0"/>
        <w:rPr>
          <w:color w:val="000000" w:themeColor="text1"/>
        </w:rPr>
      </w:pPr>
    </w:p>
    <w:p w14:paraId="4E3C6481"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Certains vaccins contiennent des formes vivantes mais affaiblies de bactéries ou de virus pathogènes qui peuvent </w:t>
      </w:r>
      <w:r w:rsidR="004E5EC8" w:rsidRPr="0058432E">
        <w:rPr>
          <w:color w:val="000000" w:themeColor="text1"/>
        </w:rPr>
        <w:t>entraîner</w:t>
      </w:r>
      <w:r w:rsidRPr="0058432E">
        <w:rPr>
          <w:color w:val="000000" w:themeColor="text1"/>
        </w:rPr>
        <w:t xml:space="preserve"> des infections et ne doivent pas être administrés pendant le traitement par Amsparity. Vérifiez avec le médecin de votre enfant avant toute vaccination de votre enfant. Il est recommandé, si possible, que les enfants aient reçu les vaccinations prévues pour leur âge avant le début du traitement par Amsparity. Si votre fille a reçu Amsparity alors </w:t>
      </w:r>
      <w:r w:rsidRPr="0058432E">
        <w:rPr>
          <w:color w:val="000000" w:themeColor="text1"/>
        </w:rPr>
        <w:lastRenderedPageBreak/>
        <w:t xml:space="preserve">qu’elle était enceinte, son bébé peut présenter un risque plus élevé d’avoir une infection pendant environ cinq mois après la dernière dose d’Amsparity reçue </w:t>
      </w:r>
      <w:r w:rsidR="00B32725" w:rsidRPr="0058432E">
        <w:rPr>
          <w:color w:val="000000" w:themeColor="text1"/>
        </w:rPr>
        <w:t xml:space="preserve">par votre fille </w:t>
      </w:r>
      <w:r w:rsidRPr="0058432E">
        <w:rPr>
          <w:color w:val="000000" w:themeColor="text1"/>
        </w:rPr>
        <w:t>pendant la grossesse. Il est important de dire aux médecins de son bébé et aux autres professionnels de santé que votre fille a reçu Amsparity pendant sa grossesse ; ils pourront ainsi décider quand son bébé devra recevoir ses vaccins.</w:t>
      </w:r>
    </w:p>
    <w:p w14:paraId="7DE87BF5" w14:textId="77777777" w:rsidR="00B466EE" w:rsidRPr="0058432E" w:rsidRDefault="00B466EE" w:rsidP="004E705D">
      <w:pPr>
        <w:pStyle w:val="BodyText"/>
        <w:widowControl/>
        <w:kinsoku w:val="0"/>
        <w:overflowPunct w:val="0"/>
        <w:ind w:left="0"/>
        <w:rPr>
          <w:color w:val="000000" w:themeColor="text1"/>
          <w:u w:val="single"/>
        </w:rPr>
      </w:pPr>
    </w:p>
    <w:p w14:paraId="5AE850B3" w14:textId="77777777" w:rsidR="00B466EE" w:rsidRPr="0058432E" w:rsidRDefault="00B466EE" w:rsidP="004E705D">
      <w:pPr>
        <w:pStyle w:val="BodyText"/>
        <w:keepNext/>
        <w:widowControl/>
        <w:kinsoku w:val="0"/>
        <w:overflowPunct w:val="0"/>
        <w:ind w:left="0"/>
        <w:rPr>
          <w:color w:val="000000" w:themeColor="text1"/>
        </w:rPr>
      </w:pPr>
      <w:r w:rsidRPr="0058432E">
        <w:rPr>
          <w:color w:val="000000" w:themeColor="text1"/>
          <w:u w:val="single"/>
        </w:rPr>
        <w:t>Troubles cardiaques</w:t>
      </w:r>
    </w:p>
    <w:p w14:paraId="1D6CD60B" w14:textId="77777777" w:rsidR="00B466EE" w:rsidRPr="0058432E" w:rsidRDefault="00B466EE" w:rsidP="004E705D">
      <w:pPr>
        <w:pStyle w:val="BodyText"/>
        <w:keepNext/>
        <w:widowControl/>
        <w:kinsoku w:val="0"/>
        <w:overflowPunct w:val="0"/>
        <w:ind w:left="0"/>
        <w:rPr>
          <w:color w:val="000000" w:themeColor="text1"/>
        </w:rPr>
      </w:pPr>
    </w:p>
    <w:p w14:paraId="735C36DD" w14:textId="77777777" w:rsidR="00B466EE" w:rsidRPr="0058432E" w:rsidRDefault="001E0CF3" w:rsidP="004E705D">
      <w:pPr>
        <w:pStyle w:val="BodyText"/>
        <w:keepN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Il est important d’informer le médecin de votre enfant si votre enfant a ou a eu des problèmes cardiaques graves. Si votre enfant a une insuffisance cardiaque légère et est traité par Amsparity, ses troubles cardiaques doivent être surveillés </w:t>
      </w:r>
      <w:r w:rsidR="00B32725" w:rsidRPr="0058432E">
        <w:rPr>
          <w:color w:val="000000" w:themeColor="text1"/>
        </w:rPr>
        <w:t xml:space="preserve">attentivement </w:t>
      </w:r>
      <w:r w:rsidRPr="0058432E">
        <w:rPr>
          <w:color w:val="000000" w:themeColor="text1"/>
        </w:rPr>
        <w:t xml:space="preserve">par le médecin de votre enfant. S’il développe de nouveaux symptômes ou si ceux de l’insuffisance cardiaque s’aggravent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BF7BFC" w:rsidRPr="0058432E">
        <w:rPr>
          <w:color w:val="000000" w:themeColor="text1"/>
        </w:rPr>
        <w:t>essoufflement</w:t>
      </w:r>
      <w:r w:rsidRPr="0058432E">
        <w:rPr>
          <w:color w:val="000000" w:themeColor="text1"/>
        </w:rPr>
        <w:t xml:space="preserve"> ou gonflement des pieds), vous devez contacter immédiatement le médecin de votre enfant. </w:t>
      </w:r>
    </w:p>
    <w:p w14:paraId="33B1B871" w14:textId="77777777" w:rsidR="00B466EE" w:rsidRPr="0058432E" w:rsidRDefault="00B466EE" w:rsidP="004E705D">
      <w:pPr>
        <w:pStyle w:val="BodyText"/>
        <w:widowControl/>
        <w:kinsoku w:val="0"/>
        <w:overflowPunct w:val="0"/>
        <w:ind w:left="0"/>
        <w:rPr>
          <w:color w:val="000000" w:themeColor="text1"/>
        </w:rPr>
      </w:pPr>
    </w:p>
    <w:p w14:paraId="43FDA024" w14:textId="77777777" w:rsidR="00B466EE" w:rsidRPr="0058432E" w:rsidRDefault="00B466EE" w:rsidP="004E705D">
      <w:pPr>
        <w:pStyle w:val="BodyText"/>
        <w:keepNext/>
        <w:widowControl/>
        <w:kinsoku w:val="0"/>
        <w:overflowPunct w:val="0"/>
        <w:ind w:left="0"/>
        <w:rPr>
          <w:color w:val="000000" w:themeColor="text1"/>
        </w:rPr>
      </w:pPr>
      <w:r w:rsidRPr="0058432E">
        <w:rPr>
          <w:color w:val="000000" w:themeColor="text1"/>
          <w:u w:val="single"/>
        </w:rPr>
        <w:t xml:space="preserve">Fièvre, </w:t>
      </w:r>
      <w:r w:rsidR="00B32725" w:rsidRPr="0058432E">
        <w:rPr>
          <w:color w:val="000000" w:themeColor="text1"/>
          <w:u w:val="single"/>
        </w:rPr>
        <w:t>contusions</w:t>
      </w:r>
      <w:r w:rsidRPr="0058432E">
        <w:rPr>
          <w:color w:val="000000" w:themeColor="text1"/>
          <w:u w:val="single"/>
        </w:rPr>
        <w:t>, saignement ou aspect pâle</w:t>
      </w:r>
    </w:p>
    <w:p w14:paraId="73F55DCA" w14:textId="77777777" w:rsidR="00B466EE" w:rsidRPr="0058432E" w:rsidRDefault="00B466EE" w:rsidP="004E705D">
      <w:pPr>
        <w:pStyle w:val="BodyText"/>
        <w:keepNext/>
        <w:widowControl/>
        <w:kinsoku w:val="0"/>
        <w:overflowPunct w:val="0"/>
        <w:ind w:left="0"/>
        <w:rPr>
          <w:color w:val="000000" w:themeColor="text1"/>
        </w:rPr>
      </w:pPr>
    </w:p>
    <w:p w14:paraId="271C10FC"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Chez certains patients, l’organisme n’arrive plus à produire suffisamment de </w:t>
      </w:r>
      <w:r w:rsidR="00FB440E" w:rsidRPr="0058432E">
        <w:rPr>
          <w:color w:val="000000" w:themeColor="text1"/>
        </w:rPr>
        <w:t>globules</w:t>
      </w:r>
      <w:r w:rsidRPr="0058432E">
        <w:rPr>
          <w:color w:val="000000" w:themeColor="text1"/>
        </w:rPr>
        <w:t xml:space="preserve"> sanguins qui aident à lutter contre les infections ou à arrêter les saignements. Si votre enfant a une fièvre qui ne disparaît pas, des contusions ou s’il saigne très facilement ou semble très pâle, contactez tout de suite le médecin de votre enfant. Le médecin de votre enfant pourrait décider d’arrêter le traitement.</w:t>
      </w:r>
    </w:p>
    <w:p w14:paraId="7AC45E19" w14:textId="77777777" w:rsidR="00B466EE" w:rsidRPr="0058432E" w:rsidRDefault="00B466EE" w:rsidP="004E705D">
      <w:pPr>
        <w:pStyle w:val="BodyText"/>
        <w:widowControl/>
        <w:kinsoku w:val="0"/>
        <w:overflowPunct w:val="0"/>
        <w:ind w:left="0"/>
        <w:rPr>
          <w:color w:val="000000" w:themeColor="text1"/>
        </w:rPr>
      </w:pPr>
    </w:p>
    <w:p w14:paraId="5A5ADB05" w14:textId="77777777" w:rsidR="00B466EE" w:rsidRPr="0058432E" w:rsidRDefault="00B466EE" w:rsidP="00A71117">
      <w:pPr>
        <w:pStyle w:val="BodyText"/>
        <w:keepNext/>
        <w:keepLines/>
        <w:widowControl/>
        <w:kinsoku w:val="0"/>
        <w:overflowPunct w:val="0"/>
        <w:ind w:left="0"/>
        <w:rPr>
          <w:color w:val="000000" w:themeColor="text1"/>
        </w:rPr>
      </w:pPr>
      <w:r w:rsidRPr="0058432E">
        <w:rPr>
          <w:color w:val="000000" w:themeColor="text1"/>
          <w:u w:val="single"/>
        </w:rPr>
        <w:t>Cancer</w:t>
      </w:r>
    </w:p>
    <w:p w14:paraId="6A91250E" w14:textId="77777777" w:rsidR="00B466EE" w:rsidRPr="0058432E" w:rsidRDefault="00B466EE" w:rsidP="00A71117">
      <w:pPr>
        <w:pStyle w:val="BodyText"/>
        <w:keepNext/>
        <w:keepLines/>
        <w:widowControl/>
        <w:kinsoku w:val="0"/>
        <w:overflowPunct w:val="0"/>
        <w:ind w:left="0"/>
        <w:rPr>
          <w:color w:val="000000" w:themeColor="text1"/>
        </w:rPr>
      </w:pPr>
    </w:p>
    <w:p w14:paraId="5D478CE9" w14:textId="77777777" w:rsidR="00B466EE" w:rsidRPr="0058432E" w:rsidRDefault="00B466EE" w:rsidP="00A71117">
      <w:pPr>
        <w:pStyle w:val="BodyText"/>
        <w:keepNext/>
        <w:keepLines/>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Il y a eu de très rares cas de certains types de cancers chez des enfants et des adultes traités par adalimumab ou par d’autres anti-TNFα. Les sujets avec une polyarthrite rhumatoïde plus grave et qui ont développé la maladie depuis longtemps </w:t>
      </w:r>
      <w:r w:rsidR="004E5EC8" w:rsidRPr="0058432E">
        <w:rPr>
          <w:color w:val="000000" w:themeColor="text1"/>
        </w:rPr>
        <w:t>peuvent avoir</w:t>
      </w:r>
      <w:r w:rsidRPr="0058432E">
        <w:rPr>
          <w:color w:val="000000" w:themeColor="text1"/>
        </w:rPr>
        <w:t xml:space="preserve"> un risque plus élevé que la moyenne de développer un lymphome et une leucémie (cancers qui touchent les </w:t>
      </w:r>
      <w:r w:rsidR="00FB440E" w:rsidRPr="0058432E">
        <w:rPr>
          <w:color w:val="000000" w:themeColor="text1"/>
        </w:rPr>
        <w:t>globules</w:t>
      </w:r>
      <w:r w:rsidRPr="0058432E">
        <w:rPr>
          <w:color w:val="000000" w:themeColor="text1"/>
        </w:rPr>
        <w:t xml:space="preserve"> sanguins et la moelle osseuse). Si votre enfant est traité par Amsparity, le risque d’avoir un lymphome, une leucémie ou d’autres cancers peut augmenter. Dans de rares cas, une forme rare et sévère de lymphome a été observée chez des patients prenant l’adalimumab. Certains de ces patients étaient également traités par les médicaments azathioprine ou mercaptopurine. Indiquez au médecin de votre enfant si votre enfant prend de l’azathioprine ou de la mercaptopurine avec Amsparity.</w:t>
      </w:r>
    </w:p>
    <w:p w14:paraId="1CF5A608" w14:textId="77777777" w:rsidR="00905592" w:rsidRPr="0058432E" w:rsidRDefault="00905592" w:rsidP="004E705D">
      <w:pPr>
        <w:pStyle w:val="BodyText"/>
        <w:widowControl/>
        <w:kinsoku w:val="0"/>
        <w:overflowPunct w:val="0"/>
        <w:autoSpaceDE w:val="0"/>
        <w:autoSpaceDN w:val="0"/>
        <w:adjustRightInd w:val="0"/>
        <w:ind w:left="0"/>
        <w:rPr>
          <w:color w:val="000000" w:themeColor="text1"/>
        </w:rPr>
      </w:pPr>
    </w:p>
    <w:p w14:paraId="16EF3D27" w14:textId="77777777" w:rsidR="00B466EE" w:rsidRPr="0058432E" w:rsidRDefault="00905592"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De plus, des cas de cancers de la peau </w:t>
      </w:r>
      <w:proofErr w:type="gramStart"/>
      <w:r w:rsidRPr="0058432E">
        <w:rPr>
          <w:color w:val="000000" w:themeColor="text1"/>
        </w:rPr>
        <w:t>non mélanomes</w:t>
      </w:r>
      <w:proofErr w:type="gramEnd"/>
      <w:r w:rsidRPr="0058432E">
        <w:rPr>
          <w:color w:val="000000" w:themeColor="text1"/>
        </w:rPr>
        <w:t xml:space="preserve"> ont été observés chez des patients prenant l’adalimumab. Si de nouvelles zones de peau lésée apparaissent pendant ou après le traitement ou si des marques existantes ou des zones lésées changent d’apparence, dites-le au médecin de votre enfant.</w:t>
      </w:r>
    </w:p>
    <w:p w14:paraId="7309B624" w14:textId="77777777" w:rsidR="00B466EE" w:rsidRPr="0058432E" w:rsidRDefault="00B466EE" w:rsidP="004E705D">
      <w:pPr>
        <w:pStyle w:val="BodyText"/>
        <w:widowControl/>
        <w:kinsoku w:val="0"/>
        <w:overflowPunct w:val="0"/>
        <w:ind w:left="562" w:hanging="562"/>
        <w:rPr>
          <w:color w:val="000000" w:themeColor="text1"/>
        </w:rPr>
      </w:pPr>
    </w:p>
    <w:p w14:paraId="569D6D07"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Des cas de cancers autres que des lymphomes ont été signalés chez des patients souffrant d’une maladie pulmonaire spécifique appelée broncho-pneumopathie chronique obstructive (BPCO) et traité</w:t>
      </w:r>
      <w:r w:rsidR="00B32725" w:rsidRPr="0058432E">
        <w:rPr>
          <w:color w:val="000000" w:themeColor="text1"/>
        </w:rPr>
        <w:t>e</w:t>
      </w:r>
      <w:r w:rsidRPr="0058432E">
        <w:rPr>
          <w:color w:val="000000" w:themeColor="text1"/>
        </w:rPr>
        <w:t xml:space="preserve"> par un autre anti-TNFα. Si votre enfant souffre de BPCO ou est un gros fumeur, vous devriez discuter avec le médecin de votre enfant si un traitement par un anti-TNFα est adapté pour votre enfant.</w:t>
      </w:r>
    </w:p>
    <w:p w14:paraId="706C7963" w14:textId="77777777" w:rsidR="00B466EE" w:rsidRPr="0058432E" w:rsidRDefault="00B466EE" w:rsidP="004E705D">
      <w:pPr>
        <w:pStyle w:val="BodyText"/>
        <w:widowControl/>
        <w:kinsoku w:val="0"/>
        <w:overflowPunct w:val="0"/>
        <w:ind w:left="0"/>
        <w:rPr>
          <w:color w:val="000000" w:themeColor="text1"/>
        </w:rPr>
      </w:pPr>
    </w:p>
    <w:p w14:paraId="0C79AE9F" w14:textId="77777777" w:rsidR="00B466EE" w:rsidRPr="0058432E" w:rsidRDefault="00B466EE" w:rsidP="006D1A33">
      <w:pPr>
        <w:pStyle w:val="BodyText"/>
        <w:keepNext/>
        <w:keepLines/>
        <w:widowControl/>
        <w:kinsoku w:val="0"/>
        <w:overflowPunct w:val="0"/>
        <w:ind w:left="0"/>
        <w:rPr>
          <w:color w:val="000000" w:themeColor="text1"/>
        </w:rPr>
      </w:pPr>
      <w:r w:rsidRPr="0058432E">
        <w:rPr>
          <w:color w:val="000000" w:themeColor="text1"/>
          <w:u w:val="single"/>
        </w:rPr>
        <w:t>Maladie auto-immune</w:t>
      </w:r>
    </w:p>
    <w:p w14:paraId="332CD3B8" w14:textId="77777777" w:rsidR="00B466EE" w:rsidRPr="0058432E" w:rsidRDefault="00B466EE" w:rsidP="006D1A33">
      <w:pPr>
        <w:pStyle w:val="BodyText"/>
        <w:keepNext/>
        <w:keepLines/>
        <w:widowControl/>
        <w:kinsoku w:val="0"/>
        <w:overflowPunct w:val="0"/>
        <w:ind w:left="0"/>
        <w:rPr>
          <w:color w:val="000000" w:themeColor="text1"/>
          <w:szCs w:val="16"/>
        </w:rPr>
      </w:pPr>
    </w:p>
    <w:p w14:paraId="59C2F808" w14:textId="77777777" w:rsidR="00B466EE" w:rsidRPr="0058432E" w:rsidRDefault="00B466EE" w:rsidP="004E705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Dans de rares cas, le traitement par Amsparity peut entrainer un syndrome de type lupus. Contactez le médecin de votre enfant si des symptômes tels qu</w:t>
      </w:r>
      <w:r w:rsidR="00FD6456" w:rsidRPr="0058432E">
        <w:rPr>
          <w:color w:val="000000" w:themeColor="text1"/>
        </w:rPr>
        <w:t xml:space="preserve">’une </w:t>
      </w:r>
      <w:r w:rsidR="00BF7BFC" w:rsidRPr="0058432E">
        <w:rPr>
          <w:color w:val="000000" w:themeColor="text1"/>
        </w:rPr>
        <w:t xml:space="preserve">éruption cutanée </w:t>
      </w:r>
      <w:r w:rsidRPr="0058432E">
        <w:rPr>
          <w:color w:val="000000" w:themeColor="text1"/>
        </w:rPr>
        <w:t>persistant</w:t>
      </w:r>
      <w:r w:rsidR="00FB440E" w:rsidRPr="0058432E">
        <w:rPr>
          <w:color w:val="000000" w:themeColor="text1"/>
        </w:rPr>
        <w:t>e</w:t>
      </w:r>
      <w:r w:rsidRPr="0058432E">
        <w:rPr>
          <w:color w:val="000000" w:themeColor="text1"/>
        </w:rPr>
        <w:t xml:space="preserve"> inexpliqué</w:t>
      </w:r>
      <w:r w:rsidR="00FB440E" w:rsidRPr="0058432E">
        <w:rPr>
          <w:color w:val="000000" w:themeColor="text1"/>
        </w:rPr>
        <w:t>e</w:t>
      </w:r>
      <w:r w:rsidRPr="0058432E">
        <w:rPr>
          <w:color w:val="000000" w:themeColor="text1"/>
        </w:rPr>
        <w:t>, fièvre, douleur articulaire ou fatigue surviennent.</w:t>
      </w:r>
    </w:p>
    <w:p w14:paraId="27B241F8" w14:textId="77777777" w:rsidR="00B466EE" w:rsidRPr="0058432E" w:rsidRDefault="00B466EE" w:rsidP="004E705D">
      <w:pPr>
        <w:pStyle w:val="BodyText"/>
        <w:widowControl/>
        <w:kinsoku w:val="0"/>
        <w:overflowPunct w:val="0"/>
        <w:ind w:left="0"/>
        <w:rPr>
          <w:color w:val="000000" w:themeColor="text1"/>
        </w:rPr>
      </w:pPr>
    </w:p>
    <w:p w14:paraId="7C99929E" w14:textId="77777777" w:rsidR="008E1B82" w:rsidRPr="0058432E" w:rsidRDefault="008E1B82" w:rsidP="004E705D">
      <w:pPr>
        <w:pStyle w:val="BodyText"/>
        <w:widowControl/>
        <w:kinsoku w:val="0"/>
        <w:overflowPunct w:val="0"/>
        <w:ind w:left="0"/>
        <w:rPr>
          <w:color w:val="000000" w:themeColor="text1"/>
        </w:rPr>
      </w:pPr>
    </w:p>
    <w:p w14:paraId="2A9ABB33"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Autres médicaments et Amsparity</w:t>
      </w:r>
    </w:p>
    <w:p w14:paraId="0D0C5A7D" w14:textId="77777777" w:rsidR="00B466EE" w:rsidRPr="0058432E" w:rsidRDefault="00B466EE" w:rsidP="004E705D">
      <w:pPr>
        <w:pStyle w:val="BodyText"/>
        <w:widowControl/>
        <w:kinsoku w:val="0"/>
        <w:overflowPunct w:val="0"/>
        <w:ind w:left="0"/>
        <w:rPr>
          <w:b/>
          <w:bCs/>
          <w:color w:val="000000" w:themeColor="text1"/>
          <w:szCs w:val="21"/>
        </w:rPr>
      </w:pPr>
    </w:p>
    <w:p w14:paraId="2DF82169" w14:textId="77777777" w:rsidR="00B466EE" w:rsidRPr="0058432E" w:rsidRDefault="00B466EE" w:rsidP="004E705D">
      <w:pPr>
        <w:pStyle w:val="BodyText"/>
        <w:widowControl/>
        <w:kinsoku w:val="0"/>
        <w:overflowPunct w:val="0"/>
        <w:ind w:left="0"/>
        <w:rPr>
          <w:color w:val="000000" w:themeColor="text1"/>
        </w:rPr>
      </w:pPr>
      <w:r w:rsidRPr="0058432E">
        <w:rPr>
          <w:color w:val="000000" w:themeColor="text1"/>
        </w:rPr>
        <w:lastRenderedPageBreak/>
        <w:t>Informez le médecin</w:t>
      </w:r>
      <w:r w:rsidR="001B1911" w:rsidRPr="0058432E">
        <w:rPr>
          <w:color w:val="000000" w:themeColor="text1"/>
        </w:rPr>
        <w:t xml:space="preserve"> de votre enfant</w:t>
      </w:r>
      <w:r w:rsidRPr="0058432E">
        <w:rPr>
          <w:color w:val="000000" w:themeColor="text1"/>
        </w:rPr>
        <w:t xml:space="preserve"> ou le pharmacien si votre enfant prend ou a pris récemment, ou pourrait prendre tout autre médicament.</w:t>
      </w:r>
    </w:p>
    <w:p w14:paraId="2326953C" w14:textId="77777777" w:rsidR="002C203C" w:rsidRPr="0058432E" w:rsidRDefault="002C203C" w:rsidP="004E705D">
      <w:pPr>
        <w:pStyle w:val="BodyText"/>
        <w:widowControl/>
        <w:kinsoku w:val="0"/>
        <w:overflowPunct w:val="0"/>
        <w:ind w:left="0"/>
        <w:rPr>
          <w:color w:val="000000" w:themeColor="text1"/>
        </w:rPr>
      </w:pPr>
    </w:p>
    <w:p w14:paraId="1A37DB57" w14:textId="77777777" w:rsidR="002C203C" w:rsidRPr="0058432E" w:rsidRDefault="002C203C" w:rsidP="004E705D">
      <w:pPr>
        <w:pStyle w:val="BodyText"/>
        <w:widowControl/>
        <w:kinsoku w:val="0"/>
        <w:overflowPunct w:val="0"/>
        <w:ind w:left="0"/>
        <w:rPr>
          <w:color w:val="000000" w:themeColor="text1"/>
        </w:rPr>
      </w:pPr>
      <w:r w:rsidRPr="0058432E">
        <w:rPr>
          <w:color w:val="000000" w:themeColor="text1"/>
        </w:rPr>
        <w:t xml:space="preserve">Amsparity peut être pris en association avec le méthotrexate ou certains traitements de fond </w:t>
      </w:r>
      <w:r w:rsidR="00627651" w:rsidRPr="0058432E">
        <w:rPr>
          <w:color w:val="000000" w:themeColor="text1"/>
        </w:rPr>
        <w:t>antirhumatisma</w:t>
      </w:r>
      <w:r w:rsidR="00E86A8F" w:rsidRPr="0058432E">
        <w:rPr>
          <w:color w:val="000000" w:themeColor="text1"/>
        </w:rPr>
        <w:t>ux</w:t>
      </w:r>
      <w:r w:rsidR="00627651" w:rsidRPr="0058432E">
        <w:rPr>
          <w:color w:val="000000" w:themeColor="text1"/>
        </w:rPr>
        <w:t xml:space="preserve"> </w:t>
      </w:r>
      <w:r w:rsidRPr="0058432E">
        <w:rPr>
          <w:color w:val="000000" w:themeColor="text1"/>
        </w:rPr>
        <w:t xml:space="preserve">(par </w:t>
      </w:r>
      <w:r w:rsidR="001946D2" w:rsidRPr="0058432E">
        <w:rPr>
          <w:color w:val="000000" w:themeColor="text1"/>
        </w:rPr>
        <w:t>ex</w:t>
      </w:r>
      <w:r w:rsidR="00A67736" w:rsidRPr="0058432E">
        <w:rPr>
          <w:color w:val="000000" w:themeColor="text1"/>
        </w:rPr>
        <w:t>emple</w:t>
      </w:r>
      <w:r w:rsidRPr="0058432E">
        <w:rPr>
          <w:color w:val="000000" w:themeColor="text1"/>
        </w:rPr>
        <w:t>, sulfasalazine, hydroxychloroquine, léflunomide et préparations injectables à base de sels d’or), corticoïdes ou médicaments contre la douleur</w:t>
      </w:r>
      <w:r w:rsidR="001B1911" w:rsidRPr="0058432E">
        <w:rPr>
          <w:color w:val="000000" w:themeColor="text1"/>
        </w:rPr>
        <w:t>,</w:t>
      </w:r>
      <w:r w:rsidRPr="0058432E">
        <w:rPr>
          <w:color w:val="000000" w:themeColor="text1"/>
        </w:rPr>
        <w:t xml:space="preserve"> y compris les anti-inflammatoires non stéroïdiens (AINS).</w:t>
      </w:r>
    </w:p>
    <w:p w14:paraId="6BE66973" w14:textId="77777777" w:rsidR="002C203C" w:rsidRPr="0058432E" w:rsidRDefault="002C203C" w:rsidP="00CC7B42">
      <w:pPr>
        <w:pStyle w:val="BodyText"/>
        <w:widowControl/>
        <w:kinsoku w:val="0"/>
        <w:overflowPunct w:val="0"/>
        <w:ind w:left="0"/>
        <w:rPr>
          <w:color w:val="000000" w:themeColor="text1"/>
        </w:rPr>
      </w:pPr>
    </w:p>
    <w:p w14:paraId="0168609C" w14:textId="77777777" w:rsidR="002C203C" w:rsidRPr="0058432E" w:rsidRDefault="00B466EE" w:rsidP="00CC7B42">
      <w:pPr>
        <w:pStyle w:val="BodyText"/>
        <w:widowControl/>
        <w:kinsoku w:val="0"/>
        <w:overflowPunct w:val="0"/>
        <w:ind w:left="0"/>
        <w:rPr>
          <w:color w:val="000000" w:themeColor="text1"/>
        </w:rPr>
      </w:pPr>
      <w:r w:rsidRPr="0058432E">
        <w:rPr>
          <w:color w:val="000000" w:themeColor="text1"/>
        </w:rPr>
        <w:t xml:space="preserve">Votre enfant ne doit pas prendre Amsparity en association avec des médicaments contenant les substances actives anakinra ou abatacept en raison du risque accru d’infection grave. L’association de l’adalimumab et d’autres </w:t>
      </w:r>
      <w:r w:rsidR="00533435" w:rsidRPr="0058432E">
        <w:rPr>
          <w:color w:val="000000" w:themeColor="text1"/>
        </w:rPr>
        <w:t>antagoniste</w:t>
      </w:r>
      <w:r w:rsidR="001B1911" w:rsidRPr="0058432E">
        <w:rPr>
          <w:color w:val="000000" w:themeColor="text1"/>
        </w:rPr>
        <w:t>s</w:t>
      </w:r>
      <w:r w:rsidR="00533435" w:rsidRPr="0058432E">
        <w:rPr>
          <w:color w:val="000000" w:themeColor="text1"/>
        </w:rPr>
        <w:t xml:space="preserve"> du TNF</w:t>
      </w:r>
      <w:r w:rsidR="001B1911" w:rsidRPr="0058432E">
        <w:rPr>
          <w:color w:val="000000" w:themeColor="text1"/>
        </w:rPr>
        <w:t xml:space="preserve"> </w:t>
      </w:r>
      <w:r w:rsidRPr="0058432E">
        <w:rPr>
          <w:color w:val="000000" w:themeColor="text1"/>
        </w:rPr>
        <w:t>avec l’anakinra ou l’abatacept n’est pas recommandée en raison de l’augmentation possible du risque d’infections, y compris d’infections graves, et d’autres interactions pharmacologiques potentielles. Si vous vous posez des questions, consultez le médecin de votre enfant.</w:t>
      </w:r>
    </w:p>
    <w:p w14:paraId="1C4EEFA8" w14:textId="77777777" w:rsidR="00B466EE" w:rsidRPr="0058432E" w:rsidRDefault="00B466EE" w:rsidP="00CC7B42">
      <w:pPr>
        <w:pStyle w:val="BodyText"/>
        <w:widowControl/>
        <w:kinsoku w:val="0"/>
        <w:overflowPunct w:val="0"/>
        <w:ind w:left="0"/>
        <w:rPr>
          <w:color w:val="000000" w:themeColor="text1"/>
        </w:rPr>
      </w:pPr>
    </w:p>
    <w:p w14:paraId="1B4CAF3D"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Grossesse et allaitement</w:t>
      </w:r>
    </w:p>
    <w:p w14:paraId="67EB86C5" w14:textId="77777777" w:rsidR="00B466EE" w:rsidRPr="0058432E" w:rsidRDefault="00B466EE" w:rsidP="00CC7B42">
      <w:pPr>
        <w:pStyle w:val="BodyText"/>
        <w:widowControl/>
        <w:kinsoku w:val="0"/>
        <w:overflowPunct w:val="0"/>
        <w:ind w:left="0"/>
        <w:rPr>
          <w:b/>
          <w:bCs/>
          <w:color w:val="000000" w:themeColor="text1"/>
          <w:szCs w:val="21"/>
        </w:rPr>
      </w:pPr>
    </w:p>
    <w:p w14:paraId="519E2053" w14:textId="77777777" w:rsidR="00D45E2F" w:rsidRPr="0058432E" w:rsidRDefault="00D45E2F" w:rsidP="00ED009A">
      <w:pPr>
        <w:autoSpaceDE w:val="0"/>
        <w:autoSpaceDN w:val="0"/>
        <w:adjustRightInd w:val="0"/>
        <w:rPr>
          <w:color w:val="000000" w:themeColor="text1"/>
        </w:rPr>
      </w:pPr>
      <w:r w:rsidRPr="0058432E">
        <w:rPr>
          <w:color w:val="000000" w:themeColor="text1"/>
        </w:rPr>
        <w:t>Votre fille doit envisager l’utilisation d’une contraception efficace pour éviter toute grossesse et poursuivre son utilisation pendant au moins 5 mois après l’arrêt du traitement par Amsparity.</w:t>
      </w:r>
    </w:p>
    <w:p w14:paraId="3A4AEFC3" w14:textId="77777777" w:rsidR="0023282C" w:rsidRPr="0058432E" w:rsidRDefault="0023282C" w:rsidP="00ED009A">
      <w:pPr>
        <w:autoSpaceDE w:val="0"/>
        <w:autoSpaceDN w:val="0"/>
        <w:adjustRightInd w:val="0"/>
        <w:rPr>
          <w:color w:val="000000" w:themeColor="text1"/>
        </w:rPr>
      </w:pPr>
    </w:p>
    <w:p w14:paraId="67DCDCFC" w14:textId="77777777" w:rsidR="00D45E2F" w:rsidRPr="0058432E" w:rsidRDefault="00D45E2F" w:rsidP="00ED009A">
      <w:pPr>
        <w:autoSpaceDE w:val="0"/>
        <w:autoSpaceDN w:val="0"/>
        <w:adjustRightInd w:val="0"/>
        <w:rPr>
          <w:color w:val="000000" w:themeColor="text1"/>
        </w:rPr>
      </w:pPr>
      <w:r w:rsidRPr="0058432E">
        <w:rPr>
          <w:color w:val="000000" w:themeColor="text1"/>
        </w:rPr>
        <w:t>Si votre fille est enceinte, si elle pense être enceinte ou planifie une grossesse, demandez conseil à son médecin avant de prendre ce médicament.</w:t>
      </w:r>
    </w:p>
    <w:p w14:paraId="1F16A4E3" w14:textId="77777777" w:rsidR="0023282C" w:rsidRPr="0058432E" w:rsidRDefault="0023282C" w:rsidP="00ED009A">
      <w:pPr>
        <w:autoSpaceDE w:val="0"/>
        <w:autoSpaceDN w:val="0"/>
        <w:adjustRightInd w:val="0"/>
        <w:rPr>
          <w:color w:val="000000" w:themeColor="text1"/>
        </w:rPr>
      </w:pPr>
    </w:p>
    <w:p w14:paraId="42C05D2D" w14:textId="77777777" w:rsidR="00D45E2F" w:rsidRPr="0058432E" w:rsidRDefault="006A1144" w:rsidP="00ED009A">
      <w:pPr>
        <w:autoSpaceDE w:val="0"/>
        <w:autoSpaceDN w:val="0"/>
        <w:adjustRightInd w:val="0"/>
        <w:rPr>
          <w:color w:val="000000" w:themeColor="text1"/>
        </w:rPr>
      </w:pPr>
      <w:r w:rsidRPr="0058432E">
        <w:rPr>
          <w:color w:val="000000" w:themeColor="text1"/>
        </w:rPr>
        <w:t>Amsparity doit être utilisé pendant la grossesse seulement si nécessaire.</w:t>
      </w:r>
    </w:p>
    <w:p w14:paraId="68C3507A" w14:textId="77777777" w:rsidR="0023282C" w:rsidRPr="0058432E" w:rsidRDefault="0023282C" w:rsidP="00ED009A">
      <w:pPr>
        <w:autoSpaceDE w:val="0"/>
        <w:autoSpaceDN w:val="0"/>
        <w:adjustRightInd w:val="0"/>
        <w:rPr>
          <w:color w:val="000000" w:themeColor="text1"/>
        </w:rPr>
      </w:pPr>
    </w:p>
    <w:p w14:paraId="27F33CF3" w14:textId="77777777" w:rsidR="00D45E2F" w:rsidRPr="0058432E" w:rsidRDefault="00D45E2F" w:rsidP="00ED009A">
      <w:pPr>
        <w:autoSpaceDE w:val="0"/>
        <w:autoSpaceDN w:val="0"/>
        <w:adjustRightInd w:val="0"/>
        <w:rPr>
          <w:color w:val="000000" w:themeColor="text1"/>
        </w:rPr>
      </w:pPr>
      <w:r w:rsidRPr="0058432E">
        <w:rPr>
          <w:color w:val="000000" w:themeColor="text1"/>
        </w:rPr>
        <w:t>D’après une étude sur la grossesse, il n’existait pas de risque plus élevé d’anomalies congénitales lorsque la mère avait reçu de l’adalimumab pendant la grossesse par rapport aux mères ayant la même maladie et n’ayant pas reçu d’adalimumab pendant la grossesse.</w:t>
      </w:r>
    </w:p>
    <w:p w14:paraId="39760DF2" w14:textId="77777777" w:rsidR="0023282C" w:rsidRPr="0058432E" w:rsidRDefault="0023282C" w:rsidP="00ED009A">
      <w:pPr>
        <w:autoSpaceDE w:val="0"/>
        <w:autoSpaceDN w:val="0"/>
        <w:adjustRightInd w:val="0"/>
        <w:rPr>
          <w:color w:val="000000" w:themeColor="text1"/>
        </w:rPr>
      </w:pPr>
    </w:p>
    <w:p w14:paraId="0101C453" w14:textId="77777777" w:rsidR="00D45E2F" w:rsidRPr="0058432E" w:rsidRDefault="006A1144" w:rsidP="00ED009A">
      <w:pPr>
        <w:autoSpaceDE w:val="0"/>
        <w:autoSpaceDN w:val="0"/>
        <w:adjustRightInd w:val="0"/>
        <w:rPr>
          <w:color w:val="000000" w:themeColor="text1"/>
        </w:rPr>
      </w:pPr>
      <w:r w:rsidRPr="0058432E">
        <w:rPr>
          <w:color w:val="000000" w:themeColor="text1"/>
        </w:rPr>
        <w:t>Amsparity peut être utilisé pendant l’allaitement.</w:t>
      </w:r>
    </w:p>
    <w:p w14:paraId="3BD55B9A" w14:textId="77777777" w:rsidR="0023282C" w:rsidRPr="0058432E" w:rsidRDefault="0023282C" w:rsidP="00ED009A">
      <w:pPr>
        <w:autoSpaceDE w:val="0"/>
        <w:autoSpaceDN w:val="0"/>
        <w:adjustRightInd w:val="0"/>
        <w:rPr>
          <w:color w:val="000000" w:themeColor="text1"/>
        </w:rPr>
      </w:pPr>
    </w:p>
    <w:p w14:paraId="0327E650" w14:textId="77777777" w:rsidR="00D45E2F" w:rsidRPr="0058432E" w:rsidRDefault="00D45E2F" w:rsidP="00ED009A">
      <w:pPr>
        <w:autoSpaceDE w:val="0"/>
        <w:autoSpaceDN w:val="0"/>
        <w:adjustRightInd w:val="0"/>
        <w:rPr>
          <w:color w:val="000000" w:themeColor="text1"/>
        </w:rPr>
      </w:pPr>
      <w:r w:rsidRPr="0058432E">
        <w:rPr>
          <w:color w:val="000000" w:themeColor="text1"/>
        </w:rPr>
        <w:t xml:space="preserve">Si votre fille reçoit Amsparity pendant sa grossesse, son bébé peut présenter un risque plus élevé d’avoir une infection. Il est important de prévenir les médecins de son bébé ainsi que les autres professionnels de santé que votre fille a </w:t>
      </w:r>
      <w:proofErr w:type="gramStart"/>
      <w:r w:rsidRPr="0058432E">
        <w:rPr>
          <w:color w:val="000000" w:themeColor="text1"/>
        </w:rPr>
        <w:t>eu</w:t>
      </w:r>
      <w:proofErr w:type="gramEnd"/>
      <w:r w:rsidRPr="0058432E">
        <w:rPr>
          <w:color w:val="000000" w:themeColor="text1"/>
        </w:rPr>
        <w:t xml:space="preserve"> Amsparity pendant sa grossesse et ceci, avant que son bébé ne reçoive ses vaccins. Pour plus d’informations concernant les vaccins, voir rubrique « Avertissements et précautions ».</w:t>
      </w:r>
    </w:p>
    <w:p w14:paraId="2CBB2EF4" w14:textId="77777777" w:rsidR="00B466EE" w:rsidRPr="0058432E" w:rsidRDefault="00B466EE" w:rsidP="00CC7B42">
      <w:pPr>
        <w:pStyle w:val="BodyText"/>
        <w:widowControl/>
        <w:kinsoku w:val="0"/>
        <w:overflowPunct w:val="0"/>
        <w:ind w:left="0"/>
        <w:rPr>
          <w:color w:val="000000" w:themeColor="text1"/>
        </w:rPr>
      </w:pPr>
    </w:p>
    <w:p w14:paraId="240520B5" w14:textId="77777777" w:rsidR="00B466EE" w:rsidRPr="0058432E" w:rsidRDefault="00B466EE" w:rsidP="00B93DAC">
      <w:pPr>
        <w:pStyle w:val="BodyText"/>
        <w:widowControl/>
        <w:kinsoku w:val="0"/>
        <w:overflowPunct w:val="0"/>
        <w:ind w:left="0"/>
        <w:rPr>
          <w:b/>
          <w:bCs/>
          <w:color w:val="000000" w:themeColor="text1"/>
        </w:rPr>
      </w:pPr>
      <w:r w:rsidRPr="0058432E">
        <w:rPr>
          <w:b/>
          <w:bCs/>
          <w:color w:val="000000" w:themeColor="text1"/>
        </w:rPr>
        <w:t>Conduite de véhicules et utilisation de machines</w:t>
      </w:r>
    </w:p>
    <w:p w14:paraId="73C496F8" w14:textId="77777777" w:rsidR="00B466EE" w:rsidRPr="0058432E" w:rsidRDefault="00B466EE" w:rsidP="00CC7B42">
      <w:pPr>
        <w:pStyle w:val="BodyText"/>
        <w:widowControl/>
        <w:kinsoku w:val="0"/>
        <w:overflowPunct w:val="0"/>
        <w:ind w:left="0"/>
        <w:rPr>
          <w:b/>
          <w:bCs/>
          <w:color w:val="000000" w:themeColor="text1"/>
          <w:szCs w:val="21"/>
        </w:rPr>
      </w:pPr>
    </w:p>
    <w:p w14:paraId="57E0926A" w14:textId="77777777" w:rsidR="00B466EE" w:rsidRPr="0058432E" w:rsidRDefault="006A1144" w:rsidP="00CC7B42">
      <w:pPr>
        <w:pStyle w:val="BodyText"/>
        <w:widowControl/>
        <w:kinsoku w:val="0"/>
        <w:overflowPunct w:val="0"/>
        <w:ind w:left="0"/>
        <w:rPr>
          <w:color w:val="000000" w:themeColor="text1"/>
        </w:rPr>
      </w:pPr>
      <w:r w:rsidRPr="0058432E">
        <w:rPr>
          <w:color w:val="000000" w:themeColor="text1"/>
        </w:rPr>
        <w:t xml:space="preserve">Amsparity peut </w:t>
      </w:r>
      <w:proofErr w:type="gramStart"/>
      <w:r w:rsidRPr="0058432E">
        <w:rPr>
          <w:color w:val="000000" w:themeColor="text1"/>
        </w:rPr>
        <w:t>avoir</w:t>
      </w:r>
      <w:proofErr w:type="gramEnd"/>
      <w:r w:rsidRPr="0058432E">
        <w:rPr>
          <w:color w:val="000000" w:themeColor="text1"/>
        </w:rPr>
        <w:t xml:space="preserve"> une influence mineure sur l’aptitude de votre enfant à conduire, à faire du vélo ou à utiliser des machines. Des sensations d’étourdissement (vertiges) et des troubles de la vision peuvent survenir après l’injection d’Amsparity.</w:t>
      </w:r>
    </w:p>
    <w:p w14:paraId="5D5DE31E" w14:textId="77777777" w:rsidR="00B466EE" w:rsidRPr="0058432E" w:rsidRDefault="00B466EE" w:rsidP="00CC7B42">
      <w:pPr>
        <w:rPr>
          <w:color w:val="000000" w:themeColor="text1"/>
        </w:rPr>
      </w:pPr>
    </w:p>
    <w:p w14:paraId="5505CF6A" w14:textId="68DD5A97" w:rsidR="00C50EAF" w:rsidRPr="0058432E" w:rsidRDefault="00C50EAF" w:rsidP="00C50EAF">
      <w:pPr>
        <w:rPr>
          <w:b/>
          <w:color w:val="000000" w:themeColor="text1"/>
        </w:rPr>
      </w:pPr>
      <w:bookmarkStart w:id="15" w:name="_Hlk178161991"/>
      <w:r w:rsidRPr="0058432E">
        <w:rPr>
          <w:b/>
          <w:color w:val="000000" w:themeColor="text1"/>
        </w:rPr>
        <w:t>Amsparity contient du polysorbate 80</w:t>
      </w:r>
    </w:p>
    <w:p w14:paraId="67ED39D9" w14:textId="77777777" w:rsidR="00C50EAF" w:rsidRPr="0058432E" w:rsidRDefault="00C50EAF" w:rsidP="00CC7B42">
      <w:pPr>
        <w:rPr>
          <w:bCs/>
          <w:color w:val="000000" w:themeColor="text1"/>
        </w:rPr>
      </w:pPr>
    </w:p>
    <w:p w14:paraId="7DC6E314" w14:textId="76005417" w:rsidR="00C50EAF" w:rsidRPr="0058432E" w:rsidRDefault="00C50EAF" w:rsidP="00253214">
      <w:pPr>
        <w:rPr>
          <w:color w:val="000000" w:themeColor="text1"/>
        </w:rPr>
      </w:pPr>
      <w:r w:rsidRPr="0058432E">
        <w:rPr>
          <w:color w:val="000000" w:themeColor="text1"/>
        </w:rPr>
        <w:t xml:space="preserve">Ce médicament contient 0,08 mg de polysorbate 80 </w:t>
      </w:r>
      <w:r w:rsidR="00321A0B" w:rsidRPr="0058432E">
        <w:rPr>
          <w:color w:val="000000" w:themeColor="text1"/>
        </w:rPr>
        <w:t xml:space="preserve">par </w:t>
      </w:r>
      <w:r w:rsidRPr="0058432E">
        <w:rPr>
          <w:color w:val="000000" w:themeColor="text1"/>
        </w:rPr>
        <w:t>seringue préremplie unidose de 0,4 ml, équiva</w:t>
      </w:r>
      <w:r w:rsidR="00321A0B" w:rsidRPr="0058432E">
        <w:rPr>
          <w:color w:val="000000" w:themeColor="text1"/>
        </w:rPr>
        <w:t>lant</w:t>
      </w:r>
      <w:r w:rsidRPr="0058432E">
        <w:rPr>
          <w:color w:val="000000" w:themeColor="text1"/>
        </w:rPr>
        <w:t xml:space="preserve"> à 0,2 mg/ml de polysorbate 80. Les polysorbates peuvent provoquer des réactions allergiques. Informez votre médecin si votre enfant a déjà présenté une allergie.</w:t>
      </w:r>
      <w:bookmarkEnd w:id="15"/>
    </w:p>
    <w:p w14:paraId="2CAB5580" w14:textId="77777777" w:rsidR="00C50EAF" w:rsidRPr="0058432E" w:rsidRDefault="00C50EAF" w:rsidP="00CC7B42">
      <w:pPr>
        <w:rPr>
          <w:bCs/>
          <w:color w:val="000000" w:themeColor="text1"/>
        </w:rPr>
      </w:pPr>
    </w:p>
    <w:p w14:paraId="75DEE457" w14:textId="6D067B0B" w:rsidR="00DE35E9" w:rsidRPr="0058432E" w:rsidRDefault="006A1144" w:rsidP="00CC7B42">
      <w:pPr>
        <w:rPr>
          <w:b/>
          <w:color w:val="000000" w:themeColor="text1"/>
        </w:rPr>
      </w:pPr>
      <w:r w:rsidRPr="0058432E">
        <w:rPr>
          <w:b/>
          <w:color w:val="000000" w:themeColor="text1"/>
        </w:rPr>
        <w:t>Amsparity contient du sodium</w:t>
      </w:r>
    </w:p>
    <w:p w14:paraId="02EAD3C5" w14:textId="77777777" w:rsidR="00DE35E9" w:rsidRPr="0058432E" w:rsidRDefault="00DE35E9" w:rsidP="00CC7B42">
      <w:pPr>
        <w:rPr>
          <w:color w:val="000000" w:themeColor="text1"/>
        </w:rPr>
      </w:pPr>
    </w:p>
    <w:p w14:paraId="05CAF148" w14:textId="752F494A" w:rsidR="00DE35E9" w:rsidRPr="0058432E" w:rsidRDefault="00DE35E9" w:rsidP="00CC7B42">
      <w:pPr>
        <w:rPr>
          <w:color w:val="000000" w:themeColor="text1"/>
        </w:rPr>
      </w:pPr>
      <w:r w:rsidRPr="0058432E">
        <w:rPr>
          <w:color w:val="000000" w:themeColor="text1"/>
        </w:rPr>
        <w:t xml:space="preserve">Ce médicament contient moins de 1 mmol (23 mg) de sodium par dose de </w:t>
      </w:r>
      <w:r w:rsidR="00C50EAF" w:rsidRPr="0058432E">
        <w:rPr>
          <w:color w:val="000000" w:themeColor="text1"/>
        </w:rPr>
        <w:t>0,4</w:t>
      </w:r>
      <w:r w:rsidRPr="0058432E">
        <w:rPr>
          <w:color w:val="000000" w:themeColor="text1"/>
        </w:rPr>
        <w:t> ml, c.-à-d. qu’il est essentiellement « sans sodium ».</w:t>
      </w:r>
    </w:p>
    <w:p w14:paraId="5596F9ED" w14:textId="77777777" w:rsidR="00B466EE" w:rsidRPr="0058432E" w:rsidRDefault="00B466EE" w:rsidP="002B2067">
      <w:pPr>
        <w:rPr>
          <w:color w:val="000000" w:themeColor="text1"/>
        </w:rPr>
      </w:pPr>
    </w:p>
    <w:p w14:paraId="1BFECE5C" w14:textId="77777777" w:rsidR="00E936BC" w:rsidRPr="0058432E" w:rsidRDefault="00E936BC" w:rsidP="002B2067">
      <w:pPr>
        <w:rPr>
          <w:color w:val="000000" w:themeColor="text1"/>
        </w:rPr>
      </w:pPr>
    </w:p>
    <w:p w14:paraId="193F5EBD" w14:textId="77777777" w:rsidR="00B466EE" w:rsidRPr="0058432E" w:rsidRDefault="00E936BC" w:rsidP="00B93DAC">
      <w:pPr>
        <w:pStyle w:val="BodyText"/>
        <w:widowControl/>
        <w:kinsoku w:val="0"/>
        <w:overflowPunct w:val="0"/>
        <w:ind w:left="0"/>
        <w:rPr>
          <w:b/>
          <w:bCs/>
          <w:color w:val="000000" w:themeColor="text1"/>
        </w:rPr>
      </w:pPr>
      <w:r w:rsidRPr="0058432E">
        <w:rPr>
          <w:b/>
          <w:bCs/>
          <w:color w:val="000000" w:themeColor="text1"/>
        </w:rPr>
        <w:t>3.</w:t>
      </w:r>
      <w:r w:rsidRPr="0058432E">
        <w:rPr>
          <w:b/>
          <w:bCs/>
          <w:color w:val="000000" w:themeColor="text1"/>
        </w:rPr>
        <w:tab/>
        <w:t>Comment utiliser Amsparity</w:t>
      </w:r>
      <w:r w:rsidR="001B1911" w:rsidRPr="0058432E">
        <w:rPr>
          <w:b/>
          <w:bCs/>
          <w:color w:val="000000" w:themeColor="text1"/>
        </w:rPr>
        <w:t> </w:t>
      </w:r>
    </w:p>
    <w:p w14:paraId="2F223ECB" w14:textId="77777777" w:rsidR="00B466EE" w:rsidRPr="0058432E" w:rsidRDefault="00B466EE" w:rsidP="002B2067">
      <w:pPr>
        <w:pStyle w:val="BodyText"/>
        <w:widowControl/>
        <w:kinsoku w:val="0"/>
        <w:overflowPunct w:val="0"/>
        <w:ind w:left="0"/>
        <w:rPr>
          <w:b/>
          <w:bCs/>
          <w:color w:val="000000" w:themeColor="text1"/>
          <w:szCs w:val="21"/>
        </w:rPr>
      </w:pPr>
    </w:p>
    <w:p w14:paraId="4FCFCC2F" w14:textId="77777777" w:rsidR="00B466EE" w:rsidRPr="0058432E" w:rsidRDefault="00B466EE" w:rsidP="002B2067">
      <w:pPr>
        <w:pStyle w:val="BodyText"/>
        <w:widowControl/>
        <w:kinsoku w:val="0"/>
        <w:overflowPunct w:val="0"/>
        <w:ind w:left="0"/>
        <w:rPr>
          <w:color w:val="000000" w:themeColor="text1"/>
        </w:rPr>
      </w:pPr>
      <w:r w:rsidRPr="0058432E">
        <w:rPr>
          <w:color w:val="000000" w:themeColor="text1"/>
        </w:rPr>
        <w:lastRenderedPageBreak/>
        <w:t>Veillez à toujours utiliser ce médicament en suivant exactement les indications du médec</w:t>
      </w:r>
      <w:r w:rsidR="00652319" w:rsidRPr="0058432E">
        <w:rPr>
          <w:color w:val="000000" w:themeColor="text1"/>
        </w:rPr>
        <w:t>in de votre enfant</w:t>
      </w:r>
      <w:r w:rsidR="006A4168" w:rsidRPr="0058432E">
        <w:rPr>
          <w:color w:val="000000" w:themeColor="text1"/>
        </w:rPr>
        <w:t xml:space="preserve">, </w:t>
      </w:r>
      <w:r w:rsidR="004175F8" w:rsidRPr="0058432E">
        <w:rPr>
          <w:color w:val="000000" w:themeColor="text1"/>
        </w:rPr>
        <w:t>de l’</w:t>
      </w:r>
      <w:r w:rsidR="00E5141F" w:rsidRPr="0058432E">
        <w:rPr>
          <w:color w:val="000000" w:themeColor="text1"/>
        </w:rPr>
        <w:t>infirmier/ère</w:t>
      </w:r>
      <w:r w:rsidR="00345C0F" w:rsidRPr="0058432E">
        <w:rPr>
          <w:color w:val="000000" w:themeColor="text1"/>
        </w:rPr>
        <w:t xml:space="preserve"> </w:t>
      </w:r>
      <w:r w:rsidRPr="0058432E">
        <w:rPr>
          <w:color w:val="000000" w:themeColor="text1"/>
        </w:rPr>
        <w:t xml:space="preserve">ou </w:t>
      </w:r>
      <w:r w:rsidR="004175F8" w:rsidRPr="0058432E">
        <w:rPr>
          <w:color w:val="000000" w:themeColor="text1"/>
        </w:rPr>
        <w:t xml:space="preserve">du </w:t>
      </w:r>
      <w:r w:rsidRPr="0058432E">
        <w:rPr>
          <w:color w:val="000000" w:themeColor="text1"/>
        </w:rPr>
        <w:t>pharmacien. Vérifiez auprès de votre médecin</w:t>
      </w:r>
      <w:r w:rsidR="006325A9" w:rsidRPr="0058432E">
        <w:rPr>
          <w:color w:val="000000" w:themeColor="text1"/>
        </w:rPr>
        <w:t>,</w:t>
      </w:r>
      <w:r w:rsidR="008E139F" w:rsidRPr="0058432E">
        <w:rPr>
          <w:color w:val="000000" w:themeColor="text1"/>
        </w:rPr>
        <w:t xml:space="preserve"> </w:t>
      </w:r>
      <w:r w:rsidR="00E5141F" w:rsidRPr="0058432E">
        <w:rPr>
          <w:color w:val="000000" w:themeColor="text1"/>
        </w:rPr>
        <w:t>infirmier/ère</w:t>
      </w:r>
      <w:r w:rsidRPr="0058432E">
        <w:rPr>
          <w:color w:val="000000" w:themeColor="text1"/>
        </w:rPr>
        <w:t xml:space="preserve"> ou pharmacien en cas de doute.</w:t>
      </w:r>
    </w:p>
    <w:p w14:paraId="71D90A20" w14:textId="77777777" w:rsidR="00B466EE" w:rsidRPr="0058432E" w:rsidRDefault="00B466EE" w:rsidP="002B2067">
      <w:pPr>
        <w:pStyle w:val="BodyText"/>
        <w:widowControl/>
        <w:kinsoku w:val="0"/>
        <w:overflowPunct w:val="0"/>
        <w:ind w:left="0"/>
        <w:rPr>
          <w:color w:val="000000" w:themeColor="text1"/>
        </w:rPr>
      </w:pPr>
    </w:p>
    <w:p w14:paraId="2E6672C6" w14:textId="77777777" w:rsidR="00B466EE" w:rsidRPr="0058432E" w:rsidRDefault="00B466EE" w:rsidP="002B2067">
      <w:pPr>
        <w:pStyle w:val="BodyText"/>
        <w:widowControl/>
        <w:kinsoku w:val="0"/>
        <w:overflowPunct w:val="0"/>
        <w:ind w:left="0"/>
        <w:rPr>
          <w:color w:val="000000" w:themeColor="text1"/>
        </w:rPr>
      </w:pPr>
      <w:r w:rsidRPr="0058432E">
        <w:rPr>
          <w:color w:val="000000" w:themeColor="text1"/>
        </w:rPr>
        <w:t>Les doses recommandées d’Amsparity pour chacune des indications approuvées sont présentées dans le tableau ci-dessous. Le médecin de votre enfant pourra prescrire un autre dosage d’Amsparity si votre enfant a besoin d’une dose différente.</w:t>
      </w:r>
    </w:p>
    <w:p w14:paraId="2B4DE73A" w14:textId="77777777" w:rsidR="0023282C" w:rsidRPr="0058432E" w:rsidRDefault="0023282C" w:rsidP="002B2067">
      <w:pPr>
        <w:pStyle w:val="BodyText"/>
        <w:widowControl/>
        <w:kinsoku w:val="0"/>
        <w:overflowPunct w:val="0"/>
        <w:ind w:left="0"/>
        <w:rPr>
          <w:color w:val="000000" w:themeColor="text1"/>
        </w:rPr>
      </w:pPr>
    </w:p>
    <w:p w14:paraId="66AC78FB" w14:textId="77777777" w:rsidR="0023282C" w:rsidRPr="0058432E" w:rsidRDefault="0023282C" w:rsidP="002B2067">
      <w:pPr>
        <w:pStyle w:val="BodyText"/>
        <w:widowControl/>
        <w:kinsoku w:val="0"/>
        <w:overflowPunct w:val="0"/>
        <w:ind w:left="0"/>
        <w:rPr>
          <w:color w:val="000000" w:themeColor="text1"/>
        </w:rPr>
      </w:pPr>
      <w:r w:rsidRPr="0058432E">
        <w:rPr>
          <w:color w:val="000000" w:themeColor="text1"/>
        </w:rPr>
        <w:t>Amsparity est injecté sous la peau (voie sous-cutanée).</w:t>
      </w:r>
    </w:p>
    <w:p w14:paraId="01AA1805" w14:textId="77777777" w:rsidR="00B466EE" w:rsidRPr="0058432E" w:rsidRDefault="00B466EE" w:rsidP="002B2067">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58432E" w14:paraId="35ED6977"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75681B54" w14:textId="77777777" w:rsidR="00FC5A0A" w:rsidRPr="0058432E" w:rsidRDefault="00FC5A0A" w:rsidP="00982118">
            <w:pPr>
              <w:pStyle w:val="TableParagraph"/>
              <w:keepNext/>
              <w:widowControl/>
              <w:kinsoku w:val="0"/>
              <w:overflowPunct w:val="0"/>
              <w:spacing w:line="251" w:lineRule="exact"/>
              <w:ind w:left="101"/>
              <w:rPr>
                <w:rFonts w:ascii="Times New Roman" w:hAnsi="Times New Roman"/>
                <w:color w:val="000000" w:themeColor="text1"/>
              </w:rPr>
            </w:pPr>
            <w:r w:rsidRPr="0058432E">
              <w:rPr>
                <w:rFonts w:ascii="Times New Roman" w:hAnsi="Times New Roman"/>
                <w:b/>
                <w:bCs/>
                <w:color w:val="000000" w:themeColor="text1"/>
              </w:rPr>
              <w:t>Arthrite juvénile idiopathique polyarticulaire</w:t>
            </w:r>
          </w:p>
        </w:tc>
      </w:tr>
      <w:tr w:rsidR="00FC5A0A" w:rsidRPr="0058432E" w14:paraId="48B5C19C" w14:textId="77777777" w:rsidTr="00B51A46">
        <w:trPr>
          <w:trHeight w:hRule="exact" w:val="777"/>
          <w:tblHeader/>
        </w:trPr>
        <w:tc>
          <w:tcPr>
            <w:tcW w:w="3095" w:type="dxa"/>
            <w:tcBorders>
              <w:top w:val="single" w:sz="4" w:space="0" w:color="000000"/>
              <w:left w:val="single" w:sz="4" w:space="0" w:color="000000"/>
              <w:bottom w:val="single" w:sz="4" w:space="0" w:color="000000"/>
              <w:right w:val="single" w:sz="4" w:space="0" w:color="000000"/>
            </w:tcBorders>
          </w:tcPr>
          <w:p w14:paraId="6FF3DAA9" w14:textId="77777777" w:rsidR="00FC5A0A" w:rsidRPr="0058432E" w:rsidRDefault="00FC5A0A" w:rsidP="00982118">
            <w:pPr>
              <w:pStyle w:val="TableParagraph"/>
              <w:keepNext/>
              <w:widowControl/>
              <w:kinsoku w:val="0"/>
              <w:overflowPunct w:val="0"/>
              <w:spacing w:line="252" w:lineRule="exact"/>
              <w:ind w:left="101"/>
              <w:rPr>
                <w:rFonts w:ascii="Times New Roman" w:hAnsi="Times New Roman"/>
                <w:color w:val="000000" w:themeColor="text1"/>
              </w:rPr>
            </w:pPr>
            <w:r w:rsidRPr="0058432E">
              <w:rPr>
                <w:rFonts w:ascii="Times New Roman" w:hAnsi="Times New Roman"/>
                <w:b/>
                <w:bCs/>
                <w:color w:val="000000" w:themeColor="text1"/>
              </w:rPr>
              <w:t>Âge ou poids</w:t>
            </w:r>
            <w:r w:rsidR="001B1911" w:rsidRPr="0058432E">
              <w:rPr>
                <w:rFonts w:ascii="Times New Roman" w:hAnsi="Times New Roman"/>
                <w:b/>
                <w:bCs/>
                <w:color w:val="000000" w:themeColor="text1"/>
              </w:rPr>
              <w:t xml:space="preserve"> corporel</w:t>
            </w:r>
          </w:p>
        </w:tc>
        <w:tc>
          <w:tcPr>
            <w:tcW w:w="3096" w:type="dxa"/>
            <w:tcBorders>
              <w:top w:val="single" w:sz="4" w:space="0" w:color="000000"/>
              <w:left w:val="single" w:sz="4" w:space="0" w:color="000000"/>
              <w:bottom w:val="single" w:sz="4" w:space="0" w:color="000000"/>
              <w:right w:val="single" w:sz="4" w:space="0" w:color="000000"/>
            </w:tcBorders>
          </w:tcPr>
          <w:p w14:paraId="79187CD4" w14:textId="77777777" w:rsidR="00FC5A0A" w:rsidRPr="0058432E" w:rsidRDefault="00FC5A0A" w:rsidP="00982118">
            <w:pPr>
              <w:pStyle w:val="TableParagraph"/>
              <w:keepNext/>
              <w:widowControl/>
              <w:kinsoku w:val="0"/>
              <w:overflowPunct w:val="0"/>
              <w:ind w:left="101" w:right="334"/>
              <w:rPr>
                <w:rFonts w:ascii="Times New Roman" w:hAnsi="Times New Roman"/>
                <w:color w:val="000000" w:themeColor="text1"/>
              </w:rPr>
            </w:pPr>
            <w:r w:rsidRPr="0058432E">
              <w:rPr>
                <w:rFonts w:ascii="Times New Roman" w:hAnsi="Times New Roman"/>
                <w:b/>
                <w:bCs/>
                <w:color w:val="000000" w:themeColor="text1"/>
              </w:rPr>
              <w:t>Combien et à quelle fréquence prendre Amsparity ?</w:t>
            </w:r>
          </w:p>
        </w:tc>
        <w:tc>
          <w:tcPr>
            <w:tcW w:w="3096" w:type="dxa"/>
            <w:tcBorders>
              <w:top w:val="single" w:sz="4" w:space="0" w:color="000000"/>
              <w:left w:val="single" w:sz="4" w:space="0" w:color="000000"/>
              <w:bottom w:val="single" w:sz="4" w:space="0" w:color="000000"/>
              <w:right w:val="single" w:sz="4" w:space="0" w:color="000000"/>
            </w:tcBorders>
          </w:tcPr>
          <w:p w14:paraId="3B79BF89"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Commentaires</w:t>
            </w:r>
          </w:p>
        </w:tc>
      </w:tr>
      <w:tr w:rsidR="00FC5A0A" w:rsidRPr="0058432E" w14:paraId="1735CF2C"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7FD16B83" w14:textId="77777777" w:rsidR="00FC5A0A" w:rsidRPr="0058432E" w:rsidRDefault="00FC5A0A" w:rsidP="00077E50">
            <w:pPr>
              <w:pStyle w:val="TableParagraph"/>
              <w:widowControl/>
              <w:kinsoku w:val="0"/>
              <w:overflowPunct w:val="0"/>
              <w:spacing w:line="239" w:lineRule="auto"/>
              <w:ind w:left="102" w:right="120"/>
              <w:rPr>
                <w:rFonts w:ascii="Times New Roman" w:hAnsi="Times New Roman"/>
                <w:color w:val="000000" w:themeColor="text1"/>
              </w:rPr>
            </w:pPr>
            <w:r w:rsidRPr="0058432E">
              <w:rPr>
                <w:rFonts w:ascii="Times New Roman" w:hAnsi="Times New Roman"/>
                <w:color w:val="000000" w:themeColor="text1"/>
              </w:rPr>
              <w:t>Enfants</w:t>
            </w:r>
            <w:r w:rsidR="008E139F" w:rsidRPr="0058432E">
              <w:rPr>
                <w:rFonts w:ascii="Times New Roman" w:hAnsi="Times New Roman"/>
                <w:color w:val="000000" w:themeColor="text1"/>
              </w:rPr>
              <w:t xml:space="preserve"> et</w:t>
            </w:r>
            <w:r w:rsidR="006A4168" w:rsidRPr="0058432E">
              <w:rPr>
                <w:rFonts w:ascii="Times New Roman" w:hAnsi="Times New Roman"/>
                <w:color w:val="000000" w:themeColor="text1"/>
              </w:rPr>
              <w:t xml:space="preserve"> </w:t>
            </w:r>
            <w:r w:rsidRPr="0058432E">
              <w:rPr>
                <w:rFonts w:ascii="Times New Roman" w:hAnsi="Times New Roman"/>
                <w:color w:val="000000" w:themeColor="text1"/>
              </w:rPr>
              <w:t>adolescents à partir de 2 ans et pesant 30 kg et plus</w:t>
            </w:r>
          </w:p>
        </w:tc>
        <w:tc>
          <w:tcPr>
            <w:tcW w:w="3096" w:type="dxa"/>
            <w:tcBorders>
              <w:top w:val="single" w:sz="4" w:space="0" w:color="000000"/>
              <w:left w:val="single" w:sz="4" w:space="0" w:color="000000"/>
              <w:bottom w:val="single" w:sz="4" w:space="0" w:color="000000"/>
              <w:right w:val="single" w:sz="4" w:space="0" w:color="000000"/>
            </w:tcBorders>
          </w:tcPr>
          <w:p w14:paraId="20168BBC" w14:textId="77777777" w:rsidR="00FC5A0A" w:rsidRPr="0058432E"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 xml:space="preserve">40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1BFB6A9D" w14:textId="77777777" w:rsidR="00FC5A0A" w:rsidRPr="0058432E" w:rsidRDefault="0011718F"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r w:rsidR="00FC5A0A" w:rsidRPr="0058432E" w14:paraId="3E5D6587"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06597F10" w14:textId="77777777" w:rsidR="00FC5A0A" w:rsidRPr="0058432E" w:rsidRDefault="00FC5A0A" w:rsidP="00982118">
            <w:pPr>
              <w:pStyle w:val="TableParagraph"/>
              <w:widowControl/>
              <w:kinsoku w:val="0"/>
              <w:overflowPunct w:val="0"/>
              <w:ind w:left="102" w:right="120"/>
              <w:rPr>
                <w:rFonts w:ascii="Times New Roman" w:hAnsi="Times New Roman"/>
                <w:color w:val="000000" w:themeColor="text1"/>
              </w:rPr>
            </w:pPr>
            <w:r w:rsidRPr="0058432E">
              <w:rPr>
                <w:rFonts w:ascii="Times New Roman" w:hAnsi="Times New Roman"/>
                <w:color w:val="000000" w:themeColor="text1"/>
              </w:rPr>
              <w:t>Enfants et adolescents à partir de 2 ans et pesant 10 kg à moins de 30 kg</w:t>
            </w:r>
          </w:p>
        </w:tc>
        <w:tc>
          <w:tcPr>
            <w:tcW w:w="3096" w:type="dxa"/>
            <w:tcBorders>
              <w:top w:val="single" w:sz="4" w:space="0" w:color="000000"/>
              <w:left w:val="single" w:sz="4" w:space="0" w:color="000000"/>
              <w:bottom w:val="single" w:sz="4" w:space="0" w:color="000000"/>
              <w:right w:val="single" w:sz="4" w:space="0" w:color="000000"/>
            </w:tcBorders>
          </w:tcPr>
          <w:p w14:paraId="326C4581" w14:textId="77777777" w:rsidR="00FC5A0A" w:rsidRPr="0058432E" w:rsidRDefault="00FC5A0A" w:rsidP="00982118">
            <w:pPr>
              <w:pStyle w:val="TableParagraph"/>
              <w:widowControl/>
              <w:kinsoku w:val="0"/>
              <w:overflowPunct w:val="0"/>
              <w:spacing w:line="249" w:lineRule="exact"/>
              <w:ind w:left="102"/>
              <w:rPr>
                <w:rFonts w:ascii="Times New Roman" w:hAnsi="Times New Roman"/>
                <w:color w:val="000000" w:themeColor="text1"/>
              </w:rPr>
            </w:pPr>
            <w:r w:rsidRPr="0058432E">
              <w:rPr>
                <w:rFonts w:ascii="Times New Roman" w:hAnsi="Times New Roman"/>
                <w:color w:val="000000" w:themeColor="text1"/>
              </w:rPr>
              <w:t xml:space="preserve">20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7EB344A5" w14:textId="77777777" w:rsidR="00FC5A0A" w:rsidRPr="0058432E" w:rsidRDefault="0011718F" w:rsidP="00982118">
            <w:pPr>
              <w:pStyle w:val="TableParagraph"/>
              <w:widowControl/>
              <w:kinsoku w:val="0"/>
              <w:overflowPunct w:val="0"/>
              <w:spacing w:line="249"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bl>
    <w:p w14:paraId="200CC1FD" w14:textId="77777777" w:rsidR="00B466EE" w:rsidRPr="0058432E" w:rsidRDefault="00B466EE"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58432E" w14:paraId="15444302"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247AC780" w14:textId="77777777" w:rsidR="00FC5A0A" w:rsidRPr="0058432E" w:rsidRDefault="00240C6A" w:rsidP="00ED009A">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b/>
                <w:bCs/>
                <w:color w:val="000000" w:themeColor="text1"/>
              </w:rPr>
              <w:t>Arthrite liée à l’enthésite chez l’enfant et l’adolescent</w:t>
            </w:r>
          </w:p>
        </w:tc>
      </w:tr>
      <w:tr w:rsidR="00FC5A0A" w:rsidRPr="0058432E" w14:paraId="140FD33C" w14:textId="77777777" w:rsidTr="00B51A46">
        <w:trPr>
          <w:trHeight w:hRule="exact" w:val="760"/>
          <w:tblHeader/>
        </w:trPr>
        <w:tc>
          <w:tcPr>
            <w:tcW w:w="3095" w:type="dxa"/>
            <w:tcBorders>
              <w:top w:val="single" w:sz="4" w:space="0" w:color="000000"/>
              <w:left w:val="single" w:sz="4" w:space="0" w:color="000000"/>
              <w:bottom w:val="single" w:sz="4" w:space="0" w:color="000000"/>
              <w:right w:val="single" w:sz="4" w:space="0" w:color="000000"/>
            </w:tcBorders>
          </w:tcPr>
          <w:p w14:paraId="76CB5E78"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 xml:space="preserve">Âge ou </w:t>
            </w:r>
            <w:r w:rsidR="00EA4C49" w:rsidRPr="0058432E">
              <w:rPr>
                <w:rFonts w:ascii="Times New Roman" w:hAnsi="Times New Roman"/>
                <w:b/>
                <w:bCs/>
                <w:color w:val="000000" w:themeColor="text1"/>
              </w:rPr>
              <w:t>poids corporel</w:t>
            </w:r>
          </w:p>
        </w:tc>
        <w:tc>
          <w:tcPr>
            <w:tcW w:w="3096" w:type="dxa"/>
            <w:tcBorders>
              <w:top w:val="single" w:sz="4" w:space="0" w:color="000000"/>
              <w:left w:val="single" w:sz="4" w:space="0" w:color="000000"/>
              <w:bottom w:val="single" w:sz="4" w:space="0" w:color="000000"/>
              <w:right w:val="single" w:sz="4" w:space="0" w:color="000000"/>
            </w:tcBorders>
          </w:tcPr>
          <w:p w14:paraId="72F40B04" w14:textId="77777777" w:rsidR="00FC5A0A" w:rsidRPr="0058432E" w:rsidRDefault="00FC5A0A" w:rsidP="00982118">
            <w:pPr>
              <w:pStyle w:val="TableParagraph"/>
              <w:widowControl/>
              <w:kinsoku w:val="0"/>
              <w:overflowPunct w:val="0"/>
              <w:ind w:left="102" w:right="334"/>
              <w:rPr>
                <w:rFonts w:ascii="Times New Roman" w:hAnsi="Times New Roman"/>
                <w:color w:val="000000" w:themeColor="text1"/>
              </w:rPr>
            </w:pPr>
            <w:r w:rsidRPr="0058432E">
              <w:rPr>
                <w:rFonts w:ascii="Times New Roman" w:hAnsi="Times New Roman"/>
                <w:b/>
                <w:bCs/>
                <w:color w:val="000000" w:themeColor="text1"/>
              </w:rPr>
              <w:t>Combien et à quelle fréquence prendre Amsparity ?</w:t>
            </w:r>
          </w:p>
        </w:tc>
        <w:tc>
          <w:tcPr>
            <w:tcW w:w="3096" w:type="dxa"/>
            <w:tcBorders>
              <w:top w:val="single" w:sz="4" w:space="0" w:color="000000"/>
              <w:left w:val="single" w:sz="4" w:space="0" w:color="000000"/>
              <w:bottom w:val="single" w:sz="4" w:space="0" w:color="000000"/>
              <w:right w:val="single" w:sz="4" w:space="0" w:color="000000"/>
            </w:tcBorders>
          </w:tcPr>
          <w:p w14:paraId="1757882D"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Commentaires</w:t>
            </w:r>
          </w:p>
        </w:tc>
      </w:tr>
      <w:tr w:rsidR="00FC5A0A" w:rsidRPr="0058432E" w14:paraId="067F007E"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3E2750B5" w14:textId="77777777" w:rsidR="00FC5A0A" w:rsidRPr="0058432E" w:rsidRDefault="00FC5A0A" w:rsidP="00077E50">
            <w:pPr>
              <w:pStyle w:val="TableParagraph"/>
              <w:widowControl/>
              <w:kinsoku w:val="0"/>
              <w:overflowPunct w:val="0"/>
              <w:spacing w:line="239" w:lineRule="auto"/>
              <w:ind w:left="102" w:right="120"/>
              <w:rPr>
                <w:rFonts w:ascii="Times New Roman" w:hAnsi="Times New Roman"/>
                <w:color w:val="000000" w:themeColor="text1"/>
              </w:rPr>
            </w:pPr>
            <w:r w:rsidRPr="0058432E">
              <w:rPr>
                <w:rFonts w:ascii="Times New Roman" w:hAnsi="Times New Roman"/>
                <w:color w:val="000000" w:themeColor="text1"/>
              </w:rPr>
              <w:t>Enfants</w:t>
            </w:r>
            <w:r w:rsidR="008E139F" w:rsidRPr="0058432E">
              <w:rPr>
                <w:rFonts w:ascii="Times New Roman" w:hAnsi="Times New Roman"/>
                <w:color w:val="000000" w:themeColor="text1"/>
              </w:rPr>
              <w:t xml:space="preserve"> et</w:t>
            </w:r>
            <w:r w:rsidR="00FC42A4" w:rsidRPr="0058432E">
              <w:rPr>
                <w:rFonts w:ascii="Times New Roman" w:hAnsi="Times New Roman"/>
                <w:color w:val="000000" w:themeColor="text1"/>
              </w:rPr>
              <w:t xml:space="preserve"> </w:t>
            </w:r>
            <w:r w:rsidRPr="0058432E">
              <w:rPr>
                <w:rFonts w:ascii="Times New Roman" w:hAnsi="Times New Roman"/>
                <w:color w:val="000000" w:themeColor="text1"/>
              </w:rPr>
              <w:t>adolescents à partir de 6 ans et pesant 30 kg et plus</w:t>
            </w:r>
          </w:p>
        </w:tc>
        <w:tc>
          <w:tcPr>
            <w:tcW w:w="3096" w:type="dxa"/>
            <w:tcBorders>
              <w:top w:val="single" w:sz="4" w:space="0" w:color="000000"/>
              <w:left w:val="single" w:sz="4" w:space="0" w:color="000000"/>
              <w:bottom w:val="single" w:sz="4" w:space="0" w:color="000000"/>
              <w:right w:val="single" w:sz="4" w:space="0" w:color="000000"/>
            </w:tcBorders>
          </w:tcPr>
          <w:p w14:paraId="054FF42B" w14:textId="77777777" w:rsidR="00FC5A0A" w:rsidRPr="0058432E"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 xml:space="preserve">40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6756C2E0" w14:textId="77777777" w:rsidR="00FC5A0A" w:rsidRPr="0058432E" w:rsidRDefault="0011718F"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r w:rsidR="00FC5A0A" w:rsidRPr="0058432E" w14:paraId="5338CBEB"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51429194" w14:textId="77777777" w:rsidR="00FC5A0A" w:rsidRPr="0058432E" w:rsidRDefault="00FC5A0A" w:rsidP="00077E50">
            <w:pPr>
              <w:pStyle w:val="TableParagraph"/>
              <w:widowControl/>
              <w:kinsoku w:val="0"/>
              <w:overflowPunct w:val="0"/>
              <w:spacing w:line="239" w:lineRule="auto"/>
              <w:ind w:left="102" w:right="120"/>
              <w:rPr>
                <w:rFonts w:ascii="Times New Roman" w:hAnsi="Times New Roman"/>
                <w:color w:val="000000" w:themeColor="text1"/>
              </w:rPr>
            </w:pPr>
            <w:r w:rsidRPr="0058432E">
              <w:rPr>
                <w:rFonts w:ascii="Times New Roman" w:hAnsi="Times New Roman"/>
                <w:color w:val="000000" w:themeColor="text1"/>
              </w:rPr>
              <w:t>Enfants et adolescents à partir de 6 ans et pesant 15 kg à moins de 30 kg</w:t>
            </w:r>
          </w:p>
        </w:tc>
        <w:tc>
          <w:tcPr>
            <w:tcW w:w="3096" w:type="dxa"/>
            <w:tcBorders>
              <w:top w:val="single" w:sz="4" w:space="0" w:color="000000"/>
              <w:left w:val="single" w:sz="4" w:space="0" w:color="000000"/>
              <w:bottom w:val="single" w:sz="4" w:space="0" w:color="000000"/>
              <w:right w:val="single" w:sz="4" w:space="0" w:color="000000"/>
            </w:tcBorders>
          </w:tcPr>
          <w:p w14:paraId="01D7B043" w14:textId="77777777" w:rsidR="00FC5A0A" w:rsidRPr="0058432E"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 xml:space="preserve">20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4A91B77B" w14:textId="77777777" w:rsidR="00FC5A0A" w:rsidRPr="0058432E" w:rsidRDefault="0011718F"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bl>
    <w:p w14:paraId="44F3C5DF" w14:textId="77777777" w:rsidR="00FC5A0A" w:rsidRPr="0058432E"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58432E" w14:paraId="6E4FD05C"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56FACB23" w14:textId="77777777" w:rsidR="00FC5A0A" w:rsidRPr="0058432E" w:rsidRDefault="00FC5A0A" w:rsidP="002B2067">
            <w:pPr>
              <w:pStyle w:val="TableParagraph"/>
              <w:keepNext/>
              <w:widowControl/>
              <w:kinsoku w:val="0"/>
              <w:overflowPunct w:val="0"/>
              <w:spacing w:line="251" w:lineRule="exact"/>
              <w:ind w:left="101"/>
              <w:rPr>
                <w:rFonts w:ascii="Times New Roman" w:hAnsi="Times New Roman"/>
                <w:color w:val="000000" w:themeColor="text1"/>
              </w:rPr>
            </w:pPr>
            <w:r w:rsidRPr="0058432E">
              <w:rPr>
                <w:rFonts w:ascii="Times New Roman" w:hAnsi="Times New Roman"/>
                <w:b/>
                <w:bCs/>
                <w:color w:val="000000" w:themeColor="text1"/>
              </w:rPr>
              <w:t>Psoriasis en plaques chez l’enfant et l’adolescent</w:t>
            </w:r>
          </w:p>
        </w:tc>
      </w:tr>
      <w:tr w:rsidR="00FC5A0A" w:rsidRPr="0058432E" w14:paraId="38397BFC" w14:textId="77777777" w:rsidTr="00B51A46">
        <w:trPr>
          <w:trHeight w:hRule="exact" w:val="786"/>
          <w:tblHeader/>
        </w:trPr>
        <w:tc>
          <w:tcPr>
            <w:tcW w:w="3095" w:type="dxa"/>
            <w:tcBorders>
              <w:top w:val="single" w:sz="4" w:space="0" w:color="000000"/>
              <w:left w:val="single" w:sz="4" w:space="0" w:color="000000"/>
              <w:bottom w:val="single" w:sz="4" w:space="0" w:color="000000"/>
              <w:right w:val="single" w:sz="4" w:space="0" w:color="000000"/>
            </w:tcBorders>
          </w:tcPr>
          <w:p w14:paraId="06F940AD"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 xml:space="preserve">Âge ou </w:t>
            </w:r>
            <w:r w:rsidR="00EA4C49" w:rsidRPr="0058432E">
              <w:rPr>
                <w:rFonts w:ascii="Times New Roman" w:hAnsi="Times New Roman"/>
                <w:b/>
                <w:bCs/>
                <w:color w:val="000000" w:themeColor="text1"/>
              </w:rPr>
              <w:t>poids corporel</w:t>
            </w:r>
          </w:p>
        </w:tc>
        <w:tc>
          <w:tcPr>
            <w:tcW w:w="3096" w:type="dxa"/>
            <w:tcBorders>
              <w:top w:val="single" w:sz="4" w:space="0" w:color="000000"/>
              <w:left w:val="single" w:sz="4" w:space="0" w:color="000000"/>
              <w:bottom w:val="single" w:sz="4" w:space="0" w:color="000000"/>
              <w:right w:val="single" w:sz="4" w:space="0" w:color="000000"/>
            </w:tcBorders>
          </w:tcPr>
          <w:p w14:paraId="2332EC04" w14:textId="77777777" w:rsidR="00FC5A0A" w:rsidRPr="0058432E" w:rsidRDefault="00FC5A0A" w:rsidP="00982118">
            <w:pPr>
              <w:pStyle w:val="TableParagraph"/>
              <w:widowControl/>
              <w:kinsoku w:val="0"/>
              <w:overflowPunct w:val="0"/>
              <w:ind w:left="102" w:right="334"/>
              <w:rPr>
                <w:rFonts w:ascii="Times New Roman" w:hAnsi="Times New Roman"/>
                <w:color w:val="000000" w:themeColor="text1"/>
              </w:rPr>
            </w:pPr>
            <w:r w:rsidRPr="0058432E">
              <w:rPr>
                <w:rFonts w:ascii="Times New Roman" w:hAnsi="Times New Roman"/>
                <w:b/>
                <w:bCs/>
                <w:color w:val="000000" w:themeColor="text1"/>
              </w:rPr>
              <w:t>Combien et à quelle fréquence prendre Amsparity ?</w:t>
            </w:r>
          </w:p>
        </w:tc>
        <w:tc>
          <w:tcPr>
            <w:tcW w:w="3096" w:type="dxa"/>
            <w:tcBorders>
              <w:top w:val="single" w:sz="4" w:space="0" w:color="000000"/>
              <w:left w:val="single" w:sz="4" w:space="0" w:color="000000"/>
              <w:bottom w:val="single" w:sz="4" w:space="0" w:color="000000"/>
              <w:right w:val="single" w:sz="4" w:space="0" w:color="000000"/>
            </w:tcBorders>
          </w:tcPr>
          <w:p w14:paraId="73950DA6"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Commentaires</w:t>
            </w:r>
          </w:p>
        </w:tc>
      </w:tr>
      <w:tr w:rsidR="00FC5A0A" w:rsidRPr="0058432E" w14:paraId="292D2BFE" w14:textId="77777777" w:rsidTr="00A53E17">
        <w:trPr>
          <w:trHeight w:hRule="exact" w:val="2138"/>
        </w:trPr>
        <w:tc>
          <w:tcPr>
            <w:tcW w:w="3095" w:type="dxa"/>
            <w:tcBorders>
              <w:top w:val="single" w:sz="4" w:space="0" w:color="000000"/>
              <w:left w:val="single" w:sz="4" w:space="0" w:color="000000"/>
              <w:bottom w:val="single" w:sz="4" w:space="0" w:color="000000"/>
              <w:right w:val="single" w:sz="4" w:space="0" w:color="000000"/>
            </w:tcBorders>
          </w:tcPr>
          <w:p w14:paraId="105654EE" w14:textId="77777777" w:rsidR="00FC5A0A" w:rsidRPr="0058432E" w:rsidRDefault="00FC5A0A" w:rsidP="00077E50">
            <w:pPr>
              <w:pStyle w:val="TableParagraph"/>
              <w:widowControl/>
              <w:kinsoku w:val="0"/>
              <w:overflowPunct w:val="0"/>
              <w:spacing w:line="239" w:lineRule="auto"/>
              <w:ind w:left="102" w:right="120"/>
              <w:rPr>
                <w:rFonts w:ascii="Times New Roman" w:hAnsi="Times New Roman"/>
                <w:color w:val="000000" w:themeColor="text1"/>
              </w:rPr>
            </w:pPr>
            <w:r w:rsidRPr="0058432E">
              <w:rPr>
                <w:rFonts w:ascii="Times New Roman" w:hAnsi="Times New Roman"/>
                <w:color w:val="000000" w:themeColor="text1"/>
              </w:rPr>
              <w:t>Enfants et adolescents âgés de 4 à 17 ans et pesant 30 kg et plus</w:t>
            </w:r>
          </w:p>
        </w:tc>
        <w:tc>
          <w:tcPr>
            <w:tcW w:w="3096" w:type="dxa"/>
            <w:tcBorders>
              <w:top w:val="single" w:sz="4" w:space="0" w:color="000000"/>
              <w:left w:val="single" w:sz="4" w:space="0" w:color="000000"/>
              <w:bottom w:val="single" w:sz="4" w:space="0" w:color="000000"/>
              <w:right w:val="single" w:sz="4" w:space="0" w:color="000000"/>
            </w:tcBorders>
          </w:tcPr>
          <w:p w14:paraId="5B04F4E4" w14:textId="77777777" w:rsidR="00FC5A0A" w:rsidRPr="0058432E" w:rsidRDefault="00FC5A0A" w:rsidP="00982118">
            <w:pPr>
              <w:pStyle w:val="TableParagraph"/>
              <w:widowControl/>
              <w:kinsoku w:val="0"/>
              <w:overflowPunct w:val="0"/>
              <w:spacing w:before="1" w:line="252" w:lineRule="exact"/>
              <w:ind w:left="102" w:right="102"/>
              <w:rPr>
                <w:rFonts w:ascii="Times New Roman" w:hAnsi="Times New Roman"/>
                <w:color w:val="000000" w:themeColor="text1"/>
              </w:rPr>
            </w:pPr>
            <w:r w:rsidRPr="0058432E">
              <w:rPr>
                <w:rFonts w:ascii="Times New Roman" w:hAnsi="Times New Roman"/>
                <w:color w:val="000000" w:themeColor="text1"/>
              </w:rPr>
              <w:t>Dose initiale de 40 mg suivie d’une dose de 40 mg une semaine plus tard.</w:t>
            </w:r>
          </w:p>
          <w:p w14:paraId="6833C523" w14:textId="77777777" w:rsidR="00FC5A0A" w:rsidRPr="0058432E" w:rsidRDefault="00FC5A0A" w:rsidP="00982118">
            <w:pPr>
              <w:pStyle w:val="TableParagraph"/>
              <w:widowControl/>
              <w:kinsoku w:val="0"/>
              <w:overflowPunct w:val="0"/>
              <w:spacing w:before="9"/>
              <w:rPr>
                <w:rFonts w:ascii="Times New Roman" w:hAnsi="Times New Roman"/>
                <w:color w:val="000000" w:themeColor="text1"/>
                <w:szCs w:val="21"/>
              </w:rPr>
            </w:pPr>
          </w:p>
          <w:p w14:paraId="251EC8A7" w14:textId="77777777" w:rsidR="00FC5A0A" w:rsidRPr="0058432E" w:rsidRDefault="00FC5A0A" w:rsidP="00982118">
            <w:pPr>
              <w:pStyle w:val="TableParagraph"/>
              <w:widowControl/>
              <w:kinsoku w:val="0"/>
              <w:overflowPunct w:val="0"/>
              <w:ind w:left="102" w:right="231"/>
              <w:rPr>
                <w:rFonts w:ascii="Times New Roman" w:hAnsi="Times New Roman"/>
                <w:color w:val="000000" w:themeColor="text1"/>
              </w:rPr>
            </w:pPr>
            <w:r w:rsidRPr="0058432E">
              <w:rPr>
                <w:rFonts w:ascii="Times New Roman" w:hAnsi="Times New Roman"/>
                <w:color w:val="000000" w:themeColor="text1"/>
              </w:rPr>
              <w:t xml:space="preserve">Par la suite, la posologie habituelle est de 40 mg </w:t>
            </w:r>
            <w:r w:rsidR="001B430D" w:rsidRPr="0058432E">
              <w:rPr>
                <w:rFonts w:ascii="Times New Roman" w:hAnsi="Times New Roman"/>
                <w:color w:val="000000" w:themeColor="text1"/>
              </w:rPr>
              <w:t>toutes les deux semaines</w:t>
            </w:r>
            <w:r w:rsidRPr="0058432E">
              <w:rPr>
                <w:rFonts w:ascii="Times New Roman" w:hAnsi="Times New Roman"/>
                <w:color w:val="000000" w:themeColor="text1"/>
              </w:rPr>
              <w:t>.</w:t>
            </w:r>
          </w:p>
        </w:tc>
        <w:tc>
          <w:tcPr>
            <w:tcW w:w="3096" w:type="dxa"/>
            <w:tcBorders>
              <w:top w:val="single" w:sz="4" w:space="0" w:color="000000"/>
              <w:left w:val="single" w:sz="4" w:space="0" w:color="000000"/>
              <w:bottom w:val="single" w:sz="4" w:space="0" w:color="000000"/>
              <w:right w:val="single" w:sz="4" w:space="0" w:color="000000"/>
            </w:tcBorders>
          </w:tcPr>
          <w:p w14:paraId="29046897" w14:textId="77777777" w:rsidR="00FC5A0A" w:rsidRPr="0058432E" w:rsidRDefault="0011718F"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r w:rsidR="00FC5A0A" w:rsidRPr="0058432E" w14:paraId="4859BCE7" w14:textId="77777777" w:rsidTr="00A53E17">
        <w:trPr>
          <w:trHeight w:hRule="exact" w:val="2112"/>
        </w:trPr>
        <w:tc>
          <w:tcPr>
            <w:tcW w:w="3095" w:type="dxa"/>
            <w:tcBorders>
              <w:top w:val="single" w:sz="4" w:space="0" w:color="000000"/>
              <w:left w:val="single" w:sz="4" w:space="0" w:color="000000"/>
              <w:bottom w:val="single" w:sz="4" w:space="0" w:color="000000"/>
              <w:right w:val="single" w:sz="4" w:space="0" w:color="000000"/>
            </w:tcBorders>
          </w:tcPr>
          <w:p w14:paraId="44FD7F86" w14:textId="77777777" w:rsidR="00FC5A0A" w:rsidRPr="0058432E" w:rsidRDefault="00FC5A0A" w:rsidP="00077E50">
            <w:pPr>
              <w:pStyle w:val="TableParagraph"/>
              <w:widowControl/>
              <w:kinsoku w:val="0"/>
              <w:overflowPunct w:val="0"/>
              <w:ind w:left="102" w:right="120"/>
              <w:rPr>
                <w:rFonts w:ascii="Times New Roman" w:hAnsi="Times New Roman"/>
                <w:color w:val="000000" w:themeColor="text1"/>
              </w:rPr>
            </w:pPr>
            <w:r w:rsidRPr="0058432E">
              <w:rPr>
                <w:rFonts w:ascii="Times New Roman" w:hAnsi="Times New Roman"/>
                <w:color w:val="000000" w:themeColor="text1"/>
              </w:rPr>
              <w:t>Enfants et adolescents de 4 à 17 ans et pesant 15 kg à moins de 30 kg</w:t>
            </w:r>
          </w:p>
        </w:tc>
        <w:tc>
          <w:tcPr>
            <w:tcW w:w="3096" w:type="dxa"/>
            <w:tcBorders>
              <w:top w:val="single" w:sz="4" w:space="0" w:color="000000"/>
              <w:left w:val="single" w:sz="4" w:space="0" w:color="000000"/>
              <w:bottom w:val="single" w:sz="4" w:space="0" w:color="000000"/>
              <w:right w:val="single" w:sz="4" w:space="0" w:color="000000"/>
            </w:tcBorders>
          </w:tcPr>
          <w:p w14:paraId="4C11FFC3" w14:textId="77777777" w:rsidR="00FC5A0A" w:rsidRPr="0058432E" w:rsidRDefault="00FC5A0A" w:rsidP="00982118">
            <w:pPr>
              <w:pStyle w:val="TableParagraph"/>
              <w:widowControl/>
              <w:kinsoku w:val="0"/>
              <w:overflowPunct w:val="0"/>
              <w:ind w:left="102" w:right="102"/>
              <w:rPr>
                <w:rFonts w:ascii="Times New Roman" w:hAnsi="Times New Roman"/>
                <w:color w:val="000000" w:themeColor="text1"/>
              </w:rPr>
            </w:pPr>
            <w:r w:rsidRPr="0058432E">
              <w:rPr>
                <w:rFonts w:ascii="Times New Roman" w:hAnsi="Times New Roman"/>
                <w:color w:val="000000" w:themeColor="text1"/>
              </w:rPr>
              <w:t>Dose initiale de 20 mg suivie d’une dose de 20 mg une semaine plus tard.</w:t>
            </w:r>
          </w:p>
          <w:p w14:paraId="698DABA3" w14:textId="77777777" w:rsidR="00FC5A0A" w:rsidRPr="0058432E" w:rsidRDefault="00FC5A0A" w:rsidP="00982118">
            <w:pPr>
              <w:pStyle w:val="TableParagraph"/>
              <w:widowControl/>
              <w:kinsoku w:val="0"/>
              <w:overflowPunct w:val="0"/>
              <w:spacing w:before="11"/>
              <w:rPr>
                <w:rFonts w:ascii="Times New Roman" w:hAnsi="Times New Roman"/>
                <w:color w:val="000000" w:themeColor="text1"/>
                <w:szCs w:val="21"/>
              </w:rPr>
            </w:pPr>
          </w:p>
          <w:p w14:paraId="7AFE7736" w14:textId="77777777" w:rsidR="00FC5A0A" w:rsidRPr="0058432E" w:rsidRDefault="00FC5A0A" w:rsidP="00982118">
            <w:pPr>
              <w:pStyle w:val="TableParagraph"/>
              <w:widowControl/>
              <w:kinsoku w:val="0"/>
              <w:overflowPunct w:val="0"/>
              <w:ind w:left="102" w:right="231"/>
              <w:rPr>
                <w:rFonts w:ascii="Times New Roman" w:hAnsi="Times New Roman"/>
                <w:color w:val="000000" w:themeColor="text1"/>
              </w:rPr>
            </w:pPr>
            <w:r w:rsidRPr="0058432E">
              <w:rPr>
                <w:rFonts w:ascii="Times New Roman" w:hAnsi="Times New Roman"/>
                <w:color w:val="000000" w:themeColor="text1"/>
              </w:rPr>
              <w:t xml:space="preserve">Par la suite, la posologie habituelle est de 20 mg </w:t>
            </w:r>
            <w:r w:rsidR="001B430D" w:rsidRPr="0058432E">
              <w:rPr>
                <w:rFonts w:ascii="Times New Roman" w:hAnsi="Times New Roman"/>
                <w:color w:val="000000" w:themeColor="text1"/>
              </w:rPr>
              <w:t>toutes les deux semaines</w:t>
            </w:r>
            <w:r w:rsidRPr="0058432E">
              <w:rPr>
                <w:rFonts w:ascii="Times New Roman" w:hAnsi="Times New Roman"/>
                <w:color w:val="000000" w:themeColor="text1"/>
              </w:rPr>
              <w:t>.</w:t>
            </w:r>
          </w:p>
        </w:tc>
        <w:tc>
          <w:tcPr>
            <w:tcW w:w="3096" w:type="dxa"/>
            <w:tcBorders>
              <w:top w:val="single" w:sz="4" w:space="0" w:color="000000"/>
              <w:left w:val="single" w:sz="4" w:space="0" w:color="000000"/>
              <w:bottom w:val="single" w:sz="4" w:space="0" w:color="000000"/>
              <w:right w:val="single" w:sz="4" w:space="0" w:color="000000"/>
            </w:tcBorders>
          </w:tcPr>
          <w:p w14:paraId="0F303B25" w14:textId="77777777" w:rsidR="00FC5A0A" w:rsidRPr="0058432E" w:rsidRDefault="0011718F" w:rsidP="00982118">
            <w:pPr>
              <w:pStyle w:val="TableParagraph"/>
              <w:widowControl/>
              <w:kinsoku w:val="0"/>
              <w:overflowPunct w:val="0"/>
              <w:spacing w:line="249" w:lineRule="exact"/>
              <w:ind w:left="102"/>
              <w:rPr>
                <w:rFonts w:ascii="Times New Roman" w:hAnsi="Times New Roman"/>
                <w:color w:val="000000" w:themeColor="text1"/>
              </w:rPr>
            </w:pPr>
            <w:r w:rsidRPr="0058432E">
              <w:rPr>
                <w:rFonts w:ascii="Times New Roman" w:hAnsi="Times New Roman"/>
                <w:color w:val="000000" w:themeColor="text1"/>
              </w:rPr>
              <w:t>Sans objet</w:t>
            </w:r>
          </w:p>
        </w:tc>
      </w:tr>
    </w:tbl>
    <w:p w14:paraId="35B0C82E" w14:textId="77777777" w:rsidR="00FC5A0A" w:rsidRPr="0058432E"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58432E" w14:paraId="401CE1BE" w14:textId="77777777" w:rsidTr="00077E50">
        <w:trPr>
          <w:tblHeader/>
        </w:trPr>
        <w:tc>
          <w:tcPr>
            <w:tcW w:w="9287" w:type="dxa"/>
            <w:gridSpan w:val="3"/>
            <w:tcBorders>
              <w:top w:val="single" w:sz="4" w:space="0" w:color="000000"/>
              <w:left w:val="single" w:sz="4" w:space="0" w:color="000000"/>
              <w:bottom w:val="single" w:sz="4" w:space="0" w:color="000000"/>
              <w:right w:val="single" w:sz="4" w:space="0" w:color="000000"/>
            </w:tcBorders>
          </w:tcPr>
          <w:p w14:paraId="59FC5384" w14:textId="77777777" w:rsidR="00FC5A0A" w:rsidRPr="0058432E" w:rsidRDefault="00FC5A0A" w:rsidP="000B37DD">
            <w:pPr>
              <w:pStyle w:val="TableParagraph"/>
              <w:keepNext/>
              <w:widowControl/>
              <w:kinsoku w:val="0"/>
              <w:overflowPunct w:val="0"/>
              <w:spacing w:line="251" w:lineRule="exact"/>
              <w:ind w:left="101"/>
              <w:rPr>
                <w:rFonts w:ascii="Times New Roman" w:hAnsi="Times New Roman"/>
                <w:color w:val="000000" w:themeColor="text1"/>
              </w:rPr>
            </w:pPr>
            <w:r w:rsidRPr="0058432E">
              <w:rPr>
                <w:rFonts w:ascii="Times New Roman" w:hAnsi="Times New Roman"/>
                <w:b/>
                <w:bCs/>
                <w:color w:val="000000" w:themeColor="text1"/>
              </w:rPr>
              <w:lastRenderedPageBreak/>
              <w:t>Maladie de Crohn chez l’enfant et l’adolescent</w:t>
            </w:r>
          </w:p>
        </w:tc>
      </w:tr>
      <w:tr w:rsidR="00FC5A0A" w:rsidRPr="0058432E" w14:paraId="32B60F4E" w14:textId="77777777" w:rsidTr="00077E50">
        <w:trPr>
          <w:tblHeader/>
        </w:trPr>
        <w:tc>
          <w:tcPr>
            <w:tcW w:w="3095" w:type="dxa"/>
            <w:tcBorders>
              <w:top w:val="single" w:sz="4" w:space="0" w:color="000000"/>
              <w:left w:val="single" w:sz="4" w:space="0" w:color="000000"/>
              <w:bottom w:val="single" w:sz="4" w:space="0" w:color="000000"/>
              <w:right w:val="single" w:sz="4" w:space="0" w:color="000000"/>
            </w:tcBorders>
          </w:tcPr>
          <w:p w14:paraId="2F0D1A5B" w14:textId="77777777" w:rsidR="00FC5A0A" w:rsidRPr="0058432E" w:rsidRDefault="00FC5A0A" w:rsidP="000D3575">
            <w:pPr>
              <w:pStyle w:val="TableParagraph"/>
              <w:keepNext/>
              <w:keepLines/>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 xml:space="preserve">Âge ou </w:t>
            </w:r>
            <w:r w:rsidR="00EA4C49" w:rsidRPr="0058432E">
              <w:rPr>
                <w:rFonts w:ascii="Times New Roman" w:hAnsi="Times New Roman"/>
                <w:b/>
                <w:bCs/>
                <w:color w:val="000000" w:themeColor="text1"/>
              </w:rPr>
              <w:t>poids corporel</w:t>
            </w:r>
          </w:p>
        </w:tc>
        <w:tc>
          <w:tcPr>
            <w:tcW w:w="3096" w:type="dxa"/>
            <w:tcBorders>
              <w:top w:val="single" w:sz="4" w:space="0" w:color="000000"/>
              <w:left w:val="single" w:sz="4" w:space="0" w:color="000000"/>
              <w:bottom w:val="single" w:sz="4" w:space="0" w:color="000000"/>
              <w:right w:val="single" w:sz="4" w:space="0" w:color="000000"/>
            </w:tcBorders>
          </w:tcPr>
          <w:p w14:paraId="24B8D0DA" w14:textId="77777777" w:rsidR="00FC5A0A" w:rsidRPr="0058432E" w:rsidRDefault="00FC5A0A" w:rsidP="000D3575">
            <w:pPr>
              <w:pStyle w:val="TableParagraph"/>
              <w:keepNext/>
              <w:keepLines/>
              <w:widowControl/>
              <w:kinsoku w:val="0"/>
              <w:overflowPunct w:val="0"/>
              <w:ind w:left="102" w:right="334"/>
              <w:rPr>
                <w:rFonts w:ascii="Times New Roman" w:hAnsi="Times New Roman"/>
                <w:color w:val="000000" w:themeColor="text1"/>
              </w:rPr>
            </w:pPr>
            <w:r w:rsidRPr="0058432E">
              <w:rPr>
                <w:rFonts w:ascii="Times New Roman" w:hAnsi="Times New Roman"/>
                <w:b/>
                <w:bCs/>
                <w:color w:val="000000" w:themeColor="text1"/>
              </w:rPr>
              <w:t>Combien et à quelle fréquence prendre Amsparity ?</w:t>
            </w:r>
          </w:p>
        </w:tc>
        <w:tc>
          <w:tcPr>
            <w:tcW w:w="3096" w:type="dxa"/>
            <w:tcBorders>
              <w:top w:val="single" w:sz="4" w:space="0" w:color="000000"/>
              <w:left w:val="single" w:sz="4" w:space="0" w:color="000000"/>
              <w:bottom w:val="single" w:sz="4" w:space="0" w:color="000000"/>
              <w:right w:val="single" w:sz="4" w:space="0" w:color="000000"/>
            </w:tcBorders>
          </w:tcPr>
          <w:p w14:paraId="61311316" w14:textId="77777777" w:rsidR="00FC5A0A" w:rsidRPr="0058432E" w:rsidRDefault="00FC5A0A" w:rsidP="000D3575">
            <w:pPr>
              <w:pStyle w:val="TableParagraph"/>
              <w:keepNext/>
              <w:keepLines/>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Commentaires</w:t>
            </w:r>
          </w:p>
        </w:tc>
      </w:tr>
      <w:tr w:rsidR="00FC5A0A" w:rsidRPr="0058432E" w14:paraId="0CA544E0" w14:textId="77777777" w:rsidTr="006B001C">
        <w:tc>
          <w:tcPr>
            <w:tcW w:w="3095" w:type="dxa"/>
            <w:tcBorders>
              <w:top w:val="single" w:sz="4" w:space="0" w:color="000000"/>
              <w:left w:val="single" w:sz="4" w:space="0" w:color="000000"/>
              <w:bottom w:val="single" w:sz="4" w:space="0" w:color="000000"/>
              <w:right w:val="single" w:sz="4" w:space="0" w:color="000000"/>
            </w:tcBorders>
          </w:tcPr>
          <w:p w14:paraId="0D75F4C9" w14:textId="77777777" w:rsidR="00FC5A0A" w:rsidRPr="0058432E" w:rsidRDefault="00FC5A0A" w:rsidP="000D3575">
            <w:pPr>
              <w:pStyle w:val="TableParagraph"/>
              <w:keepNext/>
              <w:keepLines/>
              <w:widowControl/>
              <w:kinsoku w:val="0"/>
              <w:overflowPunct w:val="0"/>
              <w:spacing w:line="239" w:lineRule="auto"/>
              <w:ind w:left="102" w:right="120"/>
              <w:rPr>
                <w:rFonts w:ascii="Times New Roman" w:hAnsi="Times New Roman"/>
                <w:color w:val="000000" w:themeColor="text1"/>
              </w:rPr>
            </w:pPr>
            <w:r w:rsidRPr="0058432E">
              <w:rPr>
                <w:rFonts w:ascii="Times New Roman" w:hAnsi="Times New Roman"/>
                <w:color w:val="000000" w:themeColor="text1"/>
              </w:rPr>
              <w:t>Enfants et adolescents âgés de 6 à 17 ans et pesant 40 kg et plus</w:t>
            </w:r>
          </w:p>
        </w:tc>
        <w:tc>
          <w:tcPr>
            <w:tcW w:w="3096" w:type="dxa"/>
            <w:tcBorders>
              <w:top w:val="single" w:sz="4" w:space="0" w:color="000000"/>
              <w:left w:val="single" w:sz="4" w:space="0" w:color="000000"/>
              <w:bottom w:val="single" w:sz="4" w:space="0" w:color="000000"/>
              <w:right w:val="single" w:sz="4" w:space="0" w:color="000000"/>
            </w:tcBorders>
          </w:tcPr>
          <w:p w14:paraId="013C8782" w14:textId="77777777" w:rsidR="00FC5A0A" w:rsidRPr="0058432E" w:rsidRDefault="00FC5A0A" w:rsidP="000D3575">
            <w:pPr>
              <w:pStyle w:val="TableParagraph"/>
              <w:keepNext/>
              <w:keepLines/>
              <w:widowControl/>
              <w:kinsoku w:val="0"/>
              <w:overflowPunct w:val="0"/>
              <w:spacing w:before="1" w:line="252" w:lineRule="exact"/>
              <w:ind w:left="102" w:right="102"/>
              <w:rPr>
                <w:rFonts w:ascii="Times New Roman" w:hAnsi="Times New Roman"/>
                <w:color w:val="000000" w:themeColor="text1"/>
              </w:rPr>
            </w:pPr>
            <w:r w:rsidRPr="0058432E">
              <w:rPr>
                <w:rFonts w:ascii="Times New Roman" w:hAnsi="Times New Roman"/>
                <w:color w:val="000000" w:themeColor="text1"/>
              </w:rPr>
              <w:t>Dose initiale de 80 mg suivie d’une dose de 40 mg deux semaines plus tard.</w:t>
            </w:r>
          </w:p>
          <w:p w14:paraId="0A273A75" w14:textId="77777777" w:rsidR="00FC5A0A" w:rsidRPr="0058432E" w:rsidRDefault="00FC5A0A" w:rsidP="000D3575">
            <w:pPr>
              <w:pStyle w:val="TableParagraph"/>
              <w:keepNext/>
              <w:keepLines/>
              <w:widowControl/>
              <w:kinsoku w:val="0"/>
              <w:overflowPunct w:val="0"/>
              <w:spacing w:before="9"/>
              <w:rPr>
                <w:rFonts w:ascii="Times New Roman" w:hAnsi="Times New Roman"/>
                <w:color w:val="000000" w:themeColor="text1"/>
                <w:szCs w:val="21"/>
              </w:rPr>
            </w:pPr>
          </w:p>
          <w:p w14:paraId="1DFA3EC6" w14:textId="77777777" w:rsidR="00FC5A0A" w:rsidRPr="0058432E" w:rsidRDefault="00FC5A0A" w:rsidP="000D3575">
            <w:pPr>
              <w:pStyle w:val="TableParagraph"/>
              <w:keepNext/>
              <w:keepLines/>
              <w:widowControl/>
              <w:kinsoku w:val="0"/>
              <w:overflowPunct w:val="0"/>
              <w:ind w:left="102" w:right="139"/>
              <w:rPr>
                <w:rFonts w:ascii="Times New Roman" w:hAnsi="Times New Roman"/>
                <w:color w:val="000000" w:themeColor="text1"/>
              </w:rPr>
            </w:pPr>
            <w:r w:rsidRPr="0058432E">
              <w:rPr>
                <w:rFonts w:ascii="Times New Roman" w:hAnsi="Times New Roman"/>
                <w:color w:val="000000" w:themeColor="text1"/>
              </w:rPr>
              <w:t>S’il est nécessaire d’obtenir une réponse plus rapide, le médecin de votre enfant pourra lui prescrire une dose initiale de 160 mg suivie d’une dose de 80 mg deux semaines plus tard.</w:t>
            </w:r>
          </w:p>
          <w:p w14:paraId="2446ED9D" w14:textId="77777777" w:rsidR="00FC5A0A" w:rsidRPr="0058432E" w:rsidRDefault="00FC5A0A" w:rsidP="000D3575">
            <w:pPr>
              <w:pStyle w:val="TableParagraph"/>
              <w:keepNext/>
              <w:keepLines/>
              <w:widowControl/>
              <w:kinsoku w:val="0"/>
              <w:overflowPunct w:val="0"/>
              <w:rPr>
                <w:rFonts w:ascii="Times New Roman" w:hAnsi="Times New Roman"/>
                <w:color w:val="000000" w:themeColor="text1"/>
              </w:rPr>
            </w:pPr>
          </w:p>
          <w:p w14:paraId="50165A4B" w14:textId="77777777" w:rsidR="00FC5A0A" w:rsidRPr="0058432E" w:rsidRDefault="00FC5A0A" w:rsidP="000D3575">
            <w:pPr>
              <w:pStyle w:val="TableParagraph"/>
              <w:keepNext/>
              <w:keepLines/>
              <w:widowControl/>
              <w:kinsoku w:val="0"/>
              <w:overflowPunct w:val="0"/>
              <w:ind w:left="102" w:right="231"/>
              <w:rPr>
                <w:rFonts w:ascii="Times New Roman" w:hAnsi="Times New Roman"/>
                <w:color w:val="000000" w:themeColor="text1"/>
              </w:rPr>
            </w:pPr>
            <w:r w:rsidRPr="0058432E">
              <w:rPr>
                <w:rFonts w:ascii="Times New Roman" w:hAnsi="Times New Roman"/>
                <w:color w:val="000000" w:themeColor="text1"/>
              </w:rPr>
              <w:t xml:space="preserve">Par la suite, la posologie habituelle est de 40 mg </w:t>
            </w:r>
            <w:r w:rsidR="001B430D" w:rsidRPr="0058432E">
              <w:rPr>
                <w:rFonts w:ascii="Times New Roman" w:hAnsi="Times New Roman"/>
                <w:color w:val="000000" w:themeColor="text1"/>
              </w:rPr>
              <w:t>toutes les deux semaines</w:t>
            </w:r>
            <w:r w:rsidRPr="0058432E">
              <w:rPr>
                <w:rFonts w:ascii="Times New Roman" w:hAnsi="Times New Roman"/>
                <w:color w:val="000000" w:themeColor="text1"/>
              </w:rPr>
              <w:t>.</w:t>
            </w:r>
          </w:p>
        </w:tc>
        <w:tc>
          <w:tcPr>
            <w:tcW w:w="3096" w:type="dxa"/>
            <w:tcBorders>
              <w:top w:val="single" w:sz="4" w:space="0" w:color="000000"/>
              <w:left w:val="single" w:sz="4" w:space="0" w:color="000000"/>
              <w:bottom w:val="single" w:sz="4" w:space="0" w:color="000000"/>
              <w:right w:val="single" w:sz="4" w:space="0" w:color="000000"/>
            </w:tcBorders>
          </w:tcPr>
          <w:p w14:paraId="0492BE90" w14:textId="77777777" w:rsidR="00FC5A0A" w:rsidRPr="0058432E" w:rsidRDefault="00FC5A0A" w:rsidP="000D3575">
            <w:pPr>
              <w:pStyle w:val="TableParagraph"/>
              <w:keepNext/>
              <w:keepLines/>
              <w:widowControl/>
              <w:kinsoku w:val="0"/>
              <w:overflowPunct w:val="0"/>
              <w:spacing w:line="239" w:lineRule="auto"/>
              <w:ind w:left="102" w:right="316"/>
              <w:rPr>
                <w:rFonts w:ascii="Times New Roman" w:hAnsi="Times New Roman"/>
                <w:color w:val="000000" w:themeColor="text1"/>
              </w:rPr>
            </w:pPr>
            <w:r w:rsidRPr="0058432E">
              <w:rPr>
                <w:rFonts w:ascii="Times New Roman" w:hAnsi="Times New Roman"/>
                <w:color w:val="000000" w:themeColor="text1"/>
              </w:rPr>
              <w:t>Le médecin de votre enfant pourra augmenter la posologie à 40 mg toutes les semaines ou à 80 mg toutes les deux semaines.</w:t>
            </w:r>
          </w:p>
        </w:tc>
      </w:tr>
      <w:tr w:rsidR="00FC5A0A" w:rsidRPr="0058432E" w14:paraId="77F79848" w14:textId="77777777" w:rsidTr="006B001C">
        <w:tc>
          <w:tcPr>
            <w:tcW w:w="3095" w:type="dxa"/>
            <w:tcBorders>
              <w:top w:val="single" w:sz="4" w:space="0" w:color="000000"/>
              <w:left w:val="single" w:sz="4" w:space="0" w:color="000000"/>
              <w:bottom w:val="single" w:sz="4" w:space="0" w:color="000000"/>
              <w:right w:val="single" w:sz="4" w:space="0" w:color="000000"/>
            </w:tcBorders>
            <w:shd w:val="clear" w:color="auto" w:fill="auto"/>
          </w:tcPr>
          <w:p w14:paraId="3B4FFF72" w14:textId="77777777" w:rsidR="00FC5A0A" w:rsidRPr="0058432E" w:rsidRDefault="00FC5A0A" w:rsidP="006B001C">
            <w:pPr>
              <w:pStyle w:val="TableParagraph"/>
              <w:widowControl/>
              <w:kinsoku w:val="0"/>
              <w:overflowPunct w:val="0"/>
              <w:ind w:left="102" w:right="120"/>
              <w:rPr>
                <w:rFonts w:ascii="Times New Roman" w:hAnsi="Times New Roman"/>
                <w:color w:val="000000" w:themeColor="text1"/>
              </w:rPr>
            </w:pPr>
            <w:r w:rsidRPr="0058432E">
              <w:rPr>
                <w:rFonts w:ascii="Times New Roman" w:hAnsi="Times New Roman"/>
                <w:color w:val="000000" w:themeColor="text1"/>
              </w:rPr>
              <w:t>Enfants et adolescents âgés de 6 à 17 ans et pesant moins de 40 kg</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14:paraId="0707897E" w14:textId="77777777" w:rsidR="00FC5A0A" w:rsidRPr="0058432E" w:rsidRDefault="00FC5A0A" w:rsidP="006B001C">
            <w:pPr>
              <w:pStyle w:val="TableParagraph"/>
              <w:widowControl/>
              <w:kinsoku w:val="0"/>
              <w:overflowPunct w:val="0"/>
              <w:ind w:left="102" w:right="102"/>
              <w:rPr>
                <w:rFonts w:ascii="Times New Roman" w:hAnsi="Times New Roman"/>
                <w:color w:val="000000" w:themeColor="text1"/>
              </w:rPr>
            </w:pPr>
            <w:r w:rsidRPr="0058432E">
              <w:rPr>
                <w:rFonts w:ascii="Times New Roman" w:hAnsi="Times New Roman"/>
                <w:color w:val="000000" w:themeColor="text1"/>
              </w:rPr>
              <w:t>Dose initiale de 40 mg suivie d’une dose de 20 mg deux semaines plus tard.</w:t>
            </w:r>
          </w:p>
          <w:p w14:paraId="4732486B" w14:textId="77777777" w:rsidR="00FC5A0A" w:rsidRPr="0058432E" w:rsidRDefault="00FC5A0A" w:rsidP="006B001C">
            <w:pPr>
              <w:pStyle w:val="TableParagraph"/>
              <w:widowControl/>
              <w:kinsoku w:val="0"/>
              <w:overflowPunct w:val="0"/>
              <w:spacing w:before="11"/>
              <w:rPr>
                <w:rFonts w:ascii="Times New Roman" w:hAnsi="Times New Roman"/>
                <w:color w:val="000000" w:themeColor="text1"/>
                <w:szCs w:val="21"/>
              </w:rPr>
            </w:pPr>
          </w:p>
          <w:p w14:paraId="6F10F9B3" w14:textId="77777777" w:rsidR="00FC5A0A" w:rsidRPr="0058432E" w:rsidRDefault="00FC5A0A" w:rsidP="006B001C">
            <w:pPr>
              <w:pStyle w:val="TableParagraph"/>
              <w:widowControl/>
              <w:kinsoku w:val="0"/>
              <w:overflowPunct w:val="0"/>
              <w:ind w:left="102" w:right="238"/>
              <w:rPr>
                <w:rFonts w:ascii="Times New Roman" w:hAnsi="Times New Roman"/>
                <w:color w:val="000000" w:themeColor="text1"/>
              </w:rPr>
            </w:pPr>
            <w:r w:rsidRPr="0058432E">
              <w:rPr>
                <w:rFonts w:ascii="Times New Roman" w:hAnsi="Times New Roman"/>
                <w:color w:val="000000" w:themeColor="text1"/>
              </w:rPr>
              <w:t>S’il est nécessaire d’obtenir une réponse plus rapide, le médecin pourra prescrire une dose initiale de 80 mg suivie d’une dose de 40 mg deux semaines plus tard.</w:t>
            </w:r>
          </w:p>
          <w:p w14:paraId="79483725" w14:textId="77777777" w:rsidR="00FC5A0A" w:rsidRPr="0058432E" w:rsidRDefault="00FC5A0A" w:rsidP="006B001C">
            <w:pPr>
              <w:pStyle w:val="TableParagraph"/>
              <w:widowControl/>
              <w:kinsoku w:val="0"/>
              <w:overflowPunct w:val="0"/>
              <w:rPr>
                <w:rFonts w:ascii="Times New Roman" w:hAnsi="Times New Roman"/>
                <w:color w:val="000000" w:themeColor="text1"/>
              </w:rPr>
            </w:pPr>
          </w:p>
          <w:p w14:paraId="62786EAA" w14:textId="77777777" w:rsidR="00FC5A0A" w:rsidRPr="0058432E" w:rsidRDefault="00FC5A0A" w:rsidP="006B001C">
            <w:pPr>
              <w:pStyle w:val="TableParagraph"/>
              <w:widowControl/>
              <w:kinsoku w:val="0"/>
              <w:overflowPunct w:val="0"/>
              <w:ind w:left="102" w:right="231"/>
              <w:rPr>
                <w:rFonts w:ascii="Times New Roman" w:hAnsi="Times New Roman"/>
                <w:color w:val="000000" w:themeColor="text1"/>
              </w:rPr>
            </w:pPr>
            <w:r w:rsidRPr="0058432E">
              <w:rPr>
                <w:rFonts w:ascii="Times New Roman" w:hAnsi="Times New Roman"/>
                <w:color w:val="000000" w:themeColor="text1"/>
              </w:rPr>
              <w:t xml:space="preserve">Par la suite, la posologie habituelle est de 20 mg </w:t>
            </w:r>
            <w:r w:rsidR="001B430D" w:rsidRPr="0058432E">
              <w:rPr>
                <w:rFonts w:ascii="Times New Roman" w:hAnsi="Times New Roman"/>
                <w:color w:val="000000" w:themeColor="text1"/>
              </w:rPr>
              <w:t>toutes les deux semaines</w:t>
            </w:r>
            <w:r w:rsidRPr="0058432E">
              <w:rPr>
                <w:rFonts w:ascii="Times New Roman" w:hAnsi="Times New Roman"/>
                <w:color w:val="000000" w:themeColor="text1"/>
              </w:rPr>
              <w:t>.</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14:paraId="413A6313" w14:textId="77777777" w:rsidR="00FC5A0A" w:rsidRPr="0058432E" w:rsidRDefault="00FC5A0A" w:rsidP="006B001C">
            <w:pPr>
              <w:pStyle w:val="TableParagraph"/>
              <w:widowControl/>
              <w:kinsoku w:val="0"/>
              <w:overflowPunct w:val="0"/>
              <w:ind w:left="102" w:right="316"/>
              <w:rPr>
                <w:rFonts w:ascii="Times New Roman" w:hAnsi="Times New Roman"/>
                <w:color w:val="000000" w:themeColor="text1"/>
              </w:rPr>
            </w:pPr>
            <w:r w:rsidRPr="0058432E">
              <w:rPr>
                <w:rFonts w:ascii="Times New Roman" w:hAnsi="Times New Roman"/>
                <w:color w:val="000000" w:themeColor="text1"/>
              </w:rPr>
              <w:t xml:space="preserve">Le médecin de votre enfant pourra augmenter </w:t>
            </w:r>
            <w:r w:rsidR="005206F2" w:rsidRPr="0058432E">
              <w:rPr>
                <w:rFonts w:ascii="Times New Roman" w:hAnsi="Times New Roman"/>
                <w:color w:val="000000" w:themeColor="text1"/>
              </w:rPr>
              <w:t xml:space="preserve">la fréquence de </w:t>
            </w:r>
            <w:r w:rsidRPr="0058432E">
              <w:rPr>
                <w:rFonts w:ascii="Times New Roman" w:hAnsi="Times New Roman"/>
                <w:color w:val="000000" w:themeColor="text1"/>
              </w:rPr>
              <w:t>la dose à 20 mg toutes les semaines.</w:t>
            </w:r>
          </w:p>
        </w:tc>
      </w:tr>
    </w:tbl>
    <w:p w14:paraId="7099EDD3" w14:textId="77777777" w:rsidR="00FC5A0A" w:rsidRPr="0058432E" w:rsidRDefault="00FC5A0A" w:rsidP="00982118">
      <w:pPr>
        <w:rPr>
          <w:color w:val="000000" w:themeColor="text1"/>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58432E" w14:paraId="79C7DD02"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5C45B89A" w14:textId="77777777" w:rsidR="00FC5A0A" w:rsidRPr="0058432E" w:rsidRDefault="00FC5A0A" w:rsidP="00982118">
            <w:pPr>
              <w:pStyle w:val="TableParagraph"/>
              <w:keepNext/>
              <w:widowControl/>
              <w:kinsoku w:val="0"/>
              <w:overflowPunct w:val="0"/>
              <w:spacing w:line="251" w:lineRule="exact"/>
              <w:ind w:left="101"/>
              <w:rPr>
                <w:rFonts w:ascii="Times New Roman" w:hAnsi="Times New Roman"/>
                <w:color w:val="000000" w:themeColor="text1"/>
              </w:rPr>
            </w:pPr>
            <w:r w:rsidRPr="0058432E">
              <w:rPr>
                <w:rFonts w:ascii="Times New Roman" w:hAnsi="Times New Roman"/>
                <w:b/>
                <w:bCs/>
                <w:color w:val="000000" w:themeColor="text1"/>
              </w:rPr>
              <w:t>Uvéite chez l’enfant et l’adolescent</w:t>
            </w:r>
          </w:p>
        </w:tc>
      </w:tr>
      <w:tr w:rsidR="00FC5A0A" w:rsidRPr="0058432E" w14:paraId="69657355" w14:textId="77777777" w:rsidTr="00B51A46">
        <w:trPr>
          <w:trHeight w:hRule="exact" w:val="783"/>
          <w:tblHeader/>
        </w:trPr>
        <w:tc>
          <w:tcPr>
            <w:tcW w:w="3095" w:type="dxa"/>
            <w:tcBorders>
              <w:top w:val="single" w:sz="4" w:space="0" w:color="000000"/>
              <w:left w:val="single" w:sz="4" w:space="0" w:color="000000"/>
              <w:bottom w:val="single" w:sz="4" w:space="0" w:color="000000"/>
              <w:right w:val="single" w:sz="4" w:space="0" w:color="000000"/>
            </w:tcBorders>
          </w:tcPr>
          <w:p w14:paraId="0376999B"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 xml:space="preserve">Âge ou </w:t>
            </w:r>
            <w:r w:rsidR="00EA4C49" w:rsidRPr="0058432E">
              <w:rPr>
                <w:rFonts w:ascii="Times New Roman" w:hAnsi="Times New Roman"/>
                <w:b/>
                <w:bCs/>
                <w:color w:val="000000" w:themeColor="text1"/>
              </w:rPr>
              <w:t>poids corporel</w:t>
            </w:r>
          </w:p>
        </w:tc>
        <w:tc>
          <w:tcPr>
            <w:tcW w:w="3096" w:type="dxa"/>
            <w:tcBorders>
              <w:top w:val="single" w:sz="4" w:space="0" w:color="000000"/>
              <w:left w:val="single" w:sz="4" w:space="0" w:color="000000"/>
              <w:bottom w:val="single" w:sz="4" w:space="0" w:color="000000"/>
              <w:right w:val="single" w:sz="4" w:space="0" w:color="000000"/>
            </w:tcBorders>
          </w:tcPr>
          <w:p w14:paraId="77EF76CB" w14:textId="77777777" w:rsidR="00FC5A0A" w:rsidRPr="0058432E" w:rsidRDefault="00FC5A0A" w:rsidP="00982118">
            <w:pPr>
              <w:pStyle w:val="TableParagraph"/>
              <w:widowControl/>
              <w:kinsoku w:val="0"/>
              <w:overflowPunct w:val="0"/>
              <w:ind w:left="102" w:right="334"/>
              <w:rPr>
                <w:rFonts w:ascii="Times New Roman" w:hAnsi="Times New Roman"/>
                <w:color w:val="000000" w:themeColor="text1"/>
              </w:rPr>
            </w:pPr>
            <w:r w:rsidRPr="0058432E">
              <w:rPr>
                <w:rFonts w:ascii="Times New Roman" w:hAnsi="Times New Roman"/>
                <w:b/>
                <w:bCs/>
                <w:color w:val="000000" w:themeColor="text1"/>
              </w:rPr>
              <w:t>Combien et à quelle fréquence prendre Amsparity ?</w:t>
            </w:r>
          </w:p>
        </w:tc>
        <w:tc>
          <w:tcPr>
            <w:tcW w:w="3096" w:type="dxa"/>
            <w:tcBorders>
              <w:top w:val="single" w:sz="4" w:space="0" w:color="000000"/>
              <w:left w:val="single" w:sz="4" w:space="0" w:color="000000"/>
              <w:bottom w:val="single" w:sz="4" w:space="0" w:color="000000"/>
              <w:right w:val="single" w:sz="4" w:space="0" w:color="000000"/>
            </w:tcBorders>
          </w:tcPr>
          <w:p w14:paraId="38AD3F62" w14:textId="77777777" w:rsidR="00FC5A0A" w:rsidRPr="0058432E" w:rsidRDefault="00FC5A0A" w:rsidP="00982118">
            <w:pPr>
              <w:pStyle w:val="TableParagraph"/>
              <w:widowControl/>
              <w:kinsoku w:val="0"/>
              <w:overflowPunct w:val="0"/>
              <w:spacing w:line="252" w:lineRule="exact"/>
              <w:ind w:left="102"/>
              <w:rPr>
                <w:rFonts w:ascii="Times New Roman" w:hAnsi="Times New Roman"/>
                <w:color w:val="000000" w:themeColor="text1"/>
              </w:rPr>
            </w:pPr>
            <w:r w:rsidRPr="0058432E">
              <w:rPr>
                <w:rFonts w:ascii="Times New Roman" w:hAnsi="Times New Roman"/>
                <w:b/>
                <w:bCs/>
                <w:color w:val="000000" w:themeColor="text1"/>
              </w:rPr>
              <w:t>Commentaires</w:t>
            </w:r>
          </w:p>
        </w:tc>
      </w:tr>
      <w:tr w:rsidR="00FC5A0A" w:rsidRPr="0058432E" w14:paraId="44B8CAE7" w14:textId="77777777" w:rsidTr="002B2067">
        <w:trPr>
          <w:trHeight w:hRule="exact" w:val="2034"/>
        </w:trPr>
        <w:tc>
          <w:tcPr>
            <w:tcW w:w="3095" w:type="dxa"/>
            <w:tcBorders>
              <w:top w:val="single" w:sz="4" w:space="0" w:color="000000"/>
              <w:left w:val="single" w:sz="4" w:space="0" w:color="000000"/>
              <w:bottom w:val="single" w:sz="4" w:space="0" w:color="000000"/>
              <w:right w:val="single" w:sz="4" w:space="0" w:color="000000"/>
            </w:tcBorders>
          </w:tcPr>
          <w:p w14:paraId="740670D2" w14:textId="77777777" w:rsidR="00FC5A0A" w:rsidRPr="0058432E" w:rsidRDefault="00FC5A0A" w:rsidP="00982118">
            <w:pPr>
              <w:pStyle w:val="TableParagraph"/>
              <w:widowControl/>
              <w:kinsoku w:val="0"/>
              <w:overflowPunct w:val="0"/>
              <w:spacing w:line="239" w:lineRule="auto"/>
              <w:ind w:left="102" w:right="283"/>
              <w:rPr>
                <w:rFonts w:ascii="Times New Roman" w:hAnsi="Times New Roman"/>
                <w:color w:val="000000" w:themeColor="text1"/>
              </w:rPr>
            </w:pPr>
            <w:r w:rsidRPr="0058432E">
              <w:rPr>
                <w:rFonts w:ascii="Times New Roman" w:hAnsi="Times New Roman"/>
                <w:color w:val="000000" w:themeColor="text1"/>
              </w:rPr>
              <w:t>Enfants et adolescents à partir de 2 ans et pesant moins de 30 kg</w:t>
            </w:r>
          </w:p>
        </w:tc>
        <w:tc>
          <w:tcPr>
            <w:tcW w:w="3096" w:type="dxa"/>
            <w:tcBorders>
              <w:top w:val="single" w:sz="4" w:space="0" w:color="000000"/>
              <w:left w:val="single" w:sz="4" w:space="0" w:color="000000"/>
              <w:bottom w:val="single" w:sz="4" w:space="0" w:color="000000"/>
              <w:right w:val="single" w:sz="4" w:space="0" w:color="000000"/>
            </w:tcBorders>
          </w:tcPr>
          <w:p w14:paraId="36232C8A" w14:textId="77777777" w:rsidR="00FC5A0A" w:rsidRPr="0058432E"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 xml:space="preserve">20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7E707488" w14:textId="77777777" w:rsidR="00FC5A0A" w:rsidRPr="0058432E" w:rsidRDefault="00FC5A0A" w:rsidP="00982118">
            <w:pPr>
              <w:pStyle w:val="TableParagraph"/>
              <w:widowControl/>
              <w:kinsoku w:val="0"/>
              <w:overflowPunct w:val="0"/>
              <w:ind w:left="102" w:right="241"/>
              <w:rPr>
                <w:rFonts w:ascii="Times New Roman" w:hAnsi="Times New Roman"/>
                <w:color w:val="000000" w:themeColor="text1"/>
              </w:rPr>
            </w:pPr>
            <w:r w:rsidRPr="0058432E">
              <w:rPr>
                <w:rFonts w:ascii="Times New Roman" w:hAnsi="Times New Roman"/>
                <w:color w:val="000000" w:themeColor="text1"/>
              </w:rPr>
              <w:t xml:space="preserve">Le médecin </w:t>
            </w:r>
            <w:r w:rsidR="006325A9" w:rsidRPr="0058432E">
              <w:rPr>
                <w:rFonts w:ascii="Times New Roman" w:hAnsi="Times New Roman"/>
                <w:color w:val="000000" w:themeColor="text1"/>
              </w:rPr>
              <w:t xml:space="preserve">de votre enfant </w:t>
            </w:r>
            <w:r w:rsidRPr="0058432E">
              <w:rPr>
                <w:rFonts w:ascii="Times New Roman" w:hAnsi="Times New Roman"/>
                <w:color w:val="000000" w:themeColor="text1"/>
              </w:rPr>
              <w:t>pourra prescrire une dose initiale de 40 mg qui sera administrée une semaine avant le début de la dose usuelle de 20 mg toutes les deux semaines.</w:t>
            </w:r>
          </w:p>
          <w:p w14:paraId="3B3393C5" w14:textId="77777777" w:rsidR="00FC5A0A" w:rsidRPr="0058432E" w:rsidRDefault="006A1144" w:rsidP="00982118">
            <w:pPr>
              <w:pStyle w:val="TableParagraph"/>
              <w:widowControl/>
              <w:kinsoku w:val="0"/>
              <w:overflowPunct w:val="0"/>
              <w:ind w:left="102" w:right="145"/>
              <w:rPr>
                <w:rFonts w:ascii="Times New Roman" w:hAnsi="Times New Roman"/>
                <w:color w:val="000000" w:themeColor="text1"/>
              </w:rPr>
            </w:pPr>
            <w:r w:rsidRPr="0058432E">
              <w:rPr>
                <w:rFonts w:ascii="Times New Roman" w:hAnsi="Times New Roman"/>
                <w:color w:val="000000" w:themeColor="text1"/>
              </w:rPr>
              <w:t>Amsparity est recommandé en association au méthotrexate.</w:t>
            </w:r>
          </w:p>
        </w:tc>
      </w:tr>
      <w:tr w:rsidR="00FC5A0A" w:rsidRPr="0058432E" w14:paraId="6AEF98D7" w14:textId="77777777" w:rsidTr="002B2067">
        <w:trPr>
          <w:trHeight w:hRule="exact" w:val="2034"/>
        </w:trPr>
        <w:tc>
          <w:tcPr>
            <w:tcW w:w="3095" w:type="dxa"/>
            <w:tcBorders>
              <w:top w:val="single" w:sz="4" w:space="0" w:color="000000"/>
              <w:left w:val="single" w:sz="4" w:space="0" w:color="000000"/>
              <w:bottom w:val="single" w:sz="4" w:space="0" w:color="000000"/>
              <w:right w:val="single" w:sz="4" w:space="0" w:color="000000"/>
            </w:tcBorders>
          </w:tcPr>
          <w:p w14:paraId="004CCDB3" w14:textId="77777777" w:rsidR="00FC5A0A" w:rsidRPr="0058432E" w:rsidRDefault="00FC5A0A" w:rsidP="00077E50">
            <w:pPr>
              <w:pStyle w:val="TableParagraph"/>
              <w:widowControl/>
              <w:kinsoku w:val="0"/>
              <w:overflowPunct w:val="0"/>
              <w:spacing w:line="239" w:lineRule="auto"/>
              <w:ind w:left="102" w:right="282"/>
              <w:rPr>
                <w:rFonts w:ascii="Times New Roman" w:hAnsi="Times New Roman"/>
                <w:color w:val="000000" w:themeColor="text1"/>
              </w:rPr>
            </w:pPr>
            <w:r w:rsidRPr="0058432E">
              <w:rPr>
                <w:rFonts w:ascii="Times New Roman" w:hAnsi="Times New Roman"/>
                <w:color w:val="000000" w:themeColor="text1"/>
              </w:rPr>
              <w:t>Enfants et adolescents à partir de 2 ans et pesant 30 kg et plus</w:t>
            </w:r>
          </w:p>
        </w:tc>
        <w:tc>
          <w:tcPr>
            <w:tcW w:w="3096" w:type="dxa"/>
            <w:tcBorders>
              <w:top w:val="single" w:sz="4" w:space="0" w:color="000000"/>
              <w:left w:val="single" w:sz="4" w:space="0" w:color="000000"/>
              <w:bottom w:val="single" w:sz="4" w:space="0" w:color="000000"/>
              <w:right w:val="single" w:sz="4" w:space="0" w:color="000000"/>
            </w:tcBorders>
          </w:tcPr>
          <w:p w14:paraId="1D7BEDF9" w14:textId="77777777" w:rsidR="00FC5A0A" w:rsidRPr="0058432E" w:rsidRDefault="00FC5A0A" w:rsidP="00982118">
            <w:pPr>
              <w:pStyle w:val="TableParagraph"/>
              <w:widowControl/>
              <w:kinsoku w:val="0"/>
              <w:overflowPunct w:val="0"/>
              <w:spacing w:line="251" w:lineRule="exact"/>
              <w:ind w:left="102"/>
              <w:rPr>
                <w:rFonts w:ascii="Times New Roman" w:hAnsi="Times New Roman"/>
                <w:color w:val="000000" w:themeColor="text1"/>
              </w:rPr>
            </w:pPr>
            <w:r w:rsidRPr="0058432E">
              <w:rPr>
                <w:rFonts w:ascii="Times New Roman" w:hAnsi="Times New Roman"/>
                <w:color w:val="000000" w:themeColor="text1"/>
              </w:rPr>
              <w:t xml:space="preserve">40 mg </w:t>
            </w:r>
            <w:r w:rsidR="001B430D" w:rsidRPr="0058432E">
              <w:rPr>
                <w:rFonts w:ascii="Times New Roman" w:hAnsi="Times New Roman"/>
                <w:color w:val="000000" w:themeColor="text1"/>
              </w:rPr>
              <w:t>toutes les deux semaines</w:t>
            </w:r>
          </w:p>
        </w:tc>
        <w:tc>
          <w:tcPr>
            <w:tcW w:w="3096" w:type="dxa"/>
            <w:tcBorders>
              <w:top w:val="single" w:sz="4" w:space="0" w:color="000000"/>
              <w:left w:val="single" w:sz="4" w:space="0" w:color="000000"/>
              <w:bottom w:val="single" w:sz="4" w:space="0" w:color="000000"/>
              <w:right w:val="single" w:sz="4" w:space="0" w:color="000000"/>
            </w:tcBorders>
          </w:tcPr>
          <w:p w14:paraId="366527CD" w14:textId="77777777" w:rsidR="00FC5A0A" w:rsidRPr="0058432E" w:rsidRDefault="00FC5A0A" w:rsidP="00982118">
            <w:pPr>
              <w:pStyle w:val="TableParagraph"/>
              <w:widowControl/>
              <w:kinsoku w:val="0"/>
              <w:overflowPunct w:val="0"/>
              <w:ind w:left="102" w:right="241"/>
              <w:rPr>
                <w:rFonts w:ascii="Times New Roman" w:hAnsi="Times New Roman"/>
                <w:color w:val="000000" w:themeColor="text1"/>
              </w:rPr>
            </w:pPr>
            <w:r w:rsidRPr="0058432E">
              <w:rPr>
                <w:rFonts w:ascii="Times New Roman" w:hAnsi="Times New Roman"/>
                <w:color w:val="000000" w:themeColor="text1"/>
              </w:rPr>
              <w:t xml:space="preserve">Le médecin </w:t>
            </w:r>
            <w:r w:rsidR="006325A9" w:rsidRPr="0058432E">
              <w:rPr>
                <w:rFonts w:ascii="Times New Roman" w:hAnsi="Times New Roman"/>
                <w:color w:val="000000" w:themeColor="text1"/>
              </w:rPr>
              <w:t xml:space="preserve">de votre enfant </w:t>
            </w:r>
            <w:r w:rsidRPr="0058432E">
              <w:rPr>
                <w:rFonts w:ascii="Times New Roman" w:hAnsi="Times New Roman"/>
                <w:color w:val="000000" w:themeColor="text1"/>
              </w:rPr>
              <w:t>pourra prescrire une dose initiale de 80 mg qui sera administrée une semaine avant le début de la dose usuelle de 40 mg toutes les deux semaines.</w:t>
            </w:r>
          </w:p>
          <w:p w14:paraId="61B4AA21" w14:textId="77777777" w:rsidR="00FC5A0A" w:rsidRPr="0058432E" w:rsidRDefault="006A1144" w:rsidP="00982118">
            <w:pPr>
              <w:pStyle w:val="TableParagraph"/>
              <w:widowControl/>
              <w:kinsoku w:val="0"/>
              <w:overflowPunct w:val="0"/>
              <w:ind w:left="102" w:right="145"/>
              <w:rPr>
                <w:rFonts w:ascii="Times New Roman" w:hAnsi="Times New Roman"/>
                <w:color w:val="000000" w:themeColor="text1"/>
              </w:rPr>
            </w:pPr>
            <w:r w:rsidRPr="0058432E">
              <w:rPr>
                <w:rFonts w:ascii="Times New Roman" w:hAnsi="Times New Roman"/>
                <w:color w:val="000000" w:themeColor="text1"/>
              </w:rPr>
              <w:t>Amsparity est recommandé en association au méthotrexate.</w:t>
            </w:r>
          </w:p>
        </w:tc>
      </w:tr>
    </w:tbl>
    <w:p w14:paraId="04C75CAE" w14:textId="77777777" w:rsidR="00FC5A0A" w:rsidRPr="0058432E" w:rsidRDefault="00FC5A0A" w:rsidP="002B2067">
      <w:pPr>
        <w:rPr>
          <w:color w:val="000000" w:themeColor="text1"/>
        </w:rPr>
      </w:pPr>
    </w:p>
    <w:p w14:paraId="6F3B3A54" w14:textId="77777777" w:rsidR="00FC5A0A" w:rsidRPr="0058432E" w:rsidRDefault="00FC5A0A" w:rsidP="000D3575">
      <w:pPr>
        <w:keepNext/>
        <w:keepLines/>
        <w:rPr>
          <w:b/>
          <w:color w:val="000000" w:themeColor="text1"/>
        </w:rPr>
      </w:pPr>
      <w:r w:rsidRPr="0058432E">
        <w:rPr>
          <w:b/>
          <w:color w:val="000000" w:themeColor="text1"/>
        </w:rPr>
        <w:lastRenderedPageBreak/>
        <w:t>Mode et voie d’administration</w:t>
      </w:r>
    </w:p>
    <w:p w14:paraId="4E398E6B" w14:textId="77777777" w:rsidR="00FC5A0A" w:rsidRPr="0058432E" w:rsidRDefault="00FC5A0A" w:rsidP="00156BFF">
      <w:pPr>
        <w:pStyle w:val="BodyText"/>
        <w:keepNext/>
        <w:widowControl/>
        <w:kinsoku w:val="0"/>
        <w:overflowPunct w:val="0"/>
        <w:ind w:left="0"/>
        <w:rPr>
          <w:b/>
          <w:bCs/>
          <w:color w:val="000000" w:themeColor="text1"/>
        </w:rPr>
      </w:pPr>
    </w:p>
    <w:p w14:paraId="111979EA" w14:textId="77777777" w:rsidR="00FC5A0A" w:rsidRPr="0058432E" w:rsidRDefault="006A1144" w:rsidP="002B2067">
      <w:pPr>
        <w:pStyle w:val="BodyText"/>
        <w:widowControl/>
        <w:kinsoku w:val="0"/>
        <w:overflowPunct w:val="0"/>
        <w:ind w:left="0"/>
        <w:rPr>
          <w:color w:val="000000" w:themeColor="text1"/>
        </w:rPr>
      </w:pPr>
      <w:r w:rsidRPr="0058432E">
        <w:rPr>
          <w:color w:val="000000" w:themeColor="text1"/>
        </w:rPr>
        <w:t>Amsparity est administré par injection sous la peau (</w:t>
      </w:r>
      <w:r w:rsidR="0014383C" w:rsidRPr="0058432E">
        <w:rPr>
          <w:color w:val="000000" w:themeColor="text1"/>
        </w:rPr>
        <w:t xml:space="preserve">par </w:t>
      </w:r>
      <w:r w:rsidRPr="0058432E">
        <w:rPr>
          <w:color w:val="000000" w:themeColor="text1"/>
        </w:rPr>
        <w:t>injection sous-cutanée).</w:t>
      </w:r>
    </w:p>
    <w:p w14:paraId="1966ADB9" w14:textId="77777777" w:rsidR="00FC5A0A" w:rsidRPr="0058432E" w:rsidRDefault="00FC5A0A" w:rsidP="002B2067">
      <w:pPr>
        <w:pStyle w:val="BodyText"/>
        <w:widowControl/>
        <w:kinsoku w:val="0"/>
        <w:overflowPunct w:val="0"/>
        <w:ind w:left="0"/>
        <w:rPr>
          <w:color w:val="000000" w:themeColor="text1"/>
        </w:rPr>
      </w:pPr>
    </w:p>
    <w:p w14:paraId="13235007" w14:textId="77777777" w:rsidR="00554B1A" w:rsidRPr="0058432E" w:rsidRDefault="00FC5A0A" w:rsidP="00B93DAC">
      <w:pPr>
        <w:rPr>
          <w:b/>
          <w:color w:val="000000" w:themeColor="text1"/>
        </w:rPr>
      </w:pPr>
      <w:r w:rsidRPr="0058432E">
        <w:rPr>
          <w:b/>
          <w:color w:val="000000" w:themeColor="text1"/>
        </w:rPr>
        <w:t>Des instructions détaillées sur la façon d’injecter Amsparity, les instructions d’utilisation, sont fournies à la fin de cette notice.</w:t>
      </w:r>
    </w:p>
    <w:p w14:paraId="4CC1CA66" w14:textId="77777777" w:rsidR="00DE4467" w:rsidRPr="0058432E" w:rsidRDefault="00DE4467" w:rsidP="00B93DAC">
      <w:pPr>
        <w:rPr>
          <w:b/>
          <w:color w:val="000000" w:themeColor="text1"/>
        </w:rPr>
      </w:pPr>
    </w:p>
    <w:p w14:paraId="417E8B30" w14:textId="77777777" w:rsidR="00FC5A0A" w:rsidRPr="0058432E" w:rsidRDefault="00FC5A0A" w:rsidP="00B93DAC">
      <w:pPr>
        <w:rPr>
          <w:b/>
          <w:color w:val="000000" w:themeColor="text1"/>
        </w:rPr>
      </w:pPr>
      <w:r w:rsidRPr="0058432E">
        <w:rPr>
          <w:b/>
          <w:color w:val="000000" w:themeColor="text1"/>
        </w:rPr>
        <w:t>Si vous avez utilisé plus d’Amsparity que vous n’auriez dû</w:t>
      </w:r>
    </w:p>
    <w:p w14:paraId="2EAE8C00" w14:textId="77777777" w:rsidR="00F546F3" w:rsidRPr="0058432E" w:rsidRDefault="00F546F3" w:rsidP="00B93DAC">
      <w:pPr>
        <w:rPr>
          <w:b/>
          <w:color w:val="000000" w:themeColor="text1"/>
        </w:rPr>
      </w:pPr>
    </w:p>
    <w:p w14:paraId="793DB47D" w14:textId="77777777" w:rsidR="00FC5A0A" w:rsidRPr="0058432E" w:rsidRDefault="008E139F" w:rsidP="002B2067">
      <w:pPr>
        <w:pStyle w:val="BodyText"/>
        <w:widowControl/>
        <w:kinsoku w:val="0"/>
        <w:overflowPunct w:val="0"/>
        <w:ind w:left="0"/>
        <w:rPr>
          <w:color w:val="000000" w:themeColor="text1"/>
        </w:rPr>
      </w:pPr>
      <w:r w:rsidRPr="0058432E">
        <w:rPr>
          <w:color w:val="000000" w:themeColor="text1"/>
        </w:rPr>
        <w:t xml:space="preserve">Si vous injectez accidentellement Amsparity à votre enfant </w:t>
      </w:r>
      <w:r w:rsidR="00FC5A0A" w:rsidRPr="0058432E">
        <w:rPr>
          <w:color w:val="000000" w:themeColor="text1"/>
        </w:rPr>
        <w:t xml:space="preserve">plus souvent que vous ne l’auriez dû, appelez le médecin </w:t>
      </w:r>
      <w:r w:rsidR="0014383C" w:rsidRPr="0058432E">
        <w:rPr>
          <w:color w:val="000000" w:themeColor="text1"/>
        </w:rPr>
        <w:t xml:space="preserve">de votre enfant </w:t>
      </w:r>
      <w:r w:rsidR="00FC5A0A" w:rsidRPr="0058432E">
        <w:rPr>
          <w:color w:val="000000" w:themeColor="text1"/>
        </w:rPr>
        <w:t>ou le pharmacien et expliquez-lui que votre enfant en a pris plus que nécessaire. Gardez toujours avec vous la boîte du médicament, même si elle est vide.</w:t>
      </w:r>
    </w:p>
    <w:p w14:paraId="4F420D1B" w14:textId="77777777" w:rsidR="00FC5A0A" w:rsidRPr="0058432E" w:rsidRDefault="00FC5A0A" w:rsidP="002B2067">
      <w:pPr>
        <w:pStyle w:val="BodyText"/>
        <w:widowControl/>
        <w:kinsoku w:val="0"/>
        <w:overflowPunct w:val="0"/>
        <w:ind w:left="0"/>
        <w:rPr>
          <w:color w:val="000000" w:themeColor="text1"/>
        </w:rPr>
      </w:pPr>
    </w:p>
    <w:p w14:paraId="33FD9BA7" w14:textId="77777777" w:rsidR="00FC5A0A" w:rsidRPr="0058432E" w:rsidRDefault="00FC5A0A" w:rsidP="00B93DAC">
      <w:pPr>
        <w:rPr>
          <w:b/>
          <w:color w:val="000000" w:themeColor="text1"/>
        </w:rPr>
      </w:pPr>
      <w:r w:rsidRPr="0058432E">
        <w:rPr>
          <w:b/>
          <w:color w:val="000000" w:themeColor="text1"/>
        </w:rPr>
        <w:t>Si vous oubliez d’utiliser Amsparity</w:t>
      </w:r>
    </w:p>
    <w:p w14:paraId="23491D27" w14:textId="77777777" w:rsidR="00FC5A0A" w:rsidRPr="0058432E" w:rsidRDefault="00FC5A0A" w:rsidP="002B2067">
      <w:pPr>
        <w:pStyle w:val="BodyText"/>
        <w:widowControl/>
        <w:kinsoku w:val="0"/>
        <w:overflowPunct w:val="0"/>
        <w:ind w:left="0"/>
        <w:rPr>
          <w:b/>
          <w:bCs/>
          <w:color w:val="000000" w:themeColor="text1"/>
        </w:rPr>
      </w:pPr>
    </w:p>
    <w:p w14:paraId="46F01F95"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Si vous oubliez de faire une injection d’Amsparity à votre enfant, vous devez lui injecter Amsparity dès que vous vous en rendez compte. Puis, injectez à votre enfant la dose suivante à la date qui avait été initialement prévue si vous n’aviez pas oublié une dose.</w:t>
      </w:r>
    </w:p>
    <w:p w14:paraId="04F87CBC" w14:textId="77777777" w:rsidR="00FC5A0A" w:rsidRPr="0058432E" w:rsidRDefault="00FC5A0A" w:rsidP="002B2067">
      <w:pPr>
        <w:pStyle w:val="BodyText"/>
        <w:widowControl/>
        <w:kinsoku w:val="0"/>
        <w:overflowPunct w:val="0"/>
        <w:ind w:left="0"/>
        <w:rPr>
          <w:color w:val="000000" w:themeColor="text1"/>
        </w:rPr>
      </w:pPr>
    </w:p>
    <w:p w14:paraId="4BD5F776" w14:textId="77777777" w:rsidR="00FC5A0A" w:rsidRPr="0058432E" w:rsidRDefault="00FC5A0A" w:rsidP="00B93DAC">
      <w:pPr>
        <w:rPr>
          <w:b/>
          <w:color w:val="000000" w:themeColor="text1"/>
        </w:rPr>
      </w:pPr>
      <w:r w:rsidRPr="0058432E">
        <w:rPr>
          <w:b/>
          <w:color w:val="000000" w:themeColor="text1"/>
        </w:rPr>
        <w:t>Si votre enfant arrête d’utiliser Amsparity</w:t>
      </w:r>
    </w:p>
    <w:p w14:paraId="6A83486D" w14:textId="77777777" w:rsidR="00FC5A0A" w:rsidRPr="0058432E" w:rsidRDefault="00FC5A0A" w:rsidP="002B2067">
      <w:pPr>
        <w:pStyle w:val="BodyText"/>
        <w:widowControl/>
        <w:kinsoku w:val="0"/>
        <w:overflowPunct w:val="0"/>
        <w:ind w:left="0"/>
        <w:rPr>
          <w:b/>
          <w:bCs/>
          <w:color w:val="000000" w:themeColor="text1"/>
        </w:rPr>
      </w:pPr>
    </w:p>
    <w:p w14:paraId="497E6047"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La décision d’arrêter d’utiliser Amsparity doit être discutée avec le médecin de votre enfant. Les symptômes de votre enfant peuvent revenir à l’arrêt du traitement.</w:t>
      </w:r>
    </w:p>
    <w:p w14:paraId="1040661A" w14:textId="77777777" w:rsidR="00FC5A0A" w:rsidRPr="0058432E" w:rsidRDefault="00FC5A0A" w:rsidP="002B2067">
      <w:pPr>
        <w:pStyle w:val="BodyText"/>
        <w:widowControl/>
        <w:kinsoku w:val="0"/>
        <w:overflowPunct w:val="0"/>
        <w:ind w:left="0"/>
        <w:rPr>
          <w:color w:val="000000" w:themeColor="text1"/>
        </w:rPr>
      </w:pPr>
    </w:p>
    <w:p w14:paraId="1199B2EA"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Si vous avez d’autres questions sur l’utilisation de ce médicament, demandez plus d’informations </w:t>
      </w:r>
      <w:r w:rsidR="00F164BD" w:rsidRPr="0058432E">
        <w:rPr>
          <w:color w:val="000000" w:themeColor="text1"/>
        </w:rPr>
        <w:t>au</w:t>
      </w:r>
      <w:r w:rsidRPr="0058432E">
        <w:rPr>
          <w:color w:val="000000" w:themeColor="text1"/>
        </w:rPr>
        <w:t xml:space="preserve"> médecin </w:t>
      </w:r>
      <w:r w:rsidR="00AD0E60" w:rsidRPr="0058432E">
        <w:rPr>
          <w:color w:val="000000" w:themeColor="text1"/>
        </w:rPr>
        <w:t xml:space="preserve">de votre enfant </w:t>
      </w:r>
      <w:r w:rsidRPr="0058432E">
        <w:rPr>
          <w:color w:val="000000" w:themeColor="text1"/>
        </w:rPr>
        <w:t xml:space="preserve">ou </w:t>
      </w:r>
      <w:r w:rsidR="00F164BD" w:rsidRPr="0058432E">
        <w:rPr>
          <w:color w:val="000000" w:themeColor="text1"/>
        </w:rPr>
        <w:t>au</w:t>
      </w:r>
      <w:r w:rsidR="00AD0E60" w:rsidRPr="0058432E">
        <w:rPr>
          <w:color w:val="000000" w:themeColor="text1"/>
        </w:rPr>
        <w:t xml:space="preserve"> </w:t>
      </w:r>
      <w:r w:rsidRPr="0058432E">
        <w:rPr>
          <w:color w:val="000000" w:themeColor="text1"/>
        </w:rPr>
        <w:t>pharmacien.</w:t>
      </w:r>
    </w:p>
    <w:p w14:paraId="507168B7" w14:textId="77777777" w:rsidR="00FC5A0A" w:rsidRPr="0058432E" w:rsidRDefault="00FC5A0A" w:rsidP="002B2067">
      <w:pPr>
        <w:pStyle w:val="BodyText"/>
        <w:widowControl/>
        <w:kinsoku w:val="0"/>
        <w:overflowPunct w:val="0"/>
        <w:ind w:left="0"/>
        <w:rPr>
          <w:color w:val="000000" w:themeColor="text1"/>
        </w:rPr>
      </w:pPr>
    </w:p>
    <w:p w14:paraId="29CB06AE" w14:textId="77777777" w:rsidR="00A71117" w:rsidRPr="0058432E" w:rsidRDefault="00A71117" w:rsidP="002B2067">
      <w:pPr>
        <w:pStyle w:val="BodyText"/>
        <w:widowControl/>
        <w:kinsoku w:val="0"/>
        <w:overflowPunct w:val="0"/>
        <w:ind w:left="0"/>
        <w:rPr>
          <w:color w:val="000000" w:themeColor="text1"/>
        </w:rPr>
      </w:pPr>
    </w:p>
    <w:p w14:paraId="6CCBFEA6" w14:textId="77777777" w:rsidR="00FC5A0A" w:rsidRPr="0058432E" w:rsidRDefault="00194625" w:rsidP="00B93DAC">
      <w:pPr>
        <w:rPr>
          <w:b/>
          <w:color w:val="000000" w:themeColor="text1"/>
        </w:rPr>
      </w:pPr>
      <w:r w:rsidRPr="0058432E">
        <w:rPr>
          <w:b/>
          <w:color w:val="000000" w:themeColor="text1"/>
        </w:rPr>
        <w:t>4.</w:t>
      </w:r>
      <w:r w:rsidRPr="0058432E">
        <w:rPr>
          <w:b/>
          <w:color w:val="000000" w:themeColor="text1"/>
        </w:rPr>
        <w:tab/>
        <w:t>Quels sont les effets indésirables éventuels ?</w:t>
      </w:r>
    </w:p>
    <w:p w14:paraId="68F52468" w14:textId="77777777" w:rsidR="00FC5A0A" w:rsidRPr="0058432E" w:rsidRDefault="00FC5A0A" w:rsidP="002B2067">
      <w:pPr>
        <w:pStyle w:val="BodyText"/>
        <w:widowControl/>
        <w:kinsoku w:val="0"/>
        <w:overflowPunct w:val="0"/>
        <w:ind w:left="0"/>
        <w:rPr>
          <w:b/>
          <w:bCs/>
          <w:color w:val="000000" w:themeColor="text1"/>
        </w:rPr>
      </w:pPr>
    </w:p>
    <w:p w14:paraId="1F829E99"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Comme tous les médicaments, ce médicament peut provoquer des effets indésirables, mais ils ne surviennent pas systématiquement chez tout le monde. La plupart sont légers ou </w:t>
      </w:r>
      <w:r w:rsidR="0014383C" w:rsidRPr="0058432E">
        <w:rPr>
          <w:color w:val="000000" w:themeColor="text1"/>
        </w:rPr>
        <w:t>modérés</w:t>
      </w:r>
      <w:r w:rsidRPr="0058432E">
        <w:rPr>
          <w:color w:val="000000" w:themeColor="text1"/>
        </w:rPr>
        <w:t>. Cependant, certains peuvent être graves et nécessiter un traitement. Les effets indésirables peuvent survenir au moins encore 4 mois après la dernière injection d’Amsparity.</w:t>
      </w:r>
    </w:p>
    <w:p w14:paraId="710B0DE0" w14:textId="77777777" w:rsidR="00FC5A0A" w:rsidRPr="0058432E" w:rsidRDefault="00FC5A0A" w:rsidP="002B2067">
      <w:pPr>
        <w:pStyle w:val="BodyText"/>
        <w:widowControl/>
        <w:kinsoku w:val="0"/>
        <w:overflowPunct w:val="0"/>
        <w:ind w:left="0"/>
        <w:rPr>
          <w:color w:val="000000" w:themeColor="text1"/>
        </w:rPr>
      </w:pPr>
    </w:p>
    <w:p w14:paraId="5020305A" w14:textId="77777777" w:rsidR="00194625" w:rsidRPr="0058432E" w:rsidRDefault="0091786B" w:rsidP="00B93DAC">
      <w:pPr>
        <w:rPr>
          <w:b/>
          <w:color w:val="000000" w:themeColor="text1"/>
        </w:rPr>
      </w:pPr>
      <w:r w:rsidRPr="0058432E">
        <w:rPr>
          <w:b/>
          <w:color w:val="000000" w:themeColor="text1"/>
        </w:rPr>
        <w:t xml:space="preserve">Vous devez consulter un médecin en urgence </w:t>
      </w:r>
      <w:r w:rsidRPr="0058432E">
        <w:rPr>
          <w:color w:val="000000" w:themeColor="text1"/>
        </w:rPr>
        <w:t>si vous remarquez l’un des signes suivants :</w:t>
      </w:r>
    </w:p>
    <w:p w14:paraId="7DEBCEC6" w14:textId="77777777" w:rsidR="00FC5A0A" w:rsidRPr="0058432E" w:rsidRDefault="00FC5A0A" w:rsidP="00B93DAC">
      <w:pPr>
        <w:rPr>
          <w:b/>
          <w:color w:val="000000" w:themeColor="text1"/>
        </w:rPr>
      </w:pPr>
    </w:p>
    <w:p w14:paraId="5A687937"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éruption</w:t>
      </w:r>
      <w:proofErr w:type="gramEnd"/>
      <w:r w:rsidRPr="0058432E">
        <w:rPr>
          <w:color w:val="000000" w:themeColor="text1"/>
        </w:rPr>
        <w:t xml:space="preserve"> cutanée sévère, urticaire ou autres signes de réaction allergique ;</w:t>
      </w:r>
    </w:p>
    <w:p w14:paraId="74FF1369"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gonflement</w:t>
      </w:r>
      <w:proofErr w:type="gramEnd"/>
      <w:r w:rsidRPr="0058432E">
        <w:rPr>
          <w:color w:val="000000" w:themeColor="text1"/>
        </w:rPr>
        <w:t xml:space="preserve"> de la face, des mains, des pieds ;</w:t>
      </w:r>
    </w:p>
    <w:p w14:paraId="78989A94"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gêne</w:t>
      </w:r>
      <w:proofErr w:type="gramEnd"/>
      <w:r w:rsidRPr="0058432E">
        <w:rPr>
          <w:color w:val="000000" w:themeColor="text1"/>
        </w:rPr>
        <w:t xml:space="preserve"> respiratoire, gêne en avalant ;</w:t>
      </w:r>
    </w:p>
    <w:p w14:paraId="116F0E4A"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essoufflement</w:t>
      </w:r>
      <w:proofErr w:type="gramEnd"/>
      <w:r w:rsidRPr="0058432E">
        <w:rPr>
          <w:color w:val="000000" w:themeColor="text1"/>
        </w:rPr>
        <w:t xml:space="preserve"> au cours de l’activité physique ou en position allongée ou gonflement des pieds.</w:t>
      </w:r>
    </w:p>
    <w:p w14:paraId="6C83DD5C" w14:textId="77777777" w:rsidR="00FC5A0A" w:rsidRPr="0058432E" w:rsidRDefault="00FC5A0A" w:rsidP="002B2067">
      <w:pPr>
        <w:pStyle w:val="BodyText"/>
        <w:widowControl/>
        <w:kinsoku w:val="0"/>
        <w:overflowPunct w:val="0"/>
        <w:ind w:left="0"/>
        <w:rPr>
          <w:color w:val="000000" w:themeColor="text1"/>
        </w:rPr>
      </w:pPr>
    </w:p>
    <w:p w14:paraId="19D00045" w14:textId="77777777" w:rsidR="00194625" w:rsidRPr="0058432E" w:rsidRDefault="00FC5A0A" w:rsidP="00C831C4">
      <w:pPr>
        <w:rPr>
          <w:b/>
          <w:color w:val="000000" w:themeColor="text1"/>
        </w:rPr>
      </w:pPr>
      <w:r w:rsidRPr="0058432E">
        <w:rPr>
          <w:b/>
          <w:color w:val="000000" w:themeColor="text1"/>
        </w:rPr>
        <w:t xml:space="preserve">Informez </w:t>
      </w:r>
      <w:r w:rsidR="00117FC4" w:rsidRPr="0058432E">
        <w:rPr>
          <w:b/>
          <w:color w:val="000000" w:themeColor="text1"/>
        </w:rPr>
        <w:t xml:space="preserve">le </w:t>
      </w:r>
      <w:r w:rsidRPr="0058432E">
        <w:rPr>
          <w:b/>
          <w:color w:val="000000" w:themeColor="text1"/>
        </w:rPr>
        <w:t>médecin</w:t>
      </w:r>
      <w:r w:rsidR="00B8288A" w:rsidRPr="0058432E">
        <w:rPr>
          <w:b/>
          <w:color w:val="000000" w:themeColor="text1"/>
        </w:rPr>
        <w:t xml:space="preserve"> de votre enfant</w:t>
      </w:r>
      <w:r w:rsidRPr="0058432E">
        <w:rPr>
          <w:b/>
          <w:color w:val="000000" w:themeColor="text1"/>
        </w:rPr>
        <w:t xml:space="preserve"> dès que possible </w:t>
      </w:r>
      <w:r w:rsidRPr="0058432E">
        <w:rPr>
          <w:color w:val="000000" w:themeColor="text1"/>
        </w:rPr>
        <w:t>si vous constatez l’un des effets suivants :</w:t>
      </w:r>
    </w:p>
    <w:p w14:paraId="5BA715A1" w14:textId="77777777" w:rsidR="00FC5A0A" w:rsidRPr="0058432E" w:rsidRDefault="00FC5A0A" w:rsidP="00C831C4">
      <w:pPr>
        <w:rPr>
          <w:b/>
          <w:color w:val="000000" w:themeColor="text1"/>
        </w:rPr>
      </w:pPr>
    </w:p>
    <w:p w14:paraId="33F5B507" w14:textId="77777777" w:rsidR="00FC5A0A" w:rsidRPr="0058432E" w:rsidRDefault="00FC5A0A" w:rsidP="0019462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w:t>
      </w:r>
      <w:r w:rsidR="0014383C" w:rsidRPr="0058432E">
        <w:rPr>
          <w:color w:val="000000" w:themeColor="text1"/>
        </w:rPr>
        <w:t xml:space="preserve">et symptômes </w:t>
      </w:r>
      <w:r w:rsidRPr="0058432E">
        <w:rPr>
          <w:color w:val="000000" w:themeColor="text1"/>
        </w:rPr>
        <w:t>d’infection tels que fièvre, nausées, plaies, problèmes dentaires, brûlures en urinant, sensation de faiblesse ou de fatigue ou toux ;</w:t>
      </w:r>
    </w:p>
    <w:p w14:paraId="742EAAD3" w14:textId="77777777" w:rsidR="00FC5A0A" w:rsidRPr="0058432E" w:rsidRDefault="00BF7E23" w:rsidP="0019462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symptômes</w:t>
      </w:r>
      <w:proofErr w:type="gramEnd"/>
      <w:r w:rsidRPr="0058432E">
        <w:rPr>
          <w:color w:val="000000" w:themeColor="text1"/>
        </w:rPr>
        <w:t xml:space="preserve"> de problèmes nerveux tels que picotements, engourdissement, vision double, ou faiblesse des bras ou des jambes ;</w:t>
      </w:r>
    </w:p>
    <w:p w14:paraId="3D5C6653" w14:textId="77777777" w:rsidR="00FC5A0A" w:rsidRPr="0058432E" w:rsidRDefault="00BF7E23" w:rsidP="0019462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de cancer de la peau tels qu’un</w:t>
      </w:r>
      <w:r w:rsidR="0014383C" w:rsidRPr="0058432E">
        <w:rPr>
          <w:color w:val="000000" w:themeColor="text1"/>
        </w:rPr>
        <w:t>e</w:t>
      </w:r>
      <w:r w:rsidRPr="0058432E">
        <w:rPr>
          <w:color w:val="000000" w:themeColor="text1"/>
        </w:rPr>
        <w:t xml:space="preserve"> </w:t>
      </w:r>
      <w:r w:rsidR="0014383C" w:rsidRPr="0058432E">
        <w:rPr>
          <w:color w:val="000000" w:themeColor="text1"/>
        </w:rPr>
        <w:t>bosse</w:t>
      </w:r>
      <w:r w:rsidRPr="0058432E">
        <w:rPr>
          <w:color w:val="000000" w:themeColor="text1"/>
        </w:rPr>
        <w:t xml:space="preserve"> ou une plaie ouverte qui ne cicatrise pas ;</w:t>
      </w:r>
    </w:p>
    <w:p w14:paraId="1CCE59CB" w14:textId="77777777" w:rsidR="00FC5A0A" w:rsidRPr="0058432E" w:rsidRDefault="00FC5A0A" w:rsidP="0019462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et symptômes évocateurs de troubles sanguins tels que fièvre persistante, contusions, saignements, pâleur.</w:t>
      </w:r>
    </w:p>
    <w:p w14:paraId="335779D8" w14:textId="77777777" w:rsidR="00FC5A0A" w:rsidRPr="0058432E" w:rsidRDefault="00FC5A0A" w:rsidP="002B2067">
      <w:pPr>
        <w:pStyle w:val="BodyText"/>
        <w:widowControl/>
        <w:kinsoku w:val="0"/>
        <w:overflowPunct w:val="0"/>
        <w:ind w:left="0"/>
        <w:rPr>
          <w:color w:val="000000" w:themeColor="text1"/>
        </w:rPr>
      </w:pPr>
    </w:p>
    <w:p w14:paraId="3DEA16AE" w14:textId="77777777" w:rsidR="00FC5A0A" w:rsidRPr="0058432E" w:rsidRDefault="00A03AFD" w:rsidP="002B2067">
      <w:pPr>
        <w:pStyle w:val="BodyText"/>
        <w:widowControl/>
        <w:kinsoku w:val="0"/>
        <w:overflowPunct w:val="0"/>
        <w:ind w:left="0"/>
        <w:rPr>
          <w:color w:val="000000" w:themeColor="text1"/>
        </w:rPr>
      </w:pPr>
      <w:r w:rsidRPr="0058432E">
        <w:rPr>
          <w:color w:val="000000" w:themeColor="text1"/>
        </w:rPr>
        <w:t>Les signes et symptômes décrits ci-dessus peuvent représenter les effets indésirables listés ci-dessous, qui ont été observés avec l’adalimumab :</w:t>
      </w:r>
    </w:p>
    <w:p w14:paraId="5874E86D" w14:textId="77777777" w:rsidR="00F407E6" w:rsidRPr="0058432E" w:rsidRDefault="00F407E6" w:rsidP="002B2067">
      <w:pPr>
        <w:pStyle w:val="BodyText"/>
        <w:widowControl/>
        <w:kinsoku w:val="0"/>
        <w:overflowPunct w:val="0"/>
        <w:ind w:left="0"/>
        <w:rPr>
          <w:color w:val="000000" w:themeColor="text1"/>
        </w:rPr>
      </w:pPr>
    </w:p>
    <w:p w14:paraId="180587EC" w14:textId="77777777" w:rsidR="00FC5A0A" w:rsidRPr="0058432E" w:rsidRDefault="00FC5A0A" w:rsidP="000D3575">
      <w:pPr>
        <w:pStyle w:val="BodyText"/>
        <w:keepNext/>
        <w:keepLines/>
        <w:widowControl/>
        <w:kinsoku w:val="0"/>
        <w:overflowPunct w:val="0"/>
        <w:ind w:left="0"/>
        <w:rPr>
          <w:color w:val="000000" w:themeColor="text1"/>
        </w:rPr>
      </w:pPr>
      <w:r w:rsidRPr="0058432E">
        <w:rPr>
          <w:b/>
          <w:bCs/>
          <w:color w:val="000000" w:themeColor="text1"/>
        </w:rPr>
        <w:lastRenderedPageBreak/>
        <w:t>Très fréquent</w:t>
      </w:r>
      <w:r w:rsidRPr="0058432E">
        <w:rPr>
          <w:color w:val="000000" w:themeColor="text1"/>
        </w:rPr>
        <w:t xml:space="preserve"> (p</w:t>
      </w:r>
      <w:r w:rsidR="004E5EC8" w:rsidRPr="0058432E">
        <w:rPr>
          <w:color w:val="000000" w:themeColor="text1"/>
        </w:rPr>
        <w:t>eut</w:t>
      </w:r>
      <w:r w:rsidRPr="0058432E">
        <w:rPr>
          <w:color w:val="000000" w:themeColor="text1"/>
        </w:rPr>
        <w:t xml:space="preserve"> affecter plus de 1 personne sur 10)</w:t>
      </w:r>
    </w:p>
    <w:p w14:paraId="273C38E9" w14:textId="77777777" w:rsidR="00FC5A0A" w:rsidRPr="0058432E" w:rsidRDefault="00FC5A0A" w:rsidP="000D3575">
      <w:pPr>
        <w:pStyle w:val="BodyText"/>
        <w:keepNext/>
        <w:keepLines/>
        <w:widowControl/>
        <w:kinsoku w:val="0"/>
        <w:overflowPunct w:val="0"/>
        <w:ind w:left="0"/>
        <w:rPr>
          <w:color w:val="000000" w:themeColor="text1"/>
        </w:rPr>
      </w:pPr>
    </w:p>
    <w:p w14:paraId="4C6003C2"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réactions</w:t>
      </w:r>
      <w:proofErr w:type="gramEnd"/>
      <w:r w:rsidRPr="0058432E">
        <w:rPr>
          <w:color w:val="000000" w:themeColor="text1"/>
        </w:rPr>
        <w:t xml:space="preserve"> au point d’injection (dont douleur, tuméfaction, rougeur ou démangeaison) ;</w:t>
      </w:r>
    </w:p>
    <w:p w14:paraId="1A7CFD66"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des voies respiratoires (y compris rhume, nez qui coule, sinusite, pneumonie) ;</w:t>
      </w:r>
    </w:p>
    <w:p w14:paraId="4811F650"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maux</w:t>
      </w:r>
      <w:proofErr w:type="gramEnd"/>
      <w:r w:rsidRPr="0058432E">
        <w:rPr>
          <w:color w:val="000000" w:themeColor="text1"/>
        </w:rPr>
        <w:t xml:space="preserve"> de tête ;</w:t>
      </w:r>
    </w:p>
    <w:p w14:paraId="7423471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douleurs</w:t>
      </w:r>
      <w:proofErr w:type="gramEnd"/>
      <w:r w:rsidRPr="0058432E">
        <w:rPr>
          <w:color w:val="000000" w:themeColor="text1"/>
        </w:rPr>
        <w:t xml:space="preserve"> abdominales (au ventre) ;</w:t>
      </w:r>
    </w:p>
    <w:p w14:paraId="086BD42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 ;</w:t>
      </w:r>
    </w:p>
    <w:p w14:paraId="2BB724C1" w14:textId="77777777" w:rsidR="00FC5A0A" w:rsidRPr="0058432E" w:rsidRDefault="00BF7BFC"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éruption</w:t>
      </w:r>
      <w:proofErr w:type="gramEnd"/>
      <w:r w:rsidRPr="0058432E">
        <w:rPr>
          <w:color w:val="000000" w:themeColor="text1"/>
        </w:rPr>
        <w:t xml:space="preserve"> </w:t>
      </w:r>
      <w:proofErr w:type="gramStart"/>
      <w:r w:rsidRPr="0058432E">
        <w:rPr>
          <w:color w:val="000000" w:themeColor="text1"/>
        </w:rPr>
        <w:t xml:space="preserve">cutanée </w:t>
      </w:r>
      <w:r w:rsidR="00FC5A0A" w:rsidRPr="0058432E">
        <w:rPr>
          <w:color w:val="000000" w:themeColor="text1"/>
        </w:rPr>
        <w:t> ;</w:t>
      </w:r>
      <w:proofErr w:type="gramEnd"/>
    </w:p>
    <w:p w14:paraId="2C09BD42"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douleurs</w:t>
      </w:r>
      <w:proofErr w:type="gramEnd"/>
      <w:r w:rsidRPr="0058432E">
        <w:rPr>
          <w:color w:val="000000" w:themeColor="text1"/>
        </w:rPr>
        <w:t xml:space="preserve"> dans les muscles ou les articulations.</w:t>
      </w:r>
    </w:p>
    <w:p w14:paraId="0CAE48D9" w14:textId="77777777" w:rsidR="00FC5A0A" w:rsidRPr="0058432E" w:rsidRDefault="00FC5A0A" w:rsidP="002B2067">
      <w:pPr>
        <w:pStyle w:val="BodyText"/>
        <w:widowControl/>
        <w:kinsoku w:val="0"/>
        <w:overflowPunct w:val="0"/>
        <w:ind w:left="0"/>
        <w:rPr>
          <w:color w:val="000000" w:themeColor="text1"/>
        </w:rPr>
      </w:pPr>
    </w:p>
    <w:p w14:paraId="152D6555" w14:textId="77777777" w:rsidR="00FC5A0A" w:rsidRPr="0058432E" w:rsidRDefault="00FC5A0A" w:rsidP="00194625">
      <w:pPr>
        <w:pStyle w:val="BodyText"/>
        <w:keepNext/>
        <w:widowControl/>
        <w:kinsoku w:val="0"/>
        <w:overflowPunct w:val="0"/>
        <w:ind w:left="0"/>
        <w:rPr>
          <w:color w:val="000000" w:themeColor="text1"/>
        </w:rPr>
      </w:pPr>
      <w:r w:rsidRPr="0058432E">
        <w:rPr>
          <w:b/>
          <w:bCs/>
          <w:color w:val="000000" w:themeColor="text1"/>
        </w:rPr>
        <w:t xml:space="preserve">Fréquent </w:t>
      </w:r>
      <w:r w:rsidRPr="0058432E">
        <w:rPr>
          <w:color w:val="000000" w:themeColor="text1"/>
        </w:rPr>
        <w:t>(p</w:t>
      </w:r>
      <w:r w:rsidR="004E5EC8" w:rsidRPr="0058432E">
        <w:rPr>
          <w:color w:val="000000" w:themeColor="text1"/>
        </w:rPr>
        <w:t>eut</w:t>
      </w:r>
      <w:r w:rsidRPr="0058432E">
        <w:rPr>
          <w:color w:val="000000" w:themeColor="text1"/>
        </w:rPr>
        <w:t xml:space="preserve"> affecter jusqu’à 1 personne sur 10)</w:t>
      </w:r>
    </w:p>
    <w:p w14:paraId="09951FB6" w14:textId="77777777" w:rsidR="00FC5A0A" w:rsidRPr="0058432E" w:rsidRDefault="00FC5A0A" w:rsidP="00194625">
      <w:pPr>
        <w:pStyle w:val="BodyText"/>
        <w:keepNext/>
        <w:widowControl/>
        <w:kinsoku w:val="0"/>
        <w:overflowPunct w:val="0"/>
        <w:ind w:left="0"/>
        <w:rPr>
          <w:color w:val="000000" w:themeColor="text1"/>
        </w:rPr>
      </w:pPr>
    </w:p>
    <w:p w14:paraId="38EE3494" w14:textId="77777777" w:rsidR="00FC5A0A" w:rsidRPr="0058432E" w:rsidRDefault="008428F0"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graves (y compris empoisonnement du sang et grippe) ;</w:t>
      </w:r>
    </w:p>
    <w:p w14:paraId="2563D2B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w:t>
      </w:r>
    </w:p>
    <w:p w14:paraId="019815EC"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cutanées (y compris cellulite et zona) ;</w:t>
      </w:r>
    </w:p>
    <w:p w14:paraId="428DA4E0"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de l’oreille ;</w:t>
      </w:r>
    </w:p>
    <w:p w14:paraId="4EFAEA4F" w14:textId="77777777" w:rsidR="00FC5A0A" w:rsidRPr="0058432E" w:rsidRDefault="003F0571"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infections dentaires et boutons de fièvre) ;</w:t>
      </w:r>
    </w:p>
    <w:p w14:paraId="0AFBC234"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w:t>
      </w:r>
    </w:p>
    <w:p w14:paraId="7755EEC6"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w:t>
      </w:r>
      <w:r w:rsidR="0014383C" w:rsidRPr="0058432E">
        <w:rPr>
          <w:color w:val="000000" w:themeColor="text1"/>
        </w:rPr>
        <w:t xml:space="preserve">des voies </w:t>
      </w:r>
      <w:r w:rsidRPr="0058432E">
        <w:rPr>
          <w:color w:val="000000" w:themeColor="text1"/>
        </w:rPr>
        <w:t>urinaires ;</w:t>
      </w:r>
    </w:p>
    <w:p w14:paraId="36B61060"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fongiques ;</w:t>
      </w:r>
    </w:p>
    <w:p w14:paraId="019F02D4"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infections</w:t>
      </w:r>
      <w:proofErr w:type="gramEnd"/>
      <w:r w:rsidRPr="0058432E">
        <w:rPr>
          <w:color w:val="000000" w:themeColor="text1"/>
        </w:rPr>
        <w:t xml:space="preserve"> articulaires ;</w:t>
      </w:r>
    </w:p>
    <w:p w14:paraId="4C3C2B39"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tumeurs</w:t>
      </w:r>
      <w:proofErr w:type="gramEnd"/>
      <w:r w:rsidRPr="0058432E">
        <w:rPr>
          <w:color w:val="000000" w:themeColor="text1"/>
        </w:rPr>
        <w:t xml:space="preserve"> bénignes ;</w:t>
      </w:r>
    </w:p>
    <w:p w14:paraId="3B5309FE"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cancer</w:t>
      </w:r>
      <w:proofErr w:type="gramEnd"/>
      <w:r w:rsidRPr="0058432E">
        <w:rPr>
          <w:color w:val="000000" w:themeColor="text1"/>
        </w:rPr>
        <w:t xml:space="preserve"> de la peau ;</w:t>
      </w:r>
    </w:p>
    <w:p w14:paraId="7BB323DF"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réactions</w:t>
      </w:r>
      <w:proofErr w:type="gramEnd"/>
      <w:r w:rsidRPr="0058432E">
        <w:rPr>
          <w:color w:val="000000" w:themeColor="text1"/>
        </w:rPr>
        <w:t xml:space="preserve"> allergiques (y compris allergie saisonnière) ;</w:t>
      </w:r>
    </w:p>
    <w:p w14:paraId="2274109C"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déshydratation</w:t>
      </w:r>
      <w:proofErr w:type="gramEnd"/>
      <w:r w:rsidRPr="0058432E">
        <w:rPr>
          <w:color w:val="000000" w:themeColor="text1"/>
        </w:rPr>
        <w:t> ;</w:t>
      </w:r>
    </w:p>
    <w:p w14:paraId="59ADE80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troubles</w:t>
      </w:r>
      <w:proofErr w:type="gramEnd"/>
      <w:r w:rsidRPr="0058432E">
        <w:rPr>
          <w:color w:val="000000" w:themeColor="text1"/>
        </w:rPr>
        <w:t xml:space="preserve"> de l’humeur (y compris dépression) ;</w:t>
      </w:r>
    </w:p>
    <w:p w14:paraId="7FABD0BF"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anxiété</w:t>
      </w:r>
      <w:proofErr w:type="gramEnd"/>
      <w:r w:rsidRPr="0058432E">
        <w:rPr>
          <w:color w:val="000000" w:themeColor="text1"/>
        </w:rPr>
        <w:t> ;</w:t>
      </w:r>
    </w:p>
    <w:p w14:paraId="7D743F05"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sommeil</w:t>
      </w:r>
      <w:proofErr w:type="gramEnd"/>
      <w:r w:rsidRPr="0058432E">
        <w:rPr>
          <w:color w:val="000000" w:themeColor="text1"/>
        </w:rPr>
        <w:t xml:space="preserve"> difficile ;</w:t>
      </w:r>
    </w:p>
    <w:p w14:paraId="6FA2AAF5"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troubles</w:t>
      </w:r>
      <w:proofErr w:type="gramEnd"/>
      <w:r w:rsidRPr="0058432E">
        <w:rPr>
          <w:color w:val="000000" w:themeColor="text1"/>
        </w:rPr>
        <w:t xml:space="preserve"> sensitifs tels que fourmillements, picotements ou engourdissement ;</w:t>
      </w:r>
    </w:p>
    <w:p w14:paraId="4E857AD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migraine</w:t>
      </w:r>
      <w:proofErr w:type="gramEnd"/>
      <w:r w:rsidRPr="0058432E">
        <w:rPr>
          <w:color w:val="000000" w:themeColor="text1"/>
        </w:rPr>
        <w:t> ;</w:t>
      </w:r>
    </w:p>
    <w:p w14:paraId="71C6F527" w14:textId="77777777" w:rsidR="00FC5A0A" w:rsidRPr="0058432E" w:rsidRDefault="003F0571" w:rsidP="00085720">
      <w:pPr>
        <w:pStyle w:val="BodyText"/>
        <w:widowControl/>
        <w:numPr>
          <w:ilvl w:val="0"/>
          <w:numId w:val="27"/>
        </w:numPr>
        <w:kinsoku w:val="0"/>
        <w:overflowPunct w:val="0"/>
        <w:autoSpaceDE w:val="0"/>
        <w:autoSpaceDN w:val="0"/>
        <w:adjustRightInd w:val="0"/>
        <w:ind w:left="567" w:hanging="567"/>
        <w:rPr>
          <w:color w:val="000000" w:themeColor="text1"/>
        </w:rPr>
      </w:pPr>
      <w:proofErr w:type="gramStart"/>
      <w:r w:rsidRPr="0058432E">
        <w:rPr>
          <w:color w:val="000000" w:themeColor="text1"/>
        </w:rPr>
        <w:t>symptômes</w:t>
      </w:r>
      <w:proofErr w:type="gramEnd"/>
      <w:r w:rsidRPr="0058432E">
        <w:rPr>
          <w:color w:val="000000" w:themeColor="text1"/>
        </w:rPr>
        <w:t xml:space="preserve"> de compression des racines nerveuses (y compris douleurs au bas du dos et douleurs dans les jambes) ;</w:t>
      </w:r>
    </w:p>
    <w:p w14:paraId="78B7D1F3"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troubles</w:t>
      </w:r>
      <w:proofErr w:type="gramEnd"/>
      <w:r w:rsidRPr="0058432E">
        <w:rPr>
          <w:color w:val="000000" w:themeColor="text1"/>
        </w:rPr>
        <w:t xml:space="preserve"> de la vision ;</w:t>
      </w:r>
    </w:p>
    <w:p w14:paraId="3EFE4FFD"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inflammation</w:t>
      </w:r>
      <w:proofErr w:type="gramEnd"/>
      <w:r w:rsidRPr="0058432E">
        <w:rPr>
          <w:color w:val="000000" w:themeColor="text1"/>
        </w:rPr>
        <w:t xml:space="preserve"> oculaire ;</w:t>
      </w:r>
    </w:p>
    <w:p w14:paraId="3D4F685D"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inflammation</w:t>
      </w:r>
      <w:proofErr w:type="gramEnd"/>
      <w:r w:rsidRPr="0058432E">
        <w:rPr>
          <w:color w:val="000000" w:themeColor="text1"/>
        </w:rPr>
        <w:t xml:space="preserve"> de la paupière et gonflement des yeux ;</w:t>
      </w:r>
    </w:p>
    <w:p w14:paraId="2A638E41"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vertiges</w:t>
      </w:r>
      <w:proofErr w:type="gramEnd"/>
      <w:r w:rsidRPr="0058432E">
        <w:rPr>
          <w:color w:val="000000" w:themeColor="text1"/>
        </w:rPr>
        <w:t xml:space="preserve"> (sensation d’étourdissement) ;</w:t>
      </w:r>
    </w:p>
    <w:p w14:paraId="48551E9E"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de cœur rapides ;</w:t>
      </w:r>
    </w:p>
    <w:p w14:paraId="0484666C"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hypertension</w:t>
      </w:r>
      <w:proofErr w:type="gramEnd"/>
      <w:r w:rsidRPr="0058432E">
        <w:rPr>
          <w:color w:val="000000" w:themeColor="text1"/>
        </w:rPr>
        <w:t> ;</w:t>
      </w:r>
    </w:p>
    <w:p w14:paraId="6659FA99"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bouffées</w:t>
      </w:r>
      <w:proofErr w:type="gramEnd"/>
      <w:r w:rsidRPr="0058432E">
        <w:rPr>
          <w:color w:val="000000" w:themeColor="text1"/>
        </w:rPr>
        <w:t xml:space="preserve"> de chaleur ;</w:t>
      </w:r>
    </w:p>
    <w:p w14:paraId="24EFB6B8"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hématome</w:t>
      </w:r>
      <w:proofErr w:type="gramEnd"/>
      <w:r w:rsidRPr="0058432E">
        <w:rPr>
          <w:color w:val="000000" w:themeColor="text1"/>
        </w:rPr>
        <w:t xml:space="preserve"> (gonflement solide avec sang coagulé) ;</w:t>
      </w:r>
    </w:p>
    <w:p w14:paraId="1B418358"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toux</w:t>
      </w:r>
      <w:proofErr w:type="gramEnd"/>
      <w:r w:rsidRPr="0058432E">
        <w:rPr>
          <w:color w:val="000000" w:themeColor="text1"/>
        </w:rPr>
        <w:t> ;</w:t>
      </w:r>
    </w:p>
    <w:p w14:paraId="3B5879EC"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asthme</w:t>
      </w:r>
      <w:proofErr w:type="gramEnd"/>
      <w:r w:rsidRPr="0058432E">
        <w:rPr>
          <w:color w:val="000000" w:themeColor="text1"/>
        </w:rPr>
        <w:t> ;</w:t>
      </w:r>
    </w:p>
    <w:p w14:paraId="4C4A19FE" w14:textId="77777777" w:rsidR="00FC5A0A" w:rsidRPr="0058432E" w:rsidRDefault="00BF7BFC"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essoufflement</w:t>
      </w:r>
      <w:proofErr w:type="gramEnd"/>
      <w:r w:rsidR="00FC5A0A" w:rsidRPr="0058432E">
        <w:rPr>
          <w:color w:val="000000" w:themeColor="text1"/>
        </w:rPr>
        <w:t> ;</w:t>
      </w:r>
    </w:p>
    <w:p w14:paraId="51D3F525"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saignements</w:t>
      </w:r>
      <w:proofErr w:type="gramEnd"/>
      <w:r w:rsidRPr="0058432E">
        <w:rPr>
          <w:color w:val="000000" w:themeColor="text1"/>
        </w:rPr>
        <w:t xml:space="preserve"> gastro-intestinaux ;</w:t>
      </w:r>
    </w:p>
    <w:p w14:paraId="4B707E68"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dyspepsie</w:t>
      </w:r>
      <w:proofErr w:type="gramEnd"/>
      <w:r w:rsidRPr="0058432E">
        <w:rPr>
          <w:color w:val="000000" w:themeColor="text1"/>
        </w:rPr>
        <w:t xml:space="preserve"> (indigestion, ballonnement, brûlure gastrique) ;</w:t>
      </w:r>
    </w:p>
    <w:p w14:paraId="35AE4030"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reflux</w:t>
      </w:r>
      <w:proofErr w:type="gramEnd"/>
      <w:r w:rsidRPr="0058432E">
        <w:rPr>
          <w:color w:val="000000" w:themeColor="text1"/>
        </w:rPr>
        <w:t xml:space="preserve"> acide ;</w:t>
      </w:r>
    </w:p>
    <w:p w14:paraId="78E13432"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 (y compris sècheresse des yeux et de la bouche) ;</w:t>
      </w:r>
    </w:p>
    <w:p w14:paraId="729C5C4B"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démangeaisons</w:t>
      </w:r>
      <w:proofErr w:type="gramEnd"/>
      <w:r w:rsidRPr="0058432E">
        <w:rPr>
          <w:color w:val="000000" w:themeColor="text1"/>
        </w:rPr>
        <w:t> ;</w:t>
      </w:r>
    </w:p>
    <w:p w14:paraId="738DAC71"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éruption</w:t>
      </w:r>
      <w:proofErr w:type="gramEnd"/>
      <w:r w:rsidRPr="0058432E">
        <w:rPr>
          <w:color w:val="000000" w:themeColor="text1"/>
        </w:rPr>
        <w:t xml:space="preserve"> cutanée avec démangeaisons ;</w:t>
      </w:r>
    </w:p>
    <w:p w14:paraId="1D1D6D5B" w14:textId="77777777" w:rsidR="00FC5A0A" w:rsidRPr="0058432E" w:rsidRDefault="00BF7BFC"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contusions</w:t>
      </w:r>
      <w:proofErr w:type="gramEnd"/>
      <w:r w:rsidRPr="0058432E">
        <w:rPr>
          <w:color w:val="000000" w:themeColor="text1"/>
        </w:rPr>
        <w:t> </w:t>
      </w:r>
      <w:r w:rsidR="00FC5A0A" w:rsidRPr="0058432E">
        <w:rPr>
          <w:color w:val="000000" w:themeColor="text1"/>
        </w:rPr>
        <w:t>;</w:t>
      </w:r>
    </w:p>
    <w:p w14:paraId="0CF8EABE"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inflammation</w:t>
      </w:r>
      <w:proofErr w:type="gramEnd"/>
      <w:r w:rsidRPr="0058432E">
        <w:rPr>
          <w:color w:val="000000" w:themeColor="text1"/>
        </w:rPr>
        <w:t xml:space="preserve"> cutanée (telle qu’eczéma) ;</w:t>
      </w:r>
    </w:p>
    <w:p w14:paraId="445234B8"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cassure</w:t>
      </w:r>
      <w:proofErr w:type="gramEnd"/>
      <w:r w:rsidRPr="0058432E">
        <w:rPr>
          <w:color w:val="000000" w:themeColor="text1"/>
        </w:rPr>
        <w:t xml:space="preserve"> des ongles des mains et des pieds ;</w:t>
      </w:r>
    </w:p>
    <w:p w14:paraId="20BD4B71"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transpiration</w:t>
      </w:r>
      <w:proofErr w:type="gramEnd"/>
      <w:r w:rsidRPr="0058432E">
        <w:rPr>
          <w:color w:val="000000" w:themeColor="text1"/>
        </w:rPr>
        <w:t xml:space="preserve"> excessive ;</w:t>
      </w:r>
    </w:p>
    <w:p w14:paraId="1903E44D"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chute</w:t>
      </w:r>
      <w:proofErr w:type="gramEnd"/>
      <w:r w:rsidRPr="0058432E">
        <w:rPr>
          <w:color w:val="000000" w:themeColor="text1"/>
        </w:rPr>
        <w:t xml:space="preserve"> des cheveux ;</w:t>
      </w:r>
    </w:p>
    <w:p w14:paraId="455A24EE"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lastRenderedPageBreak/>
        <w:t>apparition</w:t>
      </w:r>
      <w:proofErr w:type="gramEnd"/>
      <w:r w:rsidRPr="0058432E">
        <w:rPr>
          <w:color w:val="000000" w:themeColor="text1"/>
        </w:rPr>
        <w:t xml:space="preserve"> ou aggravation d’un psoriasis ;</w:t>
      </w:r>
    </w:p>
    <w:p w14:paraId="2E4798D3"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spasmes</w:t>
      </w:r>
      <w:proofErr w:type="gramEnd"/>
      <w:r w:rsidRPr="0058432E">
        <w:rPr>
          <w:color w:val="000000" w:themeColor="text1"/>
        </w:rPr>
        <w:t xml:space="preserve"> musculaires ;</w:t>
      </w:r>
    </w:p>
    <w:p w14:paraId="0BBEB2BE"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présence</w:t>
      </w:r>
      <w:proofErr w:type="gramEnd"/>
      <w:r w:rsidRPr="0058432E">
        <w:rPr>
          <w:color w:val="000000" w:themeColor="text1"/>
        </w:rPr>
        <w:t xml:space="preserve"> de sang dans les urines ;</w:t>
      </w:r>
    </w:p>
    <w:p w14:paraId="2DDBDF91"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problèmes</w:t>
      </w:r>
      <w:proofErr w:type="gramEnd"/>
      <w:r w:rsidRPr="0058432E">
        <w:rPr>
          <w:color w:val="000000" w:themeColor="text1"/>
        </w:rPr>
        <w:t xml:space="preserve"> rénaux ;</w:t>
      </w:r>
    </w:p>
    <w:p w14:paraId="671C8E85"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douleur</w:t>
      </w:r>
      <w:proofErr w:type="gramEnd"/>
      <w:r w:rsidRPr="0058432E">
        <w:rPr>
          <w:color w:val="000000" w:themeColor="text1"/>
        </w:rPr>
        <w:t xml:space="preserve"> thoracique ;</w:t>
      </w:r>
    </w:p>
    <w:p w14:paraId="4D948425" w14:textId="77777777" w:rsidR="00FC5A0A" w:rsidRPr="0058432E" w:rsidRDefault="00FC5A0A" w:rsidP="00085720">
      <w:pPr>
        <w:pStyle w:val="BodyText"/>
        <w:widowControl/>
        <w:numPr>
          <w:ilvl w:val="0"/>
          <w:numId w:val="27"/>
        </w:numPr>
        <w:kinsoku w:val="0"/>
        <w:overflowPunct w:val="0"/>
        <w:autoSpaceDE w:val="0"/>
        <w:autoSpaceDN w:val="0"/>
        <w:adjustRightInd w:val="0"/>
        <w:ind w:left="567" w:hanging="567"/>
        <w:rPr>
          <w:color w:val="000000" w:themeColor="text1"/>
        </w:rPr>
      </w:pPr>
      <w:proofErr w:type="gramStart"/>
      <w:r w:rsidRPr="0058432E">
        <w:rPr>
          <w:color w:val="000000" w:themeColor="text1"/>
        </w:rPr>
        <w:t>œdème</w:t>
      </w:r>
      <w:proofErr w:type="gramEnd"/>
      <w:r w:rsidRPr="0058432E">
        <w:rPr>
          <w:color w:val="000000" w:themeColor="text1"/>
        </w:rPr>
        <w:t xml:space="preserve"> (accumulation de liquide dans l’organisme qui provoque le gonflement des tissus affectés) ;</w:t>
      </w:r>
    </w:p>
    <w:p w14:paraId="559E54A2"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fièvre</w:t>
      </w:r>
      <w:proofErr w:type="gramEnd"/>
      <w:r w:rsidRPr="0058432E">
        <w:rPr>
          <w:color w:val="000000" w:themeColor="text1"/>
        </w:rPr>
        <w:t> ;</w:t>
      </w:r>
    </w:p>
    <w:p w14:paraId="3621B8D9" w14:textId="77777777" w:rsidR="00FC5A0A" w:rsidRPr="0058432E" w:rsidRDefault="00FC5A0A" w:rsidP="00B51A46">
      <w:pPr>
        <w:pStyle w:val="BodyText"/>
        <w:widowControl/>
        <w:numPr>
          <w:ilvl w:val="0"/>
          <w:numId w:val="27"/>
        </w:numPr>
        <w:kinsoku w:val="0"/>
        <w:overflowPunct w:val="0"/>
        <w:autoSpaceDE w:val="0"/>
        <w:autoSpaceDN w:val="0"/>
        <w:adjustRightInd w:val="0"/>
        <w:ind w:left="567" w:hanging="567"/>
        <w:rPr>
          <w:color w:val="000000" w:themeColor="text1"/>
        </w:rPr>
      </w:pPr>
      <w:proofErr w:type="gramStart"/>
      <w:r w:rsidRPr="0058432E">
        <w:rPr>
          <w:color w:val="000000" w:themeColor="text1"/>
        </w:rPr>
        <w:t>diminution</w:t>
      </w:r>
      <w:proofErr w:type="gramEnd"/>
      <w:r w:rsidRPr="0058432E">
        <w:rPr>
          <w:color w:val="000000" w:themeColor="text1"/>
        </w:rPr>
        <w:t xml:space="preserve"> du nombre de plaquettes sanguines, ce qui augmente le risque de saignements ou </w:t>
      </w:r>
      <w:r w:rsidR="00551F5E" w:rsidRPr="0058432E">
        <w:rPr>
          <w:color w:val="000000" w:themeColor="text1"/>
        </w:rPr>
        <w:t>de contusions </w:t>
      </w:r>
      <w:r w:rsidRPr="0058432E">
        <w:rPr>
          <w:color w:val="000000" w:themeColor="text1"/>
        </w:rPr>
        <w:t>;</w:t>
      </w:r>
    </w:p>
    <w:p w14:paraId="46BD292F" w14:textId="77777777" w:rsidR="00FC5A0A" w:rsidRPr="0058432E" w:rsidRDefault="00FC5A0A" w:rsidP="002B2067">
      <w:pPr>
        <w:pStyle w:val="BodyText"/>
        <w:widowControl/>
        <w:numPr>
          <w:ilvl w:val="0"/>
          <w:numId w:val="27"/>
        </w:numPr>
        <w:kinsoku w:val="0"/>
        <w:overflowPunct w:val="0"/>
        <w:autoSpaceDE w:val="0"/>
        <w:autoSpaceDN w:val="0"/>
        <w:adjustRightInd w:val="0"/>
        <w:ind w:left="0" w:firstLine="0"/>
        <w:rPr>
          <w:color w:val="000000" w:themeColor="text1"/>
        </w:rPr>
      </w:pPr>
      <w:proofErr w:type="gramStart"/>
      <w:r w:rsidRPr="0058432E">
        <w:rPr>
          <w:color w:val="000000" w:themeColor="text1"/>
        </w:rPr>
        <w:t>mauvaise</w:t>
      </w:r>
      <w:proofErr w:type="gramEnd"/>
      <w:r w:rsidRPr="0058432E">
        <w:rPr>
          <w:color w:val="000000" w:themeColor="text1"/>
        </w:rPr>
        <w:t xml:space="preserve"> cicatrisation.</w:t>
      </w:r>
    </w:p>
    <w:p w14:paraId="61E1CD6F" w14:textId="77777777" w:rsidR="00FC5A0A" w:rsidRPr="0058432E" w:rsidRDefault="00FC5A0A" w:rsidP="002B2067">
      <w:pPr>
        <w:pStyle w:val="BodyText"/>
        <w:widowControl/>
        <w:kinsoku w:val="0"/>
        <w:overflowPunct w:val="0"/>
        <w:ind w:left="0"/>
        <w:rPr>
          <w:color w:val="000000" w:themeColor="text1"/>
        </w:rPr>
      </w:pPr>
    </w:p>
    <w:p w14:paraId="2E93019A" w14:textId="77777777" w:rsidR="00FC5A0A" w:rsidRPr="0058432E" w:rsidRDefault="00FC5A0A" w:rsidP="00B43027">
      <w:pPr>
        <w:pStyle w:val="BodyText"/>
        <w:keepNext/>
        <w:widowControl/>
        <w:kinsoku w:val="0"/>
        <w:overflowPunct w:val="0"/>
        <w:ind w:left="0"/>
        <w:rPr>
          <w:color w:val="000000" w:themeColor="text1"/>
        </w:rPr>
      </w:pPr>
      <w:r w:rsidRPr="0058432E">
        <w:rPr>
          <w:b/>
          <w:bCs/>
          <w:color w:val="000000" w:themeColor="text1"/>
        </w:rPr>
        <w:t xml:space="preserve">Peu fréquent </w:t>
      </w:r>
      <w:r w:rsidRPr="0058432E">
        <w:rPr>
          <w:color w:val="000000" w:themeColor="text1"/>
        </w:rPr>
        <w:t>(</w:t>
      </w:r>
      <w:r w:rsidR="004E5EC8" w:rsidRPr="0058432E">
        <w:rPr>
          <w:color w:val="000000" w:themeColor="text1"/>
        </w:rPr>
        <w:t>peut</w:t>
      </w:r>
      <w:r w:rsidRPr="0058432E">
        <w:rPr>
          <w:color w:val="000000" w:themeColor="text1"/>
        </w:rPr>
        <w:t xml:space="preserve"> affecter jusqu’à 1 personne sur 100)</w:t>
      </w:r>
    </w:p>
    <w:p w14:paraId="58B14876" w14:textId="77777777" w:rsidR="00FC5A0A" w:rsidRPr="0058432E" w:rsidRDefault="00FC5A0A" w:rsidP="00B43027">
      <w:pPr>
        <w:pStyle w:val="BodyText"/>
        <w:keepNext/>
        <w:widowControl/>
        <w:kinsoku w:val="0"/>
        <w:overflowPunct w:val="0"/>
        <w:ind w:left="0"/>
        <w:rPr>
          <w:color w:val="000000" w:themeColor="text1"/>
        </w:rPr>
      </w:pPr>
    </w:p>
    <w:p w14:paraId="2435B6B4"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(inhabituelles) (incluant la tuberculose et d’autres infections) qui surviennent lorsque la résistance aux maladies est diminuée ;</w:t>
      </w:r>
    </w:p>
    <w:p w14:paraId="3BAED715"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neurologiques (y compris méningite virale) ;</w:t>
      </w:r>
    </w:p>
    <w:p w14:paraId="3D7E033E"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oculaires ;</w:t>
      </w:r>
    </w:p>
    <w:p w14:paraId="264F275C"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 ;</w:t>
      </w:r>
    </w:p>
    <w:p w14:paraId="45A5B2FD"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diverticulite</w:t>
      </w:r>
      <w:proofErr w:type="gramEnd"/>
      <w:r w:rsidRPr="0058432E">
        <w:rPr>
          <w:color w:val="000000" w:themeColor="text1"/>
        </w:rPr>
        <w:t xml:space="preserve"> (inflammation et infection du gros intestin) ;</w:t>
      </w:r>
    </w:p>
    <w:p w14:paraId="00D06117"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cancer</w:t>
      </w:r>
      <w:proofErr w:type="gramEnd"/>
      <w:r w:rsidRPr="0058432E">
        <w:rPr>
          <w:color w:val="000000" w:themeColor="text1"/>
        </w:rPr>
        <w:t>, y compris cancer qui affecte le système lymphatique (lymphome) et mélanome (un type de cancer de la peau) ;</w:t>
      </w:r>
    </w:p>
    <w:p w14:paraId="55296647"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immunitaires qui peuvent affecter les poumons, la peau et les ganglions lymphatiques (le plus souvent une maladie appelée sarcoïdose) ;</w:t>
      </w:r>
    </w:p>
    <w:p w14:paraId="3045911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(inflammation des vaisseaux sanguins) ;</w:t>
      </w:r>
    </w:p>
    <w:p w14:paraId="77DC798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tremblements</w:t>
      </w:r>
      <w:proofErr w:type="gramEnd"/>
      <w:r w:rsidRPr="0058432E">
        <w:rPr>
          <w:color w:val="000000" w:themeColor="text1"/>
        </w:rPr>
        <w:t xml:space="preserve"> (frissons) ;</w:t>
      </w:r>
    </w:p>
    <w:p w14:paraId="602FC74D"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neuropathie</w:t>
      </w:r>
      <w:proofErr w:type="gramEnd"/>
      <w:r w:rsidRPr="0058432E">
        <w:rPr>
          <w:color w:val="000000" w:themeColor="text1"/>
        </w:rPr>
        <w:t xml:space="preserve"> (atteinte nerveuse) ;</w:t>
      </w:r>
    </w:p>
    <w:p w14:paraId="23FDADEA"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accident</w:t>
      </w:r>
      <w:proofErr w:type="gramEnd"/>
      <w:r w:rsidRPr="0058432E">
        <w:rPr>
          <w:color w:val="000000" w:themeColor="text1"/>
        </w:rPr>
        <w:t xml:space="preserve"> vasculaire cérébral ;</w:t>
      </w:r>
    </w:p>
    <w:p w14:paraId="5605B4C9" w14:textId="77777777" w:rsidR="000F03F1" w:rsidRPr="0058432E" w:rsidRDefault="000F03F1"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vision</w:t>
      </w:r>
      <w:proofErr w:type="gramEnd"/>
      <w:r w:rsidRPr="0058432E">
        <w:rPr>
          <w:color w:val="000000" w:themeColor="text1"/>
        </w:rPr>
        <w:t xml:space="preserve"> double ;</w:t>
      </w:r>
    </w:p>
    <w:p w14:paraId="33F56780"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perte</w:t>
      </w:r>
      <w:proofErr w:type="gramEnd"/>
      <w:r w:rsidRPr="0058432E">
        <w:rPr>
          <w:color w:val="000000" w:themeColor="text1"/>
        </w:rPr>
        <w:t xml:space="preserve"> d’audition, bourdonnements d’oreilles ;</w:t>
      </w:r>
    </w:p>
    <w:p w14:paraId="6890633A"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cardiaques irréguliers tels que </w:t>
      </w:r>
      <w:r w:rsidR="00FB440E" w:rsidRPr="0058432E">
        <w:rPr>
          <w:color w:val="000000" w:themeColor="text1"/>
        </w:rPr>
        <w:t>battements de cœur manqués </w:t>
      </w:r>
      <w:r w:rsidRPr="0058432E">
        <w:rPr>
          <w:color w:val="000000" w:themeColor="text1"/>
        </w:rPr>
        <w:t>;</w:t>
      </w:r>
    </w:p>
    <w:p w14:paraId="063B9E1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cardiaques qui peuvent provoquer un essoufflement ou un œdème des chevilles ;</w:t>
      </w:r>
    </w:p>
    <w:p w14:paraId="382C68B1"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crise</w:t>
      </w:r>
      <w:proofErr w:type="gramEnd"/>
      <w:r w:rsidRPr="0058432E">
        <w:rPr>
          <w:color w:val="000000" w:themeColor="text1"/>
        </w:rPr>
        <w:t xml:space="preserve"> cardiaque ;</w:t>
      </w:r>
    </w:p>
    <w:p w14:paraId="1AB918B5"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poche</w:t>
      </w:r>
      <w:proofErr w:type="gramEnd"/>
      <w:r w:rsidRPr="0058432E">
        <w:rPr>
          <w:color w:val="000000" w:themeColor="text1"/>
        </w:rPr>
        <w:t xml:space="preserve"> dans la paroi d’une grosse artère, inflammation et caillot dans une veine, obstruction d’un vaisseau sanguin ;</w:t>
      </w:r>
    </w:p>
    <w:p w14:paraId="49F59964"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maladie</w:t>
      </w:r>
      <w:proofErr w:type="gramEnd"/>
      <w:r w:rsidRPr="0058432E">
        <w:rPr>
          <w:color w:val="000000" w:themeColor="text1"/>
        </w:rPr>
        <w:t xml:space="preserve"> pulmonaire entraîn</w:t>
      </w:r>
      <w:r w:rsidR="00FB440E" w:rsidRPr="0058432E">
        <w:rPr>
          <w:color w:val="000000" w:themeColor="text1"/>
        </w:rPr>
        <w:t>ant</w:t>
      </w:r>
      <w:r w:rsidRPr="0058432E">
        <w:rPr>
          <w:color w:val="000000" w:themeColor="text1"/>
        </w:rPr>
        <w:t xml:space="preserve"> un essoufflement (y compris inflammation) ;</w:t>
      </w:r>
    </w:p>
    <w:p w14:paraId="6E0A6FA9"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embolie</w:t>
      </w:r>
      <w:proofErr w:type="gramEnd"/>
      <w:r w:rsidRPr="0058432E">
        <w:rPr>
          <w:color w:val="000000" w:themeColor="text1"/>
        </w:rPr>
        <w:t xml:space="preserve"> pulmonaire (obstruction d’une artère du poumon) ;</w:t>
      </w:r>
    </w:p>
    <w:p w14:paraId="216A9A89"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épanchement</w:t>
      </w:r>
      <w:proofErr w:type="gramEnd"/>
      <w:r w:rsidRPr="0058432E">
        <w:rPr>
          <w:color w:val="000000" w:themeColor="text1"/>
        </w:rPr>
        <w:t xml:space="preserve"> pleural (accumulation anormale de liquide dans la cavité pleurale) ;</w:t>
      </w:r>
    </w:p>
    <w:p w14:paraId="11B7423A"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du pancréas qui provoque une douleur intense dans l’abdomen et le dos ;</w:t>
      </w:r>
    </w:p>
    <w:p w14:paraId="3E747759"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difficulté</w:t>
      </w:r>
      <w:proofErr w:type="gramEnd"/>
      <w:r w:rsidRPr="0058432E">
        <w:rPr>
          <w:color w:val="000000" w:themeColor="text1"/>
        </w:rPr>
        <w:t xml:space="preserve"> à avaler ;</w:t>
      </w:r>
    </w:p>
    <w:p w14:paraId="151367BA"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w:t>
      </w:r>
    </w:p>
    <w:p w14:paraId="247F0E9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vésicule biliaire, calculs dans la vésicule biliaire ;</w:t>
      </w:r>
    </w:p>
    <w:p w14:paraId="39602773"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stéatose</w:t>
      </w:r>
      <w:proofErr w:type="gramEnd"/>
      <w:r w:rsidRPr="0058432E">
        <w:rPr>
          <w:color w:val="000000" w:themeColor="text1"/>
        </w:rPr>
        <w:t xml:space="preserve"> du foie (accumulation de graisse dans les cellules hépatiques) ;</w:t>
      </w:r>
    </w:p>
    <w:p w14:paraId="38D64A22"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sueurs</w:t>
      </w:r>
      <w:proofErr w:type="gramEnd"/>
      <w:r w:rsidRPr="0058432E">
        <w:rPr>
          <w:color w:val="000000" w:themeColor="text1"/>
        </w:rPr>
        <w:t xml:space="preserve"> nocturnes ;</w:t>
      </w:r>
    </w:p>
    <w:p w14:paraId="0FE6CEA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cicatrice</w:t>
      </w:r>
      <w:proofErr w:type="gramEnd"/>
      <w:r w:rsidRPr="0058432E">
        <w:rPr>
          <w:color w:val="000000" w:themeColor="text1"/>
        </w:rPr>
        <w:t> ;</w:t>
      </w:r>
    </w:p>
    <w:p w14:paraId="2492770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faiblesse</w:t>
      </w:r>
      <w:proofErr w:type="gramEnd"/>
      <w:r w:rsidRPr="0058432E">
        <w:rPr>
          <w:color w:val="000000" w:themeColor="text1"/>
        </w:rPr>
        <w:t xml:space="preserve"> musculaire anormale ;</w:t>
      </w:r>
    </w:p>
    <w:p w14:paraId="21EDB871"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 (trouble immunitaire comprenant inflammation de la peau, du cœur, du poumon, des articulations et des autres systèmes d’organes) ;</w:t>
      </w:r>
    </w:p>
    <w:p w14:paraId="37C9798E" w14:textId="77777777" w:rsidR="00FC5A0A" w:rsidRPr="0058432E" w:rsidRDefault="00FC5A0A" w:rsidP="000D357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interrompu ;</w:t>
      </w:r>
    </w:p>
    <w:p w14:paraId="47490065" w14:textId="77777777" w:rsidR="00FC5A0A" w:rsidRPr="0058432E" w:rsidRDefault="00FC5A0A" w:rsidP="000D357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impuissance</w:t>
      </w:r>
      <w:proofErr w:type="gramEnd"/>
      <w:r w:rsidRPr="0058432E">
        <w:rPr>
          <w:color w:val="000000" w:themeColor="text1"/>
        </w:rPr>
        <w:t> ;</w:t>
      </w:r>
    </w:p>
    <w:p w14:paraId="56A10B4A" w14:textId="77777777" w:rsidR="00FC5A0A" w:rsidRPr="0058432E" w:rsidRDefault="00FC5A0A" w:rsidP="000D3575">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inflammations</w:t>
      </w:r>
      <w:proofErr w:type="gramEnd"/>
      <w:r w:rsidRPr="0058432E">
        <w:rPr>
          <w:color w:val="000000" w:themeColor="text1"/>
        </w:rPr>
        <w:t>.</w:t>
      </w:r>
    </w:p>
    <w:p w14:paraId="7B3B0599" w14:textId="77777777" w:rsidR="00FC5A0A" w:rsidRPr="0058432E" w:rsidRDefault="00FC5A0A" w:rsidP="000D3575">
      <w:pPr>
        <w:pStyle w:val="BodyText"/>
        <w:widowControl/>
        <w:kinsoku w:val="0"/>
        <w:overflowPunct w:val="0"/>
        <w:ind w:left="0"/>
        <w:rPr>
          <w:color w:val="000000" w:themeColor="text1"/>
        </w:rPr>
      </w:pPr>
    </w:p>
    <w:p w14:paraId="2252B81E" w14:textId="77777777" w:rsidR="00FC5A0A" w:rsidRPr="0058432E" w:rsidRDefault="00FC5A0A" w:rsidP="000D3575">
      <w:pPr>
        <w:pStyle w:val="BodyText"/>
        <w:keepNext/>
        <w:keepLines/>
        <w:widowControl/>
        <w:kinsoku w:val="0"/>
        <w:overflowPunct w:val="0"/>
        <w:ind w:left="0"/>
        <w:rPr>
          <w:color w:val="000000" w:themeColor="text1"/>
        </w:rPr>
      </w:pPr>
      <w:r w:rsidRPr="0058432E">
        <w:rPr>
          <w:b/>
          <w:bCs/>
          <w:color w:val="000000" w:themeColor="text1"/>
        </w:rPr>
        <w:lastRenderedPageBreak/>
        <w:t xml:space="preserve">Rare </w:t>
      </w:r>
      <w:r w:rsidRPr="0058432E">
        <w:rPr>
          <w:color w:val="000000" w:themeColor="text1"/>
        </w:rPr>
        <w:t>(p</w:t>
      </w:r>
      <w:r w:rsidR="004E5EC8" w:rsidRPr="0058432E">
        <w:rPr>
          <w:color w:val="000000" w:themeColor="text1"/>
        </w:rPr>
        <w:t>eut</w:t>
      </w:r>
      <w:r w:rsidRPr="0058432E">
        <w:rPr>
          <w:color w:val="000000" w:themeColor="text1"/>
        </w:rPr>
        <w:t xml:space="preserve"> affecter jusqu’à 1 personne sur 1 000)</w:t>
      </w:r>
    </w:p>
    <w:p w14:paraId="5A6E225A" w14:textId="77777777" w:rsidR="00FC5A0A" w:rsidRPr="0058432E" w:rsidRDefault="00FC5A0A" w:rsidP="000D3575">
      <w:pPr>
        <w:pStyle w:val="BodyText"/>
        <w:keepNext/>
        <w:keepLines/>
        <w:widowControl/>
        <w:kinsoku w:val="0"/>
        <w:overflowPunct w:val="0"/>
        <w:ind w:left="0"/>
        <w:rPr>
          <w:color w:val="000000" w:themeColor="text1"/>
        </w:rPr>
      </w:pPr>
    </w:p>
    <w:p w14:paraId="4E28AD29"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leucémie</w:t>
      </w:r>
      <w:proofErr w:type="gramEnd"/>
      <w:r w:rsidRPr="0058432E">
        <w:rPr>
          <w:color w:val="000000" w:themeColor="text1"/>
        </w:rPr>
        <w:t xml:space="preserve"> (cancer affectant le sang et la moelle osseuse) ;</w:t>
      </w:r>
    </w:p>
    <w:p w14:paraId="0987EF44"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sévères avec choc ;</w:t>
      </w:r>
    </w:p>
    <w:p w14:paraId="3EF2B05C"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sclérose</w:t>
      </w:r>
      <w:proofErr w:type="gramEnd"/>
      <w:r w:rsidRPr="0058432E">
        <w:rPr>
          <w:color w:val="000000" w:themeColor="text1"/>
        </w:rPr>
        <w:t xml:space="preserve"> en plaques ;</w:t>
      </w:r>
    </w:p>
    <w:p w14:paraId="7F649D2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neurologiques (tels qu’inflammation du nerf optique de l’œil et syndrome de Guillain-Barré, une maladie pouvant entraîner une faiblesse musculaire, des sensations anormales, des fourmillements dans les bras et le haut du corps) ;</w:t>
      </w:r>
    </w:p>
    <w:p w14:paraId="51EDB1F1"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arrêt</w:t>
      </w:r>
      <w:proofErr w:type="gramEnd"/>
      <w:r w:rsidRPr="0058432E">
        <w:rPr>
          <w:color w:val="000000" w:themeColor="text1"/>
        </w:rPr>
        <w:t xml:space="preserve"> de la fonction de pompage du cœur ;</w:t>
      </w:r>
    </w:p>
    <w:p w14:paraId="26D03D33"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fibrose</w:t>
      </w:r>
      <w:proofErr w:type="gramEnd"/>
      <w:r w:rsidRPr="0058432E">
        <w:rPr>
          <w:color w:val="000000" w:themeColor="text1"/>
        </w:rPr>
        <w:t xml:space="preserve"> pulmonaire (formation de tissus cicatriciels dans les poumons) ;</w:t>
      </w:r>
    </w:p>
    <w:p w14:paraId="1DC88E6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perforation</w:t>
      </w:r>
      <w:proofErr w:type="gramEnd"/>
      <w:r w:rsidRPr="0058432E">
        <w:rPr>
          <w:color w:val="000000" w:themeColor="text1"/>
        </w:rPr>
        <w:t xml:space="preserve"> intestinale (trou dans la paroi de l’intestin) ;</w:t>
      </w:r>
    </w:p>
    <w:p w14:paraId="320C5DE3"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(inflammation du foie) ;</w:t>
      </w:r>
    </w:p>
    <w:p w14:paraId="1F7A9E17"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réactivation</w:t>
      </w:r>
      <w:proofErr w:type="gramEnd"/>
      <w:r w:rsidRPr="0058432E">
        <w:rPr>
          <w:color w:val="000000" w:themeColor="text1"/>
        </w:rPr>
        <w:t xml:space="preserve"> de l’infection par le virus de l’hépatite B ;</w:t>
      </w:r>
    </w:p>
    <w:p w14:paraId="3E0F9CEA"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auto-immune (inflammation du foie causée par le propre système immunitaire du corps) ;</w:t>
      </w:r>
    </w:p>
    <w:p w14:paraId="78039E90"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cutanée (inflammation des vaisseaux sanguins dans la peau) ;</w:t>
      </w:r>
    </w:p>
    <w:p w14:paraId="3DE6E72F"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Stevens-Johnson (réaction menaçant le pronostic vital avec symptômes pseudo-grippaux et éruption cutanée avec cloques) ;</w:t>
      </w:r>
    </w:p>
    <w:p w14:paraId="5E3FCD10"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avec réactions allergiques ;</w:t>
      </w:r>
    </w:p>
    <w:p w14:paraId="50AADA98"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érythème</w:t>
      </w:r>
      <w:proofErr w:type="gramEnd"/>
      <w:r w:rsidRPr="0058432E">
        <w:rPr>
          <w:color w:val="000000" w:themeColor="text1"/>
        </w:rPr>
        <w:t xml:space="preserve"> polymorphe (</w:t>
      </w:r>
      <w:r w:rsidR="00BF7BFC" w:rsidRPr="0058432E">
        <w:rPr>
          <w:color w:val="000000" w:themeColor="text1"/>
        </w:rPr>
        <w:t xml:space="preserve">éruption cutanée </w:t>
      </w:r>
      <w:r w:rsidRPr="0058432E">
        <w:rPr>
          <w:color w:val="000000" w:themeColor="text1"/>
        </w:rPr>
        <w:t>inflammatoire de la peau) ;</w:t>
      </w:r>
    </w:p>
    <w:p w14:paraId="4590D5C1"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type lupus ;</w:t>
      </w:r>
    </w:p>
    <w:p w14:paraId="60653377"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angiœdème</w:t>
      </w:r>
      <w:proofErr w:type="gramEnd"/>
      <w:r w:rsidRPr="0058432E">
        <w:rPr>
          <w:color w:val="000000" w:themeColor="text1"/>
        </w:rPr>
        <w:t xml:space="preserve"> (gonflement localisé de la peau) ;</w:t>
      </w:r>
    </w:p>
    <w:p w14:paraId="25743AB8" w14:textId="77777777" w:rsidR="0057104B" w:rsidRPr="0058432E" w:rsidRDefault="0057104B"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 (éruption cutanée violet-rougeâtre avec démangeaisons) ;</w:t>
      </w:r>
    </w:p>
    <w:p w14:paraId="76FD5A31" w14:textId="77777777" w:rsidR="00FC5A0A" w:rsidRPr="0058432E" w:rsidRDefault="00FC5A0A" w:rsidP="002B2067">
      <w:pPr>
        <w:pStyle w:val="BodyText"/>
        <w:widowControl/>
        <w:kinsoku w:val="0"/>
        <w:overflowPunct w:val="0"/>
        <w:ind w:left="0"/>
        <w:rPr>
          <w:color w:val="000000" w:themeColor="text1"/>
        </w:rPr>
      </w:pPr>
    </w:p>
    <w:p w14:paraId="7079F03A" w14:textId="77777777" w:rsidR="00FC5A0A" w:rsidRPr="0058432E" w:rsidRDefault="00FC5A0A" w:rsidP="002B2067">
      <w:pPr>
        <w:pStyle w:val="BodyText"/>
        <w:widowControl/>
        <w:kinsoku w:val="0"/>
        <w:overflowPunct w:val="0"/>
        <w:ind w:left="0"/>
        <w:rPr>
          <w:color w:val="000000" w:themeColor="text1"/>
        </w:rPr>
      </w:pPr>
      <w:r w:rsidRPr="0058432E">
        <w:rPr>
          <w:b/>
          <w:bCs/>
          <w:color w:val="000000" w:themeColor="text1"/>
        </w:rPr>
        <w:t>Fréquence indéterminée</w:t>
      </w:r>
      <w:r w:rsidRPr="0058432E">
        <w:rPr>
          <w:color w:val="000000" w:themeColor="text1"/>
        </w:rPr>
        <w:t xml:space="preserve"> (</w:t>
      </w:r>
      <w:r w:rsidR="004E5EC8" w:rsidRPr="0058432E">
        <w:rPr>
          <w:color w:val="000000" w:themeColor="text1"/>
        </w:rPr>
        <w:t xml:space="preserve">la fréquence </w:t>
      </w:r>
      <w:r w:rsidRPr="0058432E">
        <w:rPr>
          <w:color w:val="000000" w:themeColor="text1"/>
        </w:rPr>
        <w:t>ne peut être estimée sur la base des données disponibles)</w:t>
      </w:r>
    </w:p>
    <w:p w14:paraId="1101C69A" w14:textId="77777777" w:rsidR="00FC5A0A" w:rsidRPr="0058432E" w:rsidRDefault="00FC5A0A" w:rsidP="002B2067">
      <w:pPr>
        <w:pStyle w:val="BodyText"/>
        <w:widowControl/>
        <w:kinsoku w:val="0"/>
        <w:overflowPunct w:val="0"/>
        <w:ind w:left="0"/>
        <w:rPr>
          <w:color w:val="000000" w:themeColor="text1"/>
        </w:rPr>
      </w:pPr>
    </w:p>
    <w:p w14:paraId="0C2CBA38"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lymphome</w:t>
      </w:r>
      <w:proofErr w:type="gramEnd"/>
      <w:r w:rsidRPr="0058432E">
        <w:rPr>
          <w:color w:val="000000" w:themeColor="text1"/>
        </w:rPr>
        <w:t xml:space="preserve"> hépatosplénique à lymphocytes T (cancer </w:t>
      </w:r>
      <w:r w:rsidR="00FB440E" w:rsidRPr="0058432E">
        <w:rPr>
          <w:color w:val="000000" w:themeColor="text1"/>
        </w:rPr>
        <w:t xml:space="preserve">du sang </w:t>
      </w:r>
      <w:r w:rsidRPr="0058432E">
        <w:rPr>
          <w:color w:val="000000" w:themeColor="text1"/>
        </w:rPr>
        <w:t>rare souvent mortel) ;</w:t>
      </w:r>
    </w:p>
    <w:p w14:paraId="2AF0B9A2"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(un type de cancer de la peau) ;</w:t>
      </w:r>
    </w:p>
    <w:p w14:paraId="700E33AC" w14:textId="77777777" w:rsidR="0046775A" w:rsidRPr="0058432E" w:rsidRDefault="0046775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sarcome</w:t>
      </w:r>
      <w:proofErr w:type="gramEnd"/>
      <w:r w:rsidRPr="0058432E">
        <w:rPr>
          <w:color w:val="000000" w:themeColor="text1"/>
        </w:rPr>
        <w:t xml:space="preserve"> de Kaposi, un cancer rare lié à l’infection par l</w:t>
      </w:r>
      <w:r w:rsidR="00060941" w:rsidRPr="0058432E">
        <w:rPr>
          <w:color w:val="000000" w:themeColor="text1"/>
        </w:rPr>
        <w:t>’herpèsvirus</w:t>
      </w:r>
      <w:r w:rsidRPr="0058432E">
        <w:rPr>
          <w:color w:val="000000" w:themeColor="text1"/>
        </w:rPr>
        <w:t xml:space="preserve"> humain </w:t>
      </w:r>
      <w:r w:rsidR="00060941" w:rsidRPr="0058432E">
        <w:rPr>
          <w:color w:val="000000" w:themeColor="text1"/>
        </w:rPr>
        <w:t xml:space="preserve">de type </w:t>
      </w:r>
      <w:r w:rsidRPr="0058432E">
        <w:rPr>
          <w:color w:val="000000" w:themeColor="text1"/>
        </w:rPr>
        <w:t xml:space="preserve">8. Le sarcome de Kaposi </w:t>
      </w:r>
      <w:r w:rsidR="00060941" w:rsidRPr="0058432E">
        <w:rPr>
          <w:color w:val="000000" w:themeColor="text1"/>
        </w:rPr>
        <w:t>apparaît le plus fréquemment sous l</w:t>
      </w:r>
      <w:r w:rsidRPr="0058432E">
        <w:rPr>
          <w:color w:val="000000" w:themeColor="text1"/>
        </w:rPr>
        <w:t>a forme de lésions viol</w:t>
      </w:r>
      <w:r w:rsidR="00DE710D" w:rsidRPr="0058432E">
        <w:rPr>
          <w:color w:val="000000" w:themeColor="text1"/>
        </w:rPr>
        <w:t>acées</w:t>
      </w:r>
      <w:r w:rsidRPr="0058432E">
        <w:rPr>
          <w:color w:val="000000" w:themeColor="text1"/>
        </w:rPr>
        <w:t xml:space="preserve"> </w:t>
      </w:r>
      <w:r w:rsidR="00060941" w:rsidRPr="0058432E">
        <w:rPr>
          <w:color w:val="000000" w:themeColor="text1"/>
        </w:rPr>
        <w:t>de</w:t>
      </w:r>
      <w:r w:rsidRPr="0058432E">
        <w:rPr>
          <w:color w:val="000000" w:themeColor="text1"/>
        </w:rPr>
        <w:t xml:space="preserve"> la peau.</w:t>
      </w:r>
    </w:p>
    <w:p w14:paraId="6BE133AF"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insuffisance</w:t>
      </w:r>
      <w:proofErr w:type="gramEnd"/>
      <w:r w:rsidRPr="0058432E">
        <w:rPr>
          <w:color w:val="000000" w:themeColor="text1"/>
        </w:rPr>
        <w:t xml:space="preserve"> hépatique ;</w:t>
      </w:r>
    </w:p>
    <w:p w14:paraId="3988B77C" w14:textId="77777777" w:rsidR="00BD13E0"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aggravation</w:t>
      </w:r>
      <w:proofErr w:type="gramEnd"/>
      <w:r w:rsidRPr="0058432E">
        <w:rPr>
          <w:color w:val="000000" w:themeColor="text1"/>
        </w:rPr>
        <w:t xml:space="preserve"> d’une maladie appelée dermatomyosite (caractérisée par une éruption cutanée accompagnant une faiblesse musculaire)</w:t>
      </w:r>
      <w:r w:rsidR="00BD13E0" w:rsidRPr="0058432E">
        <w:rPr>
          <w:color w:val="000000" w:themeColor="text1"/>
        </w:rPr>
        <w:t> ;</w:t>
      </w:r>
    </w:p>
    <w:p w14:paraId="4CF3F413" w14:textId="1FD04B8F" w:rsidR="00FC5A0A" w:rsidRPr="0058432E" w:rsidRDefault="00BD13E0" w:rsidP="002B2067">
      <w:pPr>
        <w:pStyle w:val="BodyText"/>
        <w:widowControl/>
        <w:numPr>
          <w:ilvl w:val="0"/>
          <w:numId w:val="27"/>
        </w:numPr>
        <w:kinsoku w:val="0"/>
        <w:overflowPunct w:val="0"/>
        <w:autoSpaceDE w:val="0"/>
        <w:autoSpaceDN w:val="0"/>
        <w:adjustRightInd w:val="0"/>
        <w:ind w:left="562" w:hanging="562"/>
        <w:rPr>
          <w:color w:val="000000" w:themeColor="text1"/>
        </w:rPr>
      </w:pPr>
      <w:bookmarkStart w:id="16" w:name="_Hlk75853417"/>
      <w:proofErr w:type="gramStart"/>
      <w:r w:rsidRPr="0058432E">
        <w:rPr>
          <w:color w:val="000000" w:themeColor="text1"/>
        </w:rPr>
        <w:t>prise</w:t>
      </w:r>
      <w:proofErr w:type="gramEnd"/>
      <w:r w:rsidRPr="0058432E">
        <w:rPr>
          <w:color w:val="000000" w:themeColor="text1"/>
        </w:rPr>
        <w:t xml:space="preserve"> de poids (pour la plupart des patients, la prise de poids a été faible).</w:t>
      </w:r>
    </w:p>
    <w:bookmarkEnd w:id="16"/>
    <w:p w14:paraId="45E7698C" w14:textId="77777777" w:rsidR="00FC5A0A" w:rsidRPr="0058432E" w:rsidRDefault="00FC5A0A" w:rsidP="002B2067">
      <w:pPr>
        <w:pStyle w:val="BodyText"/>
        <w:widowControl/>
        <w:kinsoku w:val="0"/>
        <w:overflowPunct w:val="0"/>
        <w:ind w:left="0"/>
        <w:rPr>
          <w:color w:val="000000" w:themeColor="text1"/>
        </w:rPr>
      </w:pPr>
    </w:p>
    <w:p w14:paraId="59C9083C"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Certains effets indésirables observés avec l’adalimumab ne se traduisent par aucun symptôme et ne peuvent être détectés qu’au moyen d’examens</w:t>
      </w:r>
      <w:r w:rsidR="004E5EC8" w:rsidRPr="0058432E">
        <w:rPr>
          <w:color w:val="000000" w:themeColor="text1"/>
        </w:rPr>
        <w:t xml:space="preserve"> sanguins</w:t>
      </w:r>
      <w:r w:rsidRPr="0058432E">
        <w:rPr>
          <w:color w:val="000000" w:themeColor="text1"/>
        </w:rPr>
        <w:t>. Ils incluent :</w:t>
      </w:r>
    </w:p>
    <w:p w14:paraId="104DC09D" w14:textId="77777777" w:rsidR="00FC5A0A" w:rsidRPr="0058432E" w:rsidRDefault="00FC5A0A" w:rsidP="002B2067">
      <w:pPr>
        <w:pStyle w:val="BodyText"/>
        <w:widowControl/>
        <w:kinsoku w:val="0"/>
        <w:overflowPunct w:val="0"/>
        <w:ind w:left="0"/>
        <w:rPr>
          <w:color w:val="000000" w:themeColor="text1"/>
        </w:rPr>
      </w:pPr>
    </w:p>
    <w:p w14:paraId="11E30035" w14:textId="77777777" w:rsidR="00FC5A0A" w:rsidRPr="0058432E" w:rsidRDefault="00FC5A0A" w:rsidP="002B2067">
      <w:pPr>
        <w:pStyle w:val="BodyText"/>
        <w:widowControl/>
        <w:kinsoku w:val="0"/>
        <w:overflowPunct w:val="0"/>
        <w:ind w:left="0"/>
        <w:rPr>
          <w:color w:val="000000" w:themeColor="text1"/>
        </w:rPr>
      </w:pPr>
      <w:r w:rsidRPr="0058432E">
        <w:rPr>
          <w:b/>
          <w:bCs/>
          <w:color w:val="000000" w:themeColor="text1"/>
        </w:rPr>
        <w:t>Très fréquent</w:t>
      </w:r>
      <w:r w:rsidRPr="0058432E">
        <w:rPr>
          <w:color w:val="000000" w:themeColor="text1"/>
        </w:rPr>
        <w:t xml:space="preserve"> (p</w:t>
      </w:r>
      <w:r w:rsidR="004E5EC8" w:rsidRPr="0058432E">
        <w:rPr>
          <w:color w:val="000000" w:themeColor="text1"/>
        </w:rPr>
        <w:t>eut</w:t>
      </w:r>
      <w:r w:rsidRPr="0058432E">
        <w:rPr>
          <w:color w:val="000000" w:themeColor="text1"/>
        </w:rPr>
        <w:t xml:space="preserve"> affecter plus de 1 personne sur 10)</w:t>
      </w:r>
    </w:p>
    <w:p w14:paraId="4C8BBB6F" w14:textId="77777777" w:rsidR="00FC5A0A" w:rsidRPr="0058432E" w:rsidRDefault="00FC5A0A" w:rsidP="002B2067">
      <w:pPr>
        <w:pStyle w:val="BodyText"/>
        <w:widowControl/>
        <w:kinsoku w:val="0"/>
        <w:overflowPunct w:val="0"/>
        <w:ind w:left="0"/>
        <w:rPr>
          <w:color w:val="000000" w:themeColor="text1"/>
        </w:rPr>
      </w:pPr>
    </w:p>
    <w:p w14:paraId="27A2646C"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w:t>
      </w:r>
    </w:p>
    <w:p w14:paraId="1BF34792"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rouges ;</w:t>
      </w:r>
    </w:p>
    <w:p w14:paraId="5F0D78B0"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de lipides dans le sang ;</w:t>
      </w:r>
    </w:p>
    <w:p w14:paraId="22DBF12C" w14:textId="77777777" w:rsidR="00FC5A0A" w:rsidRPr="0058432E" w:rsidRDefault="00F92783"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enzymes hépatiques.</w:t>
      </w:r>
    </w:p>
    <w:p w14:paraId="6ABFFAC6" w14:textId="77777777" w:rsidR="00FC5A0A" w:rsidRPr="0058432E" w:rsidRDefault="00FC5A0A" w:rsidP="002B2067">
      <w:pPr>
        <w:pStyle w:val="BodyText"/>
        <w:widowControl/>
        <w:kinsoku w:val="0"/>
        <w:overflowPunct w:val="0"/>
        <w:ind w:left="0"/>
        <w:rPr>
          <w:color w:val="000000" w:themeColor="text1"/>
        </w:rPr>
      </w:pPr>
    </w:p>
    <w:p w14:paraId="62047D4E" w14:textId="77777777" w:rsidR="00FC5A0A" w:rsidRPr="0058432E" w:rsidRDefault="00FC5A0A" w:rsidP="002B2067">
      <w:pPr>
        <w:pStyle w:val="BodyText"/>
        <w:widowControl/>
        <w:kinsoku w:val="0"/>
        <w:overflowPunct w:val="0"/>
        <w:ind w:left="0"/>
        <w:rPr>
          <w:color w:val="000000" w:themeColor="text1"/>
        </w:rPr>
      </w:pPr>
      <w:r w:rsidRPr="0058432E">
        <w:rPr>
          <w:b/>
          <w:bCs/>
          <w:color w:val="000000" w:themeColor="text1"/>
        </w:rPr>
        <w:t xml:space="preserve">Fréquent </w:t>
      </w:r>
      <w:r w:rsidRPr="0058432E">
        <w:rPr>
          <w:color w:val="000000" w:themeColor="text1"/>
        </w:rPr>
        <w:t>(p</w:t>
      </w:r>
      <w:r w:rsidR="004E5EC8" w:rsidRPr="0058432E">
        <w:rPr>
          <w:color w:val="000000" w:themeColor="text1"/>
        </w:rPr>
        <w:t>eut</w:t>
      </w:r>
      <w:r w:rsidRPr="0058432E">
        <w:rPr>
          <w:color w:val="000000" w:themeColor="text1"/>
        </w:rPr>
        <w:t xml:space="preserve"> affecter jusqu’à 1 personne sur 10)</w:t>
      </w:r>
    </w:p>
    <w:p w14:paraId="61481172" w14:textId="77777777" w:rsidR="00FC5A0A" w:rsidRPr="0058432E" w:rsidRDefault="00FC5A0A" w:rsidP="002B2067">
      <w:pPr>
        <w:pStyle w:val="BodyText"/>
        <w:widowControl/>
        <w:kinsoku w:val="0"/>
        <w:overflowPunct w:val="0"/>
        <w:ind w:left="0"/>
        <w:rPr>
          <w:color w:val="000000" w:themeColor="text1"/>
        </w:rPr>
      </w:pPr>
    </w:p>
    <w:p w14:paraId="24D222C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globules blancs ;</w:t>
      </w:r>
    </w:p>
    <w:p w14:paraId="2C8CD009"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plaquettes ;</w:t>
      </w:r>
    </w:p>
    <w:p w14:paraId="3115B56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d’acide urique dans le sang ;</w:t>
      </w:r>
    </w:p>
    <w:p w14:paraId="28DCD283"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anormaux de sodium dans le sang ;</w:t>
      </w:r>
    </w:p>
    <w:p w14:paraId="3A84B7DE"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calcium dans le sang ;</w:t>
      </w:r>
    </w:p>
    <w:p w14:paraId="108E960B"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phosphate dans le sang ;</w:t>
      </w:r>
    </w:p>
    <w:p w14:paraId="491EE808"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de sucre élevé dans le sang ;</w:t>
      </w:r>
    </w:p>
    <w:p w14:paraId="41B8520C"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lactate déshydrogénase dans le sang ;</w:t>
      </w:r>
    </w:p>
    <w:p w14:paraId="573079B7"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lastRenderedPageBreak/>
        <w:t>présence</w:t>
      </w:r>
      <w:proofErr w:type="gramEnd"/>
      <w:r w:rsidRPr="0058432E">
        <w:rPr>
          <w:color w:val="000000" w:themeColor="text1"/>
        </w:rPr>
        <w:t xml:space="preserve"> d’anticorps dans le sang ;</w:t>
      </w:r>
    </w:p>
    <w:p w14:paraId="79BA35C6"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 de potassium dans le sang.</w:t>
      </w:r>
    </w:p>
    <w:p w14:paraId="77ADD407" w14:textId="77777777" w:rsidR="00FC5A0A" w:rsidRPr="0058432E" w:rsidRDefault="00FC5A0A" w:rsidP="002B2067">
      <w:pPr>
        <w:pStyle w:val="BodyText"/>
        <w:widowControl/>
        <w:kinsoku w:val="0"/>
        <w:overflowPunct w:val="0"/>
        <w:ind w:left="0"/>
        <w:rPr>
          <w:color w:val="000000" w:themeColor="text1"/>
        </w:rPr>
      </w:pPr>
    </w:p>
    <w:p w14:paraId="62AC0E59" w14:textId="77777777" w:rsidR="00FC5A0A" w:rsidRPr="0058432E" w:rsidRDefault="00FC5A0A" w:rsidP="002B2067">
      <w:pPr>
        <w:pStyle w:val="BodyText"/>
        <w:widowControl/>
        <w:kinsoku w:val="0"/>
        <w:overflowPunct w:val="0"/>
        <w:ind w:left="0"/>
        <w:rPr>
          <w:color w:val="000000" w:themeColor="text1"/>
        </w:rPr>
      </w:pPr>
      <w:r w:rsidRPr="0058432E">
        <w:rPr>
          <w:b/>
          <w:bCs/>
          <w:color w:val="000000" w:themeColor="text1"/>
        </w:rPr>
        <w:t>Peu fréquent</w:t>
      </w:r>
      <w:r w:rsidRPr="0058432E">
        <w:rPr>
          <w:color w:val="000000" w:themeColor="text1"/>
        </w:rPr>
        <w:t xml:space="preserve"> (p</w:t>
      </w:r>
      <w:r w:rsidR="004E5EC8" w:rsidRPr="0058432E">
        <w:rPr>
          <w:color w:val="000000" w:themeColor="text1"/>
        </w:rPr>
        <w:t>eut</w:t>
      </w:r>
      <w:r w:rsidRPr="0058432E">
        <w:rPr>
          <w:color w:val="000000" w:themeColor="text1"/>
        </w:rPr>
        <w:t xml:space="preserve"> affecter jusqu’à 1 personne sur 100)</w:t>
      </w:r>
    </w:p>
    <w:p w14:paraId="7DAF4545" w14:textId="77777777" w:rsidR="00FC5A0A" w:rsidRPr="0058432E" w:rsidRDefault="00FC5A0A" w:rsidP="002B2067">
      <w:pPr>
        <w:pStyle w:val="BodyText"/>
        <w:widowControl/>
        <w:kinsoku w:val="0"/>
        <w:overflowPunct w:val="0"/>
        <w:ind w:left="0"/>
        <w:rPr>
          <w:color w:val="000000" w:themeColor="text1"/>
        </w:rPr>
      </w:pPr>
    </w:p>
    <w:p w14:paraId="48015935" w14:textId="77777777" w:rsidR="00FC5A0A" w:rsidRPr="0058432E" w:rsidRDefault="00F92783"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bilirubine (test sanguin du foie).</w:t>
      </w:r>
    </w:p>
    <w:p w14:paraId="76C82AE1" w14:textId="77777777" w:rsidR="00FC5A0A" w:rsidRPr="0058432E" w:rsidRDefault="00FC5A0A" w:rsidP="002B2067">
      <w:pPr>
        <w:pStyle w:val="BodyText"/>
        <w:widowControl/>
        <w:kinsoku w:val="0"/>
        <w:overflowPunct w:val="0"/>
        <w:ind w:left="0"/>
        <w:rPr>
          <w:color w:val="000000" w:themeColor="text1"/>
        </w:rPr>
      </w:pPr>
    </w:p>
    <w:p w14:paraId="7821F7C4" w14:textId="77777777" w:rsidR="00FC5A0A" w:rsidRPr="0058432E" w:rsidRDefault="00FC5A0A" w:rsidP="002B2067">
      <w:pPr>
        <w:pStyle w:val="BodyText"/>
        <w:widowControl/>
        <w:kinsoku w:val="0"/>
        <w:overflowPunct w:val="0"/>
        <w:ind w:left="0"/>
        <w:rPr>
          <w:color w:val="000000" w:themeColor="text1"/>
        </w:rPr>
      </w:pPr>
      <w:r w:rsidRPr="0058432E">
        <w:rPr>
          <w:b/>
          <w:bCs/>
          <w:color w:val="000000" w:themeColor="text1"/>
        </w:rPr>
        <w:t xml:space="preserve">Rare </w:t>
      </w:r>
      <w:r w:rsidRPr="0058432E">
        <w:rPr>
          <w:color w:val="000000" w:themeColor="text1"/>
        </w:rPr>
        <w:t>(pouvant affecter jusqu’à 1 personne sur 1 000)</w:t>
      </w:r>
    </w:p>
    <w:p w14:paraId="4A2B081F" w14:textId="77777777" w:rsidR="00FC5A0A" w:rsidRPr="0058432E" w:rsidRDefault="00FC5A0A" w:rsidP="002B2067">
      <w:pPr>
        <w:pStyle w:val="BodyText"/>
        <w:widowControl/>
        <w:kinsoku w:val="0"/>
        <w:overflowPunct w:val="0"/>
        <w:ind w:left="0"/>
        <w:rPr>
          <w:color w:val="000000" w:themeColor="text1"/>
        </w:rPr>
      </w:pPr>
    </w:p>
    <w:p w14:paraId="6FE37915" w14:textId="77777777" w:rsidR="00FC5A0A" w:rsidRPr="0058432E" w:rsidRDefault="00FC5A0A" w:rsidP="002B2067">
      <w:pPr>
        <w:pStyle w:val="BodyText"/>
        <w:widowControl/>
        <w:numPr>
          <w:ilvl w:val="0"/>
          <w:numId w:val="27"/>
        </w:numPr>
        <w:kinsoku w:val="0"/>
        <w:overflowPunct w:val="0"/>
        <w:autoSpaceDE w:val="0"/>
        <w:autoSpaceDN w:val="0"/>
        <w:adjustRightInd w:val="0"/>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de globules rouges et de plaquettes.</w:t>
      </w:r>
    </w:p>
    <w:p w14:paraId="04A90315" w14:textId="77777777" w:rsidR="00FC5A0A" w:rsidRPr="0058432E" w:rsidRDefault="00FC5A0A" w:rsidP="002B2067">
      <w:pPr>
        <w:pStyle w:val="BodyText"/>
        <w:widowControl/>
        <w:kinsoku w:val="0"/>
        <w:overflowPunct w:val="0"/>
        <w:ind w:left="0"/>
        <w:rPr>
          <w:color w:val="000000" w:themeColor="text1"/>
        </w:rPr>
      </w:pPr>
    </w:p>
    <w:p w14:paraId="62E7F832" w14:textId="77777777" w:rsidR="00FC5A0A" w:rsidRPr="0058432E" w:rsidRDefault="00FC5A0A" w:rsidP="00C831C4">
      <w:pPr>
        <w:pStyle w:val="BodyText"/>
        <w:widowControl/>
        <w:kinsoku w:val="0"/>
        <w:overflowPunct w:val="0"/>
        <w:ind w:left="0"/>
        <w:rPr>
          <w:b/>
          <w:bCs/>
          <w:color w:val="000000" w:themeColor="text1"/>
        </w:rPr>
      </w:pPr>
      <w:r w:rsidRPr="0058432E">
        <w:rPr>
          <w:b/>
          <w:bCs/>
          <w:color w:val="000000" w:themeColor="text1"/>
        </w:rPr>
        <w:t>Déclaration des effets secondaires</w:t>
      </w:r>
    </w:p>
    <w:p w14:paraId="78297F83" w14:textId="1C484B3B"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Si votre enfant ressent un quelconque effet indésirable, parlez-en à votre médecin ou votre pharmacien. Ceci s’applique aussi à tout effet indésirable qui ne serait pas mentionné dans cette notice. Vous pouvez également déclarer les effets indésirables directement via </w:t>
      </w:r>
      <w:r w:rsidRPr="0058432E">
        <w:rPr>
          <w:color w:val="000000" w:themeColor="text1"/>
          <w:highlight w:val="lightGray"/>
        </w:rPr>
        <w:t xml:space="preserve">le système national de déclaration décrit en </w:t>
      </w:r>
      <w:hyperlink r:id="rId23" w:history="1">
        <w:r w:rsidRPr="0058432E">
          <w:rPr>
            <w:rStyle w:val="Hyperlink"/>
            <w:highlight w:val="lightGray"/>
          </w:rPr>
          <w:t>Annexe V</w:t>
        </w:r>
      </w:hyperlink>
      <w:r w:rsidRPr="0058432E">
        <w:rPr>
          <w:color w:val="000000" w:themeColor="text1"/>
        </w:rPr>
        <w:t>. En signalant les effets indésirables, vous contribuez à fournir davantage d’informations sur la sécurité du médicament.</w:t>
      </w:r>
    </w:p>
    <w:p w14:paraId="6B0DAD43" w14:textId="77777777" w:rsidR="00FC5A0A" w:rsidRPr="0058432E" w:rsidRDefault="00FC5A0A" w:rsidP="002B2067">
      <w:pPr>
        <w:pStyle w:val="BodyText"/>
        <w:widowControl/>
        <w:kinsoku w:val="0"/>
        <w:overflowPunct w:val="0"/>
        <w:ind w:left="0"/>
        <w:rPr>
          <w:color w:val="000000" w:themeColor="text1"/>
        </w:rPr>
      </w:pPr>
    </w:p>
    <w:p w14:paraId="06BCDA1B" w14:textId="77777777" w:rsidR="00F473DD" w:rsidRPr="0058432E" w:rsidRDefault="00F473DD" w:rsidP="002B2067">
      <w:pPr>
        <w:pStyle w:val="BodyText"/>
        <w:widowControl/>
        <w:kinsoku w:val="0"/>
        <w:overflowPunct w:val="0"/>
        <w:ind w:left="0"/>
        <w:rPr>
          <w:color w:val="000000" w:themeColor="text1"/>
        </w:rPr>
      </w:pPr>
    </w:p>
    <w:p w14:paraId="1607ED8A" w14:textId="77777777" w:rsidR="00FC5A0A" w:rsidRPr="0058432E" w:rsidRDefault="00F473DD" w:rsidP="00C831C4">
      <w:pPr>
        <w:pStyle w:val="BodyText"/>
        <w:widowControl/>
        <w:kinsoku w:val="0"/>
        <w:overflowPunct w:val="0"/>
        <w:ind w:left="0"/>
        <w:rPr>
          <w:b/>
          <w:bCs/>
          <w:color w:val="000000" w:themeColor="text1"/>
        </w:rPr>
      </w:pPr>
      <w:r w:rsidRPr="0058432E">
        <w:rPr>
          <w:b/>
          <w:bCs/>
          <w:color w:val="000000" w:themeColor="text1"/>
        </w:rPr>
        <w:t>5.</w:t>
      </w:r>
      <w:r w:rsidRPr="0058432E">
        <w:rPr>
          <w:b/>
          <w:bCs/>
          <w:color w:val="000000" w:themeColor="text1"/>
        </w:rPr>
        <w:tab/>
        <w:t>Comment conserver Amsparity</w:t>
      </w:r>
    </w:p>
    <w:p w14:paraId="493095A8" w14:textId="77777777" w:rsidR="00FC5A0A" w:rsidRPr="0058432E" w:rsidRDefault="00FC5A0A" w:rsidP="002B2067">
      <w:pPr>
        <w:pStyle w:val="BodyText"/>
        <w:widowControl/>
        <w:kinsoku w:val="0"/>
        <w:overflowPunct w:val="0"/>
        <w:ind w:left="0"/>
        <w:rPr>
          <w:b/>
          <w:bCs/>
          <w:color w:val="000000" w:themeColor="text1"/>
        </w:rPr>
      </w:pPr>
    </w:p>
    <w:p w14:paraId="67EA35A8"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Tenir ce médicament hors de la vue et de la portée des enfants.</w:t>
      </w:r>
    </w:p>
    <w:p w14:paraId="1F194FE4" w14:textId="77777777" w:rsidR="00FC5A0A" w:rsidRPr="0058432E" w:rsidRDefault="00FC5A0A" w:rsidP="002B2067">
      <w:pPr>
        <w:pStyle w:val="BodyText"/>
        <w:widowControl/>
        <w:kinsoku w:val="0"/>
        <w:overflowPunct w:val="0"/>
        <w:ind w:left="0"/>
        <w:rPr>
          <w:color w:val="000000" w:themeColor="text1"/>
        </w:rPr>
      </w:pPr>
    </w:p>
    <w:p w14:paraId="291A99D9" w14:textId="77777777" w:rsidR="0016465E" w:rsidRPr="0058432E" w:rsidRDefault="00FC5A0A" w:rsidP="002B2067">
      <w:pPr>
        <w:pStyle w:val="BodyText"/>
        <w:widowControl/>
        <w:kinsoku w:val="0"/>
        <w:overflowPunct w:val="0"/>
        <w:ind w:left="0"/>
        <w:rPr>
          <w:color w:val="000000" w:themeColor="text1"/>
        </w:rPr>
      </w:pPr>
      <w:r w:rsidRPr="0058432E">
        <w:rPr>
          <w:color w:val="000000" w:themeColor="text1"/>
        </w:rPr>
        <w:t xml:space="preserve">N’utilisez pas ce médicament après la date de péremption indiquée sur l’étiquette/la plaquette/la boîte après EXP. </w:t>
      </w:r>
    </w:p>
    <w:p w14:paraId="7C8CE043" w14:textId="77777777" w:rsidR="0016465E" w:rsidRPr="0058432E" w:rsidRDefault="0016465E" w:rsidP="002B2067">
      <w:pPr>
        <w:pStyle w:val="BodyText"/>
        <w:widowControl/>
        <w:kinsoku w:val="0"/>
        <w:overflowPunct w:val="0"/>
        <w:ind w:left="0"/>
        <w:rPr>
          <w:color w:val="000000" w:themeColor="text1"/>
        </w:rPr>
      </w:pPr>
    </w:p>
    <w:p w14:paraId="438460A7"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À conserver au réfrigérateur (entre 2 °C et 8 °C). Ne pas congeler.</w:t>
      </w:r>
    </w:p>
    <w:p w14:paraId="487CB950" w14:textId="77777777" w:rsidR="002418DA" w:rsidRPr="0058432E" w:rsidRDefault="002418DA" w:rsidP="002B2067">
      <w:pPr>
        <w:pStyle w:val="BodyText"/>
        <w:widowControl/>
        <w:kinsoku w:val="0"/>
        <w:overflowPunct w:val="0"/>
        <w:ind w:left="0"/>
        <w:rPr>
          <w:color w:val="000000" w:themeColor="text1"/>
        </w:rPr>
      </w:pPr>
    </w:p>
    <w:p w14:paraId="73DE1950"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Conserver la seringue préremplie dans l’emballage extérieur à l’abri de la lumière.</w:t>
      </w:r>
    </w:p>
    <w:p w14:paraId="2A7DF771" w14:textId="77777777" w:rsidR="00FC5A0A" w:rsidRPr="0058432E" w:rsidRDefault="00FC5A0A" w:rsidP="002B2067">
      <w:pPr>
        <w:pStyle w:val="BodyText"/>
        <w:widowControl/>
        <w:kinsoku w:val="0"/>
        <w:overflowPunct w:val="0"/>
        <w:ind w:left="0"/>
        <w:rPr>
          <w:color w:val="000000" w:themeColor="text1"/>
        </w:rPr>
      </w:pPr>
    </w:p>
    <w:p w14:paraId="3D8A7AC0" w14:textId="77777777" w:rsidR="00FC5A0A" w:rsidRPr="0058432E" w:rsidRDefault="00FC5A0A" w:rsidP="002B2067">
      <w:pPr>
        <w:pStyle w:val="BodyText"/>
        <w:widowControl/>
        <w:kinsoku w:val="0"/>
        <w:overflowPunct w:val="0"/>
        <w:ind w:left="0"/>
        <w:rPr>
          <w:color w:val="000000" w:themeColor="text1"/>
          <w:u w:val="single"/>
        </w:rPr>
      </w:pPr>
      <w:r w:rsidRPr="0058432E">
        <w:rPr>
          <w:color w:val="000000" w:themeColor="text1"/>
          <w:u w:val="single"/>
        </w:rPr>
        <w:t>Autres conditions de conservation :</w:t>
      </w:r>
    </w:p>
    <w:p w14:paraId="0493E348" w14:textId="77777777" w:rsidR="00FC5A0A" w:rsidRPr="0058432E" w:rsidRDefault="00FC5A0A" w:rsidP="002B2067">
      <w:pPr>
        <w:pStyle w:val="BodyText"/>
        <w:widowControl/>
        <w:kinsoku w:val="0"/>
        <w:overflowPunct w:val="0"/>
        <w:ind w:left="0"/>
        <w:rPr>
          <w:color w:val="000000" w:themeColor="text1"/>
        </w:rPr>
      </w:pPr>
    </w:p>
    <w:p w14:paraId="3882F83B"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Si nécessaire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54580D" w:rsidRPr="0058432E">
        <w:rPr>
          <w:color w:val="000000" w:themeColor="text1"/>
        </w:rPr>
        <w:t>en voyage</w:t>
      </w:r>
      <w:r w:rsidRPr="0058432E">
        <w:rPr>
          <w:color w:val="000000" w:themeColor="text1"/>
        </w:rPr>
        <w:t xml:space="preserve">), une seringue préremplie d’Amsparity peut être conservée à température ambiante (jusqu’à 30 °C) pendant une durée maximale de 30 jours, en la protégeant de la lumière. Après avoir été retirée du réfrigérateur pour être conservée à température ambiante, la seringue </w:t>
      </w:r>
      <w:r w:rsidRPr="0058432E">
        <w:rPr>
          <w:b/>
          <w:bCs/>
          <w:color w:val="000000" w:themeColor="text1"/>
        </w:rPr>
        <w:t>doit être utilisée dans les 30 jours ou jetée</w:t>
      </w:r>
      <w:r w:rsidRPr="0058432E">
        <w:rPr>
          <w:color w:val="000000" w:themeColor="text1"/>
        </w:rPr>
        <w:t>, même si elle est remise au réfrigérateur.</w:t>
      </w:r>
    </w:p>
    <w:p w14:paraId="1379B652" w14:textId="77777777" w:rsidR="00FC5A0A" w:rsidRPr="0058432E" w:rsidRDefault="00FC5A0A" w:rsidP="002B2067">
      <w:pPr>
        <w:pStyle w:val="BodyText"/>
        <w:widowControl/>
        <w:kinsoku w:val="0"/>
        <w:overflowPunct w:val="0"/>
        <w:ind w:left="0"/>
        <w:rPr>
          <w:color w:val="000000" w:themeColor="text1"/>
        </w:rPr>
      </w:pPr>
    </w:p>
    <w:p w14:paraId="3F5414D2"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Vous devez noter la date à laquelle la seringue a été retirée la première fois du réfrigérateur et la date à laquelle elle doit être jetée.</w:t>
      </w:r>
    </w:p>
    <w:p w14:paraId="17AF9C80" w14:textId="77777777" w:rsidR="00FC5A0A" w:rsidRPr="0058432E" w:rsidRDefault="00FC5A0A" w:rsidP="002B2067">
      <w:pPr>
        <w:pStyle w:val="BodyText"/>
        <w:widowControl/>
        <w:kinsoku w:val="0"/>
        <w:overflowPunct w:val="0"/>
        <w:ind w:left="0"/>
        <w:rPr>
          <w:color w:val="000000" w:themeColor="text1"/>
        </w:rPr>
      </w:pPr>
    </w:p>
    <w:p w14:paraId="471396AB"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Ne jetez aucun médicament au tout-à-l’égout ou avec les ordures ménagères. Demandez </w:t>
      </w:r>
      <w:r w:rsidR="0054580D" w:rsidRPr="0058432E">
        <w:rPr>
          <w:color w:val="000000" w:themeColor="text1"/>
        </w:rPr>
        <w:t>au</w:t>
      </w:r>
      <w:r w:rsidRPr="0058432E">
        <w:rPr>
          <w:color w:val="000000" w:themeColor="text1"/>
        </w:rPr>
        <w:t xml:space="preserve"> </w:t>
      </w:r>
      <w:r w:rsidR="00B8288A" w:rsidRPr="0058432E">
        <w:rPr>
          <w:color w:val="000000" w:themeColor="text1"/>
        </w:rPr>
        <w:t xml:space="preserve">médecin </w:t>
      </w:r>
      <w:r w:rsidR="00273E51" w:rsidRPr="0058432E">
        <w:rPr>
          <w:color w:val="000000" w:themeColor="text1"/>
        </w:rPr>
        <w:t xml:space="preserve">de votre enfant </w:t>
      </w:r>
      <w:r w:rsidR="00B8288A" w:rsidRPr="0058432E">
        <w:rPr>
          <w:color w:val="000000" w:themeColor="text1"/>
        </w:rPr>
        <w:t>ou</w:t>
      </w:r>
      <w:r w:rsidR="0054580D" w:rsidRPr="0058432E">
        <w:rPr>
          <w:color w:val="000000" w:themeColor="text1"/>
        </w:rPr>
        <w:t xml:space="preserve"> au</w:t>
      </w:r>
      <w:r w:rsidRPr="0058432E">
        <w:rPr>
          <w:color w:val="000000" w:themeColor="text1"/>
        </w:rPr>
        <w:t xml:space="preserve"> pharmacien d’éliminer les médicaments que vous n’utilisez plus. Ces mesures contribueront à protéger l’environnement.</w:t>
      </w:r>
    </w:p>
    <w:p w14:paraId="5587F27D" w14:textId="77777777" w:rsidR="00FC5A0A" w:rsidRPr="0058432E" w:rsidRDefault="00FC5A0A" w:rsidP="002B2067">
      <w:pPr>
        <w:pStyle w:val="BodyText"/>
        <w:widowControl/>
        <w:kinsoku w:val="0"/>
        <w:overflowPunct w:val="0"/>
        <w:ind w:left="0"/>
        <w:rPr>
          <w:color w:val="000000" w:themeColor="text1"/>
        </w:rPr>
      </w:pPr>
    </w:p>
    <w:p w14:paraId="5B6E937A" w14:textId="77777777" w:rsidR="00FC5A0A" w:rsidRPr="0058432E" w:rsidRDefault="00FC5A0A" w:rsidP="002B2067">
      <w:pPr>
        <w:pStyle w:val="BodyText"/>
        <w:widowControl/>
        <w:kinsoku w:val="0"/>
        <w:overflowPunct w:val="0"/>
        <w:ind w:left="0"/>
        <w:rPr>
          <w:color w:val="000000" w:themeColor="text1"/>
        </w:rPr>
      </w:pPr>
    </w:p>
    <w:p w14:paraId="3C1CA901" w14:textId="77777777" w:rsidR="00FC5A0A" w:rsidRPr="0058432E" w:rsidRDefault="0016465E" w:rsidP="00C831C4">
      <w:pPr>
        <w:pStyle w:val="BodyText"/>
        <w:widowControl/>
        <w:kinsoku w:val="0"/>
        <w:overflowPunct w:val="0"/>
        <w:ind w:left="0"/>
        <w:rPr>
          <w:b/>
          <w:bCs/>
          <w:color w:val="000000" w:themeColor="text1"/>
        </w:rPr>
      </w:pPr>
      <w:r w:rsidRPr="0058432E">
        <w:rPr>
          <w:b/>
          <w:bCs/>
          <w:color w:val="000000" w:themeColor="text1"/>
        </w:rPr>
        <w:t>6.</w:t>
      </w:r>
      <w:r w:rsidRPr="0058432E">
        <w:rPr>
          <w:b/>
          <w:bCs/>
          <w:color w:val="000000" w:themeColor="text1"/>
        </w:rPr>
        <w:tab/>
        <w:t xml:space="preserve">Contenu de l’emballage et autres informations </w:t>
      </w:r>
    </w:p>
    <w:p w14:paraId="328C649B" w14:textId="77777777" w:rsidR="002B2067" w:rsidRPr="0058432E" w:rsidRDefault="002B2067" w:rsidP="00C831C4">
      <w:pPr>
        <w:pStyle w:val="BodyText"/>
        <w:widowControl/>
        <w:kinsoku w:val="0"/>
        <w:overflowPunct w:val="0"/>
        <w:ind w:left="0"/>
        <w:rPr>
          <w:b/>
          <w:bCs/>
          <w:color w:val="000000" w:themeColor="text1"/>
        </w:rPr>
      </w:pPr>
    </w:p>
    <w:p w14:paraId="4EFC4E99" w14:textId="77777777" w:rsidR="00FC5A0A" w:rsidRPr="0058432E" w:rsidRDefault="00FC5A0A" w:rsidP="00C831C4">
      <w:pPr>
        <w:pStyle w:val="BodyText"/>
        <w:widowControl/>
        <w:kinsoku w:val="0"/>
        <w:overflowPunct w:val="0"/>
        <w:ind w:left="0"/>
        <w:rPr>
          <w:b/>
          <w:bCs/>
          <w:color w:val="000000" w:themeColor="text1"/>
        </w:rPr>
      </w:pPr>
      <w:r w:rsidRPr="0058432E">
        <w:rPr>
          <w:b/>
          <w:bCs/>
          <w:color w:val="000000" w:themeColor="text1"/>
        </w:rPr>
        <w:t>Ce que contient Amsparity</w:t>
      </w:r>
    </w:p>
    <w:p w14:paraId="40601794" w14:textId="77777777" w:rsidR="002B2067" w:rsidRPr="0058432E" w:rsidRDefault="002B2067" w:rsidP="002B2067">
      <w:pPr>
        <w:pStyle w:val="BodyText"/>
        <w:widowControl/>
        <w:kinsoku w:val="0"/>
        <w:overflowPunct w:val="0"/>
        <w:ind w:left="0"/>
        <w:rPr>
          <w:b/>
          <w:bCs/>
          <w:color w:val="000000" w:themeColor="text1"/>
        </w:rPr>
      </w:pPr>
    </w:p>
    <w:p w14:paraId="417553FE"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La substance active est l’adalimumab.</w:t>
      </w:r>
    </w:p>
    <w:p w14:paraId="4D241F33" w14:textId="77777777" w:rsidR="002B2067" w:rsidRPr="0058432E" w:rsidRDefault="002B2067" w:rsidP="002B2067">
      <w:pPr>
        <w:pStyle w:val="BodyText"/>
        <w:widowControl/>
        <w:kinsoku w:val="0"/>
        <w:overflowPunct w:val="0"/>
        <w:ind w:left="0"/>
        <w:rPr>
          <w:color w:val="000000" w:themeColor="text1"/>
        </w:rPr>
      </w:pPr>
    </w:p>
    <w:p w14:paraId="7DCDBEE4" w14:textId="2AFBE34A" w:rsidR="00FC5A0A" w:rsidRPr="0058432E" w:rsidRDefault="00FC5A0A" w:rsidP="002B2067">
      <w:pPr>
        <w:pStyle w:val="BodyText"/>
        <w:widowControl/>
        <w:kinsoku w:val="0"/>
        <w:overflowPunct w:val="0"/>
        <w:ind w:left="0"/>
        <w:rPr>
          <w:color w:val="000000" w:themeColor="text1"/>
        </w:rPr>
      </w:pPr>
      <w:r w:rsidRPr="0058432E">
        <w:rPr>
          <w:color w:val="000000" w:themeColor="text1"/>
        </w:rPr>
        <w:t>Les autres composants sont : L-histidine, chlorhydrate de L-histidine monohydraté, saccharose, édétate disodique dihydraté, L-méthionine, polysorbate 80 et eau pour préparations injectables</w:t>
      </w:r>
      <w:bookmarkStart w:id="17" w:name="_Hlk178162262"/>
      <w:r w:rsidR="00253214" w:rsidRPr="0058432E">
        <w:rPr>
          <w:color w:val="000000" w:themeColor="text1"/>
        </w:rPr>
        <w:t xml:space="preserve"> (voir rubrique 2 « Amsparity contient du polysorbate 80 » et « Amsparity contient du sodium »)</w:t>
      </w:r>
      <w:r w:rsidRPr="0058432E">
        <w:rPr>
          <w:color w:val="000000" w:themeColor="text1"/>
        </w:rPr>
        <w:t>.</w:t>
      </w:r>
      <w:bookmarkEnd w:id="17"/>
    </w:p>
    <w:p w14:paraId="59212916" w14:textId="77777777" w:rsidR="00FC5A0A" w:rsidRPr="0058432E" w:rsidRDefault="00FC5A0A" w:rsidP="002B2067">
      <w:pPr>
        <w:pStyle w:val="BodyText"/>
        <w:widowControl/>
        <w:kinsoku w:val="0"/>
        <w:overflowPunct w:val="0"/>
        <w:ind w:left="0"/>
        <w:rPr>
          <w:color w:val="000000" w:themeColor="text1"/>
        </w:rPr>
      </w:pPr>
    </w:p>
    <w:p w14:paraId="68321F5C" w14:textId="77777777" w:rsidR="00FC5A0A" w:rsidRPr="0058432E" w:rsidRDefault="00FC5A0A" w:rsidP="007469E5">
      <w:pPr>
        <w:pStyle w:val="BodyText"/>
        <w:keepNext/>
        <w:keepLines/>
        <w:widowControl/>
        <w:kinsoku w:val="0"/>
        <w:overflowPunct w:val="0"/>
        <w:ind w:left="0"/>
        <w:rPr>
          <w:b/>
          <w:bCs/>
          <w:color w:val="000000" w:themeColor="text1"/>
        </w:rPr>
      </w:pPr>
      <w:r w:rsidRPr="0058432E">
        <w:rPr>
          <w:b/>
          <w:bCs/>
          <w:color w:val="000000" w:themeColor="text1"/>
        </w:rPr>
        <w:lastRenderedPageBreak/>
        <w:t>Comment se présente</w:t>
      </w:r>
      <w:r w:rsidR="000A2E43" w:rsidRPr="0058432E">
        <w:rPr>
          <w:b/>
          <w:bCs/>
          <w:color w:val="000000" w:themeColor="text1"/>
        </w:rPr>
        <w:t xml:space="preserve"> </w:t>
      </w:r>
      <w:r w:rsidRPr="0058432E">
        <w:rPr>
          <w:b/>
          <w:bCs/>
          <w:color w:val="000000" w:themeColor="text1"/>
        </w:rPr>
        <w:t>Amsparity en seringue préremplie et contenu de l’emballage extérieur</w:t>
      </w:r>
    </w:p>
    <w:p w14:paraId="65E9FB9D" w14:textId="77777777" w:rsidR="00FC5A0A" w:rsidRPr="0058432E" w:rsidRDefault="00FC5A0A" w:rsidP="007469E5">
      <w:pPr>
        <w:pStyle w:val="BodyText"/>
        <w:keepNext/>
        <w:keepLines/>
        <w:widowControl/>
        <w:kinsoku w:val="0"/>
        <w:overflowPunct w:val="0"/>
        <w:ind w:left="0"/>
        <w:rPr>
          <w:b/>
          <w:bCs/>
          <w:color w:val="000000" w:themeColor="text1"/>
        </w:rPr>
      </w:pPr>
    </w:p>
    <w:p w14:paraId="5C66A527" w14:textId="77777777" w:rsidR="00FC5A0A" w:rsidRPr="0058432E" w:rsidRDefault="006A1144" w:rsidP="002B2067">
      <w:pPr>
        <w:pStyle w:val="BodyText"/>
        <w:widowControl/>
        <w:kinsoku w:val="0"/>
        <w:overflowPunct w:val="0"/>
        <w:ind w:left="0"/>
        <w:rPr>
          <w:color w:val="000000" w:themeColor="text1"/>
        </w:rPr>
      </w:pPr>
      <w:r w:rsidRPr="0058432E">
        <w:rPr>
          <w:color w:val="000000" w:themeColor="text1"/>
        </w:rPr>
        <w:t>Amsparity 20 mg, solution injectable en seringue préremplie à usage pédiatrique est présenté sous forme de solution stérile de 20 mg d’adalimumab dissous dans 0,4 ml de solution.</w:t>
      </w:r>
    </w:p>
    <w:p w14:paraId="68DAB151" w14:textId="77777777" w:rsidR="00FC5A0A" w:rsidRPr="0058432E" w:rsidRDefault="00FC5A0A" w:rsidP="002B2067">
      <w:pPr>
        <w:pStyle w:val="BodyText"/>
        <w:widowControl/>
        <w:kinsoku w:val="0"/>
        <w:overflowPunct w:val="0"/>
        <w:ind w:left="0"/>
        <w:rPr>
          <w:color w:val="000000" w:themeColor="text1"/>
        </w:rPr>
      </w:pPr>
    </w:p>
    <w:p w14:paraId="28D15CB3"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La seringue préremplie d’Amsparity est une seringue en verre contenant une solution d’adalimumab limpide, incolore à brun très clair.</w:t>
      </w:r>
    </w:p>
    <w:p w14:paraId="02DE0491" w14:textId="77777777" w:rsidR="00FC5A0A" w:rsidRPr="0058432E" w:rsidRDefault="00FC5A0A" w:rsidP="002B2067">
      <w:pPr>
        <w:pStyle w:val="BodyText"/>
        <w:widowControl/>
        <w:kinsoku w:val="0"/>
        <w:overflowPunct w:val="0"/>
        <w:ind w:left="0"/>
        <w:rPr>
          <w:color w:val="000000" w:themeColor="text1"/>
        </w:rPr>
      </w:pPr>
    </w:p>
    <w:p w14:paraId="1A61D15F"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 xml:space="preserve">La seringue préremplie d’Amsparity est présentée dans une boîte contenant 2 seringues préremplies avec 2 tampons d’alcool. </w:t>
      </w:r>
    </w:p>
    <w:p w14:paraId="35A9E0D0" w14:textId="77777777" w:rsidR="00FC5A0A" w:rsidRPr="0058432E" w:rsidRDefault="00FC5A0A" w:rsidP="002B2067">
      <w:pPr>
        <w:pStyle w:val="BodyText"/>
        <w:widowControl/>
        <w:kinsoku w:val="0"/>
        <w:overflowPunct w:val="0"/>
        <w:ind w:left="0"/>
        <w:rPr>
          <w:color w:val="000000" w:themeColor="text1"/>
        </w:rPr>
      </w:pPr>
    </w:p>
    <w:p w14:paraId="512257FD" w14:textId="77777777" w:rsidR="00FC5A0A" w:rsidRPr="0058432E" w:rsidRDefault="006A1144" w:rsidP="002B2067">
      <w:pPr>
        <w:pStyle w:val="BodyText"/>
        <w:widowControl/>
        <w:kinsoku w:val="0"/>
        <w:overflowPunct w:val="0"/>
        <w:ind w:left="0"/>
        <w:rPr>
          <w:color w:val="000000" w:themeColor="text1"/>
        </w:rPr>
      </w:pPr>
      <w:r w:rsidRPr="0058432E">
        <w:rPr>
          <w:color w:val="000000" w:themeColor="text1"/>
        </w:rPr>
        <w:t>Amsparity est disponible en flacon, en seringue préremplie et/ou en stylo prérempli.</w:t>
      </w:r>
    </w:p>
    <w:p w14:paraId="2D96693E" w14:textId="77777777" w:rsidR="00FC5A0A" w:rsidRPr="0058432E" w:rsidRDefault="00FC5A0A" w:rsidP="002B2067">
      <w:pPr>
        <w:pStyle w:val="BodyText"/>
        <w:widowControl/>
        <w:kinsoku w:val="0"/>
        <w:overflowPunct w:val="0"/>
        <w:ind w:left="0"/>
        <w:rPr>
          <w:color w:val="000000" w:themeColor="text1"/>
        </w:rPr>
      </w:pPr>
    </w:p>
    <w:p w14:paraId="7E502B50" w14:textId="77777777" w:rsidR="00FC5A0A" w:rsidRPr="0058432E" w:rsidRDefault="00FC5A0A" w:rsidP="00C831C4">
      <w:pPr>
        <w:pStyle w:val="BodyText"/>
        <w:widowControl/>
        <w:kinsoku w:val="0"/>
        <w:overflowPunct w:val="0"/>
        <w:ind w:left="0"/>
        <w:rPr>
          <w:b/>
          <w:bCs/>
          <w:color w:val="000000" w:themeColor="text1"/>
        </w:rPr>
      </w:pPr>
      <w:r w:rsidRPr="0058432E">
        <w:rPr>
          <w:b/>
          <w:bCs/>
          <w:color w:val="000000" w:themeColor="text1"/>
        </w:rPr>
        <w:t>Titulaire de l’Autorisation de mise sur le marché</w:t>
      </w:r>
    </w:p>
    <w:p w14:paraId="649A9A51" w14:textId="77777777" w:rsidR="00FC5A0A" w:rsidRPr="0058432E" w:rsidRDefault="00FC5A0A" w:rsidP="00986295">
      <w:pPr>
        <w:pStyle w:val="BodyText"/>
        <w:keepNext/>
        <w:widowControl/>
        <w:kinsoku w:val="0"/>
        <w:overflowPunct w:val="0"/>
        <w:ind w:left="0"/>
        <w:rPr>
          <w:b/>
          <w:bCs/>
          <w:color w:val="000000" w:themeColor="text1"/>
        </w:rPr>
      </w:pPr>
    </w:p>
    <w:p w14:paraId="1A1EF1D1" w14:textId="77777777" w:rsidR="00DD75F2" w:rsidRPr="0058432E" w:rsidRDefault="00DD75F2" w:rsidP="00986295">
      <w:pPr>
        <w:pStyle w:val="BodyText"/>
        <w:keepNext/>
        <w:widowControl/>
        <w:kinsoku w:val="0"/>
        <w:overflowPunct w:val="0"/>
        <w:ind w:left="0"/>
        <w:rPr>
          <w:color w:val="000000" w:themeColor="text1"/>
        </w:rPr>
      </w:pPr>
      <w:r w:rsidRPr="0058432E">
        <w:rPr>
          <w:color w:val="000000" w:themeColor="text1"/>
        </w:rPr>
        <w:t>Pfizer Europe MA EEIG</w:t>
      </w:r>
    </w:p>
    <w:p w14:paraId="302F90FB" w14:textId="77777777" w:rsidR="00AA2493" w:rsidRPr="0058432E" w:rsidRDefault="00AA2493" w:rsidP="002B2067">
      <w:pPr>
        <w:pStyle w:val="BodyText"/>
        <w:widowControl/>
        <w:kinsoku w:val="0"/>
        <w:overflowPunct w:val="0"/>
        <w:ind w:left="0"/>
        <w:rPr>
          <w:color w:val="000000" w:themeColor="text1"/>
        </w:rPr>
      </w:pPr>
      <w:r w:rsidRPr="0058432E">
        <w:rPr>
          <w:color w:val="000000" w:themeColor="text1"/>
        </w:rPr>
        <w:t>Boulevard de la Plaine 17</w:t>
      </w:r>
    </w:p>
    <w:p w14:paraId="2BD9AD8C" w14:textId="77777777" w:rsidR="00AA2493" w:rsidRPr="0058432E" w:rsidRDefault="00AA2493" w:rsidP="002B2067">
      <w:pPr>
        <w:pStyle w:val="BodyText"/>
        <w:widowControl/>
        <w:kinsoku w:val="0"/>
        <w:overflowPunct w:val="0"/>
        <w:ind w:left="0"/>
        <w:rPr>
          <w:color w:val="000000" w:themeColor="text1"/>
        </w:rPr>
      </w:pPr>
      <w:r w:rsidRPr="0058432E">
        <w:rPr>
          <w:color w:val="000000" w:themeColor="text1"/>
        </w:rPr>
        <w:t>1050 Bruxelles</w:t>
      </w:r>
    </w:p>
    <w:p w14:paraId="58E3AED2" w14:textId="77777777" w:rsidR="00AA2493" w:rsidRPr="0058432E" w:rsidRDefault="00AA2493" w:rsidP="002B2067">
      <w:pPr>
        <w:pStyle w:val="BodyText"/>
        <w:widowControl/>
        <w:kinsoku w:val="0"/>
        <w:overflowPunct w:val="0"/>
        <w:ind w:left="0"/>
        <w:rPr>
          <w:color w:val="000000" w:themeColor="text1"/>
        </w:rPr>
      </w:pPr>
      <w:r w:rsidRPr="0058432E">
        <w:rPr>
          <w:color w:val="000000" w:themeColor="text1"/>
        </w:rPr>
        <w:t>Belgique</w:t>
      </w:r>
    </w:p>
    <w:p w14:paraId="31B69BC3" w14:textId="77777777" w:rsidR="00FC5A0A" w:rsidRPr="0058432E" w:rsidRDefault="00FC5A0A" w:rsidP="002B2067">
      <w:pPr>
        <w:pStyle w:val="BodyText"/>
        <w:widowControl/>
        <w:kinsoku w:val="0"/>
        <w:overflowPunct w:val="0"/>
        <w:ind w:left="0"/>
        <w:rPr>
          <w:color w:val="000000" w:themeColor="text1"/>
        </w:rPr>
      </w:pPr>
    </w:p>
    <w:p w14:paraId="458249C7" w14:textId="77777777" w:rsidR="00FC5A0A" w:rsidRPr="0058432E" w:rsidRDefault="00FC5A0A" w:rsidP="00C831C4">
      <w:pPr>
        <w:pStyle w:val="BodyText"/>
        <w:widowControl/>
        <w:kinsoku w:val="0"/>
        <w:overflowPunct w:val="0"/>
        <w:ind w:left="0"/>
        <w:rPr>
          <w:b/>
          <w:bCs/>
          <w:color w:val="000000" w:themeColor="text1"/>
        </w:rPr>
      </w:pPr>
      <w:r w:rsidRPr="0058432E">
        <w:rPr>
          <w:b/>
          <w:bCs/>
          <w:color w:val="000000" w:themeColor="text1"/>
        </w:rPr>
        <w:t>Fabricant</w:t>
      </w:r>
    </w:p>
    <w:p w14:paraId="32552B24" w14:textId="77777777" w:rsidR="00FC5A0A" w:rsidRPr="0058432E" w:rsidRDefault="00FC5A0A" w:rsidP="0016465E">
      <w:pPr>
        <w:pStyle w:val="BodyText"/>
        <w:keepNext/>
        <w:widowControl/>
        <w:kinsoku w:val="0"/>
        <w:overflowPunct w:val="0"/>
        <w:ind w:left="0"/>
        <w:rPr>
          <w:b/>
          <w:bCs/>
          <w:color w:val="000000" w:themeColor="text1"/>
        </w:rPr>
      </w:pPr>
    </w:p>
    <w:p w14:paraId="0864C160" w14:textId="44B6CBBC" w:rsidR="00AB5164" w:rsidRPr="0058432E" w:rsidRDefault="00AB5164" w:rsidP="0016465E">
      <w:pPr>
        <w:pStyle w:val="BodyText"/>
        <w:keepNext/>
        <w:widowControl/>
        <w:kinsoku w:val="0"/>
        <w:overflowPunct w:val="0"/>
        <w:ind w:left="0"/>
        <w:rPr>
          <w:color w:val="000000" w:themeColor="text1"/>
        </w:rPr>
      </w:pPr>
      <w:r w:rsidRPr="0058432E">
        <w:rPr>
          <w:color w:val="000000" w:themeColor="text1"/>
        </w:rPr>
        <w:t>Pfizer Service Company BV</w:t>
      </w:r>
    </w:p>
    <w:p w14:paraId="0C139270" w14:textId="77777777" w:rsidR="00D03468" w:rsidRPr="00B03C37" w:rsidRDefault="00D03468" w:rsidP="00D03468">
      <w:pPr>
        <w:rPr>
          <w:ins w:id="18" w:author="Author" w:date="2025-06-12T13:43:00Z" w16du:dateUtc="2025-06-12T12:43:00Z"/>
        </w:rPr>
      </w:pPr>
      <w:proofErr w:type="spellStart"/>
      <w:ins w:id="19" w:author="Author" w:date="2025-06-12T13:43:00Z" w16du:dateUtc="2025-06-12T12:43:00Z">
        <w:r w:rsidRPr="00B03C37">
          <w:t>Hermeslaan</w:t>
        </w:r>
        <w:proofErr w:type="spellEnd"/>
        <w:r w:rsidRPr="00B03C37">
          <w:t xml:space="preserve"> 11</w:t>
        </w:r>
      </w:ins>
    </w:p>
    <w:p w14:paraId="1C5B2352" w14:textId="22C33C83" w:rsidR="00AB5164" w:rsidRPr="0058432E" w:rsidDel="00D03468" w:rsidRDefault="00D03468" w:rsidP="0016465E">
      <w:pPr>
        <w:pStyle w:val="BodyText"/>
        <w:keepNext/>
        <w:widowControl/>
        <w:kinsoku w:val="0"/>
        <w:overflowPunct w:val="0"/>
        <w:ind w:left="0"/>
        <w:rPr>
          <w:del w:id="20" w:author="Author" w:date="2025-06-12T13:43:00Z" w16du:dateUtc="2025-06-12T12:43:00Z"/>
          <w:color w:val="000000" w:themeColor="text1"/>
        </w:rPr>
      </w:pPr>
      <w:ins w:id="21" w:author="Author" w:date="2025-06-12T13:43:00Z" w16du:dateUtc="2025-06-12T12:43:00Z">
        <w:r>
          <w:rPr>
            <w:color w:val="000000" w:themeColor="text1"/>
          </w:rPr>
          <w:t xml:space="preserve">1932 </w:t>
        </w:r>
      </w:ins>
      <w:del w:id="22" w:author="Author" w:date="2025-06-12T13:43:00Z" w16du:dateUtc="2025-06-12T12:43:00Z">
        <w:r w:rsidR="00AB5164" w:rsidRPr="0058432E" w:rsidDel="00D03468">
          <w:rPr>
            <w:color w:val="000000" w:themeColor="text1"/>
          </w:rPr>
          <w:delText>Hoge Wei 10</w:delText>
        </w:r>
      </w:del>
    </w:p>
    <w:p w14:paraId="6F66B10A" w14:textId="77777777" w:rsidR="00AB5164" w:rsidRPr="0058432E" w:rsidRDefault="00AB5164" w:rsidP="002B2067">
      <w:pPr>
        <w:pStyle w:val="BodyText"/>
        <w:widowControl/>
        <w:kinsoku w:val="0"/>
        <w:overflowPunct w:val="0"/>
        <w:ind w:left="0"/>
        <w:rPr>
          <w:color w:val="000000" w:themeColor="text1"/>
        </w:rPr>
      </w:pPr>
      <w:r w:rsidRPr="0058432E">
        <w:rPr>
          <w:color w:val="000000" w:themeColor="text1"/>
        </w:rPr>
        <w:t>Zaventem</w:t>
      </w:r>
      <w:del w:id="23" w:author="Author" w:date="2025-06-12T13:43:00Z" w16du:dateUtc="2025-06-12T12:43:00Z">
        <w:r w:rsidRPr="0058432E" w:rsidDel="00D03468">
          <w:rPr>
            <w:color w:val="000000" w:themeColor="text1"/>
          </w:rPr>
          <w:delText xml:space="preserve"> 1930</w:delText>
        </w:r>
      </w:del>
    </w:p>
    <w:p w14:paraId="51A2CBEF" w14:textId="77777777" w:rsidR="00AB5164" w:rsidRPr="0058432E" w:rsidRDefault="00AB5164" w:rsidP="002B2067">
      <w:pPr>
        <w:pStyle w:val="BodyText"/>
        <w:widowControl/>
        <w:kinsoku w:val="0"/>
        <w:overflowPunct w:val="0"/>
        <w:ind w:left="0"/>
        <w:rPr>
          <w:color w:val="000000" w:themeColor="text1"/>
        </w:rPr>
      </w:pPr>
      <w:r w:rsidRPr="0058432E">
        <w:rPr>
          <w:color w:val="000000" w:themeColor="text1"/>
        </w:rPr>
        <w:t>Belgique</w:t>
      </w:r>
    </w:p>
    <w:p w14:paraId="6D76810A" w14:textId="77777777" w:rsidR="00FC5A0A" w:rsidRPr="0058432E" w:rsidRDefault="00FC5A0A" w:rsidP="002B2067">
      <w:pPr>
        <w:pStyle w:val="BodyText"/>
        <w:widowControl/>
        <w:kinsoku w:val="0"/>
        <w:overflowPunct w:val="0"/>
        <w:ind w:left="0"/>
        <w:rPr>
          <w:color w:val="000000" w:themeColor="text1"/>
        </w:rPr>
      </w:pPr>
    </w:p>
    <w:p w14:paraId="76414814" w14:textId="77777777" w:rsidR="00FC5A0A" w:rsidRPr="0058432E" w:rsidRDefault="00FC5A0A" w:rsidP="002B2067">
      <w:pPr>
        <w:pStyle w:val="BodyText"/>
        <w:widowControl/>
        <w:kinsoku w:val="0"/>
        <w:overflowPunct w:val="0"/>
        <w:ind w:left="0"/>
        <w:rPr>
          <w:color w:val="000000" w:themeColor="text1"/>
        </w:rPr>
      </w:pPr>
      <w:r w:rsidRPr="0058432E">
        <w:rPr>
          <w:color w:val="000000" w:themeColor="text1"/>
        </w:rPr>
        <w:t>Pour toute information complémentaire concernant ce médicament, veuillez prendre contact avec le représentant local du titulaire de l’autorisation de mise sur le marché :</w:t>
      </w:r>
    </w:p>
    <w:p w14:paraId="41771363" w14:textId="77777777" w:rsidR="00F00C53" w:rsidRPr="0058432E" w:rsidRDefault="00F00C53" w:rsidP="002B2067">
      <w:pPr>
        <w:pStyle w:val="BodyText"/>
        <w:widowControl/>
        <w:kinsoku w:val="0"/>
        <w:overflowPunct w:val="0"/>
        <w:ind w:left="0"/>
        <w:rPr>
          <w:color w:val="000000" w:themeColor="text1"/>
        </w:rPr>
      </w:pPr>
    </w:p>
    <w:tbl>
      <w:tblPr>
        <w:tblW w:w="5000" w:type="pct"/>
        <w:tblCellMar>
          <w:left w:w="0" w:type="dxa"/>
          <w:right w:w="0" w:type="dxa"/>
        </w:tblCellMar>
        <w:tblLook w:val="04A0" w:firstRow="1" w:lastRow="0" w:firstColumn="1" w:lastColumn="0" w:noHBand="0" w:noVBand="1"/>
      </w:tblPr>
      <w:tblGrid>
        <w:gridCol w:w="4110"/>
        <w:gridCol w:w="4689"/>
        <w:gridCol w:w="276"/>
      </w:tblGrid>
      <w:tr w:rsidR="00142926" w:rsidRPr="0058432E" w14:paraId="55485185" w14:textId="77777777" w:rsidTr="00053717">
        <w:trPr>
          <w:gridAfter w:val="1"/>
          <w:wAfter w:w="285" w:type="dxa"/>
          <w:cantSplit/>
        </w:trPr>
        <w:tc>
          <w:tcPr>
            <w:tcW w:w="4158" w:type="dxa"/>
            <w:tcMar>
              <w:top w:w="0" w:type="dxa"/>
              <w:left w:w="108" w:type="dxa"/>
              <w:bottom w:w="0" w:type="dxa"/>
              <w:right w:w="108" w:type="dxa"/>
            </w:tcMar>
            <w:hideMark/>
          </w:tcPr>
          <w:p w14:paraId="102F9B01" w14:textId="77777777" w:rsidR="00142926" w:rsidRPr="0058432E" w:rsidRDefault="00142926" w:rsidP="00982118">
            <w:pPr>
              <w:rPr>
                <w:b/>
                <w:bCs/>
                <w:color w:val="000000" w:themeColor="text1"/>
              </w:rPr>
            </w:pPr>
            <w:r w:rsidRPr="0058432E">
              <w:rPr>
                <w:b/>
                <w:bCs/>
                <w:color w:val="000000" w:themeColor="text1"/>
              </w:rPr>
              <w:t>België/Belgique/Belgien</w:t>
            </w:r>
          </w:p>
          <w:p w14:paraId="0D5A2745" w14:textId="77777777" w:rsidR="00142926" w:rsidRPr="0058432E" w:rsidRDefault="00142926" w:rsidP="00982118">
            <w:pPr>
              <w:rPr>
                <w:b/>
                <w:bCs/>
                <w:color w:val="000000" w:themeColor="text1"/>
              </w:rPr>
            </w:pPr>
            <w:r w:rsidRPr="0058432E">
              <w:rPr>
                <w:b/>
                <w:bCs/>
                <w:color w:val="000000" w:themeColor="text1"/>
              </w:rPr>
              <w:t>Luxembourg/Luxemburg</w:t>
            </w:r>
          </w:p>
          <w:p w14:paraId="56A1347E" w14:textId="77777777" w:rsidR="00142926" w:rsidRPr="0058432E" w:rsidRDefault="00142926" w:rsidP="00982118">
            <w:pPr>
              <w:rPr>
                <w:color w:val="000000" w:themeColor="text1"/>
              </w:rPr>
            </w:pPr>
            <w:r w:rsidRPr="0058432E">
              <w:rPr>
                <w:color w:val="000000" w:themeColor="text1"/>
              </w:rPr>
              <w:t>Pfizer NV/SA</w:t>
            </w:r>
          </w:p>
          <w:p w14:paraId="0167A8FC" w14:textId="77777777" w:rsidR="00142926" w:rsidRPr="0058432E" w:rsidRDefault="00142926" w:rsidP="00982118">
            <w:pPr>
              <w:autoSpaceDE w:val="0"/>
              <w:autoSpaceDN w:val="0"/>
              <w:rPr>
                <w:color w:val="000000" w:themeColor="text1"/>
              </w:rPr>
            </w:pPr>
            <w:r w:rsidRPr="0058432E">
              <w:rPr>
                <w:color w:val="000000" w:themeColor="text1"/>
              </w:rPr>
              <w:t>Tél/</w:t>
            </w:r>
            <w:proofErr w:type="gramStart"/>
            <w:r w:rsidRPr="0058432E">
              <w:rPr>
                <w:color w:val="000000" w:themeColor="text1"/>
              </w:rPr>
              <w:t>Tel:</w:t>
            </w:r>
            <w:proofErr w:type="gramEnd"/>
            <w:r w:rsidRPr="0058432E">
              <w:rPr>
                <w:color w:val="000000" w:themeColor="text1"/>
              </w:rPr>
              <w:t xml:space="preserve"> +32 (0)2 554 62 11</w:t>
            </w:r>
          </w:p>
          <w:p w14:paraId="00CA6B8C"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708C7C7A" w14:textId="77777777" w:rsidR="00142926" w:rsidRPr="0058432E" w:rsidRDefault="00142926" w:rsidP="00982118">
            <w:pPr>
              <w:rPr>
                <w:b/>
                <w:bCs/>
                <w:color w:val="000000" w:themeColor="text1"/>
              </w:rPr>
            </w:pPr>
            <w:r w:rsidRPr="0058432E">
              <w:rPr>
                <w:b/>
                <w:bCs/>
                <w:color w:val="000000" w:themeColor="text1"/>
              </w:rPr>
              <w:t>Kύπρος</w:t>
            </w:r>
          </w:p>
          <w:p w14:paraId="58903683" w14:textId="77777777" w:rsidR="00142926" w:rsidRPr="0058432E" w:rsidRDefault="00142926" w:rsidP="00982118">
            <w:pPr>
              <w:rPr>
                <w:color w:val="000000" w:themeColor="text1"/>
              </w:rPr>
            </w:pPr>
            <w:r w:rsidRPr="0058432E">
              <w:rPr>
                <w:color w:val="000000" w:themeColor="text1"/>
              </w:rPr>
              <w:t>PFIZER EΛΛAΣ A.E. (CYPRUS BRANCH)</w:t>
            </w:r>
          </w:p>
          <w:p w14:paraId="2F88172F" w14:textId="77777777" w:rsidR="00142926" w:rsidRPr="0058432E" w:rsidRDefault="00FE36C9" w:rsidP="00982118">
            <w:pPr>
              <w:rPr>
                <w:color w:val="000000" w:themeColor="text1"/>
              </w:rPr>
            </w:pPr>
            <w:proofErr w:type="gramStart"/>
            <w:r w:rsidRPr="0058432E">
              <w:rPr>
                <w:color w:val="000000" w:themeColor="text1"/>
              </w:rPr>
              <w:t>Τηλ:+</w:t>
            </w:r>
            <w:proofErr w:type="gramEnd"/>
            <w:r w:rsidRPr="0058432E">
              <w:rPr>
                <w:color w:val="000000" w:themeColor="text1"/>
              </w:rPr>
              <w:t>357 22 817690</w:t>
            </w:r>
          </w:p>
          <w:p w14:paraId="12EE2684" w14:textId="77777777" w:rsidR="00142926" w:rsidRPr="0058432E" w:rsidRDefault="00142926" w:rsidP="00982118">
            <w:pPr>
              <w:autoSpaceDE w:val="0"/>
              <w:autoSpaceDN w:val="0"/>
              <w:rPr>
                <w:color w:val="000000" w:themeColor="text1"/>
              </w:rPr>
            </w:pPr>
          </w:p>
        </w:tc>
      </w:tr>
      <w:tr w:rsidR="00EB3DF8" w:rsidRPr="0058432E" w14:paraId="78E78531" w14:textId="77777777" w:rsidTr="00053717">
        <w:trPr>
          <w:cantSplit/>
        </w:trPr>
        <w:tc>
          <w:tcPr>
            <w:tcW w:w="4158" w:type="dxa"/>
            <w:tcMar>
              <w:top w:w="0" w:type="dxa"/>
              <w:left w:w="108" w:type="dxa"/>
              <w:bottom w:w="0" w:type="dxa"/>
              <w:right w:w="108" w:type="dxa"/>
            </w:tcMar>
          </w:tcPr>
          <w:p w14:paraId="4B2867F2" w14:textId="77777777" w:rsidR="00EB3DF8" w:rsidRPr="0058432E" w:rsidRDefault="00EB3DF8" w:rsidP="00982118">
            <w:pPr>
              <w:rPr>
                <w:b/>
                <w:bCs/>
                <w:color w:val="000000" w:themeColor="text1"/>
              </w:rPr>
            </w:pPr>
          </w:p>
        </w:tc>
        <w:tc>
          <w:tcPr>
            <w:tcW w:w="4788" w:type="dxa"/>
            <w:gridSpan w:val="2"/>
            <w:tcMar>
              <w:top w:w="0" w:type="dxa"/>
              <w:left w:w="108" w:type="dxa"/>
              <w:bottom w:w="0" w:type="dxa"/>
              <w:right w:w="108" w:type="dxa"/>
            </w:tcMar>
          </w:tcPr>
          <w:p w14:paraId="68289BA2" w14:textId="77777777" w:rsidR="00EB3DF8" w:rsidRPr="0058432E" w:rsidRDefault="00EB3DF8" w:rsidP="00982118">
            <w:pPr>
              <w:rPr>
                <w:b/>
                <w:bCs/>
                <w:color w:val="000000" w:themeColor="text1"/>
              </w:rPr>
            </w:pPr>
          </w:p>
        </w:tc>
      </w:tr>
      <w:tr w:rsidR="00142926" w:rsidRPr="0058432E" w14:paraId="16F7C2BC" w14:textId="77777777" w:rsidTr="00053717">
        <w:trPr>
          <w:gridAfter w:val="1"/>
          <w:wAfter w:w="285" w:type="dxa"/>
          <w:cantSplit/>
        </w:trPr>
        <w:tc>
          <w:tcPr>
            <w:tcW w:w="4158" w:type="dxa"/>
            <w:tcMar>
              <w:top w:w="0" w:type="dxa"/>
              <w:left w:w="108" w:type="dxa"/>
              <w:bottom w:w="0" w:type="dxa"/>
              <w:right w:w="108" w:type="dxa"/>
            </w:tcMar>
          </w:tcPr>
          <w:p w14:paraId="526C44AA" w14:textId="77777777" w:rsidR="00142926" w:rsidRPr="001E2FDF" w:rsidRDefault="00142926" w:rsidP="00982118">
            <w:pPr>
              <w:rPr>
                <w:b/>
                <w:bCs/>
                <w:color w:val="000000" w:themeColor="text1"/>
                <w:lang w:val="en-GB"/>
              </w:rPr>
            </w:pPr>
            <w:proofErr w:type="spellStart"/>
            <w:r w:rsidRPr="001E2FDF">
              <w:rPr>
                <w:b/>
                <w:bCs/>
                <w:color w:val="000000" w:themeColor="text1"/>
                <w:lang w:val="en-GB"/>
              </w:rPr>
              <w:t>Česká</w:t>
            </w:r>
            <w:proofErr w:type="spellEnd"/>
            <w:r w:rsidRPr="001E2FDF">
              <w:rPr>
                <w:b/>
                <w:bCs/>
                <w:color w:val="000000" w:themeColor="text1"/>
                <w:lang w:val="en-GB"/>
              </w:rPr>
              <w:t xml:space="preserve"> </w:t>
            </w:r>
            <w:proofErr w:type="spellStart"/>
            <w:r w:rsidRPr="001E2FDF">
              <w:rPr>
                <w:b/>
                <w:bCs/>
                <w:color w:val="000000" w:themeColor="text1"/>
                <w:lang w:val="en-GB"/>
              </w:rPr>
              <w:t>Republika</w:t>
            </w:r>
            <w:proofErr w:type="spellEnd"/>
          </w:p>
          <w:p w14:paraId="1E93166F" w14:textId="77777777" w:rsidR="00142926" w:rsidRPr="008444F9" w:rsidRDefault="00142926" w:rsidP="00982118">
            <w:pPr>
              <w:rPr>
                <w:color w:val="000000" w:themeColor="text1"/>
                <w:lang w:val="en-US"/>
              </w:rPr>
            </w:pPr>
            <w:r w:rsidRPr="008444F9">
              <w:rPr>
                <w:color w:val="000000" w:themeColor="text1"/>
                <w:lang w:val="en-US"/>
              </w:rPr>
              <w:t xml:space="preserve">Pfizer, </w:t>
            </w:r>
            <w:proofErr w:type="spellStart"/>
            <w:r w:rsidRPr="008444F9">
              <w:rPr>
                <w:color w:val="000000" w:themeColor="text1"/>
                <w:lang w:val="en-US"/>
              </w:rPr>
              <w:t>spol</w:t>
            </w:r>
            <w:proofErr w:type="spellEnd"/>
            <w:r w:rsidRPr="008444F9">
              <w:rPr>
                <w:color w:val="000000" w:themeColor="text1"/>
                <w:lang w:val="en-US"/>
              </w:rPr>
              <w:t>. s r.o.</w:t>
            </w:r>
          </w:p>
          <w:p w14:paraId="0BD070A7"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+420-283-004-111</w:t>
            </w:r>
          </w:p>
          <w:p w14:paraId="567E5F5A"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491CF1BC" w14:textId="77777777" w:rsidR="00142926" w:rsidRPr="0058432E" w:rsidRDefault="00142926" w:rsidP="00982118">
            <w:pPr>
              <w:rPr>
                <w:b/>
                <w:bCs/>
                <w:color w:val="000000" w:themeColor="text1"/>
              </w:rPr>
            </w:pPr>
            <w:r w:rsidRPr="0058432E">
              <w:rPr>
                <w:b/>
                <w:bCs/>
                <w:color w:val="000000" w:themeColor="text1"/>
              </w:rPr>
              <w:t>Magyarország</w:t>
            </w:r>
          </w:p>
          <w:p w14:paraId="7672A4AB" w14:textId="77777777" w:rsidR="00142926" w:rsidRPr="0058432E" w:rsidRDefault="00142926" w:rsidP="00982118">
            <w:pPr>
              <w:rPr>
                <w:color w:val="000000" w:themeColor="text1"/>
              </w:rPr>
            </w:pPr>
            <w:r w:rsidRPr="0058432E">
              <w:rPr>
                <w:color w:val="000000" w:themeColor="text1"/>
              </w:rPr>
              <w:t>Pfizer Kft.</w:t>
            </w:r>
          </w:p>
          <w:p w14:paraId="27241920"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+36 1 488 3700</w:t>
            </w:r>
          </w:p>
          <w:p w14:paraId="2EE4B4C5" w14:textId="77777777" w:rsidR="00142926" w:rsidRPr="0058432E" w:rsidRDefault="00142926" w:rsidP="00982118">
            <w:pPr>
              <w:autoSpaceDE w:val="0"/>
              <w:autoSpaceDN w:val="0"/>
              <w:rPr>
                <w:color w:val="000000" w:themeColor="text1"/>
              </w:rPr>
            </w:pPr>
          </w:p>
        </w:tc>
      </w:tr>
      <w:tr w:rsidR="00142926" w:rsidRPr="00B03C37" w14:paraId="59DC4E2D" w14:textId="77777777" w:rsidTr="00053717">
        <w:trPr>
          <w:gridAfter w:val="1"/>
          <w:wAfter w:w="285" w:type="dxa"/>
          <w:cantSplit/>
        </w:trPr>
        <w:tc>
          <w:tcPr>
            <w:tcW w:w="4158" w:type="dxa"/>
            <w:tcMar>
              <w:top w:w="0" w:type="dxa"/>
              <w:left w:w="108" w:type="dxa"/>
              <w:bottom w:w="0" w:type="dxa"/>
              <w:right w:w="108" w:type="dxa"/>
            </w:tcMar>
          </w:tcPr>
          <w:p w14:paraId="39F65F9E" w14:textId="77777777" w:rsidR="00142926" w:rsidRPr="0058432E" w:rsidRDefault="00142926" w:rsidP="00982118">
            <w:pPr>
              <w:rPr>
                <w:b/>
                <w:bCs/>
                <w:color w:val="000000" w:themeColor="text1"/>
              </w:rPr>
            </w:pPr>
            <w:r w:rsidRPr="0058432E">
              <w:rPr>
                <w:b/>
                <w:bCs/>
                <w:color w:val="000000" w:themeColor="text1"/>
              </w:rPr>
              <w:t>Danmark</w:t>
            </w:r>
          </w:p>
          <w:p w14:paraId="3BBF0884" w14:textId="77777777" w:rsidR="00142926" w:rsidRPr="0058432E" w:rsidRDefault="00142926" w:rsidP="00982118">
            <w:pPr>
              <w:rPr>
                <w:color w:val="000000" w:themeColor="text1"/>
              </w:rPr>
            </w:pPr>
            <w:r w:rsidRPr="0058432E">
              <w:rPr>
                <w:color w:val="000000" w:themeColor="text1"/>
              </w:rPr>
              <w:t>Pfizer ApS</w:t>
            </w:r>
          </w:p>
          <w:p w14:paraId="2AB67ACF" w14:textId="16CF9D14" w:rsidR="00142926" w:rsidRPr="0058432E" w:rsidRDefault="00142926" w:rsidP="00982118">
            <w:pPr>
              <w:rPr>
                <w:color w:val="000000" w:themeColor="text1"/>
              </w:rPr>
            </w:pPr>
            <w:r w:rsidRPr="0058432E">
              <w:rPr>
                <w:color w:val="000000" w:themeColor="text1"/>
              </w:rPr>
              <w:t>Tlf</w:t>
            </w:r>
            <w:proofErr w:type="gramStart"/>
            <w:r w:rsidR="00EB3DF8" w:rsidRPr="0058432E">
              <w:rPr>
                <w:color w:val="000000" w:themeColor="text1"/>
              </w:rPr>
              <w:t>.</w:t>
            </w:r>
            <w:r w:rsidRPr="0058432E">
              <w:rPr>
                <w:color w:val="000000" w:themeColor="text1"/>
              </w:rPr>
              <w:t>:</w:t>
            </w:r>
            <w:proofErr w:type="gramEnd"/>
            <w:r w:rsidRPr="0058432E">
              <w:rPr>
                <w:color w:val="000000" w:themeColor="text1"/>
              </w:rPr>
              <w:t xml:space="preserve"> +45 44 201 100</w:t>
            </w:r>
          </w:p>
          <w:p w14:paraId="35921C49"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4153E221" w14:textId="77777777" w:rsidR="00142926" w:rsidRPr="008444F9" w:rsidRDefault="00142926" w:rsidP="00982118">
            <w:pPr>
              <w:rPr>
                <w:b/>
                <w:bCs/>
                <w:color w:val="000000" w:themeColor="text1"/>
                <w:lang w:val="en-US"/>
              </w:rPr>
            </w:pPr>
            <w:r w:rsidRPr="008444F9">
              <w:rPr>
                <w:b/>
                <w:bCs/>
                <w:color w:val="000000" w:themeColor="text1"/>
                <w:lang w:val="en-US"/>
              </w:rPr>
              <w:t>Malta</w:t>
            </w:r>
          </w:p>
          <w:p w14:paraId="4A16DC03" w14:textId="77777777" w:rsidR="00142926" w:rsidRPr="008444F9" w:rsidRDefault="0078559D" w:rsidP="00982118">
            <w:pPr>
              <w:rPr>
                <w:color w:val="000000" w:themeColor="text1"/>
                <w:lang w:val="en-US"/>
              </w:rPr>
            </w:pPr>
            <w:r w:rsidRPr="008444F9">
              <w:rPr>
                <w:color w:val="000000" w:themeColor="text1"/>
                <w:lang w:val="en-US"/>
              </w:rPr>
              <w:t>Vivian Corporation Ltd.</w:t>
            </w:r>
            <w:r w:rsidR="00142926" w:rsidRPr="008444F9">
              <w:rPr>
                <w:color w:val="000000" w:themeColor="text1"/>
                <w:lang w:val="en-US"/>
              </w:rPr>
              <w:t xml:space="preserve"> </w:t>
            </w:r>
          </w:p>
          <w:p w14:paraId="6A0338A0" w14:textId="77777777" w:rsidR="00142926" w:rsidRPr="008444F9" w:rsidRDefault="00142926" w:rsidP="00982118">
            <w:pPr>
              <w:rPr>
                <w:color w:val="000000" w:themeColor="text1"/>
                <w:lang w:val="en-US"/>
              </w:rPr>
            </w:pPr>
            <w:r w:rsidRPr="008444F9">
              <w:rPr>
                <w:color w:val="000000" w:themeColor="text1"/>
                <w:lang w:val="en-US"/>
              </w:rPr>
              <w:t xml:space="preserve">Tel: </w:t>
            </w:r>
            <w:r w:rsidR="0078559D" w:rsidRPr="008444F9">
              <w:rPr>
                <w:color w:val="000000" w:themeColor="text1"/>
                <w:lang w:val="en-US"/>
              </w:rPr>
              <w:t>+356 21344610</w:t>
            </w:r>
          </w:p>
          <w:p w14:paraId="18A054A7" w14:textId="77777777" w:rsidR="00142926" w:rsidRPr="008444F9" w:rsidRDefault="00142926" w:rsidP="00982118">
            <w:pPr>
              <w:autoSpaceDE w:val="0"/>
              <w:autoSpaceDN w:val="0"/>
              <w:rPr>
                <w:color w:val="000000" w:themeColor="text1"/>
                <w:lang w:val="en-US"/>
              </w:rPr>
            </w:pPr>
          </w:p>
        </w:tc>
      </w:tr>
      <w:tr w:rsidR="00142926" w:rsidRPr="0058432E" w14:paraId="5003A2E9" w14:textId="77777777" w:rsidTr="00053717">
        <w:trPr>
          <w:gridAfter w:val="1"/>
          <w:wAfter w:w="285" w:type="dxa"/>
          <w:cantSplit/>
        </w:trPr>
        <w:tc>
          <w:tcPr>
            <w:tcW w:w="4158" w:type="dxa"/>
            <w:tcMar>
              <w:top w:w="0" w:type="dxa"/>
              <w:left w:w="108" w:type="dxa"/>
              <w:bottom w:w="0" w:type="dxa"/>
              <w:right w:w="108" w:type="dxa"/>
            </w:tcMar>
          </w:tcPr>
          <w:p w14:paraId="73B0076F" w14:textId="77777777" w:rsidR="00142926" w:rsidRPr="0058432E" w:rsidRDefault="00142926" w:rsidP="00982118">
            <w:pPr>
              <w:rPr>
                <w:b/>
                <w:color w:val="000000" w:themeColor="text1"/>
              </w:rPr>
            </w:pPr>
            <w:proofErr w:type="spellStart"/>
            <w:r w:rsidRPr="0058432E">
              <w:rPr>
                <w:b/>
                <w:color w:val="000000" w:themeColor="text1"/>
              </w:rPr>
              <w:t>Deutschland</w:t>
            </w:r>
            <w:proofErr w:type="spellEnd"/>
          </w:p>
          <w:p w14:paraId="431A2D87" w14:textId="77777777" w:rsidR="00142926" w:rsidRPr="0058432E" w:rsidRDefault="0078559D" w:rsidP="00982118">
            <w:pPr>
              <w:keepNext/>
              <w:rPr>
                <w:color w:val="000000" w:themeColor="text1"/>
              </w:rPr>
            </w:pPr>
            <w:r w:rsidRPr="0058432E">
              <w:rPr>
                <w:color w:val="000000" w:themeColor="text1"/>
              </w:rPr>
              <w:t xml:space="preserve">PFIZER PHARMA </w:t>
            </w:r>
            <w:r w:rsidR="00142926" w:rsidRPr="0058432E">
              <w:rPr>
                <w:color w:val="000000" w:themeColor="text1"/>
              </w:rPr>
              <w:t>GmbH</w:t>
            </w:r>
          </w:p>
          <w:p w14:paraId="5E5165CA" w14:textId="77777777" w:rsidR="00142926" w:rsidRPr="0058432E" w:rsidRDefault="00142926" w:rsidP="00982118">
            <w:pPr>
              <w:numPr>
                <w:ilvl w:val="12"/>
                <w:numId w:val="0"/>
              </w:numPr>
              <w:rPr>
                <w:color w:val="000000" w:themeColor="text1"/>
              </w:rPr>
            </w:pPr>
            <w:proofErr w:type="gramStart"/>
            <w:r w:rsidRPr="0058432E">
              <w:rPr>
                <w:color w:val="000000" w:themeColor="text1"/>
              </w:rPr>
              <w:t>Tel:</w:t>
            </w:r>
            <w:proofErr w:type="gramEnd"/>
            <w:r w:rsidRPr="0058432E">
              <w:rPr>
                <w:color w:val="000000" w:themeColor="text1"/>
              </w:rPr>
              <w:t xml:space="preserve"> +49 (0)</w:t>
            </w:r>
            <w:r w:rsidR="0078559D" w:rsidRPr="0058432E">
              <w:rPr>
                <w:color w:val="000000" w:themeColor="text1"/>
              </w:rPr>
              <w:t>30 550055-51000</w:t>
            </w:r>
          </w:p>
          <w:p w14:paraId="73BAD6BD"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61CD0120" w14:textId="77777777" w:rsidR="00142926" w:rsidRPr="0058432E" w:rsidRDefault="00142926" w:rsidP="00982118">
            <w:pPr>
              <w:rPr>
                <w:b/>
                <w:bCs/>
                <w:color w:val="000000" w:themeColor="text1"/>
              </w:rPr>
            </w:pPr>
            <w:r w:rsidRPr="0058432E">
              <w:rPr>
                <w:b/>
                <w:bCs/>
                <w:color w:val="000000" w:themeColor="text1"/>
              </w:rPr>
              <w:t>Nederland</w:t>
            </w:r>
          </w:p>
          <w:p w14:paraId="10B11B32" w14:textId="77777777" w:rsidR="00142926" w:rsidRPr="0058432E" w:rsidRDefault="00142926" w:rsidP="00982118">
            <w:pPr>
              <w:rPr>
                <w:color w:val="000000" w:themeColor="text1"/>
              </w:rPr>
            </w:pPr>
            <w:r w:rsidRPr="0058432E">
              <w:rPr>
                <w:color w:val="000000" w:themeColor="text1"/>
              </w:rPr>
              <w:t>Pfizer bv</w:t>
            </w:r>
          </w:p>
          <w:p w14:paraId="756CF639"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+31 (0)10 406 43 01</w:t>
            </w:r>
          </w:p>
          <w:p w14:paraId="702ED739" w14:textId="77777777" w:rsidR="00142926" w:rsidRPr="0058432E" w:rsidRDefault="00142926" w:rsidP="00982118">
            <w:pPr>
              <w:autoSpaceDE w:val="0"/>
              <w:autoSpaceDN w:val="0"/>
              <w:rPr>
                <w:color w:val="000000" w:themeColor="text1"/>
              </w:rPr>
            </w:pPr>
          </w:p>
        </w:tc>
      </w:tr>
      <w:tr w:rsidR="00142926" w:rsidRPr="0058432E" w14:paraId="34E126CA" w14:textId="77777777" w:rsidTr="00053717">
        <w:trPr>
          <w:gridAfter w:val="1"/>
          <w:wAfter w:w="285" w:type="dxa"/>
          <w:cantSplit/>
        </w:trPr>
        <w:tc>
          <w:tcPr>
            <w:tcW w:w="4158" w:type="dxa"/>
            <w:tcMar>
              <w:top w:w="0" w:type="dxa"/>
              <w:left w:w="108" w:type="dxa"/>
              <w:bottom w:w="0" w:type="dxa"/>
              <w:right w:w="108" w:type="dxa"/>
            </w:tcMar>
          </w:tcPr>
          <w:p w14:paraId="368DB291" w14:textId="77777777" w:rsidR="00142926" w:rsidRPr="0058432E" w:rsidRDefault="00142926" w:rsidP="00982118">
            <w:pPr>
              <w:rPr>
                <w:b/>
                <w:bCs/>
                <w:color w:val="000000" w:themeColor="text1"/>
              </w:rPr>
            </w:pPr>
            <w:r w:rsidRPr="0058432E">
              <w:rPr>
                <w:b/>
                <w:bCs/>
                <w:color w:val="000000" w:themeColor="text1"/>
              </w:rPr>
              <w:t>България</w:t>
            </w:r>
          </w:p>
          <w:p w14:paraId="75082A0E" w14:textId="77777777" w:rsidR="00142926" w:rsidRPr="0058432E" w:rsidRDefault="00142926" w:rsidP="00982118">
            <w:pPr>
              <w:rPr>
                <w:color w:val="000000" w:themeColor="text1"/>
              </w:rPr>
            </w:pPr>
            <w:r w:rsidRPr="0058432E">
              <w:rPr>
                <w:color w:val="000000" w:themeColor="text1"/>
              </w:rPr>
              <w:t>Пфайзер Люксембург САРЛ,</w:t>
            </w:r>
          </w:p>
          <w:p w14:paraId="554262EE" w14:textId="77777777" w:rsidR="00142926" w:rsidRPr="0058432E" w:rsidRDefault="00142926" w:rsidP="00982118">
            <w:pPr>
              <w:rPr>
                <w:color w:val="000000" w:themeColor="text1"/>
              </w:rPr>
            </w:pPr>
            <w:r w:rsidRPr="0058432E">
              <w:rPr>
                <w:color w:val="000000" w:themeColor="text1"/>
              </w:rPr>
              <w:t>Клон България</w:t>
            </w:r>
          </w:p>
          <w:p w14:paraId="6EDA2A70" w14:textId="77777777" w:rsidR="00142926" w:rsidRPr="0058432E" w:rsidRDefault="00142926" w:rsidP="00982118">
            <w:pPr>
              <w:rPr>
                <w:color w:val="000000" w:themeColor="text1"/>
              </w:rPr>
            </w:pPr>
            <w:r w:rsidRPr="0058432E">
              <w:rPr>
                <w:color w:val="000000" w:themeColor="text1"/>
              </w:rPr>
              <w:t>Te</w:t>
            </w:r>
            <w:proofErr w:type="gramStart"/>
            <w:r w:rsidRPr="0058432E">
              <w:rPr>
                <w:color w:val="000000" w:themeColor="text1"/>
              </w:rPr>
              <w:t>л:</w:t>
            </w:r>
            <w:proofErr w:type="gramEnd"/>
            <w:r w:rsidRPr="0058432E">
              <w:rPr>
                <w:color w:val="000000" w:themeColor="text1"/>
              </w:rPr>
              <w:t xml:space="preserve"> +359 2 970 4333</w:t>
            </w:r>
          </w:p>
          <w:p w14:paraId="429AECB2"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4C77329E" w14:textId="77777777" w:rsidR="00142926" w:rsidRPr="0058432E" w:rsidRDefault="00142926" w:rsidP="00982118">
            <w:pPr>
              <w:rPr>
                <w:b/>
                <w:bCs/>
                <w:color w:val="000000" w:themeColor="text1"/>
              </w:rPr>
            </w:pPr>
            <w:r w:rsidRPr="0058432E">
              <w:rPr>
                <w:b/>
                <w:bCs/>
                <w:color w:val="000000" w:themeColor="text1"/>
              </w:rPr>
              <w:t>Norge</w:t>
            </w:r>
          </w:p>
          <w:p w14:paraId="13DDBBF5" w14:textId="77777777" w:rsidR="00142926" w:rsidRPr="0058432E" w:rsidRDefault="00142926" w:rsidP="00982118">
            <w:pPr>
              <w:rPr>
                <w:color w:val="000000" w:themeColor="text1"/>
              </w:rPr>
            </w:pPr>
            <w:r w:rsidRPr="0058432E">
              <w:rPr>
                <w:color w:val="000000" w:themeColor="text1"/>
              </w:rPr>
              <w:t>Pfizer AS</w:t>
            </w:r>
          </w:p>
          <w:p w14:paraId="3C805057" w14:textId="77777777" w:rsidR="00142926" w:rsidRPr="0058432E" w:rsidRDefault="00142926" w:rsidP="00982118">
            <w:pPr>
              <w:rPr>
                <w:color w:val="000000" w:themeColor="text1"/>
              </w:rPr>
            </w:pPr>
            <w:proofErr w:type="gramStart"/>
            <w:r w:rsidRPr="0058432E">
              <w:rPr>
                <w:color w:val="000000" w:themeColor="text1"/>
              </w:rPr>
              <w:t>Tlf:</w:t>
            </w:r>
            <w:proofErr w:type="gramEnd"/>
            <w:r w:rsidRPr="0058432E">
              <w:rPr>
                <w:color w:val="000000" w:themeColor="text1"/>
              </w:rPr>
              <w:t xml:space="preserve"> +47 67 52 61 00</w:t>
            </w:r>
          </w:p>
          <w:p w14:paraId="2196E523" w14:textId="77777777" w:rsidR="00142926" w:rsidRPr="0058432E" w:rsidRDefault="00142926" w:rsidP="00982118">
            <w:pPr>
              <w:autoSpaceDE w:val="0"/>
              <w:autoSpaceDN w:val="0"/>
              <w:rPr>
                <w:color w:val="000000" w:themeColor="text1"/>
              </w:rPr>
            </w:pPr>
          </w:p>
        </w:tc>
      </w:tr>
      <w:tr w:rsidR="00142926" w:rsidRPr="0058432E" w14:paraId="3702F26C" w14:textId="77777777" w:rsidTr="00053717">
        <w:trPr>
          <w:gridAfter w:val="1"/>
          <w:wAfter w:w="285" w:type="dxa"/>
          <w:cantSplit/>
        </w:trPr>
        <w:tc>
          <w:tcPr>
            <w:tcW w:w="4158" w:type="dxa"/>
            <w:tcMar>
              <w:top w:w="0" w:type="dxa"/>
              <w:left w:w="108" w:type="dxa"/>
              <w:bottom w:w="0" w:type="dxa"/>
              <w:right w:w="108" w:type="dxa"/>
            </w:tcMar>
          </w:tcPr>
          <w:p w14:paraId="3C99DA44" w14:textId="77777777" w:rsidR="00142926" w:rsidRPr="0000463E" w:rsidRDefault="00142926" w:rsidP="00982118">
            <w:pPr>
              <w:rPr>
                <w:b/>
                <w:bCs/>
                <w:color w:val="000000" w:themeColor="text1"/>
                <w:lang w:val="pt-PT"/>
              </w:rPr>
            </w:pPr>
            <w:r w:rsidRPr="0000463E">
              <w:rPr>
                <w:b/>
                <w:bCs/>
                <w:color w:val="000000" w:themeColor="text1"/>
                <w:lang w:val="pt-PT"/>
              </w:rPr>
              <w:t>Eesti</w:t>
            </w:r>
          </w:p>
          <w:p w14:paraId="75573618" w14:textId="77777777" w:rsidR="00142926" w:rsidRPr="0000463E" w:rsidRDefault="00142926" w:rsidP="00982118">
            <w:pPr>
              <w:rPr>
                <w:color w:val="000000" w:themeColor="text1"/>
                <w:lang w:val="pt-PT"/>
              </w:rPr>
            </w:pPr>
            <w:r w:rsidRPr="0000463E">
              <w:rPr>
                <w:color w:val="000000" w:themeColor="text1"/>
                <w:lang w:val="pt-PT"/>
              </w:rPr>
              <w:t>Pfizer Luxembourg SARL Eesti filiaal</w:t>
            </w:r>
          </w:p>
          <w:p w14:paraId="2DC33D4B"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+372 666 7500</w:t>
            </w:r>
          </w:p>
          <w:p w14:paraId="3613226A"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171C10E1" w14:textId="77777777" w:rsidR="00142926" w:rsidRPr="008444F9" w:rsidRDefault="00142926" w:rsidP="00982118">
            <w:pPr>
              <w:rPr>
                <w:b/>
                <w:bCs/>
                <w:color w:val="000000" w:themeColor="text1"/>
                <w:lang w:val="en-US"/>
              </w:rPr>
            </w:pPr>
            <w:r w:rsidRPr="008444F9">
              <w:rPr>
                <w:b/>
                <w:bCs/>
                <w:color w:val="000000" w:themeColor="text1"/>
                <w:lang w:val="en-US"/>
              </w:rPr>
              <w:t>Österreich</w:t>
            </w:r>
          </w:p>
          <w:p w14:paraId="2AC04F72" w14:textId="77777777" w:rsidR="00142926" w:rsidRPr="008444F9" w:rsidRDefault="00142926" w:rsidP="00982118">
            <w:pPr>
              <w:rPr>
                <w:color w:val="000000" w:themeColor="text1"/>
                <w:lang w:val="en-US"/>
              </w:rPr>
            </w:pPr>
            <w:r w:rsidRPr="008444F9">
              <w:rPr>
                <w:color w:val="000000" w:themeColor="text1"/>
                <w:lang w:val="en-US"/>
              </w:rPr>
              <w:t>Pfizer Corporation Austria Ges.m.b.H.</w:t>
            </w:r>
          </w:p>
          <w:p w14:paraId="2EB49BBC"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+43 (0)1 521 15-0</w:t>
            </w:r>
          </w:p>
          <w:p w14:paraId="61C75489" w14:textId="77777777" w:rsidR="00142926" w:rsidRPr="0058432E" w:rsidRDefault="00142926" w:rsidP="00982118">
            <w:pPr>
              <w:autoSpaceDE w:val="0"/>
              <w:autoSpaceDN w:val="0"/>
              <w:rPr>
                <w:color w:val="000000" w:themeColor="text1"/>
              </w:rPr>
            </w:pPr>
          </w:p>
        </w:tc>
      </w:tr>
      <w:tr w:rsidR="00142926" w:rsidRPr="0058432E" w14:paraId="6F3129A9" w14:textId="77777777" w:rsidTr="00053717">
        <w:trPr>
          <w:gridAfter w:val="1"/>
          <w:wAfter w:w="285" w:type="dxa"/>
          <w:cantSplit/>
        </w:trPr>
        <w:tc>
          <w:tcPr>
            <w:tcW w:w="4158" w:type="dxa"/>
            <w:tcMar>
              <w:top w:w="0" w:type="dxa"/>
              <w:left w:w="108" w:type="dxa"/>
              <w:bottom w:w="0" w:type="dxa"/>
              <w:right w:w="108" w:type="dxa"/>
            </w:tcMar>
          </w:tcPr>
          <w:p w14:paraId="071AED3C" w14:textId="77777777" w:rsidR="00142926" w:rsidRPr="0058432E" w:rsidRDefault="00142926" w:rsidP="00982118">
            <w:pPr>
              <w:rPr>
                <w:b/>
                <w:bCs/>
                <w:color w:val="000000" w:themeColor="text1"/>
              </w:rPr>
            </w:pPr>
            <w:r w:rsidRPr="0058432E">
              <w:rPr>
                <w:b/>
                <w:bCs/>
                <w:color w:val="000000" w:themeColor="text1"/>
              </w:rPr>
              <w:lastRenderedPageBreak/>
              <w:t>Ελλάδα</w:t>
            </w:r>
          </w:p>
          <w:p w14:paraId="2F0BBBAA" w14:textId="77777777" w:rsidR="00142926" w:rsidRPr="0058432E" w:rsidRDefault="00142926" w:rsidP="00982118">
            <w:pPr>
              <w:rPr>
                <w:color w:val="000000" w:themeColor="text1"/>
              </w:rPr>
            </w:pPr>
            <w:r w:rsidRPr="0058432E">
              <w:rPr>
                <w:color w:val="000000" w:themeColor="text1"/>
              </w:rPr>
              <w:t>PFIZER EΛΛAΣ A.E.</w:t>
            </w:r>
          </w:p>
          <w:p w14:paraId="702B2A51" w14:textId="77777777" w:rsidR="00142926" w:rsidRPr="0058432E" w:rsidRDefault="00142926" w:rsidP="00982118">
            <w:pPr>
              <w:rPr>
                <w:color w:val="000000" w:themeColor="text1"/>
              </w:rPr>
            </w:pPr>
            <w:r w:rsidRPr="0058432E">
              <w:rPr>
                <w:color w:val="000000" w:themeColor="text1"/>
              </w:rPr>
              <w:t>Τηλ</w:t>
            </w:r>
            <w:proofErr w:type="gramStart"/>
            <w:r w:rsidRPr="0058432E">
              <w:rPr>
                <w:color w:val="000000" w:themeColor="text1"/>
              </w:rPr>
              <w:t>.:</w:t>
            </w:r>
            <w:proofErr w:type="gramEnd"/>
            <w:r w:rsidRPr="0058432E">
              <w:rPr>
                <w:color w:val="000000" w:themeColor="text1"/>
              </w:rPr>
              <w:t xml:space="preserve"> +30 210 67 85 800</w:t>
            </w:r>
          </w:p>
          <w:p w14:paraId="43036328"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73FFC793" w14:textId="77777777" w:rsidR="00142926" w:rsidRPr="0000463E" w:rsidRDefault="00142926" w:rsidP="00982118">
            <w:pPr>
              <w:rPr>
                <w:b/>
                <w:bCs/>
                <w:color w:val="000000" w:themeColor="text1"/>
                <w:lang w:val="pt-PT"/>
              </w:rPr>
            </w:pPr>
            <w:r w:rsidRPr="0000463E">
              <w:rPr>
                <w:b/>
                <w:bCs/>
                <w:color w:val="000000" w:themeColor="text1"/>
                <w:lang w:val="pt-PT"/>
              </w:rPr>
              <w:t>Polska</w:t>
            </w:r>
          </w:p>
          <w:p w14:paraId="36984EA2" w14:textId="77777777" w:rsidR="00142926" w:rsidRPr="0000463E" w:rsidRDefault="00142926" w:rsidP="00982118">
            <w:pPr>
              <w:rPr>
                <w:color w:val="000000" w:themeColor="text1"/>
                <w:lang w:val="pt-PT"/>
              </w:rPr>
            </w:pPr>
            <w:r w:rsidRPr="0000463E">
              <w:rPr>
                <w:color w:val="000000" w:themeColor="text1"/>
                <w:lang w:val="pt-PT"/>
              </w:rPr>
              <w:t>Pfizer Polska Sp. z o.o.</w:t>
            </w:r>
          </w:p>
          <w:p w14:paraId="0C0D7CFD" w14:textId="77777777" w:rsidR="00142926" w:rsidRPr="0058432E" w:rsidRDefault="00142926" w:rsidP="00982118">
            <w:pPr>
              <w:rPr>
                <w:color w:val="000000" w:themeColor="text1"/>
              </w:rPr>
            </w:pPr>
            <w:r w:rsidRPr="0058432E">
              <w:rPr>
                <w:color w:val="000000" w:themeColor="text1"/>
              </w:rPr>
              <w:t>Tel</w:t>
            </w:r>
            <w:proofErr w:type="gramStart"/>
            <w:r w:rsidRPr="0058432E">
              <w:rPr>
                <w:color w:val="000000" w:themeColor="text1"/>
              </w:rPr>
              <w:t>.:</w:t>
            </w:r>
            <w:proofErr w:type="gramEnd"/>
            <w:r w:rsidRPr="0058432E">
              <w:rPr>
                <w:color w:val="000000" w:themeColor="text1"/>
              </w:rPr>
              <w:t xml:space="preserve"> +48 22 335 61 00</w:t>
            </w:r>
          </w:p>
          <w:p w14:paraId="7C80AB1B" w14:textId="77777777" w:rsidR="00142926" w:rsidRPr="0058432E" w:rsidRDefault="00142926" w:rsidP="00982118">
            <w:pPr>
              <w:autoSpaceDE w:val="0"/>
              <w:autoSpaceDN w:val="0"/>
              <w:rPr>
                <w:color w:val="000000" w:themeColor="text1"/>
              </w:rPr>
            </w:pPr>
          </w:p>
        </w:tc>
      </w:tr>
      <w:tr w:rsidR="00142926" w:rsidRPr="008844CE" w14:paraId="4F034F4E" w14:textId="77777777" w:rsidTr="00053717">
        <w:trPr>
          <w:gridAfter w:val="1"/>
          <w:wAfter w:w="285" w:type="dxa"/>
          <w:cantSplit/>
        </w:trPr>
        <w:tc>
          <w:tcPr>
            <w:tcW w:w="4158" w:type="dxa"/>
            <w:tcMar>
              <w:top w:w="0" w:type="dxa"/>
              <w:left w:w="108" w:type="dxa"/>
              <w:bottom w:w="0" w:type="dxa"/>
              <w:right w:w="108" w:type="dxa"/>
            </w:tcMar>
          </w:tcPr>
          <w:p w14:paraId="4C18262A" w14:textId="77777777" w:rsidR="00142926" w:rsidRPr="0000463E" w:rsidRDefault="00142926" w:rsidP="00982118">
            <w:pPr>
              <w:rPr>
                <w:b/>
                <w:bCs/>
                <w:color w:val="000000" w:themeColor="text1"/>
                <w:lang w:val="pt-PT"/>
              </w:rPr>
            </w:pPr>
            <w:r w:rsidRPr="0000463E">
              <w:rPr>
                <w:b/>
                <w:bCs/>
                <w:color w:val="000000" w:themeColor="text1"/>
                <w:lang w:val="pt-PT"/>
              </w:rPr>
              <w:t>España</w:t>
            </w:r>
          </w:p>
          <w:p w14:paraId="557CF724" w14:textId="77777777" w:rsidR="00142926" w:rsidRPr="0000463E" w:rsidRDefault="00142926" w:rsidP="00982118">
            <w:pPr>
              <w:rPr>
                <w:color w:val="000000" w:themeColor="text1"/>
                <w:lang w:val="pt-PT"/>
              </w:rPr>
            </w:pPr>
            <w:r w:rsidRPr="0000463E">
              <w:rPr>
                <w:color w:val="000000" w:themeColor="text1"/>
                <w:lang w:val="pt-PT"/>
              </w:rPr>
              <w:t>Pfizer S.L.</w:t>
            </w:r>
          </w:p>
          <w:p w14:paraId="362210C5" w14:textId="77777777" w:rsidR="00142926" w:rsidRPr="0000463E" w:rsidRDefault="00D545B8" w:rsidP="00982118">
            <w:pPr>
              <w:rPr>
                <w:color w:val="000000" w:themeColor="text1"/>
                <w:lang w:val="pt-PT"/>
              </w:rPr>
            </w:pPr>
            <w:r w:rsidRPr="0000463E">
              <w:rPr>
                <w:color w:val="000000" w:themeColor="text1"/>
                <w:lang w:val="pt-PT"/>
              </w:rPr>
              <w:t>Tel: +34 91 490 99 00</w:t>
            </w:r>
          </w:p>
          <w:p w14:paraId="5B3D6E09" w14:textId="77777777" w:rsidR="00142926" w:rsidRPr="0000463E" w:rsidRDefault="00142926" w:rsidP="00982118">
            <w:pPr>
              <w:autoSpaceDE w:val="0"/>
              <w:autoSpaceDN w:val="0"/>
              <w:rPr>
                <w:color w:val="000000" w:themeColor="text1"/>
                <w:lang w:val="pt-PT"/>
              </w:rPr>
            </w:pPr>
          </w:p>
        </w:tc>
        <w:tc>
          <w:tcPr>
            <w:tcW w:w="4788" w:type="dxa"/>
            <w:tcMar>
              <w:top w:w="0" w:type="dxa"/>
              <w:left w:w="108" w:type="dxa"/>
              <w:bottom w:w="0" w:type="dxa"/>
              <w:right w:w="108" w:type="dxa"/>
            </w:tcMar>
          </w:tcPr>
          <w:p w14:paraId="5EB34308" w14:textId="77777777" w:rsidR="00142926" w:rsidRPr="0000463E" w:rsidRDefault="00142926" w:rsidP="00982118">
            <w:pPr>
              <w:autoSpaceDE w:val="0"/>
              <w:autoSpaceDN w:val="0"/>
              <w:rPr>
                <w:b/>
                <w:color w:val="000000" w:themeColor="text1"/>
                <w:lang w:val="pt-PT"/>
              </w:rPr>
            </w:pPr>
            <w:r w:rsidRPr="0000463E">
              <w:rPr>
                <w:b/>
                <w:color w:val="000000" w:themeColor="text1"/>
                <w:lang w:val="pt-PT"/>
              </w:rPr>
              <w:t>Portugal</w:t>
            </w:r>
          </w:p>
          <w:p w14:paraId="1E1F7C19" w14:textId="77777777" w:rsidR="00142926" w:rsidRPr="0000463E" w:rsidRDefault="00142926" w:rsidP="00982118">
            <w:pPr>
              <w:autoSpaceDE w:val="0"/>
              <w:autoSpaceDN w:val="0"/>
              <w:rPr>
                <w:color w:val="000000" w:themeColor="text1"/>
                <w:lang w:val="pt-PT"/>
              </w:rPr>
            </w:pPr>
            <w:r w:rsidRPr="0000463E">
              <w:rPr>
                <w:color w:val="000000" w:themeColor="text1"/>
                <w:lang w:val="pt-PT"/>
              </w:rPr>
              <w:t>Laboratórios Pfizer, Lda.</w:t>
            </w:r>
          </w:p>
          <w:p w14:paraId="38E89E07" w14:textId="77777777" w:rsidR="00142926" w:rsidRPr="0000463E" w:rsidRDefault="00142926" w:rsidP="00982118">
            <w:pPr>
              <w:autoSpaceDE w:val="0"/>
              <w:autoSpaceDN w:val="0"/>
              <w:rPr>
                <w:color w:val="000000" w:themeColor="text1"/>
                <w:lang w:val="pt-PT"/>
              </w:rPr>
            </w:pPr>
            <w:r w:rsidRPr="0000463E">
              <w:rPr>
                <w:color w:val="000000" w:themeColor="text1"/>
                <w:lang w:val="pt-PT"/>
              </w:rPr>
              <w:t>Tel: +351 21 423 5500</w:t>
            </w:r>
          </w:p>
        </w:tc>
      </w:tr>
      <w:tr w:rsidR="00142926" w:rsidRPr="0058432E" w14:paraId="1C20E0DB" w14:textId="77777777" w:rsidTr="00053717">
        <w:trPr>
          <w:gridAfter w:val="1"/>
          <w:wAfter w:w="285" w:type="dxa"/>
          <w:cantSplit/>
        </w:trPr>
        <w:tc>
          <w:tcPr>
            <w:tcW w:w="4158" w:type="dxa"/>
            <w:tcMar>
              <w:top w:w="0" w:type="dxa"/>
              <w:left w:w="108" w:type="dxa"/>
              <w:bottom w:w="0" w:type="dxa"/>
              <w:right w:w="108" w:type="dxa"/>
            </w:tcMar>
          </w:tcPr>
          <w:p w14:paraId="4D06383B" w14:textId="77777777" w:rsidR="00142926" w:rsidRPr="0058432E" w:rsidRDefault="00142926" w:rsidP="00982118">
            <w:pPr>
              <w:rPr>
                <w:b/>
                <w:bCs/>
                <w:color w:val="000000" w:themeColor="text1"/>
              </w:rPr>
            </w:pPr>
            <w:r w:rsidRPr="0058432E">
              <w:rPr>
                <w:b/>
                <w:bCs/>
                <w:color w:val="000000" w:themeColor="text1"/>
              </w:rPr>
              <w:t>France</w:t>
            </w:r>
          </w:p>
          <w:p w14:paraId="02A8018F" w14:textId="77777777" w:rsidR="00142926" w:rsidRPr="0058432E" w:rsidRDefault="00142926" w:rsidP="00982118">
            <w:pPr>
              <w:rPr>
                <w:color w:val="000000" w:themeColor="text1"/>
              </w:rPr>
            </w:pPr>
            <w:r w:rsidRPr="0058432E">
              <w:rPr>
                <w:color w:val="000000" w:themeColor="text1"/>
              </w:rPr>
              <w:t xml:space="preserve">Pfizer </w:t>
            </w:r>
          </w:p>
          <w:p w14:paraId="0250816D" w14:textId="77777777" w:rsidR="00142926" w:rsidRPr="0058432E" w:rsidRDefault="00142926" w:rsidP="00982118">
            <w:pPr>
              <w:rPr>
                <w:color w:val="000000" w:themeColor="text1"/>
              </w:rPr>
            </w:pPr>
            <w:proofErr w:type="gramStart"/>
            <w:r w:rsidRPr="0058432E">
              <w:rPr>
                <w:color w:val="000000" w:themeColor="text1"/>
              </w:rPr>
              <w:t>Tél:</w:t>
            </w:r>
            <w:proofErr w:type="gramEnd"/>
            <w:r w:rsidRPr="0058432E">
              <w:rPr>
                <w:color w:val="000000" w:themeColor="text1"/>
              </w:rPr>
              <w:t xml:space="preserve"> +33 (0)1 58 07 34 40</w:t>
            </w:r>
          </w:p>
          <w:p w14:paraId="6581E819" w14:textId="77777777" w:rsidR="00142926" w:rsidRPr="0058432E" w:rsidRDefault="00142926" w:rsidP="00982118">
            <w:pPr>
              <w:rPr>
                <w:color w:val="000000" w:themeColor="text1"/>
              </w:rPr>
            </w:pPr>
          </w:p>
        </w:tc>
        <w:tc>
          <w:tcPr>
            <w:tcW w:w="4788" w:type="dxa"/>
            <w:tcMar>
              <w:top w:w="0" w:type="dxa"/>
              <w:left w:w="108" w:type="dxa"/>
              <w:bottom w:w="0" w:type="dxa"/>
              <w:right w:w="108" w:type="dxa"/>
            </w:tcMar>
          </w:tcPr>
          <w:p w14:paraId="43B1EC15" w14:textId="77777777" w:rsidR="00142926" w:rsidRPr="0000463E" w:rsidRDefault="00142926" w:rsidP="00982118">
            <w:pPr>
              <w:rPr>
                <w:b/>
                <w:bCs/>
                <w:color w:val="000000" w:themeColor="text1"/>
                <w:lang w:val="pt-PT"/>
              </w:rPr>
            </w:pPr>
            <w:r w:rsidRPr="0000463E">
              <w:rPr>
                <w:b/>
                <w:bCs/>
                <w:color w:val="000000" w:themeColor="text1"/>
                <w:lang w:val="pt-PT"/>
              </w:rPr>
              <w:t>România</w:t>
            </w:r>
          </w:p>
          <w:p w14:paraId="1BBAAE22" w14:textId="77777777" w:rsidR="00142926" w:rsidRPr="0000463E" w:rsidRDefault="00142926" w:rsidP="00982118">
            <w:pPr>
              <w:rPr>
                <w:color w:val="000000" w:themeColor="text1"/>
                <w:lang w:val="pt-PT"/>
              </w:rPr>
            </w:pPr>
            <w:r w:rsidRPr="0000463E">
              <w:rPr>
                <w:color w:val="000000" w:themeColor="text1"/>
                <w:lang w:val="pt-PT"/>
              </w:rPr>
              <w:t>Pfizer România S.R.L</w:t>
            </w:r>
          </w:p>
          <w:p w14:paraId="63B71349"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+40 (0) 21 207 28 00</w:t>
            </w:r>
          </w:p>
          <w:p w14:paraId="016BB58F" w14:textId="77777777" w:rsidR="00142926" w:rsidRPr="0058432E" w:rsidRDefault="00142926" w:rsidP="00982118">
            <w:pPr>
              <w:autoSpaceDE w:val="0"/>
              <w:autoSpaceDN w:val="0"/>
              <w:rPr>
                <w:color w:val="000000" w:themeColor="text1"/>
              </w:rPr>
            </w:pPr>
          </w:p>
        </w:tc>
      </w:tr>
      <w:tr w:rsidR="00142926" w:rsidRPr="0058432E" w14:paraId="42215C66" w14:textId="77777777" w:rsidTr="00053717">
        <w:trPr>
          <w:gridAfter w:val="1"/>
          <w:wAfter w:w="285" w:type="dxa"/>
          <w:cantSplit/>
        </w:trPr>
        <w:tc>
          <w:tcPr>
            <w:tcW w:w="4158" w:type="dxa"/>
            <w:tcMar>
              <w:top w:w="0" w:type="dxa"/>
              <w:left w:w="108" w:type="dxa"/>
              <w:bottom w:w="0" w:type="dxa"/>
              <w:right w:w="108" w:type="dxa"/>
            </w:tcMar>
          </w:tcPr>
          <w:p w14:paraId="345EE3FD" w14:textId="77777777" w:rsidR="00142926" w:rsidRPr="0000463E" w:rsidRDefault="00142926" w:rsidP="00982118">
            <w:pPr>
              <w:rPr>
                <w:b/>
                <w:bCs/>
                <w:color w:val="000000" w:themeColor="text1"/>
                <w:lang w:val="pt-PT"/>
              </w:rPr>
            </w:pPr>
            <w:r w:rsidRPr="0000463E">
              <w:rPr>
                <w:b/>
                <w:bCs/>
                <w:color w:val="000000" w:themeColor="text1"/>
                <w:lang w:val="pt-PT"/>
              </w:rPr>
              <w:t>Hrvatska</w:t>
            </w:r>
          </w:p>
          <w:p w14:paraId="375D2941" w14:textId="77777777" w:rsidR="00142926" w:rsidRPr="0000463E" w:rsidRDefault="00142926" w:rsidP="00982118">
            <w:pPr>
              <w:rPr>
                <w:color w:val="000000" w:themeColor="text1"/>
                <w:lang w:val="pt-PT"/>
              </w:rPr>
            </w:pPr>
            <w:r w:rsidRPr="0000463E">
              <w:rPr>
                <w:color w:val="000000" w:themeColor="text1"/>
                <w:lang w:val="pt-PT"/>
              </w:rPr>
              <w:t>Pfizer Croatia d.o.o.</w:t>
            </w:r>
          </w:p>
          <w:p w14:paraId="0C04779F"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+385 1 3908 777</w:t>
            </w:r>
          </w:p>
          <w:p w14:paraId="226DD832"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6B0BA9F0" w14:textId="77777777" w:rsidR="00142926" w:rsidRPr="0000463E" w:rsidRDefault="00142926" w:rsidP="00982118">
            <w:pPr>
              <w:rPr>
                <w:b/>
                <w:bCs/>
                <w:color w:val="000000" w:themeColor="text1"/>
                <w:lang w:val="pt-PT"/>
              </w:rPr>
            </w:pPr>
            <w:r w:rsidRPr="0000463E">
              <w:rPr>
                <w:b/>
                <w:bCs/>
                <w:color w:val="000000" w:themeColor="text1"/>
                <w:lang w:val="pt-PT"/>
              </w:rPr>
              <w:t>Slovenija</w:t>
            </w:r>
          </w:p>
          <w:p w14:paraId="398349BC" w14:textId="77777777" w:rsidR="00142926" w:rsidRPr="0000463E" w:rsidRDefault="00142926" w:rsidP="00982118">
            <w:pPr>
              <w:rPr>
                <w:color w:val="000000" w:themeColor="text1"/>
                <w:lang w:val="pt-PT"/>
              </w:rPr>
            </w:pPr>
            <w:r w:rsidRPr="0000463E">
              <w:rPr>
                <w:color w:val="000000" w:themeColor="text1"/>
                <w:lang w:val="pt-PT"/>
              </w:rPr>
              <w:t>Pfizer Luxembourg SARL</w:t>
            </w:r>
            <w:r w:rsidRPr="0000463E">
              <w:rPr>
                <w:i/>
                <w:iCs/>
                <w:color w:val="000000" w:themeColor="text1"/>
                <w:lang w:val="pt-PT"/>
              </w:rPr>
              <w:t xml:space="preserve">, </w:t>
            </w:r>
            <w:r w:rsidRPr="0000463E">
              <w:rPr>
                <w:color w:val="000000" w:themeColor="text1"/>
                <w:lang w:val="pt-PT"/>
              </w:rPr>
              <w:t>Pfizer, podružnica</w:t>
            </w:r>
          </w:p>
          <w:p w14:paraId="7CB07A59" w14:textId="77777777" w:rsidR="00142926" w:rsidRPr="0000463E" w:rsidRDefault="00142926" w:rsidP="00982118">
            <w:pPr>
              <w:rPr>
                <w:color w:val="000000" w:themeColor="text1"/>
                <w:lang w:val="pt-PT"/>
              </w:rPr>
            </w:pPr>
            <w:r w:rsidRPr="0000463E">
              <w:rPr>
                <w:color w:val="000000" w:themeColor="text1"/>
                <w:lang w:val="pt-PT"/>
              </w:rPr>
              <w:t>za svetovanje s področja farmacevtske</w:t>
            </w:r>
          </w:p>
          <w:p w14:paraId="1952AC5C" w14:textId="77777777" w:rsidR="00142926" w:rsidRPr="0000463E" w:rsidRDefault="00142926" w:rsidP="00982118">
            <w:pPr>
              <w:rPr>
                <w:color w:val="000000" w:themeColor="text1"/>
                <w:lang w:val="pt-PT"/>
              </w:rPr>
            </w:pPr>
            <w:r w:rsidRPr="0000463E">
              <w:rPr>
                <w:color w:val="000000" w:themeColor="text1"/>
                <w:lang w:val="pt-PT"/>
              </w:rPr>
              <w:t>dejavnosti, Ljubljana</w:t>
            </w:r>
          </w:p>
          <w:p w14:paraId="13AAFB00"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+386 (0)1 52 11 400</w:t>
            </w:r>
          </w:p>
          <w:p w14:paraId="216BDD9C" w14:textId="77777777" w:rsidR="00142926" w:rsidRPr="0058432E" w:rsidRDefault="00142926" w:rsidP="00982118">
            <w:pPr>
              <w:autoSpaceDE w:val="0"/>
              <w:autoSpaceDN w:val="0"/>
              <w:rPr>
                <w:color w:val="000000" w:themeColor="text1"/>
              </w:rPr>
            </w:pPr>
          </w:p>
        </w:tc>
      </w:tr>
      <w:tr w:rsidR="00142926" w:rsidRPr="0058432E" w14:paraId="184C175D" w14:textId="77777777" w:rsidTr="00053717">
        <w:trPr>
          <w:gridAfter w:val="1"/>
          <w:wAfter w:w="285" w:type="dxa"/>
          <w:cantSplit/>
        </w:trPr>
        <w:tc>
          <w:tcPr>
            <w:tcW w:w="4158" w:type="dxa"/>
            <w:tcMar>
              <w:top w:w="0" w:type="dxa"/>
              <w:left w:w="108" w:type="dxa"/>
              <w:bottom w:w="0" w:type="dxa"/>
              <w:right w:w="108" w:type="dxa"/>
            </w:tcMar>
          </w:tcPr>
          <w:p w14:paraId="14E28DC6" w14:textId="77777777" w:rsidR="00142926" w:rsidRPr="008444F9" w:rsidRDefault="00142926" w:rsidP="00982118">
            <w:pPr>
              <w:rPr>
                <w:b/>
                <w:bCs/>
                <w:color w:val="000000" w:themeColor="text1"/>
                <w:lang w:val="en-US"/>
              </w:rPr>
            </w:pPr>
            <w:r w:rsidRPr="008444F9">
              <w:rPr>
                <w:b/>
                <w:bCs/>
                <w:color w:val="000000" w:themeColor="text1"/>
                <w:lang w:val="en-US"/>
              </w:rPr>
              <w:t>Ireland</w:t>
            </w:r>
          </w:p>
          <w:p w14:paraId="52659ACD" w14:textId="27641E46" w:rsidR="00142926" w:rsidRPr="001005F5" w:rsidRDefault="00142926" w:rsidP="00982118">
            <w:pPr>
              <w:rPr>
                <w:lang w:val="en-GB"/>
              </w:rPr>
            </w:pPr>
            <w:r w:rsidRPr="008444F9">
              <w:rPr>
                <w:color w:val="000000" w:themeColor="text1"/>
                <w:lang w:val="en-US"/>
              </w:rPr>
              <w:t>Pfizer Healthcare Ireland</w:t>
            </w:r>
            <w:ins w:id="24" w:author="Author" w:date="2025-06-12T13:46:00Z" w16du:dateUtc="2025-06-12T12:46:00Z">
              <w:r w:rsidR="001005F5">
                <w:rPr>
                  <w:color w:val="000000" w:themeColor="text1"/>
                  <w:lang w:val="en-US"/>
                </w:rPr>
                <w:t xml:space="preserve"> </w:t>
              </w:r>
              <w:r w:rsidR="001005F5">
                <w:rPr>
                  <w:lang w:val="en-GB"/>
                </w:rPr>
                <w:t>Unlimited Company</w:t>
              </w:r>
            </w:ins>
          </w:p>
          <w:p w14:paraId="1EF09B51" w14:textId="77777777" w:rsidR="00142926" w:rsidRPr="008444F9" w:rsidRDefault="00142926" w:rsidP="00982118">
            <w:pPr>
              <w:rPr>
                <w:color w:val="000000" w:themeColor="text1"/>
                <w:lang w:val="en-US"/>
              </w:rPr>
            </w:pPr>
            <w:r w:rsidRPr="008444F9">
              <w:rPr>
                <w:color w:val="000000" w:themeColor="text1"/>
                <w:lang w:val="en-US"/>
              </w:rPr>
              <w:t>Tel: +1800 633 363 (toll free)</w:t>
            </w:r>
          </w:p>
          <w:p w14:paraId="0F833B09"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+44 (0)1304 616161</w:t>
            </w:r>
          </w:p>
          <w:p w14:paraId="387C7C1F"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1AB27F6A" w14:textId="77777777" w:rsidR="00142926" w:rsidRPr="0000463E" w:rsidRDefault="00142926" w:rsidP="00982118">
            <w:pPr>
              <w:rPr>
                <w:b/>
                <w:bCs/>
                <w:color w:val="000000" w:themeColor="text1"/>
                <w:lang w:val="pt-PT"/>
              </w:rPr>
            </w:pPr>
            <w:r w:rsidRPr="0000463E">
              <w:rPr>
                <w:b/>
                <w:bCs/>
                <w:color w:val="000000" w:themeColor="text1"/>
                <w:lang w:val="pt-PT"/>
              </w:rPr>
              <w:t>Slovenská Republika</w:t>
            </w:r>
          </w:p>
          <w:p w14:paraId="4CCECA4B" w14:textId="77777777" w:rsidR="00142926" w:rsidRPr="0000463E" w:rsidRDefault="00142926" w:rsidP="00982118">
            <w:pPr>
              <w:rPr>
                <w:color w:val="000000" w:themeColor="text1"/>
                <w:lang w:val="pt-PT"/>
              </w:rPr>
            </w:pPr>
            <w:r w:rsidRPr="0000463E">
              <w:rPr>
                <w:color w:val="000000" w:themeColor="text1"/>
                <w:lang w:val="pt-PT"/>
              </w:rPr>
              <w:t>Pfizer Luxembourg SARL, organizačná zložka</w:t>
            </w:r>
          </w:p>
          <w:p w14:paraId="34336F58"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+421 2 3355 5500</w:t>
            </w:r>
          </w:p>
          <w:p w14:paraId="3443637A" w14:textId="77777777" w:rsidR="00142926" w:rsidRPr="0058432E" w:rsidRDefault="00142926" w:rsidP="00982118">
            <w:pPr>
              <w:autoSpaceDE w:val="0"/>
              <w:autoSpaceDN w:val="0"/>
              <w:rPr>
                <w:color w:val="000000" w:themeColor="text1"/>
              </w:rPr>
            </w:pPr>
          </w:p>
        </w:tc>
      </w:tr>
      <w:tr w:rsidR="00142926" w:rsidRPr="0058432E" w14:paraId="6065342D" w14:textId="77777777" w:rsidTr="00053717">
        <w:trPr>
          <w:gridAfter w:val="1"/>
          <w:wAfter w:w="285" w:type="dxa"/>
          <w:cantSplit/>
        </w:trPr>
        <w:tc>
          <w:tcPr>
            <w:tcW w:w="4158" w:type="dxa"/>
            <w:tcMar>
              <w:top w:w="0" w:type="dxa"/>
              <w:left w:w="108" w:type="dxa"/>
              <w:bottom w:w="0" w:type="dxa"/>
              <w:right w:w="108" w:type="dxa"/>
            </w:tcMar>
          </w:tcPr>
          <w:p w14:paraId="3A290EAC" w14:textId="77777777" w:rsidR="00142926" w:rsidRPr="0058432E" w:rsidRDefault="00142926" w:rsidP="00982118">
            <w:pPr>
              <w:keepNext/>
              <w:rPr>
                <w:b/>
                <w:bCs/>
                <w:color w:val="000000" w:themeColor="text1"/>
              </w:rPr>
            </w:pPr>
            <w:r w:rsidRPr="0058432E">
              <w:rPr>
                <w:b/>
                <w:bCs/>
                <w:color w:val="000000" w:themeColor="text1"/>
              </w:rPr>
              <w:t>Ísland</w:t>
            </w:r>
          </w:p>
          <w:p w14:paraId="5424A5B0" w14:textId="77777777" w:rsidR="00142926" w:rsidRPr="0058432E" w:rsidRDefault="00142926" w:rsidP="00982118">
            <w:pPr>
              <w:keepNext/>
              <w:rPr>
                <w:color w:val="000000" w:themeColor="text1"/>
              </w:rPr>
            </w:pPr>
            <w:r w:rsidRPr="0058432E">
              <w:rPr>
                <w:color w:val="000000" w:themeColor="text1"/>
              </w:rPr>
              <w:t>Icepharma hf.</w:t>
            </w:r>
          </w:p>
          <w:p w14:paraId="1CF53C89" w14:textId="77777777" w:rsidR="00142926" w:rsidRPr="0058432E" w:rsidRDefault="00142926" w:rsidP="00982118">
            <w:pPr>
              <w:keepNext/>
              <w:rPr>
                <w:color w:val="000000" w:themeColor="text1"/>
              </w:rPr>
            </w:pPr>
            <w:proofErr w:type="gramStart"/>
            <w:r w:rsidRPr="0058432E">
              <w:rPr>
                <w:color w:val="000000" w:themeColor="text1"/>
              </w:rPr>
              <w:t>Tel:</w:t>
            </w:r>
            <w:proofErr w:type="gramEnd"/>
            <w:r w:rsidRPr="0058432E">
              <w:rPr>
                <w:color w:val="000000" w:themeColor="text1"/>
              </w:rPr>
              <w:t xml:space="preserve"> +354 540 8000</w:t>
            </w:r>
          </w:p>
          <w:p w14:paraId="07202752" w14:textId="77777777" w:rsidR="00142926" w:rsidRPr="0058432E" w:rsidRDefault="00142926" w:rsidP="00982118">
            <w:pPr>
              <w:keepNext/>
              <w:autoSpaceDE w:val="0"/>
              <w:autoSpaceDN w:val="0"/>
              <w:rPr>
                <w:color w:val="000000" w:themeColor="text1"/>
              </w:rPr>
            </w:pPr>
          </w:p>
        </w:tc>
        <w:tc>
          <w:tcPr>
            <w:tcW w:w="4788" w:type="dxa"/>
            <w:tcMar>
              <w:top w:w="0" w:type="dxa"/>
              <w:left w:w="108" w:type="dxa"/>
              <w:bottom w:w="0" w:type="dxa"/>
              <w:right w:w="108" w:type="dxa"/>
            </w:tcMar>
          </w:tcPr>
          <w:p w14:paraId="77911634" w14:textId="77777777" w:rsidR="00142926" w:rsidRPr="0058432E" w:rsidRDefault="00142926" w:rsidP="00982118">
            <w:pPr>
              <w:keepNext/>
              <w:rPr>
                <w:b/>
                <w:bCs/>
                <w:color w:val="000000" w:themeColor="text1"/>
              </w:rPr>
            </w:pPr>
            <w:r w:rsidRPr="0058432E">
              <w:rPr>
                <w:b/>
                <w:bCs/>
                <w:color w:val="000000" w:themeColor="text1"/>
              </w:rPr>
              <w:t>Suomi/Finland</w:t>
            </w:r>
          </w:p>
          <w:p w14:paraId="140DC98C" w14:textId="77777777" w:rsidR="00142926" w:rsidRPr="0058432E" w:rsidRDefault="00142926" w:rsidP="00982118">
            <w:pPr>
              <w:keepNext/>
              <w:rPr>
                <w:color w:val="000000" w:themeColor="text1"/>
              </w:rPr>
            </w:pPr>
            <w:r w:rsidRPr="0058432E">
              <w:rPr>
                <w:color w:val="000000" w:themeColor="text1"/>
              </w:rPr>
              <w:t>Pfizer Oy</w:t>
            </w:r>
          </w:p>
          <w:p w14:paraId="6FF9AEB0" w14:textId="77777777" w:rsidR="00142926" w:rsidRPr="0058432E" w:rsidRDefault="00142926" w:rsidP="00982118">
            <w:pPr>
              <w:keepNext/>
              <w:rPr>
                <w:color w:val="000000" w:themeColor="text1"/>
              </w:rPr>
            </w:pPr>
            <w:r w:rsidRPr="0058432E">
              <w:rPr>
                <w:color w:val="000000" w:themeColor="text1"/>
              </w:rPr>
              <w:t>Puh/</w:t>
            </w:r>
            <w:proofErr w:type="gramStart"/>
            <w:r w:rsidRPr="0058432E">
              <w:rPr>
                <w:color w:val="000000" w:themeColor="text1"/>
              </w:rPr>
              <w:t>Tel:</w:t>
            </w:r>
            <w:proofErr w:type="gramEnd"/>
            <w:r w:rsidRPr="0058432E">
              <w:rPr>
                <w:color w:val="000000" w:themeColor="text1"/>
              </w:rPr>
              <w:t xml:space="preserve"> +358 (0)9 430 040</w:t>
            </w:r>
          </w:p>
          <w:p w14:paraId="58AF83EE" w14:textId="77777777" w:rsidR="008444F9" w:rsidRPr="0058432E" w:rsidRDefault="008444F9" w:rsidP="00982118">
            <w:pPr>
              <w:keepNext/>
              <w:autoSpaceDE w:val="0"/>
              <w:autoSpaceDN w:val="0"/>
              <w:rPr>
                <w:color w:val="000000" w:themeColor="text1"/>
              </w:rPr>
            </w:pPr>
          </w:p>
        </w:tc>
      </w:tr>
      <w:tr w:rsidR="00142926" w:rsidRPr="0058432E" w14:paraId="13CE8F1D" w14:textId="77777777" w:rsidTr="00053717">
        <w:trPr>
          <w:gridAfter w:val="1"/>
          <w:wAfter w:w="285" w:type="dxa"/>
          <w:cantSplit/>
        </w:trPr>
        <w:tc>
          <w:tcPr>
            <w:tcW w:w="4158" w:type="dxa"/>
            <w:tcMar>
              <w:top w:w="0" w:type="dxa"/>
              <w:left w:w="108" w:type="dxa"/>
              <w:bottom w:w="0" w:type="dxa"/>
              <w:right w:w="108" w:type="dxa"/>
            </w:tcMar>
          </w:tcPr>
          <w:p w14:paraId="258F7FB6" w14:textId="77777777" w:rsidR="00142926" w:rsidRPr="0000463E" w:rsidRDefault="00142926" w:rsidP="00982118">
            <w:pPr>
              <w:rPr>
                <w:color w:val="000000" w:themeColor="text1"/>
                <w:lang w:val="pt-PT"/>
              </w:rPr>
            </w:pPr>
            <w:r w:rsidRPr="0000463E">
              <w:rPr>
                <w:b/>
                <w:bCs/>
                <w:color w:val="000000" w:themeColor="text1"/>
                <w:lang w:val="pt-PT"/>
              </w:rPr>
              <w:t>Italia</w:t>
            </w:r>
          </w:p>
          <w:p w14:paraId="0D232909" w14:textId="77777777" w:rsidR="00142926" w:rsidRPr="0000463E" w:rsidRDefault="00142926" w:rsidP="00982118">
            <w:pPr>
              <w:rPr>
                <w:color w:val="000000" w:themeColor="text1"/>
                <w:lang w:val="pt-PT"/>
              </w:rPr>
            </w:pPr>
            <w:r w:rsidRPr="0000463E">
              <w:rPr>
                <w:color w:val="000000" w:themeColor="text1"/>
                <w:lang w:val="pt-PT"/>
              </w:rPr>
              <w:t xml:space="preserve">Pfizer S.r.l. </w:t>
            </w:r>
          </w:p>
          <w:p w14:paraId="18E9EF6D"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+39 06 33 18 21</w:t>
            </w:r>
          </w:p>
          <w:p w14:paraId="6192E211" w14:textId="77777777" w:rsidR="00142926" w:rsidRPr="0058432E" w:rsidRDefault="00142926" w:rsidP="00982118">
            <w:pPr>
              <w:autoSpaceDE w:val="0"/>
              <w:autoSpaceDN w:val="0"/>
              <w:rPr>
                <w:color w:val="000000" w:themeColor="text1"/>
              </w:rPr>
            </w:pPr>
          </w:p>
        </w:tc>
        <w:tc>
          <w:tcPr>
            <w:tcW w:w="4788" w:type="dxa"/>
            <w:tcMar>
              <w:top w:w="0" w:type="dxa"/>
              <w:left w:w="108" w:type="dxa"/>
              <w:bottom w:w="0" w:type="dxa"/>
              <w:right w:w="108" w:type="dxa"/>
            </w:tcMar>
          </w:tcPr>
          <w:p w14:paraId="5AF78C3A" w14:textId="77777777" w:rsidR="00142926" w:rsidRPr="0058432E" w:rsidRDefault="00142926" w:rsidP="00982118">
            <w:pPr>
              <w:rPr>
                <w:b/>
                <w:bCs/>
                <w:color w:val="000000" w:themeColor="text1"/>
              </w:rPr>
            </w:pPr>
            <w:r w:rsidRPr="0058432E">
              <w:rPr>
                <w:b/>
                <w:bCs/>
                <w:color w:val="000000" w:themeColor="text1"/>
              </w:rPr>
              <w:t>Sverige</w:t>
            </w:r>
          </w:p>
          <w:p w14:paraId="65CB760B" w14:textId="77777777" w:rsidR="00142926" w:rsidRPr="0058432E" w:rsidRDefault="00142926" w:rsidP="00982118">
            <w:pPr>
              <w:rPr>
                <w:color w:val="000000" w:themeColor="text1"/>
              </w:rPr>
            </w:pPr>
            <w:r w:rsidRPr="0058432E">
              <w:rPr>
                <w:color w:val="000000" w:themeColor="text1"/>
              </w:rPr>
              <w:t>Pfizer AB</w:t>
            </w:r>
          </w:p>
          <w:p w14:paraId="497C7031" w14:textId="77777777" w:rsidR="00142926" w:rsidRPr="0058432E" w:rsidRDefault="00142926"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+46 (0)8 550 520 00</w:t>
            </w:r>
          </w:p>
          <w:p w14:paraId="45E8ECBB" w14:textId="77777777" w:rsidR="00142926" w:rsidRPr="0058432E" w:rsidRDefault="00142926" w:rsidP="00982118">
            <w:pPr>
              <w:autoSpaceDE w:val="0"/>
              <w:autoSpaceDN w:val="0"/>
              <w:rPr>
                <w:color w:val="000000" w:themeColor="text1"/>
              </w:rPr>
            </w:pPr>
          </w:p>
        </w:tc>
      </w:tr>
      <w:tr w:rsidR="00142926" w:rsidRPr="0058432E" w14:paraId="79B24836" w14:textId="77777777" w:rsidTr="00053717">
        <w:trPr>
          <w:gridAfter w:val="1"/>
          <w:wAfter w:w="285" w:type="dxa"/>
          <w:cantSplit/>
        </w:trPr>
        <w:tc>
          <w:tcPr>
            <w:tcW w:w="4158" w:type="dxa"/>
            <w:tcMar>
              <w:top w:w="0" w:type="dxa"/>
              <w:left w:w="108" w:type="dxa"/>
              <w:bottom w:w="0" w:type="dxa"/>
              <w:right w:w="108" w:type="dxa"/>
            </w:tcMar>
          </w:tcPr>
          <w:p w14:paraId="76550274" w14:textId="77777777" w:rsidR="00142926" w:rsidRPr="0000463E" w:rsidRDefault="00142926" w:rsidP="00982118">
            <w:pPr>
              <w:rPr>
                <w:b/>
                <w:bCs/>
                <w:color w:val="000000" w:themeColor="text1"/>
                <w:lang w:val="pt-PT"/>
              </w:rPr>
            </w:pPr>
            <w:r w:rsidRPr="0000463E">
              <w:rPr>
                <w:b/>
                <w:bCs/>
                <w:color w:val="000000" w:themeColor="text1"/>
                <w:lang w:val="pt-PT"/>
              </w:rPr>
              <w:t>Latvija</w:t>
            </w:r>
          </w:p>
          <w:p w14:paraId="364C21D0" w14:textId="77777777" w:rsidR="00142926" w:rsidRPr="0000463E" w:rsidRDefault="00142926" w:rsidP="00982118">
            <w:pPr>
              <w:rPr>
                <w:color w:val="000000" w:themeColor="text1"/>
                <w:lang w:val="pt-PT"/>
              </w:rPr>
            </w:pPr>
            <w:r w:rsidRPr="0000463E">
              <w:rPr>
                <w:color w:val="000000" w:themeColor="text1"/>
                <w:lang w:val="pt-PT"/>
              </w:rPr>
              <w:t>Pfizer Luxembourg SARL filiāle Latvijā</w:t>
            </w:r>
          </w:p>
          <w:p w14:paraId="21BA0434" w14:textId="77777777" w:rsidR="00142926" w:rsidRPr="0058432E" w:rsidRDefault="00142926" w:rsidP="00982118">
            <w:pPr>
              <w:rPr>
                <w:color w:val="000000" w:themeColor="text1"/>
              </w:rPr>
            </w:pPr>
            <w:r w:rsidRPr="0058432E">
              <w:rPr>
                <w:color w:val="000000" w:themeColor="text1"/>
              </w:rPr>
              <w:t>Tel. +371 67035775</w:t>
            </w:r>
          </w:p>
          <w:p w14:paraId="783FF7FC" w14:textId="77777777" w:rsidR="00142926" w:rsidRPr="0058432E" w:rsidRDefault="00142926" w:rsidP="00982118">
            <w:pPr>
              <w:autoSpaceDE w:val="0"/>
              <w:autoSpaceDN w:val="0"/>
              <w:rPr>
                <w:b/>
                <w:bCs/>
                <w:color w:val="000000" w:themeColor="text1"/>
              </w:rPr>
            </w:pPr>
          </w:p>
        </w:tc>
        <w:tc>
          <w:tcPr>
            <w:tcW w:w="4788" w:type="dxa"/>
            <w:tcMar>
              <w:top w:w="0" w:type="dxa"/>
              <w:left w:w="108" w:type="dxa"/>
              <w:bottom w:w="0" w:type="dxa"/>
              <w:right w:w="108" w:type="dxa"/>
            </w:tcMar>
          </w:tcPr>
          <w:p w14:paraId="4919681F" w14:textId="4564B2C2" w:rsidR="00142926" w:rsidRPr="008444F9" w:rsidDel="001005F5" w:rsidRDefault="00142926" w:rsidP="00982118">
            <w:pPr>
              <w:rPr>
                <w:del w:id="25" w:author="Author" w:date="2025-06-12T13:47:00Z" w16du:dateUtc="2025-06-12T12:47:00Z"/>
                <w:b/>
                <w:bCs/>
                <w:color w:val="000000" w:themeColor="text1"/>
                <w:lang w:val="en-US"/>
              </w:rPr>
            </w:pPr>
            <w:del w:id="26" w:author="Author" w:date="2025-06-12T13:47:00Z" w16du:dateUtc="2025-06-12T12:47:00Z">
              <w:r w:rsidRPr="008444F9" w:rsidDel="001005F5">
                <w:rPr>
                  <w:b/>
                  <w:bCs/>
                  <w:color w:val="000000" w:themeColor="text1"/>
                  <w:lang w:val="en-US"/>
                </w:rPr>
                <w:delText>United Kingdom</w:delText>
              </w:r>
              <w:r w:rsidR="007E214D" w:rsidRPr="008444F9" w:rsidDel="001005F5">
                <w:rPr>
                  <w:b/>
                  <w:bCs/>
                  <w:color w:val="000000" w:themeColor="text1"/>
                  <w:lang w:val="en-US"/>
                </w:rPr>
                <w:delText xml:space="preserve"> (Northern Ireland)</w:delText>
              </w:r>
            </w:del>
          </w:p>
          <w:p w14:paraId="6EBC448D" w14:textId="562B5832" w:rsidR="00142926" w:rsidRPr="008444F9" w:rsidDel="001005F5" w:rsidRDefault="00142926" w:rsidP="00982118">
            <w:pPr>
              <w:rPr>
                <w:del w:id="27" w:author="Author" w:date="2025-06-12T13:47:00Z" w16du:dateUtc="2025-06-12T12:47:00Z"/>
                <w:color w:val="000000" w:themeColor="text1"/>
                <w:lang w:val="en-US"/>
              </w:rPr>
            </w:pPr>
            <w:del w:id="28" w:author="Author" w:date="2025-06-12T13:47:00Z" w16du:dateUtc="2025-06-12T12:47:00Z">
              <w:r w:rsidRPr="008444F9" w:rsidDel="001005F5">
                <w:rPr>
                  <w:color w:val="000000" w:themeColor="text1"/>
                  <w:lang w:val="en-US"/>
                </w:rPr>
                <w:delText>Pfizer Limited</w:delText>
              </w:r>
            </w:del>
          </w:p>
          <w:p w14:paraId="479EC684" w14:textId="4A359D5B" w:rsidR="00142926" w:rsidRPr="0058432E" w:rsidDel="001005F5" w:rsidRDefault="00142926" w:rsidP="00982118">
            <w:pPr>
              <w:rPr>
                <w:del w:id="29" w:author="Author" w:date="2025-06-12T13:47:00Z" w16du:dateUtc="2025-06-12T12:47:00Z"/>
                <w:color w:val="000000" w:themeColor="text1"/>
              </w:rPr>
            </w:pPr>
            <w:del w:id="30" w:author="Author" w:date="2025-06-12T13:47:00Z" w16du:dateUtc="2025-06-12T12:47:00Z">
              <w:r w:rsidRPr="0058432E" w:rsidDel="001005F5">
                <w:rPr>
                  <w:color w:val="000000" w:themeColor="text1"/>
                </w:rPr>
                <w:delText>Tel: +44 (0)1304 616161</w:delText>
              </w:r>
            </w:del>
          </w:p>
          <w:p w14:paraId="31328202" w14:textId="77777777" w:rsidR="00142926" w:rsidRPr="0058432E" w:rsidRDefault="00142926">
            <w:pPr>
              <w:rPr>
                <w:b/>
                <w:bCs/>
                <w:color w:val="000000" w:themeColor="text1"/>
              </w:rPr>
              <w:pPrChange w:id="31" w:author="Author" w:date="2025-06-12T13:47:00Z" w16du:dateUtc="2025-06-12T12:47:00Z">
                <w:pPr>
                  <w:autoSpaceDE w:val="0"/>
                  <w:autoSpaceDN w:val="0"/>
                </w:pPr>
              </w:pPrChange>
            </w:pPr>
          </w:p>
        </w:tc>
      </w:tr>
      <w:tr w:rsidR="00142926" w:rsidRPr="0058432E" w14:paraId="137136DB" w14:textId="77777777" w:rsidTr="00053717">
        <w:trPr>
          <w:gridAfter w:val="1"/>
          <w:wAfter w:w="285" w:type="dxa"/>
          <w:cantSplit/>
        </w:trPr>
        <w:tc>
          <w:tcPr>
            <w:tcW w:w="4158" w:type="dxa"/>
            <w:tcMar>
              <w:top w:w="0" w:type="dxa"/>
              <w:left w:w="108" w:type="dxa"/>
              <w:bottom w:w="0" w:type="dxa"/>
              <w:right w:w="108" w:type="dxa"/>
            </w:tcMar>
            <w:hideMark/>
          </w:tcPr>
          <w:p w14:paraId="47893661" w14:textId="77777777" w:rsidR="00142926" w:rsidRPr="0000463E" w:rsidRDefault="00142926" w:rsidP="00982118">
            <w:pPr>
              <w:rPr>
                <w:b/>
                <w:bCs/>
                <w:color w:val="000000" w:themeColor="text1"/>
                <w:lang w:val="pt-PT"/>
              </w:rPr>
            </w:pPr>
            <w:r w:rsidRPr="0000463E">
              <w:rPr>
                <w:b/>
                <w:bCs/>
                <w:color w:val="000000" w:themeColor="text1"/>
                <w:lang w:val="pt-PT"/>
              </w:rPr>
              <w:t>Lietuva</w:t>
            </w:r>
          </w:p>
          <w:p w14:paraId="75F7FD54" w14:textId="77777777" w:rsidR="00142926" w:rsidRPr="0000463E" w:rsidRDefault="00142926" w:rsidP="00982118">
            <w:pPr>
              <w:rPr>
                <w:color w:val="000000" w:themeColor="text1"/>
                <w:lang w:val="pt-PT"/>
              </w:rPr>
            </w:pPr>
            <w:r w:rsidRPr="0000463E">
              <w:rPr>
                <w:color w:val="000000" w:themeColor="text1"/>
                <w:lang w:val="pt-PT"/>
              </w:rPr>
              <w:t>Pfizer Luxembourg SARL filialas Lietuvoje</w:t>
            </w:r>
          </w:p>
          <w:p w14:paraId="45BE7467" w14:textId="77777777" w:rsidR="00142926" w:rsidRPr="0058432E" w:rsidRDefault="00142926" w:rsidP="00982118">
            <w:pPr>
              <w:autoSpaceDE w:val="0"/>
              <w:autoSpaceDN w:val="0"/>
              <w:rPr>
                <w:b/>
                <w:bCs/>
                <w:color w:val="000000" w:themeColor="text1"/>
              </w:rPr>
            </w:pPr>
            <w:r w:rsidRPr="0058432E">
              <w:rPr>
                <w:color w:val="000000" w:themeColor="text1"/>
              </w:rPr>
              <w:t>Tel. +3705 2514000</w:t>
            </w:r>
          </w:p>
        </w:tc>
        <w:tc>
          <w:tcPr>
            <w:tcW w:w="4788" w:type="dxa"/>
            <w:tcMar>
              <w:top w:w="0" w:type="dxa"/>
              <w:left w:w="108" w:type="dxa"/>
              <w:bottom w:w="0" w:type="dxa"/>
              <w:right w:w="108" w:type="dxa"/>
            </w:tcMar>
          </w:tcPr>
          <w:p w14:paraId="36847B0B" w14:textId="77777777" w:rsidR="00142926" w:rsidRPr="0058432E" w:rsidRDefault="00142926" w:rsidP="00982118">
            <w:pPr>
              <w:autoSpaceDE w:val="0"/>
              <w:autoSpaceDN w:val="0"/>
              <w:rPr>
                <w:b/>
                <w:bCs/>
                <w:color w:val="000000" w:themeColor="text1"/>
              </w:rPr>
            </w:pPr>
          </w:p>
        </w:tc>
      </w:tr>
    </w:tbl>
    <w:p w14:paraId="79522B93" w14:textId="77777777" w:rsidR="00D545B8" w:rsidRPr="0058432E" w:rsidRDefault="00D545B8" w:rsidP="000E3250">
      <w:pPr>
        <w:pStyle w:val="BodyText"/>
        <w:widowControl/>
        <w:kinsoku w:val="0"/>
        <w:overflowPunct w:val="0"/>
        <w:ind w:left="0"/>
        <w:rPr>
          <w:color w:val="000000" w:themeColor="text1"/>
        </w:rPr>
      </w:pPr>
    </w:p>
    <w:p w14:paraId="605E9332" w14:textId="77777777" w:rsidR="00FC5A0A" w:rsidRPr="0058432E" w:rsidRDefault="00FC5A0A" w:rsidP="00C831C4">
      <w:pPr>
        <w:pStyle w:val="BodyText"/>
        <w:widowControl/>
        <w:kinsoku w:val="0"/>
        <w:overflowPunct w:val="0"/>
        <w:ind w:left="0"/>
        <w:rPr>
          <w:b/>
          <w:bCs/>
          <w:color w:val="000000" w:themeColor="text1"/>
        </w:rPr>
      </w:pPr>
      <w:r w:rsidRPr="0058432E">
        <w:rPr>
          <w:b/>
          <w:bCs/>
          <w:color w:val="000000" w:themeColor="text1"/>
        </w:rPr>
        <w:t>La dernière date à laquelle cette notice a été révisée est</w:t>
      </w:r>
    </w:p>
    <w:p w14:paraId="2741DB7A" w14:textId="77777777" w:rsidR="00FC5A0A" w:rsidRPr="0058432E" w:rsidRDefault="00FC5A0A" w:rsidP="000E3250">
      <w:pPr>
        <w:pStyle w:val="BodyText"/>
        <w:widowControl/>
        <w:kinsoku w:val="0"/>
        <w:overflowPunct w:val="0"/>
        <w:ind w:left="0"/>
        <w:rPr>
          <w:b/>
          <w:bCs/>
          <w:color w:val="000000" w:themeColor="text1"/>
          <w:szCs w:val="21"/>
        </w:rPr>
      </w:pPr>
    </w:p>
    <w:p w14:paraId="248DA9E5" w14:textId="1C7AE51C" w:rsidR="00FC5A0A" w:rsidRPr="0058432E" w:rsidRDefault="00FC5A0A" w:rsidP="000E3250">
      <w:pPr>
        <w:pStyle w:val="BodyText"/>
        <w:widowControl/>
        <w:kinsoku w:val="0"/>
        <w:overflowPunct w:val="0"/>
        <w:ind w:left="0"/>
        <w:rPr>
          <w:color w:val="000000" w:themeColor="text1"/>
        </w:rPr>
      </w:pPr>
      <w:r w:rsidRPr="0058432E">
        <w:rPr>
          <w:color w:val="000000" w:themeColor="text1"/>
        </w:rPr>
        <w:t xml:space="preserve">Des informations détaillées sur ce médicament sont disponibles sur le site internet de l’Agence européenne des médicaments : </w:t>
      </w:r>
      <w:hyperlink r:id="rId24" w:history="1">
        <w:hyperlink r:id="rId25" w:history="1">
          <w:r w:rsidR="00B223FD" w:rsidRPr="0058432E">
            <w:rPr>
              <w:rStyle w:val="Hyperlink"/>
            </w:rPr>
            <w:t>https://www.ema.europa.eu</w:t>
          </w:r>
        </w:hyperlink>
        <w:r w:rsidRPr="0058432E">
          <w:rPr>
            <w:rStyle w:val="Hyperlink"/>
          </w:rPr>
          <w:t>.</w:t>
        </w:r>
      </w:hyperlink>
    </w:p>
    <w:p w14:paraId="69BB701C" w14:textId="77777777" w:rsidR="00F54749" w:rsidRPr="0058432E" w:rsidRDefault="000E3250" w:rsidP="00982118">
      <w:pPr>
        <w:jc w:val="center"/>
        <w:rPr>
          <w:b/>
          <w:bCs/>
          <w:color w:val="000000" w:themeColor="text1"/>
        </w:rPr>
      </w:pPr>
      <w:r w:rsidRPr="0058432E">
        <w:rPr>
          <w:color w:val="000000" w:themeColor="text1"/>
        </w:rPr>
        <w:br w:type="page"/>
      </w:r>
      <w:r w:rsidRPr="0058432E">
        <w:rPr>
          <w:b/>
          <w:bCs/>
          <w:color w:val="000000" w:themeColor="text1"/>
        </w:rPr>
        <w:lastRenderedPageBreak/>
        <w:t xml:space="preserve">INSTRUCTIONS D’UTILISATION </w:t>
      </w:r>
    </w:p>
    <w:p w14:paraId="56C8CBAB" w14:textId="77777777" w:rsidR="00F54749" w:rsidRPr="0058432E" w:rsidRDefault="006A1144" w:rsidP="00982118">
      <w:pPr>
        <w:jc w:val="center"/>
        <w:rPr>
          <w:color w:val="000000" w:themeColor="text1"/>
        </w:rPr>
      </w:pPr>
      <w:r w:rsidRPr="0058432E">
        <w:rPr>
          <w:color w:val="000000" w:themeColor="text1"/>
        </w:rPr>
        <w:t>Amsparity (adalimumab)</w:t>
      </w:r>
    </w:p>
    <w:p w14:paraId="703A55BB" w14:textId="77777777" w:rsidR="00F54749" w:rsidRPr="0058432E" w:rsidRDefault="00F54749" w:rsidP="00982118">
      <w:pPr>
        <w:jc w:val="center"/>
        <w:rPr>
          <w:color w:val="000000" w:themeColor="text1"/>
        </w:rPr>
      </w:pPr>
      <w:r w:rsidRPr="0058432E">
        <w:rPr>
          <w:color w:val="000000" w:themeColor="text1"/>
        </w:rPr>
        <w:t>20 mg</w:t>
      </w:r>
    </w:p>
    <w:p w14:paraId="08F7D562" w14:textId="77777777" w:rsidR="00F54749" w:rsidRPr="0058432E" w:rsidRDefault="00F54749" w:rsidP="00982118">
      <w:pPr>
        <w:jc w:val="center"/>
        <w:rPr>
          <w:color w:val="000000" w:themeColor="text1"/>
        </w:rPr>
      </w:pPr>
      <w:r w:rsidRPr="0058432E">
        <w:rPr>
          <w:color w:val="000000" w:themeColor="text1"/>
        </w:rPr>
        <w:t>Seringue préremplie unidose, pour injection sous-cutanée</w:t>
      </w:r>
    </w:p>
    <w:p w14:paraId="26C1BA30" w14:textId="77777777" w:rsidR="00F54749" w:rsidRPr="0058432E" w:rsidRDefault="00F54749" w:rsidP="00982118">
      <w:pPr>
        <w:rPr>
          <w:b/>
          <w:color w:val="000000" w:themeColor="text1"/>
        </w:rPr>
      </w:pPr>
    </w:p>
    <w:p w14:paraId="71109601" w14:textId="77777777" w:rsidR="00F54749" w:rsidRPr="0058432E" w:rsidRDefault="00F54749" w:rsidP="00982118">
      <w:pPr>
        <w:rPr>
          <w:b/>
          <w:color w:val="000000" w:themeColor="text1"/>
        </w:rPr>
      </w:pPr>
      <w:r w:rsidRPr="0058432E">
        <w:rPr>
          <w:b/>
          <w:color w:val="000000" w:themeColor="text1"/>
        </w:rPr>
        <w:t xml:space="preserve">Gardez cette notice. Ces instructions expliquent, étape par étape, comment préparer et administrer une injection. </w:t>
      </w:r>
    </w:p>
    <w:p w14:paraId="2457AB03" w14:textId="77777777" w:rsidR="00F54749" w:rsidRPr="0058432E" w:rsidRDefault="00F54749" w:rsidP="00982118">
      <w:pPr>
        <w:rPr>
          <w:b/>
          <w:color w:val="000000" w:themeColor="text1"/>
        </w:rPr>
      </w:pPr>
      <w:r w:rsidRPr="0058432E">
        <w:rPr>
          <w:b/>
          <w:color w:val="000000" w:themeColor="text1"/>
        </w:rPr>
        <w:t xml:space="preserve">Conservez </w:t>
      </w:r>
      <w:r w:rsidR="002405F3" w:rsidRPr="0058432E">
        <w:rPr>
          <w:b/>
          <w:color w:val="000000" w:themeColor="text1"/>
        </w:rPr>
        <w:t xml:space="preserve">la </w:t>
      </w:r>
      <w:r w:rsidRPr="0058432E">
        <w:rPr>
          <w:b/>
          <w:color w:val="000000" w:themeColor="text1"/>
        </w:rPr>
        <w:t xml:space="preserve">seringue préremplie d’Amsparity au réfrigérateur, à une température comprise entre 2 °C et 8 °C. </w:t>
      </w:r>
    </w:p>
    <w:p w14:paraId="5248554D" w14:textId="77777777" w:rsidR="00F54749" w:rsidRPr="0058432E" w:rsidRDefault="00F54749" w:rsidP="00982118">
      <w:pPr>
        <w:rPr>
          <w:b/>
          <w:color w:val="000000" w:themeColor="text1"/>
        </w:rPr>
      </w:pPr>
      <w:r w:rsidRPr="0058432E">
        <w:rPr>
          <w:b/>
          <w:color w:val="000000" w:themeColor="text1"/>
        </w:rPr>
        <w:t>Conservez la seringue préremplie d’Amsparity dans l’emballage d’origine jusqu’à son utilisation pour la protéger des rayons directs du soleil.</w:t>
      </w:r>
    </w:p>
    <w:p w14:paraId="3BFD4231" w14:textId="77777777" w:rsidR="002405F3" w:rsidRPr="0058432E" w:rsidRDefault="002405F3" w:rsidP="00982118">
      <w:pPr>
        <w:rPr>
          <w:b/>
          <w:color w:val="000000" w:themeColor="text1"/>
        </w:rPr>
      </w:pPr>
      <w:r w:rsidRPr="0058432E">
        <w:rPr>
          <w:b/>
          <w:color w:val="000000" w:themeColor="text1"/>
        </w:rPr>
        <w:t xml:space="preserve">Si nécessaire, par exemple lorsque vous et votre enfant voyagez, vous pouvez conserver la seringue préremplie </w:t>
      </w:r>
      <w:r w:rsidR="004175F8" w:rsidRPr="0058432E">
        <w:rPr>
          <w:b/>
          <w:color w:val="000000" w:themeColor="text1"/>
        </w:rPr>
        <w:t>d’</w:t>
      </w:r>
      <w:r w:rsidRPr="0058432E">
        <w:rPr>
          <w:b/>
          <w:color w:val="000000" w:themeColor="text1"/>
        </w:rPr>
        <w:t xml:space="preserve">Amsparity à température ambiante jusqu'à 30°C </w:t>
      </w:r>
      <w:r w:rsidR="0038043D" w:rsidRPr="0058432E">
        <w:rPr>
          <w:b/>
          <w:color w:val="000000" w:themeColor="text1"/>
        </w:rPr>
        <w:t>jusqu'à</w:t>
      </w:r>
      <w:r w:rsidRPr="0058432E">
        <w:rPr>
          <w:b/>
          <w:color w:val="000000" w:themeColor="text1"/>
        </w:rPr>
        <w:t xml:space="preserve"> 30 jours.</w:t>
      </w:r>
    </w:p>
    <w:p w14:paraId="7DE115C2" w14:textId="77777777" w:rsidR="00F54749" w:rsidRPr="0058432E" w:rsidRDefault="00F54749" w:rsidP="00982118">
      <w:pPr>
        <w:rPr>
          <w:b/>
          <w:color w:val="000000" w:themeColor="text1"/>
        </w:rPr>
      </w:pPr>
      <w:r w:rsidRPr="0058432E">
        <w:rPr>
          <w:b/>
          <w:color w:val="000000" w:themeColor="text1"/>
        </w:rPr>
        <w:t>Conservez Amsparity, le matériel d’injection et les autres médicaments hors de la portée des enfants.</w:t>
      </w:r>
    </w:p>
    <w:p w14:paraId="3F0CAA03" w14:textId="77777777" w:rsidR="00F54749" w:rsidRPr="0058432E" w:rsidRDefault="006A1144" w:rsidP="00982118">
      <w:pPr>
        <w:rPr>
          <w:color w:val="000000" w:themeColor="text1"/>
        </w:rPr>
      </w:pPr>
      <w:r w:rsidRPr="0058432E">
        <w:rPr>
          <w:color w:val="000000" w:themeColor="text1"/>
        </w:rPr>
        <w:t>Amsparity</w:t>
      </w:r>
      <w:r w:rsidRPr="0058432E">
        <w:rPr>
          <w:b/>
          <w:color w:val="000000" w:themeColor="text1"/>
        </w:rPr>
        <w:t xml:space="preserve"> </w:t>
      </w:r>
      <w:r w:rsidRPr="0058432E">
        <w:rPr>
          <w:color w:val="000000" w:themeColor="text1"/>
        </w:rPr>
        <w:t>pour injection se présente comme une seringue préremplie à usage unique jetable contenant une dose unique de médicament.</w:t>
      </w:r>
    </w:p>
    <w:p w14:paraId="63E31CB7" w14:textId="77777777" w:rsidR="002405F3" w:rsidRPr="0058432E" w:rsidRDefault="002405F3" w:rsidP="002405F3">
      <w:pPr>
        <w:rPr>
          <w:color w:val="000000" w:themeColor="text1"/>
        </w:rPr>
      </w:pPr>
      <w:r w:rsidRPr="0058432E">
        <w:rPr>
          <w:b/>
          <w:color w:val="000000" w:themeColor="text1"/>
        </w:rPr>
        <w:t>N'essayez pas</w:t>
      </w:r>
      <w:r w:rsidRPr="0058432E">
        <w:rPr>
          <w:color w:val="000000" w:themeColor="text1"/>
        </w:rPr>
        <w:t xml:space="preserve"> d'injecter Amsparity à votre enfant avant d'avoir lu et compris </w:t>
      </w:r>
      <w:r w:rsidR="00BF2DC8" w:rsidRPr="0058432E">
        <w:rPr>
          <w:color w:val="000000" w:themeColor="text1"/>
        </w:rPr>
        <w:t>les instructions d’utilisation</w:t>
      </w:r>
      <w:r w:rsidRPr="0058432E">
        <w:rPr>
          <w:color w:val="000000" w:themeColor="text1"/>
        </w:rPr>
        <w:t>. Si le médecin, l'</w:t>
      </w:r>
      <w:r w:rsidR="00E5141F" w:rsidRPr="0058432E">
        <w:rPr>
          <w:color w:val="000000" w:themeColor="text1"/>
        </w:rPr>
        <w:t>infirmier/ère</w:t>
      </w:r>
      <w:r w:rsidRPr="0058432E">
        <w:rPr>
          <w:color w:val="000000" w:themeColor="text1"/>
        </w:rPr>
        <w:t xml:space="preserve"> ou le pharmacien </w:t>
      </w:r>
      <w:r w:rsidR="005942D0" w:rsidRPr="0058432E">
        <w:rPr>
          <w:color w:val="000000" w:themeColor="text1"/>
        </w:rPr>
        <w:t xml:space="preserve">de votre enfant </w:t>
      </w:r>
      <w:r w:rsidRPr="0058432E">
        <w:rPr>
          <w:color w:val="000000" w:themeColor="text1"/>
        </w:rPr>
        <w:t>décide que vous pouvez lui faire des injections d'Amsparity à la maison, vous devriez recevoir une formation sur la bonne façon de préparer et d'injecter Amsparity.</w:t>
      </w:r>
    </w:p>
    <w:p w14:paraId="1AD17A57" w14:textId="77777777" w:rsidR="002405F3" w:rsidRPr="0058432E" w:rsidRDefault="002405F3" w:rsidP="002405F3">
      <w:pPr>
        <w:rPr>
          <w:color w:val="000000" w:themeColor="text1"/>
        </w:rPr>
      </w:pPr>
      <w:r w:rsidRPr="0058432E">
        <w:rPr>
          <w:color w:val="000000" w:themeColor="text1"/>
        </w:rPr>
        <w:t>Il est également important de parler au médecin, à l'</w:t>
      </w:r>
      <w:r w:rsidR="005C7266" w:rsidRPr="0058432E">
        <w:rPr>
          <w:color w:val="000000" w:themeColor="text1"/>
        </w:rPr>
        <w:t>infirmier/ère</w:t>
      </w:r>
      <w:r w:rsidRPr="0058432E">
        <w:rPr>
          <w:color w:val="000000" w:themeColor="text1"/>
        </w:rPr>
        <w:t xml:space="preserve"> ou au pharmacien de votre enfant pour vous assurer que vous comprenez bien les instructions de dosage </w:t>
      </w:r>
      <w:r w:rsidR="00585DAF" w:rsidRPr="0058432E">
        <w:rPr>
          <w:color w:val="000000" w:themeColor="text1"/>
        </w:rPr>
        <w:t>d’</w:t>
      </w:r>
      <w:r w:rsidRPr="0058432E">
        <w:rPr>
          <w:color w:val="000000" w:themeColor="text1"/>
        </w:rPr>
        <w:t xml:space="preserve">Amsparity de votre enfant. Pour vous aider à vous rappeler quand injecter Amsparity, vous pouvez </w:t>
      </w:r>
      <w:r w:rsidR="00585DAF" w:rsidRPr="0058432E">
        <w:rPr>
          <w:color w:val="000000" w:themeColor="text1"/>
        </w:rPr>
        <w:t xml:space="preserve">l’indiquer sur </w:t>
      </w:r>
      <w:r w:rsidRPr="0058432E">
        <w:rPr>
          <w:color w:val="000000" w:themeColor="text1"/>
        </w:rPr>
        <w:t>votre calendrier à l'avance. Parlez au médecin, à l'</w:t>
      </w:r>
      <w:r w:rsidR="005D310D" w:rsidRPr="0058432E">
        <w:rPr>
          <w:color w:val="000000" w:themeColor="text1"/>
        </w:rPr>
        <w:t>infirmier/ère</w:t>
      </w:r>
      <w:r w:rsidRPr="0058432E">
        <w:rPr>
          <w:color w:val="000000" w:themeColor="text1"/>
        </w:rPr>
        <w:t xml:space="preserve"> ou au pharmacien de votre enfant si vous avez des questions sur la bonne façon d'injecter Amsparity.</w:t>
      </w:r>
    </w:p>
    <w:p w14:paraId="714F179F" w14:textId="77777777" w:rsidR="00F54749" w:rsidRPr="0058432E" w:rsidRDefault="002405F3" w:rsidP="00982118">
      <w:pPr>
        <w:rPr>
          <w:color w:val="000000" w:themeColor="text1"/>
        </w:rPr>
      </w:pPr>
      <w:r w:rsidRPr="0058432E">
        <w:rPr>
          <w:color w:val="000000" w:themeColor="text1"/>
        </w:rPr>
        <w:t>Après une formation adéquate, l'injection d'Amsparity peut être administrée par votre enfant ou par une autre personne, par exemple un membre de la famille ou un ami.</w:t>
      </w:r>
      <w:r w:rsidRPr="0058432E" w:rsidDel="002405F3">
        <w:rPr>
          <w:color w:val="000000" w:themeColor="text1"/>
        </w:rPr>
        <w:t xml:space="preserve"> </w:t>
      </w:r>
    </w:p>
    <w:p w14:paraId="024A1B90" w14:textId="77777777" w:rsidR="002953BE" w:rsidRPr="0058432E" w:rsidRDefault="002953BE" w:rsidP="00982118">
      <w:pPr>
        <w:rPr>
          <w:color w:val="000000" w:themeColor="text1"/>
        </w:rPr>
      </w:pPr>
    </w:p>
    <w:p w14:paraId="70100CE5" w14:textId="77777777" w:rsidR="00920CA5" w:rsidRPr="0058432E" w:rsidRDefault="00920CA5" w:rsidP="00982118">
      <w:pPr>
        <w:rPr>
          <w:color w:val="000000" w:themeColor="text1"/>
        </w:rPr>
      </w:pPr>
    </w:p>
    <w:p w14:paraId="32CBA621" w14:textId="77777777" w:rsidR="00F54749" w:rsidRPr="0058432E" w:rsidRDefault="00F54749" w:rsidP="00982118">
      <w:pPr>
        <w:rPr>
          <w:b/>
          <w:color w:val="000000" w:themeColor="text1"/>
        </w:rPr>
      </w:pPr>
      <w:r w:rsidRPr="0058432E">
        <w:rPr>
          <w:b/>
          <w:color w:val="000000" w:themeColor="text1"/>
        </w:rPr>
        <w:t xml:space="preserve">1. Matériel dont vous avez besoin </w:t>
      </w:r>
    </w:p>
    <w:p w14:paraId="49B110FC" w14:textId="77777777" w:rsidR="00F54749" w:rsidRPr="0058432E" w:rsidRDefault="00F54749" w:rsidP="00982118">
      <w:pPr>
        <w:jc w:val="center"/>
        <w:rPr>
          <w:color w:val="000000" w:themeColor="text1"/>
        </w:rPr>
      </w:pPr>
    </w:p>
    <w:p w14:paraId="28E57AF3" w14:textId="77777777" w:rsidR="00F54749" w:rsidRPr="0058432E" w:rsidRDefault="00F54749" w:rsidP="00053717">
      <w:pPr>
        <w:pStyle w:val="ListParagraph"/>
        <w:numPr>
          <w:ilvl w:val="0"/>
          <w:numId w:val="31"/>
        </w:numPr>
        <w:ind w:left="562" w:hanging="562"/>
        <w:contextualSpacing/>
        <w:rPr>
          <w:color w:val="000000" w:themeColor="text1"/>
        </w:rPr>
      </w:pPr>
      <w:r w:rsidRPr="0058432E">
        <w:rPr>
          <w:color w:val="000000" w:themeColor="text1"/>
        </w:rPr>
        <w:t>Pour chaque injection d’Amsparity, vous aurez besoin du matériel suivant. Trouvez une surface propre et plane sur laquelle placer le matériel.</w:t>
      </w:r>
    </w:p>
    <w:p w14:paraId="06AA893C" w14:textId="77777777" w:rsidR="00F54749" w:rsidRPr="0058432E" w:rsidRDefault="00F54749" w:rsidP="00053717">
      <w:pPr>
        <w:pStyle w:val="ListParagraph"/>
        <w:numPr>
          <w:ilvl w:val="0"/>
          <w:numId w:val="32"/>
        </w:numPr>
        <w:ind w:left="1124" w:hanging="562"/>
        <w:contextualSpacing/>
        <w:rPr>
          <w:color w:val="000000" w:themeColor="text1"/>
        </w:rPr>
      </w:pPr>
      <w:r w:rsidRPr="0058432E">
        <w:rPr>
          <w:color w:val="000000" w:themeColor="text1"/>
        </w:rPr>
        <w:t>1 seringue préremplie d’Amsparity dans un plateau, à l’intérieur de la boîte</w:t>
      </w:r>
    </w:p>
    <w:p w14:paraId="575F64D0" w14:textId="77777777" w:rsidR="00F54749" w:rsidRPr="0058432E" w:rsidRDefault="00F54749" w:rsidP="00053717">
      <w:pPr>
        <w:pStyle w:val="ListParagraph"/>
        <w:numPr>
          <w:ilvl w:val="0"/>
          <w:numId w:val="32"/>
        </w:numPr>
        <w:ind w:left="1124" w:hanging="562"/>
        <w:contextualSpacing/>
        <w:rPr>
          <w:color w:val="000000" w:themeColor="text1"/>
        </w:rPr>
      </w:pPr>
      <w:r w:rsidRPr="0058432E">
        <w:rPr>
          <w:color w:val="000000" w:themeColor="text1"/>
        </w:rPr>
        <w:t>1 tampon d’alcool, à l’intérieur de la boîte</w:t>
      </w:r>
    </w:p>
    <w:p w14:paraId="01AB6B3D" w14:textId="77777777" w:rsidR="00F54749" w:rsidRPr="0058432E" w:rsidRDefault="00F54749" w:rsidP="00053717">
      <w:pPr>
        <w:pStyle w:val="ListParagraph"/>
        <w:numPr>
          <w:ilvl w:val="0"/>
          <w:numId w:val="32"/>
        </w:numPr>
        <w:ind w:left="1124" w:hanging="562"/>
        <w:contextualSpacing/>
        <w:rPr>
          <w:color w:val="000000" w:themeColor="text1"/>
        </w:rPr>
      </w:pPr>
      <w:r w:rsidRPr="0058432E">
        <w:rPr>
          <w:color w:val="000000" w:themeColor="text1"/>
        </w:rPr>
        <w:t xml:space="preserve">1 boule de coton ou compresse (non incluse dans </w:t>
      </w:r>
      <w:r w:rsidR="008A3866" w:rsidRPr="0058432E">
        <w:rPr>
          <w:color w:val="000000" w:themeColor="text1"/>
        </w:rPr>
        <w:t>la</w:t>
      </w:r>
      <w:r w:rsidRPr="0058432E">
        <w:rPr>
          <w:color w:val="000000" w:themeColor="text1"/>
        </w:rPr>
        <w:t xml:space="preserve"> boîte Amsparity)</w:t>
      </w:r>
    </w:p>
    <w:p w14:paraId="283DB750" w14:textId="77777777" w:rsidR="00F54749" w:rsidRPr="0058432E" w:rsidRDefault="00F54749" w:rsidP="00053717">
      <w:pPr>
        <w:pStyle w:val="ListParagraph"/>
        <w:numPr>
          <w:ilvl w:val="0"/>
          <w:numId w:val="32"/>
        </w:numPr>
        <w:ind w:left="1124" w:hanging="562"/>
        <w:contextualSpacing/>
        <w:rPr>
          <w:color w:val="000000" w:themeColor="text1"/>
        </w:rPr>
      </w:pPr>
      <w:r w:rsidRPr="0058432E">
        <w:rPr>
          <w:color w:val="000000" w:themeColor="text1"/>
        </w:rPr>
        <w:t xml:space="preserve">Un réceptacle destiné aux objets tranchants et pointus approprié (non inclus dans </w:t>
      </w:r>
      <w:r w:rsidR="008A3866" w:rsidRPr="0058432E">
        <w:rPr>
          <w:color w:val="000000" w:themeColor="text1"/>
        </w:rPr>
        <w:t>la</w:t>
      </w:r>
      <w:r w:rsidRPr="0058432E">
        <w:rPr>
          <w:color w:val="000000" w:themeColor="text1"/>
        </w:rPr>
        <w:t xml:space="preserve"> boîte Amsparity).</w:t>
      </w:r>
    </w:p>
    <w:p w14:paraId="62AE3BB9" w14:textId="77777777" w:rsidR="00E129C1" w:rsidRPr="0058432E" w:rsidRDefault="008A3866" w:rsidP="008A3866">
      <w:pPr>
        <w:ind w:left="562"/>
        <w:rPr>
          <w:color w:val="000000" w:themeColor="text1"/>
        </w:rPr>
      </w:pPr>
      <w:r w:rsidRPr="0058432E">
        <w:rPr>
          <w:b/>
          <w:color w:val="000000" w:themeColor="text1"/>
        </w:rPr>
        <w:t xml:space="preserve">Important </w:t>
      </w:r>
      <w:r w:rsidRPr="0058432E">
        <w:rPr>
          <w:color w:val="000000" w:themeColor="text1"/>
        </w:rPr>
        <w:t xml:space="preserve">: Si vous avez des questions </w:t>
      </w:r>
      <w:r w:rsidR="00AD4C85" w:rsidRPr="0058432E">
        <w:rPr>
          <w:color w:val="000000" w:themeColor="text1"/>
        </w:rPr>
        <w:t>sur</w:t>
      </w:r>
      <w:r w:rsidRPr="0058432E">
        <w:rPr>
          <w:color w:val="000000" w:themeColor="text1"/>
        </w:rPr>
        <w:t xml:space="preserve"> la seringue préremplie ou </w:t>
      </w:r>
      <w:r w:rsidR="00AD4C85" w:rsidRPr="0058432E">
        <w:rPr>
          <w:color w:val="000000" w:themeColor="text1"/>
        </w:rPr>
        <w:t>s</w:t>
      </w:r>
      <w:r w:rsidRPr="0058432E">
        <w:rPr>
          <w:color w:val="000000" w:themeColor="text1"/>
        </w:rPr>
        <w:t>u</w:t>
      </w:r>
      <w:r w:rsidR="00AD4C85" w:rsidRPr="0058432E">
        <w:rPr>
          <w:color w:val="000000" w:themeColor="text1"/>
        </w:rPr>
        <w:t>r</w:t>
      </w:r>
      <w:r w:rsidRPr="0058432E">
        <w:rPr>
          <w:color w:val="000000" w:themeColor="text1"/>
        </w:rPr>
        <w:t xml:space="preserve"> </w:t>
      </w:r>
      <w:r w:rsidR="00AD4C85" w:rsidRPr="0058432E">
        <w:rPr>
          <w:color w:val="000000" w:themeColor="text1"/>
        </w:rPr>
        <w:t xml:space="preserve">le </w:t>
      </w:r>
      <w:r w:rsidRPr="0058432E">
        <w:rPr>
          <w:color w:val="000000" w:themeColor="text1"/>
        </w:rPr>
        <w:t>médicament Amsparity de votre enfant, parlez-en au médecin, à l'</w:t>
      </w:r>
      <w:r w:rsidR="0093388F" w:rsidRPr="0058432E">
        <w:rPr>
          <w:color w:val="000000" w:themeColor="text1"/>
        </w:rPr>
        <w:t>infirmier/ère</w:t>
      </w:r>
      <w:r w:rsidRPr="0058432E">
        <w:rPr>
          <w:color w:val="000000" w:themeColor="text1"/>
        </w:rPr>
        <w:t xml:space="preserve"> ou au pharmacien de votre enfant.</w:t>
      </w:r>
    </w:p>
    <w:p w14:paraId="513619DF" w14:textId="5FAFC8A7" w:rsidR="00AD4C85" w:rsidRPr="0058432E" w:rsidRDefault="009D65D0" w:rsidP="00A53E17">
      <w:pPr>
        <w:ind w:left="562"/>
        <w:rPr>
          <w:color w:val="000000" w:themeColor="text1"/>
        </w:rPr>
      </w:pPr>
      <w:r w:rsidRPr="0058432E">
        <w:rPr>
          <w:noProof/>
          <w:color w:val="000000" w:themeColor="text1"/>
        </w:rPr>
        <w:lastRenderedPageBreak/>
        <mc:AlternateContent>
          <mc:Choice Requires="wps">
            <w:drawing>
              <wp:anchor distT="0" distB="0" distL="114300" distR="114300" simplePos="0" relativeHeight="251680256" behindDoc="0" locked="0" layoutInCell="1" allowOverlap="1" wp14:anchorId="70F4F695" wp14:editId="3397C00F">
                <wp:simplePos x="0" y="0"/>
                <wp:positionH relativeFrom="column">
                  <wp:posOffset>3381375</wp:posOffset>
                </wp:positionH>
                <wp:positionV relativeFrom="paragraph">
                  <wp:posOffset>951865</wp:posOffset>
                </wp:positionV>
                <wp:extent cx="1480820" cy="254635"/>
                <wp:effectExtent l="0" t="0" r="0" b="0"/>
                <wp:wrapNone/>
                <wp:docPr id="103" name="Zone de text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0820" cy="254635"/>
                        </a:xfrm>
                        <a:prstGeom prst="rect">
                          <a:avLst/>
                        </a:prstGeom>
                        <a:solidFill>
                          <a:sysClr val="window" lastClr="FFFFFF"/>
                        </a:solidFill>
                        <a:ln w="6350">
                          <a:noFill/>
                        </a:ln>
                      </wps:spPr>
                      <wps:txbx>
                        <w:txbxContent>
                          <w:p w14:paraId="04780F0D" w14:textId="77777777" w:rsidR="009A26D2" w:rsidRPr="00A53E17" w:rsidRDefault="009A26D2" w:rsidP="00AD4C85">
                            <w:pPr>
                              <w:rPr>
                                <w:sz w:val="20"/>
                                <w:szCs w:val="16"/>
                              </w:rPr>
                            </w:pPr>
                            <w:r w:rsidRPr="00A53E17">
                              <w:rPr>
                                <w:sz w:val="20"/>
                                <w:szCs w:val="16"/>
                              </w:rPr>
                              <w:t>Date de péremption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4F695" id="Zone de texte 103" o:spid="_x0000_s1064" type="#_x0000_t202" style="position:absolute;left:0;text-align:left;margin-left:266.25pt;margin-top:74.95pt;width:116.6pt;height:20.0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" fillcolor="window" stroked="f" strokeweight=".5pt">
                <v:textbox>
                  <w:txbxContent>
                    <w:p w14:paraId="04780F0D" w14:textId="77777777" w:rsidR="009A26D2" w:rsidRPr="00A53E17" w:rsidRDefault="009A26D2" w:rsidP="00AD4C85">
                      <w:pPr>
                        <w:rPr>
                          <w:sz w:val="20"/>
                          <w:szCs w:val="16"/>
                        </w:rPr>
                      </w:pPr>
                      <w:r w:rsidRPr="00A53E17">
                        <w:rPr>
                          <w:sz w:val="20"/>
                          <w:szCs w:val="16"/>
                        </w:rPr>
                        <w:t>Date de péremption</w:t>
                      </w:r>
                    </w:p>
                  </w:txbxContent>
                </v:textbox>
              </v:shape>
            </w:pict>
          </mc:Fallback>
        </mc:AlternateContent>
      </w:r>
      <w:r w:rsidRPr="0058432E">
        <w:rPr>
          <w:noProof/>
          <w:color w:val="000000" w:themeColor="text1"/>
        </w:rPr>
        <mc:AlternateContent>
          <mc:Choice Requires="wps">
            <w:drawing>
              <wp:anchor distT="0" distB="0" distL="114300" distR="114300" simplePos="0" relativeHeight="251679232" behindDoc="0" locked="0" layoutInCell="1" allowOverlap="1" wp14:anchorId="00A49B2F" wp14:editId="5C962CF8">
                <wp:simplePos x="0" y="0"/>
                <wp:positionH relativeFrom="column">
                  <wp:posOffset>379095</wp:posOffset>
                </wp:positionH>
                <wp:positionV relativeFrom="paragraph">
                  <wp:posOffset>1971040</wp:posOffset>
                </wp:positionV>
                <wp:extent cx="984885" cy="259080"/>
                <wp:effectExtent l="0" t="0" r="0" b="0"/>
                <wp:wrapNone/>
                <wp:docPr id="79" name="Zone de text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59080"/>
                        </a:xfrm>
                        <a:prstGeom prst="rect">
                          <a:avLst/>
                        </a:prstGeom>
                        <a:solidFill>
                          <a:srgbClr val="FFFFFF"/>
                        </a:solidFill>
                        <a:ln>
                          <a:noFill/>
                        </a:ln>
                      </wps:spPr>
                      <wps:txbx>
                        <w:txbxContent>
                          <w:p w14:paraId="742A96A2" w14:textId="77777777" w:rsidR="009A26D2" w:rsidRPr="00A53E17" w:rsidRDefault="009A26D2" w:rsidP="00AD4C85">
                            <w:pPr>
                              <w:rPr>
                                <w:sz w:val="20"/>
                                <w:szCs w:val="16"/>
                              </w:rPr>
                            </w:pPr>
                            <w:r w:rsidRPr="00A53E17">
                              <w:rPr>
                                <w:sz w:val="20"/>
                                <w:szCs w:val="16"/>
                              </w:rPr>
                              <w:t xml:space="preserve">Piston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49B2F" id="Zone de texte 106" o:spid="_x0000_s1065" type="#_x0000_t202" style="position:absolute;left:0;text-align:left;margin-left:29.85pt;margin-top:155.2pt;width:77.55pt;height:20.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" stroked="f">
                <v:textbox>
                  <w:txbxContent>
                    <w:p w14:paraId="742A96A2" w14:textId="77777777" w:rsidR="009A26D2" w:rsidRPr="00A53E17" w:rsidRDefault="009A26D2" w:rsidP="00AD4C85">
                      <w:pPr>
                        <w:rPr>
                          <w:sz w:val="20"/>
                          <w:szCs w:val="16"/>
                        </w:rPr>
                      </w:pPr>
                      <w:r w:rsidRPr="00A53E17">
                        <w:rPr>
                          <w:sz w:val="20"/>
                          <w:szCs w:val="16"/>
                        </w:rPr>
                        <w:t xml:space="preserve">Piston </w:t>
                      </w:r>
                    </w:p>
                  </w:txbxContent>
                </v:textbox>
              </v:shape>
            </w:pict>
          </mc:Fallback>
        </mc:AlternateContent>
      </w:r>
      <w:r w:rsidRPr="0058432E">
        <w:rPr>
          <w:noProof/>
          <w:color w:val="000000" w:themeColor="text1"/>
        </w:rPr>
        <mc:AlternateContent>
          <mc:Choice Requires="wps">
            <w:drawing>
              <wp:anchor distT="0" distB="0" distL="114300" distR="114300" simplePos="0" relativeHeight="251678208" behindDoc="0" locked="0" layoutInCell="1" allowOverlap="1" wp14:anchorId="45E200AA" wp14:editId="39A4413A">
                <wp:simplePos x="0" y="0"/>
                <wp:positionH relativeFrom="column">
                  <wp:posOffset>3930650</wp:posOffset>
                </wp:positionH>
                <wp:positionV relativeFrom="paragraph">
                  <wp:posOffset>2319020</wp:posOffset>
                </wp:positionV>
                <wp:extent cx="1128395" cy="287655"/>
                <wp:effectExtent l="0" t="0" r="0" b="0"/>
                <wp:wrapNone/>
                <wp:docPr id="110" name="Zone de texte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287655"/>
                        </a:xfrm>
                        <a:prstGeom prst="rect">
                          <a:avLst/>
                        </a:prstGeom>
                        <a:solidFill>
                          <a:srgbClr val="FFFFFF"/>
                        </a:solidFill>
                        <a:ln>
                          <a:noFill/>
                        </a:ln>
                      </wps:spPr>
                      <wps:txbx>
                        <w:txbxContent>
                          <w:p w14:paraId="0FCA61D7" w14:textId="77777777" w:rsidR="009A26D2" w:rsidRPr="00A53E17" w:rsidRDefault="009A26D2" w:rsidP="00AD4C85">
                            <w:pPr>
                              <w:rPr>
                                <w:sz w:val="20"/>
                                <w:szCs w:val="16"/>
                              </w:rPr>
                            </w:pPr>
                            <w:r w:rsidRPr="00A53E17">
                              <w:rPr>
                                <w:sz w:val="20"/>
                                <w:szCs w:val="16"/>
                              </w:rPr>
                              <w:t xml:space="preserve">Protège-aiguille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200AA" id="Zone de texte 110" o:spid="_x0000_s1066" type="#_x0000_t202" style="position:absolute;left:0;text-align:left;margin-left:309.5pt;margin-top:182.6pt;width:88.85pt;height:22.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" stroked="f">
                <v:textbox>
                  <w:txbxContent>
                    <w:p w14:paraId="0FCA61D7" w14:textId="77777777" w:rsidR="009A26D2" w:rsidRPr="00A53E17" w:rsidRDefault="009A26D2" w:rsidP="00AD4C85">
                      <w:pPr>
                        <w:rPr>
                          <w:sz w:val="20"/>
                          <w:szCs w:val="16"/>
                        </w:rPr>
                      </w:pPr>
                      <w:r w:rsidRPr="00A53E17">
                        <w:rPr>
                          <w:sz w:val="20"/>
                          <w:szCs w:val="16"/>
                        </w:rPr>
                        <w:t xml:space="preserve">Protège-aiguille </w:t>
                      </w:r>
                    </w:p>
                  </w:txbxContent>
                </v:textbox>
              </v:shape>
            </w:pict>
          </mc:Fallback>
        </mc:AlternateContent>
      </w:r>
      <w:r w:rsidRPr="0058432E">
        <w:rPr>
          <w:noProof/>
          <w:color w:val="000000" w:themeColor="text1"/>
        </w:rPr>
        <mc:AlternateContent>
          <mc:Choice Requires="wps">
            <w:drawing>
              <wp:anchor distT="0" distB="0" distL="114300" distR="114300" simplePos="0" relativeHeight="251677184" behindDoc="0" locked="0" layoutInCell="1" allowOverlap="1" wp14:anchorId="0A404225" wp14:editId="44D4CD2B">
                <wp:simplePos x="0" y="0"/>
                <wp:positionH relativeFrom="column">
                  <wp:posOffset>2472055</wp:posOffset>
                </wp:positionH>
                <wp:positionV relativeFrom="paragraph">
                  <wp:posOffset>2258695</wp:posOffset>
                </wp:positionV>
                <wp:extent cx="794385" cy="259080"/>
                <wp:effectExtent l="0" t="0" r="0" b="0"/>
                <wp:wrapNone/>
                <wp:docPr id="109" name="Zone de texte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 cy="259080"/>
                        </a:xfrm>
                        <a:prstGeom prst="rect">
                          <a:avLst/>
                        </a:prstGeom>
                        <a:solidFill>
                          <a:srgbClr val="FFFFFF"/>
                        </a:solidFill>
                        <a:ln>
                          <a:noFill/>
                        </a:ln>
                      </wps:spPr>
                      <wps:txbx>
                        <w:txbxContent>
                          <w:p w14:paraId="54104B58" w14:textId="77777777" w:rsidR="009A26D2" w:rsidRPr="00A53E17" w:rsidRDefault="009A26D2" w:rsidP="00AD4C85">
                            <w:pPr>
                              <w:rPr>
                                <w:sz w:val="20"/>
                                <w:szCs w:val="16"/>
                              </w:rPr>
                            </w:pPr>
                            <w:r w:rsidRPr="00A53E17">
                              <w:rPr>
                                <w:sz w:val="20"/>
                                <w:szCs w:val="16"/>
                              </w:rPr>
                              <w:t xml:space="preserve">Corps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4225" id="Zone de texte 109" o:spid="_x0000_s1067" type="#_x0000_t202" style="position:absolute;left:0;text-align:left;margin-left:194.65pt;margin-top:177.85pt;width:62.55pt;height:20.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" stroked="f">
                <v:textbox>
                  <w:txbxContent>
                    <w:p w14:paraId="54104B58" w14:textId="77777777" w:rsidR="009A26D2" w:rsidRPr="00A53E17" w:rsidRDefault="009A26D2" w:rsidP="00AD4C85">
                      <w:pPr>
                        <w:rPr>
                          <w:sz w:val="20"/>
                          <w:szCs w:val="16"/>
                        </w:rPr>
                      </w:pPr>
                      <w:r w:rsidRPr="00A53E17">
                        <w:rPr>
                          <w:sz w:val="20"/>
                          <w:szCs w:val="16"/>
                        </w:rPr>
                        <w:t xml:space="preserve">Corps </w:t>
                      </w:r>
                    </w:p>
                  </w:txbxContent>
                </v:textbox>
              </v:shape>
            </w:pict>
          </mc:Fallback>
        </mc:AlternateContent>
      </w:r>
      <w:r w:rsidRPr="0058432E">
        <w:rPr>
          <w:noProof/>
          <w:color w:val="000000" w:themeColor="text1"/>
        </w:rPr>
        <mc:AlternateContent>
          <mc:Choice Requires="wps">
            <w:drawing>
              <wp:anchor distT="0" distB="0" distL="114300" distR="114300" simplePos="0" relativeHeight="251676160" behindDoc="0" locked="0" layoutInCell="1" allowOverlap="1" wp14:anchorId="5E362FD9" wp14:editId="57F61D58">
                <wp:simplePos x="0" y="0"/>
                <wp:positionH relativeFrom="column">
                  <wp:posOffset>3498850</wp:posOffset>
                </wp:positionH>
                <wp:positionV relativeFrom="paragraph">
                  <wp:posOffset>1239520</wp:posOffset>
                </wp:positionV>
                <wp:extent cx="883285" cy="257175"/>
                <wp:effectExtent l="0" t="0" r="0" b="0"/>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57175"/>
                        </a:xfrm>
                        <a:prstGeom prst="rect">
                          <a:avLst/>
                        </a:prstGeom>
                        <a:solidFill>
                          <a:srgbClr val="FFFFFF"/>
                        </a:solidFill>
                        <a:ln>
                          <a:noFill/>
                        </a:ln>
                      </wps:spPr>
                      <wps:txbx>
                        <w:txbxContent>
                          <w:p w14:paraId="4DD3625D" w14:textId="77777777" w:rsidR="009A26D2" w:rsidRPr="00A53E17" w:rsidRDefault="009A26D2" w:rsidP="00AD4C85">
                            <w:pPr>
                              <w:rPr>
                                <w:sz w:val="20"/>
                                <w:szCs w:val="16"/>
                              </w:rPr>
                            </w:pPr>
                            <w:r w:rsidRPr="00A53E17">
                              <w:rPr>
                                <w:sz w:val="20"/>
                                <w:szCs w:val="16"/>
                              </w:rPr>
                              <w:t xml:space="preserve">Fenêtre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62FD9" id="Zone de texte 93" o:spid="_x0000_s1068" type="#_x0000_t202" style="position:absolute;left:0;text-align:left;margin-left:275.5pt;margin-top:97.6pt;width:69.55pt;height:20.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" stroked="f">
                <v:textbox>
                  <w:txbxContent>
                    <w:p w14:paraId="4DD3625D" w14:textId="77777777" w:rsidR="009A26D2" w:rsidRPr="00A53E17" w:rsidRDefault="009A26D2" w:rsidP="00AD4C85">
                      <w:pPr>
                        <w:rPr>
                          <w:sz w:val="20"/>
                          <w:szCs w:val="16"/>
                        </w:rPr>
                      </w:pPr>
                      <w:r w:rsidRPr="00A53E17">
                        <w:rPr>
                          <w:sz w:val="20"/>
                          <w:szCs w:val="16"/>
                        </w:rPr>
                        <w:t xml:space="preserve">Fenêtre </w:t>
                      </w:r>
                    </w:p>
                  </w:txbxContent>
                </v:textbox>
              </v:shape>
            </w:pict>
          </mc:Fallback>
        </mc:AlternateContent>
      </w:r>
      <w:r w:rsidRPr="0058432E">
        <w:rPr>
          <w:noProof/>
          <w:color w:val="000000" w:themeColor="text1"/>
        </w:rPr>
        <mc:AlternateContent>
          <mc:Choice Requires="wps">
            <w:drawing>
              <wp:anchor distT="0" distB="0" distL="114300" distR="114300" simplePos="0" relativeHeight="251675136" behindDoc="0" locked="0" layoutInCell="1" allowOverlap="1" wp14:anchorId="5FD690B1" wp14:editId="367922A4">
                <wp:simplePos x="0" y="0"/>
                <wp:positionH relativeFrom="column">
                  <wp:posOffset>2897505</wp:posOffset>
                </wp:positionH>
                <wp:positionV relativeFrom="paragraph">
                  <wp:posOffset>407035</wp:posOffset>
                </wp:positionV>
                <wp:extent cx="931545" cy="256540"/>
                <wp:effectExtent l="0" t="0" r="0" b="0"/>
                <wp:wrapNone/>
                <wp:docPr id="78" name="Zone de text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256540"/>
                        </a:xfrm>
                        <a:prstGeom prst="rect">
                          <a:avLst/>
                        </a:prstGeom>
                        <a:solidFill>
                          <a:srgbClr val="FFFFFF"/>
                        </a:solidFill>
                        <a:ln>
                          <a:noFill/>
                        </a:ln>
                      </wps:spPr>
                      <wps:txbx>
                        <w:txbxContent>
                          <w:p w14:paraId="3563EA2B" w14:textId="77777777" w:rsidR="009A26D2" w:rsidRPr="009E6D01" w:rsidRDefault="009A26D2" w:rsidP="00AD4C85">
                            <w:pPr>
                              <w:rPr>
                                <w:sz w:val="16"/>
                                <w:szCs w:val="16"/>
                              </w:rPr>
                            </w:pPr>
                            <w:r>
                              <w:rPr>
                                <w:sz w:val="16"/>
                                <w:szCs w:val="16"/>
                              </w:rPr>
                              <w:t>AAAA/MM/AA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690B1" id="_x0000_s1069" type="#_x0000_t202" style="position:absolute;left:0;text-align:left;margin-left:228.15pt;margin-top:32.05pt;width:73.35pt;height:20.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" stroked="f">
                <v:textbox>
                  <w:txbxContent>
                    <w:p w14:paraId="3563EA2B" w14:textId="77777777" w:rsidR="009A26D2" w:rsidRPr="009E6D01" w:rsidRDefault="009A26D2" w:rsidP="00AD4C85">
                      <w:pPr>
                        <w:rPr>
                          <w:sz w:val="16"/>
                          <w:szCs w:val="16"/>
                        </w:rPr>
                      </w:pPr>
                      <w:r>
                        <w:rPr>
                          <w:sz w:val="16"/>
                          <w:szCs w:val="16"/>
                        </w:rPr>
                        <w:t>AAAA/MM/AA</w:t>
                      </w:r>
                    </w:p>
                  </w:txbxContent>
                </v:textbox>
              </v:shape>
            </w:pict>
          </mc:Fallback>
        </mc:AlternateContent>
      </w:r>
      <w:r w:rsidRPr="0058432E">
        <w:rPr>
          <w:noProof/>
          <w:color w:val="000000" w:themeColor="text1"/>
        </w:rPr>
        <w:drawing>
          <wp:inline distT="0" distB="0" distL="0" distR="0" wp14:anchorId="08C37073" wp14:editId="518C10E2">
            <wp:extent cx="4473575" cy="2574290"/>
            <wp:effectExtent l="0" t="0" r="0"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73575" cy="2574290"/>
                    </a:xfrm>
                    <a:prstGeom prst="rect">
                      <a:avLst/>
                    </a:prstGeom>
                    <a:noFill/>
                    <a:ln>
                      <a:noFill/>
                    </a:ln>
                  </pic:spPr>
                </pic:pic>
              </a:graphicData>
            </a:graphic>
          </wp:inline>
        </w:drawing>
      </w:r>
    </w:p>
    <w:p w14:paraId="238B6EE8" w14:textId="77777777" w:rsidR="00F54749" w:rsidRPr="0058432E" w:rsidRDefault="00464875" w:rsidP="00755F77">
      <w:pPr>
        <w:keepNext/>
        <w:rPr>
          <w:b/>
          <w:color w:val="000000" w:themeColor="text1"/>
        </w:rPr>
      </w:pPr>
      <w:r w:rsidRPr="0058432E">
        <w:rPr>
          <w:b/>
          <w:color w:val="000000" w:themeColor="text1"/>
        </w:rPr>
        <w:t>2. Préparation</w:t>
      </w:r>
    </w:p>
    <w:p w14:paraId="372A8D87" w14:textId="77777777" w:rsidR="00F54749" w:rsidRPr="0058432E" w:rsidRDefault="00F54749" w:rsidP="00755F77">
      <w:pPr>
        <w:keepNext/>
        <w:rPr>
          <w:color w:val="000000" w:themeColor="text1"/>
        </w:rPr>
      </w:pPr>
    </w:p>
    <w:p w14:paraId="76844650" w14:textId="77777777" w:rsidR="00F54749" w:rsidRPr="0058432E" w:rsidRDefault="00F54749" w:rsidP="00755F77">
      <w:pPr>
        <w:pStyle w:val="ListParagraph"/>
        <w:keepNext/>
        <w:numPr>
          <w:ilvl w:val="0"/>
          <w:numId w:val="31"/>
        </w:numPr>
        <w:ind w:left="562" w:hanging="562"/>
        <w:contextualSpacing/>
        <w:rPr>
          <w:color w:val="000000" w:themeColor="text1"/>
        </w:rPr>
      </w:pPr>
      <w:r w:rsidRPr="0058432E">
        <w:rPr>
          <w:color w:val="000000" w:themeColor="text1"/>
        </w:rPr>
        <w:t>Sortez la boîte Amsparity du réfrigérateur.</w:t>
      </w:r>
    </w:p>
    <w:p w14:paraId="4B8A55D6" w14:textId="77777777" w:rsidR="00F54749" w:rsidRPr="0058432E" w:rsidRDefault="00464875" w:rsidP="00053717">
      <w:pPr>
        <w:pStyle w:val="ListParagraph"/>
        <w:numPr>
          <w:ilvl w:val="0"/>
          <w:numId w:val="31"/>
        </w:numPr>
        <w:ind w:left="562" w:hanging="562"/>
        <w:contextualSpacing/>
        <w:rPr>
          <w:color w:val="000000" w:themeColor="text1"/>
        </w:rPr>
      </w:pPr>
      <w:r w:rsidRPr="0058432E">
        <w:rPr>
          <w:color w:val="000000" w:themeColor="text1"/>
        </w:rPr>
        <w:t xml:space="preserve">Ouvrez la boîte et sortez le plateau contenant </w:t>
      </w:r>
      <w:r w:rsidR="008A3866" w:rsidRPr="0058432E">
        <w:rPr>
          <w:color w:val="000000" w:themeColor="text1"/>
        </w:rPr>
        <w:t>la</w:t>
      </w:r>
      <w:r w:rsidRPr="0058432E">
        <w:rPr>
          <w:color w:val="000000" w:themeColor="text1"/>
        </w:rPr>
        <w:t xml:space="preserve"> seringue préremplie.</w:t>
      </w:r>
    </w:p>
    <w:p w14:paraId="150BC671" w14:textId="77777777" w:rsidR="00F54749" w:rsidRPr="0058432E" w:rsidRDefault="00464875" w:rsidP="00E23160">
      <w:pPr>
        <w:pStyle w:val="ListParagraph"/>
        <w:keepNext/>
        <w:numPr>
          <w:ilvl w:val="0"/>
          <w:numId w:val="31"/>
        </w:numPr>
        <w:ind w:left="562" w:hanging="562"/>
        <w:contextualSpacing/>
        <w:rPr>
          <w:color w:val="000000" w:themeColor="text1"/>
        </w:rPr>
      </w:pPr>
      <w:r w:rsidRPr="0058432E">
        <w:rPr>
          <w:color w:val="000000" w:themeColor="text1"/>
        </w:rPr>
        <w:t xml:space="preserve">Inspectez </w:t>
      </w:r>
      <w:r w:rsidR="00CF1479" w:rsidRPr="0058432E">
        <w:rPr>
          <w:color w:val="000000" w:themeColor="text1"/>
        </w:rPr>
        <w:t>la</w:t>
      </w:r>
      <w:r w:rsidR="00FC32E1" w:rsidRPr="0058432E">
        <w:rPr>
          <w:color w:val="000000" w:themeColor="text1"/>
        </w:rPr>
        <w:t xml:space="preserve"> </w:t>
      </w:r>
      <w:r w:rsidRPr="0058432E">
        <w:rPr>
          <w:color w:val="000000" w:themeColor="text1"/>
        </w:rPr>
        <w:t xml:space="preserve">boîte et </w:t>
      </w:r>
      <w:r w:rsidR="008A3866" w:rsidRPr="0058432E">
        <w:rPr>
          <w:color w:val="000000" w:themeColor="text1"/>
        </w:rPr>
        <w:t>le</w:t>
      </w:r>
      <w:r w:rsidRPr="0058432E">
        <w:rPr>
          <w:color w:val="000000" w:themeColor="text1"/>
        </w:rPr>
        <w:t xml:space="preserve"> plateau ; </w:t>
      </w:r>
      <w:r w:rsidRPr="0058432E">
        <w:rPr>
          <w:b/>
          <w:color w:val="000000" w:themeColor="text1"/>
        </w:rPr>
        <w:t>ne pas</w:t>
      </w:r>
      <w:r w:rsidRPr="0058432E">
        <w:rPr>
          <w:color w:val="000000" w:themeColor="text1"/>
        </w:rPr>
        <w:t xml:space="preserve"> utiliser si :</w:t>
      </w:r>
    </w:p>
    <w:p w14:paraId="7FC88C67" w14:textId="77777777" w:rsidR="00F54749" w:rsidRPr="0058432E" w:rsidRDefault="00464875" w:rsidP="00E23160">
      <w:pPr>
        <w:pStyle w:val="ListParagraph"/>
        <w:numPr>
          <w:ilvl w:val="1"/>
          <w:numId w:val="31"/>
        </w:numPr>
        <w:ind w:left="1124" w:hanging="562"/>
        <w:contextualSpacing/>
        <w:rPr>
          <w:color w:val="000000" w:themeColor="text1"/>
        </w:rPr>
      </w:pPr>
      <w:proofErr w:type="gramStart"/>
      <w:r w:rsidRPr="0058432E">
        <w:rPr>
          <w:color w:val="000000" w:themeColor="text1"/>
        </w:rPr>
        <w:t>la</w:t>
      </w:r>
      <w:proofErr w:type="gramEnd"/>
      <w:r w:rsidRPr="0058432E">
        <w:rPr>
          <w:color w:val="000000" w:themeColor="text1"/>
        </w:rPr>
        <w:t xml:space="preserve"> date de péremption est dépassée</w:t>
      </w:r>
    </w:p>
    <w:p w14:paraId="4BBF43D4" w14:textId="77777777" w:rsidR="00F54749" w:rsidRPr="0058432E" w:rsidRDefault="00F54749"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congelé ou décongelé</w:t>
      </w:r>
    </w:p>
    <w:p w14:paraId="0399F1F6" w14:textId="77777777" w:rsidR="00F54749" w:rsidRPr="0058432E" w:rsidRDefault="00F54749"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est tombé</w:t>
      </w:r>
      <w:r w:rsidR="008A3866" w:rsidRPr="0058432E">
        <w:rPr>
          <w:color w:val="000000" w:themeColor="text1"/>
        </w:rPr>
        <w:t xml:space="preserve">, même s'il n'a pas l'air endommagé </w:t>
      </w:r>
    </w:p>
    <w:p w14:paraId="43E42AF5" w14:textId="77777777" w:rsidR="00F54749" w:rsidRPr="0058432E" w:rsidRDefault="00F54749"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sorti du réfrigérateur pendant plus de 30 jours</w:t>
      </w:r>
    </w:p>
    <w:p w14:paraId="2350C283" w14:textId="77777777" w:rsidR="00F54749" w:rsidRPr="0058432E" w:rsidRDefault="00F54749"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semble endommagé</w:t>
      </w:r>
    </w:p>
    <w:p w14:paraId="6C42D655" w14:textId="77777777" w:rsidR="00F54749" w:rsidRPr="0058432E" w:rsidRDefault="00F54749" w:rsidP="00E23160">
      <w:pPr>
        <w:pStyle w:val="ListParagraph"/>
        <w:numPr>
          <w:ilvl w:val="1"/>
          <w:numId w:val="31"/>
        </w:numPr>
        <w:ind w:left="1124" w:hanging="562"/>
        <w:contextualSpacing/>
        <w:rPr>
          <w:color w:val="000000" w:themeColor="text1"/>
        </w:rPr>
      </w:pPr>
      <w:proofErr w:type="gramStart"/>
      <w:r w:rsidRPr="0058432E">
        <w:rPr>
          <w:color w:val="000000" w:themeColor="text1"/>
        </w:rPr>
        <w:t>les</w:t>
      </w:r>
      <w:proofErr w:type="gramEnd"/>
      <w:r w:rsidRPr="0058432E">
        <w:rPr>
          <w:color w:val="000000" w:themeColor="text1"/>
        </w:rPr>
        <w:t xml:space="preserve"> scellés sur la nouvelle boîte sont brisés.</w:t>
      </w:r>
    </w:p>
    <w:p w14:paraId="5B25644D" w14:textId="77777777" w:rsidR="001B5283" w:rsidRPr="0058432E" w:rsidRDefault="001B5283" w:rsidP="00053717">
      <w:pPr>
        <w:pStyle w:val="ListParagraph"/>
        <w:numPr>
          <w:ilvl w:val="0"/>
          <w:numId w:val="31"/>
        </w:numPr>
        <w:ind w:left="562" w:hanging="562"/>
        <w:contextualSpacing/>
        <w:rPr>
          <w:color w:val="000000" w:themeColor="text1"/>
        </w:rPr>
      </w:pPr>
      <w:r w:rsidRPr="0058432E">
        <w:rPr>
          <w:color w:val="000000" w:themeColor="text1"/>
        </w:rPr>
        <w:t>Si l'une de ces conditions s'applique, jetez la seringue préremplie de la même manière qu'une seringue usagée. Vous aurez besoin d'une nouvelle seringue préremplie pour faire l'injection à votre enfant.</w:t>
      </w:r>
    </w:p>
    <w:p w14:paraId="4485CDB1" w14:textId="77777777" w:rsidR="00F54749" w:rsidRPr="0058432E" w:rsidRDefault="00F54749" w:rsidP="00053717">
      <w:pPr>
        <w:pStyle w:val="ListParagraph"/>
        <w:numPr>
          <w:ilvl w:val="0"/>
          <w:numId w:val="31"/>
        </w:numPr>
        <w:ind w:left="562" w:hanging="562"/>
        <w:contextualSpacing/>
        <w:rPr>
          <w:color w:val="000000" w:themeColor="text1"/>
        </w:rPr>
      </w:pPr>
      <w:r w:rsidRPr="0058432E">
        <w:rPr>
          <w:color w:val="000000" w:themeColor="text1"/>
        </w:rPr>
        <w:t xml:space="preserve">Lavez-vous les mains à l’eau et au savon et séchez-les complètement. </w:t>
      </w:r>
    </w:p>
    <w:p w14:paraId="5C30D278" w14:textId="77777777" w:rsidR="00F54749" w:rsidRPr="0058432E" w:rsidRDefault="00F54749" w:rsidP="00A53E17">
      <w:pPr>
        <w:contextualSpacing/>
        <w:rPr>
          <w:color w:val="000000" w:themeColor="text1"/>
        </w:rPr>
      </w:pPr>
    </w:p>
    <w:p w14:paraId="58073742" w14:textId="77777777" w:rsidR="00F54749" w:rsidRPr="0058432E" w:rsidRDefault="00F54749" w:rsidP="00A53E17">
      <w:pPr>
        <w:contextualSpacing/>
        <w:rPr>
          <w:color w:val="000000" w:themeColor="text1"/>
        </w:rPr>
      </w:pPr>
      <w:r w:rsidRPr="0058432E">
        <w:rPr>
          <w:color w:val="000000" w:themeColor="text1"/>
        </w:rPr>
        <w:t xml:space="preserve">Pour toutes questions à propos de votre médicament, interrogez </w:t>
      </w:r>
      <w:r w:rsidR="001B5283" w:rsidRPr="0058432E">
        <w:rPr>
          <w:color w:val="000000" w:themeColor="text1"/>
        </w:rPr>
        <w:t>le</w:t>
      </w:r>
      <w:r w:rsidRPr="0058432E">
        <w:rPr>
          <w:color w:val="000000" w:themeColor="text1"/>
        </w:rPr>
        <w:t xml:space="preserve"> médecin</w:t>
      </w:r>
      <w:r w:rsidR="001B5283" w:rsidRPr="0058432E">
        <w:rPr>
          <w:color w:val="000000" w:themeColor="text1"/>
        </w:rPr>
        <w:t>,</w:t>
      </w:r>
      <w:r w:rsidR="00F82648" w:rsidRPr="0058432E">
        <w:rPr>
          <w:color w:val="000000" w:themeColor="text1"/>
        </w:rPr>
        <w:t xml:space="preserve"> </w:t>
      </w:r>
      <w:r w:rsidR="001B5283" w:rsidRPr="0058432E">
        <w:rPr>
          <w:color w:val="000000" w:themeColor="text1"/>
        </w:rPr>
        <w:t>l’</w:t>
      </w:r>
      <w:r w:rsidR="0093388F" w:rsidRPr="0058432E">
        <w:rPr>
          <w:color w:val="000000" w:themeColor="text1"/>
        </w:rPr>
        <w:t>infirmier/ère</w:t>
      </w:r>
      <w:r w:rsidRPr="0058432E">
        <w:rPr>
          <w:color w:val="000000" w:themeColor="text1"/>
        </w:rPr>
        <w:t xml:space="preserve"> ou</w:t>
      </w:r>
      <w:r w:rsidR="001B5283" w:rsidRPr="0058432E">
        <w:rPr>
          <w:color w:val="000000" w:themeColor="text1"/>
        </w:rPr>
        <w:t xml:space="preserve"> le</w:t>
      </w:r>
      <w:r w:rsidR="00FC32E1" w:rsidRPr="0058432E">
        <w:rPr>
          <w:color w:val="000000" w:themeColor="text1"/>
        </w:rPr>
        <w:t xml:space="preserve"> </w:t>
      </w:r>
      <w:r w:rsidRPr="0058432E">
        <w:rPr>
          <w:color w:val="000000" w:themeColor="text1"/>
        </w:rPr>
        <w:t>pharmacien</w:t>
      </w:r>
      <w:r w:rsidR="006F6E70" w:rsidRPr="0058432E">
        <w:rPr>
          <w:color w:val="000000" w:themeColor="text1"/>
        </w:rPr>
        <w:t xml:space="preserve"> de votre enfant</w:t>
      </w:r>
      <w:r w:rsidRPr="0058432E">
        <w:rPr>
          <w:color w:val="000000" w:themeColor="text1"/>
        </w:rPr>
        <w:t>.</w:t>
      </w:r>
    </w:p>
    <w:p w14:paraId="27DFCDDF" w14:textId="77777777" w:rsidR="00F54749" w:rsidRPr="0058432E" w:rsidRDefault="00F54749" w:rsidP="00E23160">
      <w:pPr>
        <w:pStyle w:val="ListParagraph"/>
        <w:ind w:left="562" w:hanging="562"/>
        <w:contextualSpacing/>
        <w:rPr>
          <w:color w:val="000000" w:themeColor="text1"/>
        </w:rPr>
      </w:pPr>
    </w:p>
    <w:p w14:paraId="4FE9B742" w14:textId="77777777" w:rsidR="00732738" w:rsidRPr="0058432E" w:rsidRDefault="00732738" w:rsidP="00732738">
      <w:pPr>
        <w:rPr>
          <w:color w:val="000000" w:themeColor="text1"/>
        </w:rPr>
      </w:pPr>
    </w:p>
    <w:p w14:paraId="5428313F" w14:textId="4789AA08" w:rsidR="00732738" w:rsidRPr="0058432E" w:rsidRDefault="009D65D0" w:rsidP="00732738">
      <w:pPr>
        <w:jc w:val="center"/>
        <w:rPr>
          <w:color w:val="000000" w:themeColor="text1"/>
        </w:rPr>
      </w:pPr>
      <w:r w:rsidRPr="0058432E">
        <w:rPr>
          <w:noProof/>
          <w:color w:val="000000" w:themeColor="text1"/>
        </w:rPr>
        <mc:AlternateContent>
          <mc:Choice Requires="wps">
            <w:drawing>
              <wp:anchor distT="0" distB="0" distL="114300" distR="114300" simplePos="0" relativeHeight="251643392" behindDoc="0" locked="0" layoutInCell="1" allowOverlap="1" wp14:anchorId="4579AF9E" wp14:editId="703F4D69">
                <wp:simplePos x="0" y="0"/>
                <wp:positionH relativeFrom="column">
                  <wp:posOffset>1104265</wp:posOffset>
                </wp:positionH>
                <wp:positionV relativeFrom="paragraph">
                  <wp:posOffset>53975</wp:posOffset>
                </wp:positionV>
                <wp:extent cx="3120390" cy="260985"/>
                <wp:effectExtent l="0" t="0" r="0" b="0"/>
                <wp:wrapNone/>
                <wp:docPr id="112" name="Zone de text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0390" cy="260985"/>
                        </a:xfrm>
                        <a:prstGeom prst="rect">
                          <a:avLst/>
                        </a:prstGeom>
                        <a:solidFill>
                          <a:srgbClr val="FFFFFF"/>
                        </a:solidFill>
                        <a:ln>
                          <a:noFill/>
                        </a:ln>
                      </wps:spPr>
                      <wps:txbx>
                        <w:txbxContent>
                          <w:p w14:paraId="141B522C" w14:textId="77777777" w:rsidR="009A26D2" w:rsidRPr="009E6D01" w:rsidRDefault="009A26D2" w:rsidP="00732738">
                            <w:pPr>
                              <w:rPr>
                                <w:b/>
                                <w:bCs/>
                                <w:sz w:val="18"/>
                                <w:szCs w:val="18"/>
                              </w:rPr>
                            </w:pPr>
                            <w:r>
                              <w:rPr>
                                <w:b/>
                                <w:bCs/>
                                <w:sz w:val="18"/>
                                <w:szCs w:val="18"/>
                              </w:rPr>
                              <w:t xml:space="preserve">Sortez </w:t>
                            </w:r>
                            <w:r w:rsidRPr="006F6E70">
                              <w:rPr>
                                <w:b/>
                                <w:bCs/>
                                <w:sz w:val="18"/>
                                <w:szCs w:val="18"/>
                              </w:rPr>
                              <w:t>la</w:t>
                            </w:r>
                            <w:r>
                              <w:rPr>
                                <w:b/>
                                <w:bCs/>
                                <w:sz w:val="18"/>
                                <w:szCs w:val="18"/>
                              </w:rPr>
                              <w:t xml:space="preserve"> seringue préremplie de l’emballage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9AF9E" id="Zone de texte 112" o:spid="_x0000_s1070" type="#_x0000_t202" style="position:absolute;left:0;text-align:left;margin-left:86.95pt;margin-top:4.25pt;width:245.7pt;height:20.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" stroked="f">
                <v:textbox>
                  <w:txbxContent>
                    <w:p w14:paraId="141B522C" w14:textId="77777777" w:rsidR="009A26D2" w:rsidRPr="009E6D01" w:rsidRDefault="009A26D2" w:rsidP="00732738">
                      <w:pPr>
                        <w:rPr>
                          <w:b/>
                          <w:bCs/>
                          <w:sz w:val="18"/>
                          <w:szCs w:val="18"/>
                        </w:rPr>
                      </w:pPr>
                      <w:r>
                        <w:rPr>
                          <w:b/>
                          <w:bCs/>
                          <w:sz w:val="18"/>
                          <w:szCs w:val="18"/>
                        </w:rPr>
                        <w:t xml:space="preserve">Sortez </w:t>
                      </w:r>
                      <w:r w:rsidRPr="006F6E70">
                        <w:rPr>
                          <w:b/>
                          <w:bCs/>
                          <w:sz w:val="18"/>
                          <w:szCs w:val="18"/>
                        </w:rPr>
                        <w:t>la</w:t>
                      </w:r>
                      <w:r>
                        <w:rPr>
                          <w:b/>
                          <w:bCs/>
                          <w:sz w:val="18"/>
                          <w:szCs w:val="18"/>
                        </w:rPr>
                        <w:t xml:space="preserve"> seringue préremplie de l’emballage</w:t>
                      </w:r>
                    </w:p>
                  </w:txbxContent>
                </v:textbox>
              </v:shape>
            </w:pict>
          </mc:Fallback>
        </mc:AlternateContent>
      </w:r>
      <w:r w:rsidRPr="0058432E">
        <w:rPr>
          <w:noProof/>
          <w:color w:val="000000" w:themeColor="text1"/>
        </w:rPr>
        <w:drawing>
          <wp:inline distT="0" distB="0" distL="0" distR="0" wp14:anchorId="4CBD95F6" wp14:editId="0BFD841B">
            <wp:extent cx="4733925" cy="249682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33925" cy="2496820"/>
                    </a:xfrm>
                    <a:prstGeom prst="rect">
                      <a:avLst/>
                    </a:prstGeom>
                    <a:noFill/>
                    <a:ln>
                      <a:noFill/>
                    </a:ln>
                  </pic:spPr>
                </pic:pic>
              </a:graphicData>
            </a:graphic>
          </wp:inline>
        </w:drawing>
      </w:r>
    </w:p>
    <w:p w14:paraId="24F628A9" w14:textId="77777777" w:rsidR="00F54749" w:rsidRPr="0058432E" w:rsidRDefault="00F54749" w:rsidP="00982118">
      <w:pPr>
        <w:rPr>
          <w:color w:val="000000" w:themeColor="text1"/>
        </w:rPr>
      </w:pPr>
    </w:p>
    <w:p w14:paraId="1282AF05" w14:textId="77777777" w:rsidR="00F54749" w:rsidRPr="0058432E" w:rsidRDefault="00F54749" w:rsidP="00982118">
      <w:pPr>
        <w:rPr>
          <w:color w:val="000000" w:themeColor="text1"/>
        </w:rPr>
      </w:pPr>
    </w:p>
    <w:p w14:paraId="3A80FB34" w14:textId="77777777" w:rsidR="00CB669F" w:rsidRPr="0058432E" w:rsidRDefault="00CB669F" w:rsidP="00E23160">
      <w:pPr>
        <w:pStyle w:val="ListParagraph"/>
        <w:numPr>
          <w:ilvl w:val="0"/>
          <w:numId w:val="34"/>
        </w:numPr>
        <w:ind w:left="562" w:hanging="562"/>
        <w:contextualSpacing/>
        <w:rPr>
          <w:color w:val="000000" w:themeColor="text1"/>
        </w:rPr>
      </w:pPr>
      <w:r w:rsidRPr="0058432E">
        <w:rPr>
          <w:color w:val="000000" w:themeColor="text1"/>
        </w:rPr>
        <w:t>Retirez le sceau en papier du plateau.</w:t>
      </w:r>
    </w:p>
    <w:p w14:paraId="0131D010" w14:textId="77777777" w:rsidR="00CB669F" w:rsidRPr="0058432E" w:rsidRDefault="00CB669F" w:rsidP="00E23160">
      <w:pPr>
        <w:pStyle w:val="ListParagraph"/>
        <w:numPr>
          <w:ilvl w:val="0"/>
          <w:numId w:val="34"/>
        </w:numPr>
        <w:ind w:left="562" w:hanging="562"/>
        <w:contextualSpacing/>
        <w:rPr>
          <w:color w:val="000000" w:themeColor="text1"/>
        </w:rPr>
      </w:pPr>
      <w:r w:rsidRPr="0058432E">
        <w:rPr>
          <w:color w:val="000000" w:themeColor="text1"/>
        </w:rPr>
        <w:t>Retirez 1 seringue préremplie du plateau et remettez au réfrigérateur la boîte d’origine avec les seringues préremplies inutilisées.</w:t>
      </w:r>
    </w:p>
    <w:p w14:paraId="6F07A4F1" w14:textId="77777777" w:rsidR="00CB669F" w:rsidRPr="0058432E" w:rsidRDefault="00CB669F" w:rsidP="00E23160">
      <w:pPr>
        <w:pStyle w:val="ListParagraph"/>
        <w:numPr>
          <w:ilvl w:val="0"/>
          <w:numId w:val="34"/>
        </w:numPr>
        <w:ind w:left="562" w:hanging="562"/>
        <w:contextualSpacing/>
        <w:rPr>
          <w:color w:val="000000" w:themeColor="text1"/>
        </w:rPr>
      </w:pPr>
      <w:r w:rsidRPr="0058432E">
        <w:rPr>
          <w:b/>
          <w:color w:val="000000" w:themeColor="text1"/>
        </w:rPr>
        <w:lastRenderedPageBreak/>
        <w:t>N’utilisez pas</w:t>
      </w:r>
      <w:r w:rsidRPr="0058432E">
        <w:rPr>
          <w:color w:val="000000" w:themeColor="text1"/>
        </w:rPr>
        <w:t xml:space="preserve"> </w:t>
      </w:r>
      <w:r w:rsidR="001B5283" w:rsidRPr="0058432E">
        <w:rPr>
          <w:color w:val="000000" w:themeColor="text1"/>
        </w:rPr>
        <w:t>la</w:t>
      </w:r>
      <w:r w:rsidRPr="0058432E">
        <w:rPr>
          <w:color w:val="000000" w:themeColor="text1"/>
        </w:rPr>
        <w:t xml:space="preserve"> seringue si elle semble endommagée.</w:t>
      </w:r>
    </w:p>
    <w:p w14:paraId="134F950F" w14:textId="77777777" w:rsidR="00F741F8" w:rsidRPr="0058432E" w:rsidRDefault="00F741F8" w:rsidP="00E23160">
      <w:pPr>
        <w:pStyle w:val="ListParagraph"/>
        <w:numPr>
          <w:ilvl w:val="0"/>
          <w:numId w:val="34"/>
        </w:numPr>
        <w:ind w:left="562" w:hanging="562"/>
        <w:contextualSpacing/>
        <w:rPr>
          <w:color w:val="000000" w:themeColor="text1"/>
        </w:rPr>
      </w:pPr>
      <w:r w:rsidRPr="0058432E">
        <w:rPr>
          <w:color w:val="000000" w:themeColor="text1"/>
        </w:rPr>
        <w:t>La seringue préremplie peut être utilisée d</w:t>
      </w:r>
      <w:r w:rsidR="005002C4" w:rsidRPr="0058432E">
        <w:rPr>
          <w:color w:val="000000" w:themeColor="text1"/>
        </w:rPr>
        <w:t>ès la sortie</w:t>
      </w:r>
      <w:r w:rsidRPr="0058432E">
        <w:rPr>
          <w:color w:val="000000" w:themeColor="text1"/>
        </w:rPr>
        <w:t xml:space="preserve"> du réfrigérateur.</w:t>
      </w:r>
    </w:p>
    <w:p w14:paraId="6F1627DA" w14:textId="77777777" w:rsidR="00CB669F" w:rsidRPr="0058432E" w:rsidRDefault="004C7F98" w:rsidP="00E23160">
      <w:pPr>
        <w:pStyle w:val="ListParagraph"/>
        <w:numPr>
          <w:ilvl w:val="0"/>
          <w:numId w:val="34"/>
        </w:numPr>
        <w:ind w:left="562" w:hanging="562"/>
        <w:contextualSpacing/>
        <w:rPr>
          <w:color w:val="000000" w:themeColor="text1"/>
        </w:rPr>
      </w:pPr>
      <w:r w:rsidRPr="0058432E">
        <w:rPr>
          <w:color w:val="000000" w:themeColor="text1"/>
        </w:rPr>
        <w:t xml:space="preserve">Vous constaterez peut-être que l'utilisation de la seringue préremplie à la température ambiante réduit </w:t>
      </w:r>
      <w:r w:rsidR="00912CB2" w:rsidRPr="0058432E">
        <w:rPr>
          <w:color w:val="000000" w:themeColor="text1"/>
        </w:rPr>
        <w:t>la douleur</w:t>
      </w:r>
      <w:r w:rsidRPr="0058432E">
        <w:rPr>
          <w:color w:val="000000" w:themeColor="text1"/>
        </w:rPr>
        <w:t xml:space="preserve"> ou l'inconfort.</w:t>
      </w:r>
      <w:r w:rsidR="002066BE" w:rsidRPr="0058432E">
        <w:rPr>
          <w:color w:val="000000" w:themeColor="text1"/>
        </w:rPr>
        <w:t xml:space="preserve"> </w:t>
      </w:r>
      <w:r w:rsidRPr="0058432E">
        <w:rPr>
          <w:color w:val="000000" w:themeColor="text1"/>
        </w:rPr>
        <w:t xml:space="preserve">Laissez la seringue préremplie à température ambiante à l'abri de la lumière directe du soleil pendant 15 à 30 minutes avant l'injection </w:t>
      </w:r>
      <w:r w:rsidR="00912CB2" w:rsidRPr="0058432E">
        <w:rPr>
          <w:color w:val="000000" w:themeColor="text1"/>
        </w:rPr>
        <w:t>à</w:t>
      </w:r>
      <w:r w:rsidRPr="0058432E">
        <w:rPr>
          <w:color w:val="000000" w:themeColor="text1"/>
        </w:rPr>
        <w:t xml:space="preserve"> votre enfant.</w:t>
      </w:r>
    </w:p>
    <w:p w14:paraId="4003DA5E" w14:textId="77777777" w:rsidR="00CB669F" w:rsidRPr="0058432E" w:rsidRDefault="00CB669F" w:rsidP="00E23160">
      <w:pPr>
        <w:pStyle w:val="ListParagraph"/>
        <w:numPr>
          <w:ilvl w:val="0"/>
          <w:numId w:val="34"/>
        </w:numPr>
        <w:ind w:left="562" w:hanging="562"/>
        <w:contextualSpacing/>
        <w:rPr>
          <w:color w:val="000000" w:themeColor="text1"/>
        </w:rPr>
      </w:pPr>
      <w:r w:rsidRPr="0058432E">
        <w:rPr>
          <w:b/>
          <w:color w:val="000000" w:themeColor="text1"/>
        </w:rPr>
        <w:t>Ne retirez pas</w:t>
      </w:r>
      <w:r w:rsidRPr="0058432E">
        <w:rPr>
          <w:color w:val="000000" w:themeColor="text1"/>
        </w:rPr>
        <w:t xml:space="preserve"> le protège-aiguille de la seringue préremplie avant d’être prêt à procéder à l’injection.</w:t>
      </w:r>
    </w:p>
    <w:p w14:paraId="6EDD31DF" w14:textId="77777777" w:rsidR="00CB669F" w:rsidRPr="0058432E" w:rsidRDefault="00CB669F" w:rsidP="00E23160">
      <w:pPr>
        <w:ind w:left="562" w:hanging="562"/>
        <w:contextualSpacing/>
        <w:rPr>
          <w:color w:val="000000" w:themeColor="text1"/>
        </w:rPr>
      </w:pPr>
    </w:p>
    <w:p w14:paraId="36CF1D2A" w14:textId="77777777" w:rsidR="00CB669F" w:rsidRPr="0058432E" w:rsidRDefault="00CB669F" w:rsidP="00E23160">
      <w:pPr>
        <w:pStyle w:val="ListParagraph"/>
        <w:ind w:left="562" w:hanging="562"/>
        <w:contextualSpacing/>
        <w:rPr>
          <w:b/>
          <w:color w:val="000000" w:themeColor="text1"/>
        </w:rPr>
      </w:pPr>
      <w:r w:rsidRPr="0058432E">
        <w:rPr>
          <w:b/>
          <w:color w:val="000000" w:themeColor="text1"/>
        </w:rPr>
        <w:t>Tenez toujours la seringue préremplie par le corps de la seringue pour éviter de l’endommager.</w:t>
      </w:r>
    </w:p>
    <w:p w14:paraId="429EB67D" w14:textId="77777777" w:rsidR="00CB669F" w:rsidRPr="0058432E" w:rsidRDefault="00CB669F" w:rsidP="00E23160">
      <w:pPr>
        <w:ind w:left="562" w:hanging="562"/>
        <w:contextualSpacing/>
        <w:rPr>
          <w:color w:val="000000" w:themeColor="text1"/>
        </w:rPr>
      </w:pPr>
    </w:p>
    <w:p w14:paraId="5DCBB845" w14:textId="77777777" w:rsidR="00354102" w:rsidRPr="0058432E" w:rsidRDefault="00354102" w:rsidP="00354102">
      <w:pPr>
        <w:ind w:left="562" w:hanging="562"/>
        <w:contextualSpacing/>
        <w:rPr>
          <w:color w:val="000000" w:themeColor="text1"/>
        </w:rPr>
      </w:pPr>
      <w:bookmarkStart w:id="32" w:name="_Hlk21285073"/>
    </w:p>
    <w:bookmarkEnd w:id="32"/>
    <w:p w14:paraId="6B690741" w14:textId="7C74FE8C" w:rsidR="00354102" w:rsidRPr="0058432E" w:rsidRDefault="009D65D0" w:rsidP="00354102">
      <w:pPr>
        <w:jc w:val="center"/>
        <w:rPr>
          <w:b/>
          <w:color w:val="000000" w:themeColor="text1"/>
        </w:rPr>
      </w:pPr>
      <w:r w:rsidRPr="0058432E">
        <w:rPr>
          <w:noProof/>
          <w:color w:val="000000" w:themeColor="text1"/>
        </w:rPr>
        <mc:AlternateContent>
          <mc:Choice Requires="wps">
            <w:drawing>
              <wp:anchor distT="0" distB="0" distL="114300" distR="114300" simplePos="0" relativeHeight="251644416" behindDoc="0" locked="0" layoutInCell="1" allowOverlap="1" wp14:anchorId="685307A7" wp14:editId="47394E13">
                <wp:simplePos x="0" y="0"/>
                <wp:positionH relativeFrom="column">
                  <wp:posOffset>1542415</wp:posOffset>
                </wp:positionH>
                <wp:positionV relativeFrom="paragraph">
                  <wp:posOffset>5715</wp:posOffset>
                </wp:positionV>
                <wp:extent cx="2244725" cy="337185"/>
                <wp:effectExtent l="0" t="0" r="0" b="0"/>
                <wp:wrapNone/>
                <wp:docPr id="114" name="Zone de texte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725" cy="337185"/>
                        </a:xfrm>
                        <a:prstGeom prst="rect">
                          <a:avLst/>
                        </a:prstGeom>
                        <a:solidFill>
                          <a:srgbClr val="FFFFFF"/>
                        </a:solidFill>
                        <a:ln>
                          <a:noFill/>
                        </a:ln>
                      </wps:spPr>
                      <wps:txbx>
                        <w:txbxContent>
                          <w:p w14:paraId="7079CA76" w14:textId="77777777" w:rsidR="009A26D2" w:rsidRPr="00A53E17" w:rsidRDefault="009A26D2" w:rsidP="00354102">
                            <w:pPr>
                              <w:rPr>
                                <w:b/>
                                <w:bCs/>
                                <w:spacing w:val="-4"/>
                                <w:szCs w:val="18"/>
                              </w:rPr>
                            </w:pPr>
                            <w:r w:rsidRPr="00A53E17">
                              <w:rPr>
                                <w:b/>
                                <w:bCs/>
                                <w:spacing w:val="-4"/>
                                <w:szCs w:val="18"/>
                              </w:rPr>
                              <w:t xml:space="preserve">Vérifiez </w:t>
                            </w:r>
                            <w:r w:rsidRPr="00CD77DB">
                              <w:rPr>
                                <w:b/>
                                <w:bCs/>
                                <w:spacing w:val="-4"/>
                                <w:szCs w:val="18"/>
                              </w:rPr>
                              <w:t xml:space="preserve">le </w:t>
                            </w:r>
                            <w:r w:rsidRPr="00A53E17">
                              <w:rPr>
                                <w:b/>
                                <w:bCs/>
                                <w:spacing w:val="-4"/>
                                <w:szCs w:val="18"/>
                              </w:rPr>
                              <w:t>médicament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307A7" id="Zone de texte 114" o:spid="_x0000_s1071" type="#_x0000_t202" style="position:absolute;left:0;text-align:left;margin-left:121.45pt;margin-top:.45pt;width:176.75pt;height:26.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" stroked="f">
                <v:textbox>
                  <w:txbxContent>
                    <w:p w14:paraId="7079CA76" w14:textId="77777777" w:rsidR="009A26D2" w:rsidRPr="00A53E17" w:rsidRDefault="009A26D2" w:rsidP="00354102">
                      <w:pPr>
                        <w:rPr>
                          <w:b/>
                          <w:bCs/>
                          <w:spacing w:val="-4"/>
                          <w:szCs w:val="18"/>
                        </w:rPr>
                      </w:pPr>
                      <w:r w:rsidRPr="00A53E17">
                        <w:rPr>
                          <w:b/>
                          <w:bCs/>
                          <w:spacing w:val="-4"/>
                          <w:szCs w:val="18"/>
                        </w:rPr>
                        <w:t xml:space="preserve">Vérifiez </w:t>
                      </w:r>
                      <w:r w:rsidRPr="00CD77DB">
                        <w:rPr>
                          <w:b/>
                          <w:bCs/>
                          <w:spacing w:val="-4"/>
                          <w:szCs w:val="18"/>
                        </w:rPr>
                        <w:t xml:space="preserve">le </w:t>
                      </w:r>
                      <w:r w:rsidRPr="00A53E17">
                        <w:rPr>
                          <w:b/>
                          <w:bCs/>
                          <w:spacing w:val="-4"/>
                          <w:szCs w:val="18"/>
                        </w:rPr>
                        <w:t>médicament</w:t>
                      </w:r>
                    </w:p>
                  </w:txbxContent>
                </v:textbox>
              </v:shape>
            </w:pict>
          </mc:Fallback>
        </mc:AlternateContent>
      </w:r>
      <w:r w:rsidRPr="0058432E">
        <w:rPr>
          <w:noProof/>
          <w:color w:val="000000" w:themeColor="text1"/>
        </w:rPr>
        <w:drawing>
          <wp:inline distT="0" distB="0" distL="0" distR="0" wp14:anchorId="202EE253" wp14:editId="64CD633A">
            <wp:extent cx="3819525" cy="2447925"/>
            <wp:effectExtent l="0" t="0" r="0" b="0"/>
            <wp:docPr id="1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9525" cy="2447925"/>
                    </a:xfrm>
                    <a:prstGeom prst="rect">
                      <a:avLst/>
                    </a:prstGeom>
                    <a:noFill/>
                    <a:ln>
                      <a:noFill/>
                    </a:ln>
                  </pic:spPr>
                </pic:pic>
              </a:graphicData>
            </a:graphic>
          </wp:inline>
        </w:drawing>
      </w:r>
    </w:p>
    <w:p w14:paraId="374840CD" w14:textId="77777777" w:rsidR="00F54749" w:rsidRPr="0058432E" w:rsidRDefault="00F54749" w:rsidP="00982118">
      <w:pPr>
        <w:rPr>
          <w:color w:val="000000" w:themeColor="text1"/>
        </w:rPr>
      </w:pPr>
    </w:p>
    <w:p w14:paraId="69EAB96F" w14:textId="77777777" w:rsidR="00F54749" w:rsidRPr="0058432E" w:rsidRDefault="00F54749" w:rsidP="00982118">
      <w:pPr>
        <w:rPr>
          <w:color w:val="000000" w:themeColor="text1"/>
        </w:rPr>
      </w:pPr>
    </w:p>
    <w:p w14:paraId="6CD8C3AB" w14:textId="77777777" w:rsidR="00CB669F" w:rsidRPr="0058432E" w:rsidRDefault="00CB669F" w:rsidP="00E23160">
      <w:pPr>
        <w:pStyle w:val="ListParagraph"/>
        <w:numPr>
          <w:ilvl w:val="0"/>
          <w:numId w:val="36"/>
        </w:numPr>
        <w:ind w:left="562" w:hanging="562"/>
        <w:contextualSpacing/>
        <w:rPr>
          <w:color w:val="000000" w:themeColor="text1"/>
        </w:rPr>
      </w:pPr>
      <w:r w:rsidRPr="0058432E">
        <w:rPr>
          <w:color w:val="000000" w:themeColor="text1"/>
        </w:rPr>
        <w:t xml:space="preserve">Inspectez attentivement </w:t>
      </w:r>
      <w:r w:rsidR="004C7F98" w:rsidRPr="0058432E">
        <w:rPr>
          <w:color w:val="000000" w:themeColor="text1"/>
        </w:rPr>
        <w:t>le médicament de votre enfant</w:t>
      </w:r>
      <w:r w:rsidR="004C7F98" w:rsidRPr="0058432E" w:rsidDel="004C7F98">
        <w:rPr>
          <w:color w:val="000000" w:themeColor="text1"/>
        </w:rPr>
        <w:t xml:space="preserve"> </w:t>
      </w:r>
      <w:r w:rsidRPr="0058432E">
        <w:rPr>
          <w:color w:val="000000" w:themeColor="text1"/>
        </w:rPr>
        <w:t xml:space="preserve">grâce à la fenêtre. </w:t>
      </w:r>
    </w:p>
    <w:p w14:paraId="52D769FC" w14:textId="77777777" w:rsidR="0053756E" w:rsidRPr="0058432E" w:rsidRDefault="004C7F98" w:rsidP="00E23160">
      <w:pPr>
        <w:pStyle w:val="ListParagraph"/>
        <w:numPr>
          <w:ilvl w:val="0"/>
          <w:numId w:val="36"/>
        </w:numPr>
        <w:ind w:left="562" w:hanging="562"/>
        <w:contextualSpacing/>
        <w:rPr>
          <w:color w:val="000000" w:themeColor="text1"/>
        </w:rPr>
      </w:pPr>
      <w:r w:rsidRPr="0058432E">
        <w:rPr>
          <w:color w:val="000000" w:themeColor="text1"/>
        </w:rPr>
        <w:t>Inclinez doucement la seringue préremplie d'avant en arrière pour vérifier le médicament</w:t>
      </w:r>
    </w:p>
    <w:p w14:paraId="2D09D3EC" w14:textId="77777777" w:rsidR="004C7F98" w:rsidRPr="0058432E" w:rsidRDefault="00B44D1F" w:rsidP="00E23160">
      <w:pPr>
        <w:pStyle w:val="ListParagraph"/>
        <w:numPr>
          <w:ilvl w:val="0"/>
          <w:numId w:val="36"/>
        </w:numPr>
        <w:ind w:left="562" w:hanging="562"/>
        <w:contextualSpacing/>
        <w:rPr>
          <w:color w:val="000000" w:themeColor="text1"/>
        </w:rPr>
      </w:pPr>
      <w:r w:rsidRPr="0058432E">
        <w:rPr>
          <w:b/>
          <w:color w:val="000000" w:themeColor="text1"/>
        </w:rPr>
        <w:t>N’agitez</w:t>
      </w:r>
      <w:r w:rsidR="000928C5" w:rsidRPr="0058432E">
        <w:rPr>
          <w:b/>
          <w:color w:val="000000" w:themeColor="text1"/>
        </w:rPr>
        <w:t xml:space="preserve"> pas</w:t>
      </w:r>
      <w:r w:rsidR="0053756E" w:rsidRPr="0058432E">
        <w:rPr>
          <w:color w:val="000000" w:themeColor="text1"/>
        </w:rPr>
        <w:t xml:space="preserve"> la seringue préremplie. L'agitation peut endommager le médicament de votre enfant</w:t>
      </w:r>
      <w:r w:rsidR="004C7F98" w:rsidRPr="0058432E">
        <w:rPr>
          <w:color w:val="000000" w:themeColor="text1"/>
        </w:rPr>
        <w:t>.</w:t>
      </w:r>
    </w:p>
    <w:p w14:paraId="6D13C35F" w14:textId="77777777" w:rsidR="00CB669F" w:rsidRPr="0058432E" w:rsidRDefault="00CB669F" w:rsidP="00E23160">
      <w:pPr>
        <w:pStyle w:val="ListParagraph"/>
        <w:numPr>
          <w:ilvl w:val="0"/>
          <w:numId w:val="36"/>
        </w:numPr>
        <w:ind w:left="562" w:hanging="562"/>
        <w:contextualSpacing/>
        <w:rPr>
          <w:rFonts w:eastAsia="Calibri"/>
          <w:color w:val="000000" w:themeColor="text1"/>
        </w:rPr>
      </w:pPr>
      <w:r w:rsidRPr="0058432E">
        <w:rPr>
          <w:color w:val="000000" w:themeColor="text1"/>
        </w:rPr>
        <w:t>Assurez-vous que le médicament contenu dans la seringue préremplie est limpide et incolore à brun très clair et exempt de flocons ou de particules. Il est normal de voir une ou plusieurs bulles d’air dans la fenêtre.</w:t>
      </w:r>
      <w:r w:rsidR="00E96F93" w:rsidRPr="0058432E">
        <w:rPr>
          <w:color w:val="000000" w:themeColor="text1"/>
        </w:rPr>
        <w:t xml:space="preserve"> </w:t>
      </w:r>
      <w:r w:rsidR="00E96F93" w:rsidRPr="0058432E">
        <w:rPr>
          <w:b/>
          <w:color w:val="000000" w:themeColor="text1"/>
        </w:rPr>
        <w:t>N</w:t>
      </w:r>
      <w:r w:rsidR="000F3F8F" w:rsidRPr="0058432E">
        <w:rPr>
          <w:b/>
          <w:color w:val="000000" w:themeColor="text1"/>
        </w:rPr>
        <w:t>’</w:t>
      </w:r>
      <w:r w:rsidR="00D32579" w:rsidRPr="0058432E">
        <w:rPr>
          <w:b/>
          <w:color w:val="000000" w:themeColor="text1"/>
        </w:rPr>
        <w:t>e</w:t>
      </w:r>
      <w:r w:rsidR="00E96F93" w:rsidRPr="0058432E">
        <w:rPr>
          <w:b/>
          <w:color w:val="000000" w:themeColor="text1"/>
        </w:rPr>
        <w:t>ssaye</w:t>
      </w:r>
      <w:r w:rsidR="000F3F8F" w:rsidRPr="0058432E">
        <w:rPr>
          <w:b/>
          <w:color w:val="000000" w:themeColor="text1"/>
        </w:rPr>
        <w:t>z</w:t>
      </w:r>
      <w:r w:rsidR="00E96F93" w:rsidRPr="0058432E">
        <w:rPr>
          <w:b/>
          <w:color w:val="000000" w:themeColor="text1"/>
        </w:rPr>
        <w:t xml:space="preserve"> </w:t>
      </w:r>
      <w:r w:rsidR="000F3F8F" w:rsidRPr="0058432E">
        <w:rPr>
          <w:b/>
          <w:color w:val="000000" w:themeColor="text1"/>
        </w:rPr>
        <w:t>pas</w:t>
      </w:r>
      <w:r w:rsidR="000F3F8F" w:rsidRPr="0058432E">
        <w:rPr>
          <w:color w:val="000000" w:themeColor="text1"/>
        </w:rPr>
        <w:t xml:space="preserve"> </w:t>
      </w:r>
      <w:r w:rsidR="00E96F93" w:rsidRPr="0058432E">
        <w:rPr>
          <w:color w:val="000000" w:themeColor="text1"/>
        </w:rPr>
        <w:t>d'éliminer les bulles d'air.</w:t>
      </w:r>
    </w:p>
    <w:p w14:paraId="2A3B0E05" w14:textId="77777777" w:rsidR="00E23160" w:rsidRPr="0058432E" w:rsidRDefault="00E23160" w:rsidP="00E23160">
      <w:pPr>
        <w:ind w:left="562" w:hanging="562"/>
        <w:contextualSpacing/>
        <w:rPr>
          <w:bCs/>
          <w:color w:val="000000" w:themeColor="text1"/>
        </w:rPr>
      </w:pPr>
    </w:p>
    <w:p w14:paraId="3695AF0F" w14:textId="77777777" w:rsidR="00CB669F" w:rsidRPr="0058432E" w:rsidRDefault="00CB669F" w:rsidP="00A53E17">
      <w:pPr>
        <w:contextualSpacing/>
        <w:rPr>
          <w:color w:val="000000" w:themeColor="text1"/>
        </w:rPr>
      </w:pPr>
      <w:r w:rsidRPr="0058432E">
        <w:rPr>
          <w:color w:val="000000" w:themeColor="text1"/>
        </w:rPr>
        <w:t>Pour toutes questions à propos d</w:t>
      </w:r>
      <w:r w:rsidR="00600015" w:rsidRPr="0058432E">
        <w:rPr>
          <w:color w:val="000000" w:themeColor="text1"/>
        </w:rPr>
        <w:t>u</w:t>
      </w:r>
      <w:r w:rsidRPr="0058432E">
        <w:rPr>
          <w:color w:val="000000" w:themeColor="text1"/>
        </w:rPr>
        <w:t xml:space="preserve"> médicament</w:t>
      </w:r>
      <w:r w:rsidR="00600015" w:rsidRPr="0058432E">
        <w:rPr>
          <w:color w:val="000000" w:themeColor="text1"/>
        </w:rPr>
        <w:t xml:space="preserve"> de votre enfant</w:t>
      </w:r>
      <w:r w:rsidRPr="0058432E">
        <w:rPr>
          <w:color w:val="000000" w:themeColor="text1"/>
        </w:rPr>
        <w:t xml:space="preserve">, interrogez </w:t>
      </w:r>
      <w:r w:rsidR="00600015" w:rsidRPr="0058432E">
        <w:rPr>
          <w:color w:val="000000" w:themeColor="text1"/>
        </w:rPr>
        <w:t>le</w:t>
      </w:r>
      <w:r w:rsidRPr="0058432E">
        <w:rPr>
          <w:color w:val="000000" w:themeColor="text1"/>
        </w:rPr>
        <w:t xml:space="preserve"> médecin</w:t>
      </w:r>
      <w:r w:rsidR="00600015" w:rsidRPr="0058432E">
        <w:rPr>
          <w:color w:val="000000" w:themeColor="text1"/>
        </w:rPr>
        <w:t>, l’</w:t>
      </w:r>
      <w:r w:rsidR="0093388F" w:rsidRPr="0058432E">
        <w:rPr>
          <w:color w:val="000000" w:themeColor="text1"/>
        </w:rPr>
        <w:t>infirmier/ère</w:t>
      </w:r>
      <w:r w:rsidRPr="0058432E">
        <w:rPr>
          <w:color w:val="000000" w:themeColor="text1"/>
        </w:rPr>
        <w:t xml:space="preserve"> ou </w:t>
      </w:r>
      <w:r w:rsidR="00600015" w:rsidRPr="0058432E">
        <w:rPr>
          <w:color w:val="000000" w:themeColor="text1"/>
        </w:rPr>
        <w:t>le</w:t>
      </w:r>
      <w:r w:rsidR="00411DFE" w:rsidRPr="0058432E">
        <w:rPr>
          <w:color w:val="000000" w:themeColor="text1"/>
        </w:rPr>
        <w:t xml:space="preserve"> </w:t>
      </w:r>
      <w:r w:rsidRPr="0058432E">
        <w:rPr>
          <w:color w:val="000000" w:themeColor="text1"/>
        </w:rPr>
        <w:t>pharmacien</w:t>
      </w:r>
      <w:r w:rsidR="00D32579" w:rsidRPr="0058432E">
        <w:rPr>
          <w:color w:val="000000" w:themeColor="text1"/>
        </w:rPr>
        <w:t xml:space="preserve"> de votre enfant</w:t>
      </w:r>
      <w:r w:rsidR="009A0E40" w:rsidRPr="0058432E">
        <w:rPr>
          <w:color w:val="000000" w:themeColor="text1"/>
        </w:rPr>
        <w:t>.</w:t>
      </w:r>
    </w:p>
    <w:p w14:paraId="276992BD" w14:textId="77777777" w:rsidR="00CB669F" w:rsidRPr="0058432E" w:rsidRDefault="00CB669F" w:rsidP="00E23160">
      <w:pPr>
        <w:pStyle w:val="ListParagraph"/>
        <w:ind w:left="562" w:hanging="562"/>
        <w:contextualSpacing/>
        <w:rPr>
          <w:color w:val="000000" w:themeColor="text1"/>
        </w:rPr>
      </w:pPr>
    </w:p>
    <w:p w14:paraId="182F30A8" w14:textId="77777777" w:rsidR="00354102" w:rsidRPr="0058432E" w:rsidRDefault="00354102" w:rsidP="00354102">
      <w:pPr>
        <w:pStyle w:val="ListParagraph"/>
        <w:rPr>
          <w:color w:val="000000" w:themeColor="text1"/>
        </w:rPr>
      </w:pPr>
    </w:p>
    <w:p w14:paraId="656A6842" w14:textId="095B12A6" w:rsidR="00D32579" w:rsidRPr="0058432E" w:rsidRDefault="009D65D0" w:rsidP="00D32579">
      <w:pPr>
        <w:jc w:val="center"/>
        <w:rPr>
          <w:color w:val="000000" w:themeColor="text1"/>
        </w:rPr>
      </w:pPr>
      <w:r w:rsidRPr="0058432E">
        <w:rPr>
          <w:noProof/>
          <w:color w:val="000000" w:themeColor="text1"/>
        </w:rPr>
        <mc:AlternateContent>
          <mc:Choice Requires="wps">
            <w:drawing>
              <wp:anchor distT="0" distB="0" distL="114300" distR="114300" simplePos="0" relativeHeight="251682304" behindDoc="0" locked="0" layoutInCell="1" allowOverlap="1" wp14:anchorId="545987E7" wp14:editId="7EAE8CC3">
                <wp:simplePos x="0" y="0"/>
                <wp:positionH relativeFrom="column">
                  <wp:posOffset>3310890</wp:posOffset>
                </wp:positionH>
                <wp:positionV relativeFrom="paragraph">
                  <wp:posOffset>615315</wp:posOffset>
                </wp:positionV>
                <wp:extent cx="1722755" cy="710565"/>
                <wp:effectExtent l="0" t="0" r="0" b="0"/>
                <wp:wrapNone/>
                <wp:docPr id="117" name="Zone de text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710565"/>
                        </a:xfrm>
                        <a:prstGeom prst="rect">
                          <a:avLst/>
                        </a:prstGeom>
                        <a:solidFill>
                          <a:srgbClr val="FFFFFF"/>
                        </a:solidFill>
                        <a:ln>
                          <a:noFill/>
                        </a:ln>
                      </wps:spPr>
                      <wps:txbx>
                        <w:txbxContent>
                          <w:p w14:paraId="6F8118DB" w14:textId="77777777" w:rsidR="009A26D2" w:rsidRPr="00CD77DB" w:rsidRDefault="009A26D2" w:rsidP="00CD77DB">
                            <w:pPr>
                              <w:rPr>
                                <w:b/>
                                <w:bCs/>
                                <w:color w:val="C45911"/>
                              </w:rPr>
                            </w:pPr>
                            <w:r w:rsidRPr="00CD77DB">
                              <w:rPr>
                                <w:b/>
                                <w:bCs/>
                                <w:color w:val="C45911"/>
                              </w:rPr>
                              <w:t>Abdomen</w:t>
                            </w:r>
                          </w:p>
                          <w:p w14:paraId="46A38B56" w14:textId="77777777" w:rsidR="009A26D2" w:rsidRPr="00CD77DB" w:rsidRDefault="009A26D2" w:rsidP="00CD77DB">
                            <w:r w:rsidRPr="00CD77DB">
                              <w:t>À au moins 5 cm du nombril de votre enfant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987E7" id="Zone de texte 117" o:spid="_x0000_s1072" type="#_x0000_t202" style="position:absolute;left:0;text-align:left;margin-left:260.7pt;margin-top:48.45pt;width:135.65pt;height:55.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" stroked="f">
                <v:textbox>
                  <w:txbxContent>
                    <w:p w14:paraId="6F8118DB" w14:textId="77777777" w:rsidR="009A26D2" w:rsidRPr="00CD77DB" w:rsidRDefault="009A26D2" w:rsidP="00CD77DB">
                      <w:pPr>
                        <w:rPr>
                          <w:b/>
                          <w:bCs/>
                          <w:color w:val="C45911"/>
                        </w:rPr>
                      </w:pPr>
                      <w:r w:rsidRPr="00CD77DB">
                        <w:rPr>
                          <w:b/>
                          <w:bCs/>
                          <w:color w:val="C45911"/>
                        </w:rPr>
                        <w:t>Abdomen</w:t>
                      </w:r>
                    </w:p>
                    <w:p w14:paraId="46A38B56" w14:textId="77777777" w:rsidR="009A26D2" w:rsidRPr="00CD77DB" w:rsidRDefault="009A26D2" w:rsidP="00CD77DB">
                      <w:r w:rsidRPr="00CD77DB">
                        <w:t>À au moins 5 cm du nombril de votre enfant</w:t>
                      </w:r>
                    </w:p>
                  </w:txbxContent>
                </v:textbox>
              </v:shape>
            </w:pict>
          </mc:Fallback>
        </mc:AlternateContent>
      </w:r>
      <w:r w:rsidRPr="0058432E">
        <w:rPr>
          <w:noProof/>
          <w:color w:val="000000" w:themeColor="text1"/>
        </w:rPr>
        <mc:AlternateContent>
          <mc:Choice Requires="wps">
            <w:drawing>
              <wp:anchor distT="0" distB="0" distL="114300" distR="114300" simplePos="0" relativeHeight="251683328" behindDoc="0" locked="0" layoutInCell="1" allowOverlap="1" wp14:anchorId="09BF9AE3" wp14:editId="4215ABB6">
                <wp:simplePos x="0" y="0"/>
                <wp:positionH relativeFrom="column">
                  <wp:posOffset>3207385</wp:posOffset>
                </wp:positionH>
                <wp:positionV relativeFrom="paragraph">
                  <wp:posOffset>1548765</wp:posOffset>
                </wp:positionV>
                <wp:extent cx="1722755" cy="521335"/>
                <wp:effectExtent l="0" t="0" r="0" b="0"/>
                <wp:wrapNone/>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2C345DAF" w14:textId="77777777" w:rsidR="009A26D2" w:rsidRPr="00706E15" w:rsidRDefault="009A26D2" w:rsidP="00CD77DB">
                            <w:pPr>
                              <w:rPr>
                                <w:b/>
                                <w:bCs/>
                                <w:color w:val="C45911"/>
                                <w:szCs w:val="18"/>
                              </w:rPr>
                            </w:pPr>
                            <w:r w:rsidRPr="00706E15">
                              <w:rPr>
                                <w:b/>
                                <w:bCs/>
                                <w:color w:val="C45911"/>
                                <w:szCs w:val="18"/>
                              </w:rPr>
                              <w:t>Cuisses</w:t>
                            </w:r>
                          </w:p>
                          <w:p w14:paraId="6FFAD8AA" w14:textId="77777777" w:rsidR="009A26D2" w:rsidRPr="00706E15" w:rsidRDefault="009A26D2" w:rsidP="00CD77DB">
                            <w:pPr>
                              <w:rPr>
                                <w:szCs w:val="18"/>
                              </w:rPr>
                            </w:pPr>
                            <w:r w:rsidRPr="00706E15">
                              <w:rPr>
                                <w:szCs w:val="18"/>
                              </w:rPr>
                              <w:t>Sur le haut de la cuisse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F9AE3" id="Zone de texte 118" o:spid="_x0000_s1073" type="#_x0000_t202" style="position:absolute;left:0;text-align:left;margin-left:252.55pt;margin-top:121.95pt;width:135.65pt;height:41.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" stroked="f">
                <v:textbox>
                  <w:txbxContent>
                    <w:p w14:paraId="2C345DAF" w14:textId="77777777" w:rsidR="009A26D2" w:rsidRPr="00706E15" w:rsidRDefault="009A26D2" w:rsidP="00CD77DB">
                      <w:pPr>
                        <w:rPr>
                          <w:b/>
                          <w:bCs/>
                          <w:color w:val="C45911"/>
                          <w:szCs w:val="18"/>
                        </w:rPr>
                      </w:pPr>
                      <w:r w:rsidRPr="00706E15">
                        <w:rPr>
                          <w:b/>
                          <w:bCs/>
                          <w:color w:val="C45911"/>
                          <w:szCs w:val="18"/>
                        </w:rPr>
                        <w:t>Cuisses</w:t>
                      </w:r>
                    </w:p>
                    <w:p w14:paraId="6FFAD8AA" w14:textId="77777777" w:rsidR="009A26D2" w:rsidRPr="00706E15" w:rsidRDefault="009A26D2" w:rsidP="00CD77DB">
                      <w:pPr>
                        <w:rPr>
                          <w:szCs w:val="18"/>
                        </w:rPr>
                      </w:pPr>
                      <w:r w:rsidRPr="00706E15">
                        <w:rPr>
                          <w:szCs w:val="18"/>
                        </w:rPr>
                        <w:t>Sur le haut de la cuisse</w:t>
                      </w:r>
                    </w:p>
                  </w:txbxContent>
                </v:textbox>
              </v:shape>
            </w:pict>
          </mc:Fallback>
        </mc:AlternateContent>
      </w:r>
      <w:r w:rsidRPr="0058432E">
        <w:rPr>
          <w:noProof/>
          <w:color w:val="000000" w:themeColor="text1"/>
        </w:rPr>
        <mc:AlternateContent>
          <mc:Choice Requires="wps">
            <w:drawing>
              <wp:anchor distT="0" distB="0" distL="114300" distR="114300" simplePos="0" relativeHeight="251681280" behindDoc="0" locked="0" layoutInCell="1" allowOverlap="1" wp14:anchorId="16A5B482" wp14:editId="1C21D493">
                <wp:simplePos x="0" y="0"/>
                <wp:positionH relativeFrom="column">
                  <wp:posOffset>1010285</wp:posOffset>
                </wp:positionH>
                <wp:positionV relativeFrom="paragraph">
                  <wp:posOffset>36195</wp:posOffset>
                </wp:positionV>
                <wp:extent cx="2665730" cy="325120"/>
                <wp:effectExtent l="0" t="0" r="0" b="0"/>
                <wp:wrapNone/>
                <wp:docPr id="116" name="Zone de texte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325120"/>
                        </a:xfrm>
                        <a:prstGeom prst="rect">
                          <a:avLst/>
                        </a:prstGeom>
                        <a:solidFill>
                          <a:srgbClr val="FFFFFF"/>
                        </a:solidFill>
                        <a:ln>
                          <a:noFill/>
                        </a:ln>
                      </wps:spPr>
                      <wps:txbx>
                        <w:txbxContent>
                          <w:p w14:paraId="71DB2F91" w14:textId="77777777" w:rsidR="009A26D2" w:rsidRPr="00CD77DB" w:rsidRDefault="009A26D2" w:rsidP="00CD77DB">
                            <w:pPr>
                              <w:rPr>
                                <w:b/>
                                <w:bCs/>
                                <w:szCs w:val="18"/>
                              </w:rPr>
                            </w:pPr>
                            <w:r w:rsidRPr="00CD77DB">
                              <w:rPr>
                                <w:b/>
                                <w:bCs/>
                                <w:szCs w:val="18"/>
                              </w:rPr>
                              <w:t>Choisissez et préparez le site d’injection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5B482" id="Zone de texte 116" o:spid="_x0000_s1074" type="#_x0000_t202" style="position:absolute;left:0;text-align:left;margin-left:79.55pt;margin-top:2.85pt;width:209.9pt;height:25.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" stroked="f">
                <v:textbox>
                  <w:txbxContent>
                    <w:p w14:paraId="71DB2F91" w14:textId="77777777" w:rsidR="009A26D2" w:rsidRPr="00CD77DB" w:rsidRDefault="009A26D2" w:rsidP="00CD77DB">
                      <w:pPr>
                        <w:rPr>
                          <w:b/>
                          <w:bCs/>
                          <w:szCs w:val="18"/>
                        </w:rPr>
                      </w:pPr>
                      <w:r w:rsidRPr="00CD77DB">
                        <w:rPr>
                          <w:b/>
                          <w:bCs/>
                          <w:szCs w:val="18"/>
                        </w:rPr>
                        <w:t>Choisissez et préparez le site d’injection</w:t>
                      </w:r>
                    </w:p>
                  </w:txbxContent>
                </v:textbox>
              </v:shape>
            </w:pict>
          </mc:Fallback>
        </mc:AlternateContent>
      </w:r>
      <w:r w:rsidRPr="0058432E">
        <w:rPr>
          <w:noProof/>
          <w:color w:val="000000" w:themeColor="text1"/>
        </w:rPr>
        <w:drawing>
          <wp:inline distT="0" distB="0" distL="0" distR="0" wp14:anchorId="41AD4978" wp14:editId="7AC511A3">
            <wp:extent cx="4754880" cy="246888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54880" cy="2468880"/>
                    </a:xfrm>
                    <a:prstGeom prst="rect">
                      <a:avLst/>
                    </a:prstGeom>
                    <a:noFill/>
                    <a:ln>
                      <a:noFill/>
                    </a:ln>
                  </pic:spPr>
                </pic:pic>
              </a:graphicData>
            </a:graphic>
          </wp:inline>
        </w:drawing>
      </w:r>
    </w:p>
    <w:p w14:paraId="3E2E93E7" w14:textId="77777777" w:rsidR="00F54749" w:rsidRPr="0058432E" w:rsidRDefault="00F54749" w:rsidP="00982118">
      <w:pPr>
        <w:rPr>
          <w:color w:val="000000" w:themeColor="text1"/>
        </w:rPr>
      </w:pPr>
    </w:p>
    <w:p w14:paraId="1BECDC49" w14:textId="77777777" w:rsidR="00CB669F" w:rsidRPr="0058432E" w:rsidRDefault="00CB669F" w:rsidP="00982118">
      <w:pPr>
        <w:rPr>
          <w:color w:val="000000" w:themeColor="text1"/>
        </w:rPr>
      </w:pPr>
    </w:p>
    <w:p w14:paraId="68CBAE6A"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 xml:space="preserve">Choisissez un site différent à chaque fois que vous </w:t>
      </w:r>
      <w:r w:rsidR="00600015" w:rsidRPr="0058432E">
        <w:rPr>
          <w:color w:val="000000" w:themeColor="text1"/>
        </w:rPr>
        <w:t>faites une injection à votre enfant</w:t>
      </w:r>
      <w:r w:rsidR="00CD77DB" w:rsidRPr="0058432E">
        <w:rPr>
          <w:color w:val="000000" w:themeColor="text1"/>
        </w:rPr>
        <w:t>.</w:t>
      </w:r>
    </w:p>
    <w:p w14:paraId="68EF06CD"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b/>
          <w:color w:val="000000" w:themeColor="text1"/>
        </w:rPr>
        <w:t>N’injectez pas</w:t>
      </w:r>
      <w:r w:rsidRPr="0058432E">
        <w:rPr>
          <w:color w:val="000000" w:themeColor="text1"/>
        </w:rPr>
        <w:t xml:space="preserve"> dans les zones osseuses ou les zones de la peau</w:t>
      </w:r>
      <w:r w:rsidR="00086CEE" w:rsidRPr="0058432E">
        <w:rPr>
          <w:color w:val="000000" w:themeColor="text1"/>
        </w:rPr>
        <w:t xml:space="preserve"> de votre enfant</w:t>
      </w:r>
      <w:r w:rsidRPr="0058432E">
        <w:rPr>
          <w:color w:val="000000" w:themeColor="text1"/>
        </w:rPr>
        <w:t xml:space="preserve"> qui sont contusionnées, rouges, douloureuses (sensibles) ou indurées. Évitez d’injecter dans les zones comportant des cicatrices ou des vergetures.</w:t>
      </w:r>
    </w:p>
    <w:p w14:paraId="34E4CEB3" w14:textId="77777777" w:rsidR="00CB669F" w:rsidRPr="0058432E" w:rsidRDefault="00CB669F" w:rsidP="00E23160">
      <w:pPr>
        <w:pStyle w:val="ListParagraph"/>
        <w:numPr>
          <w:ilvl w:val="0"/>
          <w:numId w:val="32"/>
        </w:numPr>
        <w:ind w:left="1124" w:hanging="562"/>
        <w:contextualSpacing/>
        <w:rPr>
          <w:color w:val="000000" w:themeColor="text1"/>
        </w:rPr>
      </w:pPr>
      <w:r w:rsidRPr="0058432E">
        <w:rPr>
          <w:color w:val="000000" w:themeColor="text1"/>
        </w:rPr>
        <w:t>Si vo</w:t>
      </w:r>
      <w:r w:rsidR="00086CEE" w:rsidRPr="0058432E">
        <w:rPr>
          <w:color w:val="000000" w:themeColor="text1"/>
        </w:rPr>
        <w:t>tre enfant</w:t>
      </w:r>
      <w:r w:rsidR="00411DFE" w:rsidRPr="0058432E">
        <w:rPr>
          <w:color w:val="000000" w:themeColor="text1"/>
        </w:rPr>
        <w:t xml:space="preserve"> </w:t>
      </w:r>
      <w:r w:rsidRPr="0058432E">
        <w:rPr>
          <w:color w:val="000000" w:themeColor="text1"/>
        </w:rPr>
        <w:t xml:space="preserve">souffre de psoriasis, </w:t>
      </w:r>
      <w:r w:rsidRPr="0058432E">
        <w:rPr>
          <w:b/>
          <w:color w:val="000000" w:themeColor="text1"/>
        </w:rPr>
        <w:t>n</w:t>
      </w:r>
      <w:r w:rsidR="00775C1C" w:rsidRPr="0058432E">
        <w:rPr>
          <w:b/>
          <w:color w:val="000000" w:themeColor="text1"/>
        </w:rPr>
        <w:t>’</w:t>
      </w:r>
      <w:r w:rsidRPr="0058432E">
        <w:rPr>
          <w:b/>
          <w:color w:val="000000" w:themeColor="text1"/>
        </w:rPr>
        <w:t>injectez</w:t>
      </w:r>
      <w:r w:rsidRPr="0058432E">
        <w:rPr>
          <w:color w:val="000000" w:themeColor="text1"/>
        </w:rPr>
        <w:t xml:space="preserve"> </w:t>
      </w:r>
      <w:r w:rsidRPr="0058432E">
        <w:rPr>
          <w:b/>
          <w:color w:val="000000" w:themeColor="text1"/>
        </w:rPr>
        <w:t>pas</w:t>
      </w:r>
      <w:r w:rsidRPr="0058432E">
        <w:rPr>
          <w:color w:val="000000" w:themeColor="text1"/>
        </w:rPr>
        <w:t xml:space="preserve"> directement dans des plaques ou lésions cutanées en relief, épaisses, rouges ou squameuses</w:t>
      </w:r>
      <w:r w:rsidR="00086CEE" w:rsidRPr="0058432E">
        <w:rPr>
          <w:color w:val="000000" w:themeColor="text1"/>
        </w:rPr>
        <w:t xml:space="preserve"> </w:t>
      </w:r>
      <w:r w:rsidR="000F4ED5" w:rsidRPr="0058432E">
        <w:rPr>
          <w:color w:val="000000" w:themeColor="text1"/>
        </w:rPr>
        <w:t>de</w:t>
      </w:r>
      <w:r w:rsidR="00086CEE" w:rsidRPr="0058432E">
        <w:rPr>
          <w:color w:val="000000" w:themeColor="text1"/>
        </w:rPr>
        <w:t xml:space="preserve"> la peau de votre enfant</w:t>
      </w:r>
      <w:r w:rsidRPr="0058432E">
        <w:rPr>
          <w:color w:val="000000" w:themeColor="text1"/>
        </w:rPr>
        <w:t>.</w:t>
      </w:r>
    </w:p>
    <w:p w14:paraId="48DA75E7"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b/>
          <w:color w:val="000000" w:themeColor="text1"/>
        </w:rPr>
        <w:t>N’injectez pas</w:t>
      </w:r>
      <w:r w:rsidRPr="0058432E">
        <w:rPr>
          <w:color w:val="000000" w:themeColor="text1"/>
        </w:rPr>
        <w:t xml:space="preserve"> à travers </w:t>
      </w:r>
      <w:r w:rsidR="00086CEE" w:rsidRPr="0058432E">
        <w:rPr>
          <w:color w:val="000000" w:themeColor="text1"/>
        </w:rPr>
        <w:t>les</w:t>
      </w:r>
      <w:r w:rsidRPr="0058432E">
        <w:rPr>
          <w:color w:val="000000" w:themeColor="text1"/>
        </w:rPr>
        <w:t xml:space="preserve"> vêtements</w:t>
      </w:r>
      <w:r w:rsidR="00086CEE" w:rsidRPr="0058432E">
        <w:rPr>
          <w:color w:val="000000" w:themeColor="text1"/>
        </w:rPr>
        <w:t xml:space="preserve"> de votre enfant</w:t>
      </w:r>
      <w:r w:rsidRPr="0058432E">
        <w:rPr>
          <w:color w:val="000000" w:themeColor="text1"/>
        </w:rPr>
        <w:t>.</w:t>
      </w:r>
    </w:p>
    <w:p w14:paraId="7FEA06B1"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Nettoyez le site d’injection avec le tampon d’alcool.</w:t>
      </w:r>
    </w:p>
    <w:p w14:paraId="500FA418"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Laissez sécher le site d’injection.</w:t>
      </w:r>
    </w:p>
    <w:p w14:paraId="031706DD" w14:textId="77777777" w:rsidR="00CB669F" w:rsidRPr="0058432E" w:rsidRDefault="00CB669F" w:rsidP="00982118">
      <w:pPr>
        <w:rPr>
          <w:color w:val="000000" w:themeColor="text1"/>
        </w:rPr>
      </w:pPr>
    </w:p>
    <w:p w14:paraId="256EED1B" w14:textId="77777777" w:rsidR="00BA114F" w:rsidRPr="0058432E" w:rsidRDefault="00BA114F" w:rsidP="00BA114F">
      <w:pPr>
        <w:rPr>
          <w:color w:val="000000" w:themeColor="text1"/>
        </w:rPr>
      </w:pPr>
    </w:p>
    <w:p w14:paraId="2B8AEDB8" w14:textId="46CCCA03" w:rsidR="000F4ED5" w:rsidRPr="0058432E" w:rsidRDefault="009D65D0" w:rsidP="000F4ED5">
      <w:pPr>
        <w:jc w:val="center"/>
        <w:rPr>
          <w:color w:val="000000" w:themeColor="text1"/>
        </w:rPr>
      </w:pPr>
      <w:r w:rsidRPr="0058432E">
        <w:rPr>
          <w:noProof/>
          <w:color w:val="000000" w:themeColor="text1"/>
        </w:rPr>
        <mc:AlternateContent>
          <mc:Choice Requires="wps">
            <w:drawing>
              <wp:anchor distT="0" distB="0" distL="114300" distR="114300" simplePos="0" relativeHeight="251684352" behindDoc="0" locked="0" layoutInCell="1" allowOverlap="1" wp14:anchorId="6E0AA1FC" wp14:editId="3D6AD727">
                <wp:simplePos x="0" y="0"/>
                <wp:positionH relativeFrom="column">
                  <wp:posOffset>1546860</wp:posOffset>
                </wp:positionH>
                <wp:positionV relativeFrom="paragraph">
                  <wp:posOffset>61595</wp:posOffset>
                </wp:positionV>
                <wp:extent cx="1861820" cy="303530"/>
                <wp:effectExtent l="0" t="0" r="0" b="0"/>
                <wp:wrapNone/>
                <wp:docPr id="120" name="Zone de texte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820" cy="303530"/>
                        </a:xfrm>
                        <a:prstGeom prst="rect">
                          <a:avLst/>
                        </a:prstGeom>
                        <a:solidFill>
                          <a:srgbClr val="FFFFFF"/>
                        </a:solidFill>
                        <a:ln>
                          <a:noFill/>
                        </a:ln>
                      </wps:spPr>
                      <wps:txbx>
                        <w:txbxContent>
                          <w:p w14:paraId="61A6D6EF" w14:textId="77777777" w:rsidR="009A26D2" w:rsidRPr="00706E15" w:rsidRDefault="009A26D2" w:rsidP="007B66B6">
                            <w:pPr>
                              <w:rPr>
                                <w:b/>
                                <w:bCs/>
                                <w:szCs w:val="18"/>
                              </w:rPr>
                            </w:pPr>
                            <w:r w:rsidRPr="00706E15">
                              <w:rPr>
                                <w:b/>
                                <w:bCs/>
                                <w:szCs w:val="18"/>
                              </w:rPr>
                              <w:t>Retirez le protège-aiguille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AA1FC" id="Zone de texte 120" o:spid="_x0000_s1075" type="#_x0000_t202" style="position:absolute;left:0;text-align:left;margin-left:121.8pt;margin-top:4.85pt;width:146.6pt;height:23.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" stroked="f">
                <v:textbox>
                  <w:txbxContent>
                    <w:p w14:paraId="61A6D6EF" w14:textId="77777777" w:rsidR="009A26D2" w:rsidRPr="00706E15" w:rsidRDefault="009A26D2" w:rsidP="007B66B6">
                      <w:pPr>
                        <w:rPr>
                          <w:b/>
                          <w:bCs/>
                          <w:szCs w:val="18"/>
                        </w:rPr>
                      </w:pPr>
                      <w:r w:rsidRPr="00706E15">
                        <w:rPr>
                          <w:b/>
                          <w:bCs/>
                          <w:szCs w:val="18"/>
                        </w:rPr>
                        <w:t>Retirez le protège-aiguille</w:t>
                      </w:r>
                    </w:p>
                  </w:txbxContent>
                </v:textbox>
              </v:shape>
            </w:pict>
          </mc:Fallback>
        </mc:AlternateContent>
      </w:r>
      <w:r w:rsidRPr="0058432E">
        <w:rPr>
          <w:noProof/>
          <w:color w:val="000000" w:themeColor="text1"/>
        </w:rPr>
        <w:drawing>
          <wp:inline distT="0" distB="0" distL="0" distR="0" wp14:anchorId="2FE846BA" wp14:editId="3E88286E">
            <wp:extent cx="3840480" cy="251841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40480" cy="2518410"/>
                    </a:xfrm>
                    <a:prstGeom prst="rect">
                      <a:avLst/>
                    </a:prstGeom>
                    <a:noFill/>
                    <a:ln>
                      <a:noFill/>
                    </a:ln>
                  </pic:spPr>
                </pic:pic>
              </a:graphicData>
            </a:graphic>
          </wp:inline>
        </w:drawing>
      </w:r>
    </w:p>
    <w:p w14:paraId="0BCE6C36" w14:textId="77777777" w:rsidR="00CB669F" w:rsidRPr="0058432E" w:rsidRDefault="00CB669F" w:rsidP="00982118">
      <w:pPr>
        <w:rPr>
          <w:color w:val="000000" w:themeColor="text1"/>
        </w:rPr>
      </w:pPr>
    </w:p>
    <w:p w14:paraId="091A0838"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Tenez la seringue préremplie par le corps de la seringue. Lorsque vous êtes prêt à procéder à l’injection, retirez avec précaution le protège-aiguille en veillant à ne pas vous piquer.</w:t>
      </w:r>
    </w:p>
    <w:p w14:paraId="46BA1373"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 xml:space="preserve">Il est normal de voir </w:t>
      </w:r>
      <w:r w:rsidR="004045BD" w:rsidRPr="0058432E">
        <w:rPr>
          <w:color w:val="000000" w:themeColor="text1"/>
        </w:rPr>
        <w:t>quelques</w:t>
      </w:r>
      <w:r w:rsidRPr="0058432E">
        <w:rPr>
          <w:color w:val="000000" w:themeColor="text1"/>
        </w:rPr>
        <w:t xml:space="preserve"> goutte</w:t>
      </w:r>
      <w:r w:rsidR="004045BD" w:rsidRPr="0058432E">
        <w:rPr>
          <w:color w:val="000000" w:themeColor="text1"/>
        </w:rPr>
        <w:t>s</w:t>
      </w:r>
      <w:r w:rsidRPr="0058432E">
        <w:rPr>
          <w:color w:val="000000" w:themeColor="text1"/>
        </w:rPr>
        <w:t xml:space="preserve"> </w:t>
      </w:r>
      <w:r w:rsidR="004045BD" w:rsidRPr="0058432E">
        <w:rPr>
          <w:color w:val="000000" w:themeColor="text1"/>
        </w:rPr>
        <w:t>de médicament à l'extrémité de l'aiguille lorsque vous retirez le protège-aiguille.</w:t>
      </w:r>
    </w:p>
    <w:p w14:paraId="6B890B13" w14:textId="77777777" w:rsidR="00CB669F" w:rsidRPr="0058432E" w:rsidRDefault="00CB669F" w:rsidP="00E23160">
      <w:pPr>
        <w:pStyle w:val="ListParagraph"/>
        <w:numPr>
          <w:ilvl w:val="0"/>
          <w:numId w:val="35"/>
        </w:numPr>
        <w:ind w:left="562" w:hanging="562"/>
        <w:contextualSpacing/>
        <w:rPr>
          <w:color w:val="000000" w:themeColor="text1"/>
        </w:rPr>
      </w:pPr>
      <w:proofErr w:type="gramStart"/>
      <w:r w:rsidRPr="0058432E">
        <w:rPr>
          <w:color w:val="000000" w:themeColor="text1"/>
        </w:rPr>
        <w:t>Jetez le</w:t>
      </w:r>
      <w:proofErr w:type="gramEnd"/>
      <w:r w:rsidRPr="0058432E">
        <w:rPr>
          <w:color w:val="000000" w:themeColor="text1"/>
        </w:rPr>
        <w:t xml:space="preserve"> protège-aiguille dans un réceptacle destiné aux objets tranchants et pointus.</w:t>
      </w:r>
    </w:p>
    <w:p w14:paraId="037AD21D" w14:textId="77777777" w:rsidR="00CB669F" w:rsidRPr="0058432E" w:rsidRDefault="00CB669F"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soyez prudent lorsque vous manipulez </w:t>
      </w:r>
      <w:r w:rsidR="004045BD" w:rsidRPr="0058432E">
        <w:rPr>
          <w:color w:val="000000" w:themeColor="text1"/>
        </w:rPr>
        <w:t>la</w:t>
      </w:r>
      <w:r w:rsidRPr="0058432E">
        <w:rPr>
          <w:color w:val="000000" w:themeColor="text1"/>
        </w:rPr>
        <w:t xml:space="preserve"> seringue préremplie pour éviter une blessure accidentelle par piqûre d’aiguille.</w:t>
      </w:r>
    </w:p>
    <w:p w14:paraId="19DB5FE7" w14:textId="77777777" w:rsidR="008F5201" w:rsidRPr="0058432E" w:rsidRDefault="008F5201" w:rsidP="008F5201">
      <w:pPr>
        <w:rPr>
          <w:color w:val="000000" w:themeColor="text1"/>
        </w:rPr>
      </w:pPr>
    </w:p>
    <w:p w14:paraId="0FFAF1B2" w14:textId="4821C10A" w:rsidR="00837AFD" w:rsidRPr="0058432E" w:rsidRDefault="009D65D0" w:rsidP="00837AFD">
      <w:pPr>
        <w:jc w:val="center"/>
        <w:rPr>
          <w:color w:val="000000" w:themeColor="text1"/>
        </w:rPr>
      </w:pPr>
      <w:r w:rsidRPr="0058432E">
        <w:rPr>
          <w:b/>
          <w:noProof/>
          <w:color w:val="000000" w:themeColor="text1"/>
        </w:rPr>
        <mc:AlternateContent>
          <mc:Choice Requires="wps">
            <w:drawing>
              <wp:anchor distT="0" distB="0" distL="114300" distR="114300" simplePos="0" relativeHeight="251685376" behindDoc="0" locked="0" layoutInCell="1" allowOverlap="1" wp14:anchorId="28F53AAF" wp14:editId="0B11E242">
                <wp:simplePos x="0" y="0"/>
                <wp:positionH relativeFrom="column">
                  <wp:posOffset>1489075</wp:posOffset>
                </wp:positionH>
                <wp:positionV relativeFrom="paragraph">
                  <wp:posOffset>57785</wp:posOffset>
                </wp:positionV>
                <wp:extent cx="1290320" cy="303530"/>
                <wp:effectExtent l="0" t="0" r="0" b="0"/>
                <wp:wrapNone/>
                <wp:docPr id="122" name="Zone de texte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303530"/>
                        </a:xfrm>
                        <a:prstGeom prst="rect">
                          <a:avLst/>
                        </a:prstGeom>
                        <a:solidFill>
                          <a:srgbClr val="FFFFFF"/>
                        </a:solidFill>
                        <a:ln>
                          <a:noFill/>
                        </a:ln>
                      </wps:spPr>
                      <wps:txbx>
                        <w:txbxContent>
                          <w:p w14:paraId="3BFA061F" w14:textId="77777777" w:rsidR="009A26D2" w:rsidRPr="00706E15" w:rsidRDefault="009A26D2" w:rsidP="007B66B6">
                            <w:pPr>
                              <w:rPr>
                                <w:b/>
                                <w:bCs/>
                                <w:szCs w:val="18"/>
                              </w:rPr>
                            </w:pPr>
                            <w:r w:rsidRPr="00706E15">
                              <w:rPr>
                                <w:b/>
                                <w:bCs/>
                                <w:szCs w:val="18"/>
                              </w:rPr>
                              <w:t>Insérez l’aiguille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53AAF" id="Zone de texte 122" o:spid="_x0000_s1076" type="#_x0000_t202" style="position:absolute;left:0;text-align:left;margin-left:117.25pt;margin-top:4.55pt;width:101.6pt;height:23.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" stroked="f">
                <v:textbox>
                  <w:txbxContent>
                    <w:p w14:paraId="3BFA061F" w14:textId="77777777" w:rsidR="009A26D2" w:rsidRPr="00706E15" w:rsidRDefault="009A26D2" w:rsidP="007B66B6">
                      <w:pPr>
                        <w:rPr>
                          <w:b/>
                          <w:bCs/>
                          <w:szCs w:val="18"/>
                        </w:rPr>
                      </w:pPr>
                      <w:r w:rsidRPr="00706E15">
                        <w:rPr>
                          <w:b/>
                          <w:bCs/>
                          <w:szCs w:val="18"/>
                        </w:rPr>
                        <w:t>Insérez l’aiguille</w:t>
                      </w:r>
                    </w:p>
                  </w:txbxContent>
                </v:textbox>
              </v:shape>
            </w:pict>
          </mc:Fallback>
        </mc:AlternateContent>
      </w:r>
      <w:r w:rsidRPr="0058432E">
        <w:rPr>
          <w:noProof/>
          <w:color w:val="000000" w:themeColor="text1"/>
        </w:rPr>
        <w:drawing>
          <wp:inline distT="0" distB="0" distL="0" distR="0" wp14:anchorId="7CEE2801" wp14:editId="2ABF0539">
            <wp:extent cx="3826510" cy="2518410"/>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26510" cy="2518410"/>
                    </a:xfrm>
                    <a:prstGeom prst="rect">
                      <a:avLst/>
                    </a:prstGeom>
                    <a:noFill/>
                    <a:ln>
                      <a:noFill/>
                    </a:ln>
                  </pic:spPr>
                </pic:pic>
              </a:graphicData>
            </a:graphic>
          </wp:inline>
        </w:drawing>
      </w:r>
    </w:p>
    <w:p w14:paraId="2916E5CC" w14:textId="77777777" w:rsidR="00CB669F" w:rsidRPr="0058432E" w:rsidRDefault="00CB669F" w:rsidP="00982118">
      <w:pPr>
        <w:rPr>
          <w:color w:val="000000" w:themeColor="text1"/>
        </w:rPr>
      </w:pPr>
    </w:p>
    <w:p w14:paraId="6E7A9C6C"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Pincez délicatement un pli de la zone nettoyée du site d’injection.</w:t>
      </w:r>
    </w:p>
    <w:p w14:paraId="70CFC8DA"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 xml:space="preserve">Insérez l’aiguille jusqu’au bout dans la peau, selon un angle de 45 degrés, comme illustré. </w:t>
      </w:r>
    </w:p>
    <w:p w14:paraId="6E594981" w14:textId="77777777" w:rsidR="004045BD" w:rsidRPr="0058432E" w:rsidRDefault="00CB669F" w:rsidP="00590399">
      <w:pPr>
        <w:pStyle w:val="ListParagraph"/>
        <w:numPr>
          <w:ilvl w:val="0"/>
          <w:numId w:val="35"/>
        </w:numPr>
        <w:ind w:left="562" w:hanging="562"/>
        <w:contextualSpacing/>
        <w:rPr>
          <w:color w:val="000000" w:themeColor="text1"/>
        </w:rPr>
      </w:pPr>
      <w:r w:rsidRPr="0058432E">
        <w:rPr>
          <w:color w:val="000000" w:themeColor="text1"/>
        </w:rPr>
        <w:t>Une fois l’aiguille insérée, relâchez la peau pincée.</w:t>
      </w:r>
    </w:p>
    <w:p w14:paraId="7265D2DF" w14:textId="77777777" w:rsidR="00CB669F" w:rsidRPr="0058432E" w:rsidRDefault="00590399" w:rsidP="00982118">
      <w:pPr>
        <w:rPr>
          <w:color w:val="000000" w:themeColor="text1"/>
        </w:rPr>
      </w:pPr>
      <w:r w:rsidRPr="0058432E">
        <w:rPr>
          <w:b/>
          <w:color w:val="000000" w:themeColor="text1"/>
        </w:rPr>
        <w:lastRenderedPageBreak/>
        <w:t>Important : Ne réinsérez pas</w:t>
      </w:r>
      <w:r w:rsidRPr="0058432E">
        <w:rPr>
          <w:color w:val="000000" w:themeColor="text1"/>
        </w:rPr>
        <w:t xml:space="preserve"> l'aiguille dans la peau de votre enfant. Si l'aiguille a déjà été insérée dans la peau et que vous changez d'avis quant à l'endroit où vous devez injecter, vous aurez besoin d'une seringue </w:t>
      </w:r>
      <w:r w:rsidR="00837AFD" w:rsidRPr="0058432E">
        <w:rPr>
          <w:color w:val="000000" w:themeColor="text1"/>
        </w:rPr>
        <w:t xml:space="preserve">préremplie </w:t>
      </w:r>
      <w:r w:rsidRPr="0058432E">
        <w:rPr>
          <w:color w:val="000000" w:themeColor="text1"/>
        </w:rPr>
        <w:t>de remplacement.</w:t>
      </w:r>
    </w:p>
    <w:p w14:paraId="47579C56" w14:textId="77777777" w:rsidR="000941D3" w:rsidRPr="0058432E" w:rsidRDefault="000941D3" w:rsidP="000941D3">
      <w:pPr>
        <w:rPr>
          <w:color w:val="000000" w:themeColor="text1"/>
        </w:rPr>
      </w:pPr>
    </w:p>
    <w:p w14:paraId="07157BAB" w14:textId="43EA3800" w:rsidR="002F17C7" w:rsidRPr="0058432E" w:rsidRDefault="009D65D0" w:rsidP="002F17C7">
      <w:pPr>
        <w:jc w:val="center"/>
        <w:rPr>
          <w:b/>
          <w:color w:val="000000" w:themeColor="text1"/>
        </w:rPr>
      </w:pPr>
      <w:r w:rsidRPr="0058432E">
        <w:rPr>
          <w:noProof/>
          <w:color w:val="000000" w:themeColor="text1"/>
        </w:rPr>
        <mc:AlternateContent>
          <mc:Choice Requires="wps">
            <w:drawing>
              <wp:anchor distT="0" distB="0" distL="114300" distR="114300" simplePos="0" relativeHeight="251686400" behindDoc="0" locked="0" layoutInCell="1" allowOverlap="1" wp14:anchorId="62D9020C" wp14:editId="745A3683">
                <wp:simplePos x="0" y="0"/>
                <wp:positionH relativeFrom="column">
                  <wp:posOffset>1473835</wp:posOffset>
                </wp:positionH>
                <wp:positionV relativeFrom="paragraph">
                  <wp:posOffset>24130</wp:posOffset>
                </wp:positionV>
                <wp:extent cx="1776730" cy="303530"/>
                <wp:effectExtent l="0" t="0" r="0" b="0"/>
                <wp:wrapNone/>
                <wp:docPr id="124" name="Zone de texte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730" cy="303530"/>
                        </a:xfrm>
                        <a:prstGeom prst="rect">
                          <a:avLst/>
                        </a:prstGeom>
                        <a:solidFill>
                          <a:srgbClr val="FFFFFF"/>
                        </a:solidFill>
                        <a:ln>
                          <a:noFill/>
                        </a:ln>
                      </wps:spPr>
                      <wps:txbx>
                        <w:txbxContent>
                          <w:p w14:paraId="2ED4E935" w14:textId="77777777" w:rsidR="009A26D2" w:rsidRPr="00706E15" w:rsidRDefault="009A26D2" w:rsidP="007B66B6">
                            <w:pPr>
                              <w:rPr>
                                <w:b/>
                                <w:bCs/>
                                <w:szCs w:val="18"/>
                              </w:rPr>
                            </w:pPr>
                            <w:r w:rsidRPr="00706E15">
                              <w:rPr>
                                <w:b/>
                                <w:bCs/>
                                <w:szCs w:val="18"/>
                              </w:rPr>
                              <w:t>Injectez le médicament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9020C" id="Zone de texte 124" o:spid="_x0000_s1077" type="#_x0000_t202" style="position:absolute;left:0;text-align:left;margin-left:116.05pt;margin-top:1.9pt;width:139.9pt;height:23.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" stroked="f">
                <v:textbox>
                  <w:txbxContent>
                    <w:p w14:paraId="2ED4E935" w14:textId="77777777" w:rsidR="009A26D2" w:rsidRPr="00706E15" w:rsidRDefault="009A26D2" w:rsidP="007B66B6">
                      <w:pPr>
                        <w:rPr>
                          <w:b/>
                          <w:bCs/>
                          <w:szCs w:val="18"/>
                        </w:rPr>
                      </w:pPr>
                      <w:r w:rsidRPr="00706E15">
                        <w:rPr>
                          <w:b/>
                          <w:bCs/>
                          <w:szCs w:val="18"/>
                        </w:rPr>
                        <w:t>Injectez le médicament</w:t>
                      </w:r>
                    </w:p>
                  </w:txbxContent>
                </v:textbox>
              </v:shape>
            </w:pict>
          </mc:Fallback>
        </mc:AlternateContent>
      </w:r>
      <w:r w:rsidRPr="0058432E">
        <w:rPr>
          <w:noProof/>
          <w:color w:val="000000" w:themeColor="text1"/>
        </w:rPr>
        <w:drawing>
          <wp:inline distT="0" distB="0" distL="0" distR="0" wp14:anchorId="5781B7C8" wp14:editId="088DA285">
            <wp:extent cx="3826510" cy="249682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26510" cy="2496820"/>
                    </a:xfrm>
                    <a:prstGeom prst="rect">
                      <a:avLst/>
                    </a:prstGeom>
                    <a:noFill/>
                    <a:ln>
                      <a:noFill/>
                    </a:ln>
                  </pic:spPr>
                </pic:pic>
              </a:graphicData>
            </a:graphic>
          </wp:inline>
        </w:drawing>
      </w:r>
    </w:p>
    <w:p w14:paraId="5E35FC3A" w14:textId="77777777" w:rsidR="00CB669F" w:rsidRPr="0058432E" w:rsidRDefault="00CB669F" w:rsidP="00982118">
      <w:pPr>
        <w:pStyle w:val="ListParagraph"/>
        <w:rPr>
          <w:color w:val="000000" w:themeColor="text1"/>
        </w:rPr>
      </w:pPr>
    </w:p>
    <w:p w14:paraId="581A243F" w14:textId="77777777" w:rsidR="00CB669F" w:rsidRPr="0058432E" w:rsidRDefault="00CB669F" w:rsidP="00982118">
      <w:pPr>
        <w:pStyle w:val="ListParagraph"/>
        <w:rPr>
          <w:color w:val="000000" w:themeColor="text1"/>
        </w:rPr>
      </w:pPr>
    </w:p>
    <w:p w14:paraId="7DED634B"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En appliquant une pression lente et constante, poussez la tige du piston jusqu’au bout, jusqu’à ce que le corps soit vide.</w:t>
      </w:r>
      <w:r w:rsidR="00590399" w:rsidRPr="0058432E">
        <w:rPr>
          <w:color w:val="000000" w:themeColor="text1"/>
        </w:rPr>
        <w:t xml:space="preserve"> Il faut habituellement 2 à 5 secondes pour administrer la dose.</w:t>
      </w:r>
    </w:p>
    <w:p w14:paraId="17072F5B" w14:textId="77777777" w:rsidR="00CB669F" w:rsidRPr="0058432E" w:rsidRDefault="00CB669F"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il est recommandé de maintenir </w:t>
      </w:r>
      <w:r w:rsidR="00B800EE" w:rsidRPr="0058432E">
        <w:rPr>
          <w:color w:val="000000" w:themeColor="text1"/>
        </w:rPr>
        <w:t>la</w:t>
      </w:r>
      <w:r w:rsidRPr="0058432E">
        <w:rPr>
          <w:color w:val="000000" w:themeColor="text1"/>
        </w:rPr>
        <w:t xml:space="preserve"> seringue préremplie dans la peau pendant 5 secondes supplémentaires après que le piston </w:t>
      </w:r>
      <w:proofErr w:type="gramStart"/>
      <w:r w:rsidRPr="0058432E">
        <w:rPr>
          <w:color w:val="000000" w:themeColor="text1"/>
        </w:rPr>
        <w:t>ait</w:t>
      </w:r>
      <w:proofErr w:type="gramEnd"/>
      <w:r w:rsidRPr="0058432E">
        <w:rPr>
          <w:color w:val="000000" w:themeColor="text1"/>
        </w:rPr>
        <w:t xml:space="preserve"> été complètement enfoncé.</w:t>
      </w:r>
    </w:p>
    <w:p w14:paraId="09B07A52"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Retirez l’aiguille de la peau en la tenant selon le même angle que pour l’insertion.</w:t>
      </w:r>
    </w:p>
    <w:p w14:paraId="52516179" w14:textId="77777777" w:rsidR="00CB669F" w:rsidRPr="0058432E" w:rsidRDefault="00CB669F" w:rsidP="00982118">
      <w:pPr>
        <w:rPr>
          <w:color w:val="000000" w:themeColor="text1"/>
        </w:rPr>
      </w:pPr>
    </w:p>
    <w:p w14:paraId="171535F4" w14:textId="77777777" w:rsidR="00AE52CF" w:rsidRPr="0058432E" w:rsidRDefault="00AE52CF" w:rsidP="00AE52CF">
      <w:pPr>
        <w:rPr>
          <w:color w:val="000000" w:themeColor="text1"/>
        </w:rPr>
      </w:pPr>
    </w:p>
    <w:p w14:paraId="23C380B3" w14:textId="50968659" w:rsidR="00B800EE" w:rsidRPr="0058432E" w:rsidRDefault="009D65D0" w:rsidP="00B800EE">
      <w:pPr>
        <w:jc w:val="center"/>
        <w:rPr>
          <w:b/>
          <w:color w:val="000000" w:themeColor="text1"/>
        </w:rPr>
      </w:pPr>
      <w:r w:rsidRPr="0058432E">
        <w:rPr>
          <w:noProof/>
          <w:color w:val="000000" w:themeColor="text1"/>
        </w:rPr>
        <mc:AlternateContent>
          <mc:Choice Requires="wps">
            <w:drawing>
              <wp:anchor distT="0" distB="0" distL="114300" distR="114300" simplePos="0" relativeHeight="251687424" behindDoc="0" locked="0" layoutInCell="1" allowOverlap="1" wp14:anchorId="3A306239" wp14:editId="1312BAD7">
                <wp:simplePos x="0" y="0"/>
                <wp:positionH relativeFrom="column">
                  <wp:posOffset>1524000</wp:posOffset>
                </wp:positionH>
                <wp:positionV relativeFrom="paragraph">
                  <wp:posOffset>35560</wp:posOffset>
                </wp:positionV>
                <wp:extent cx="1691640" cy="303530"/>
                <wp:effectExtent l="0" t="0" r="0" b="0"/>
                <wp:wrapNone/>
                <wp:docPr id="126" name="Zone de texte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303530"/>
                        </a:xfrm>
                        <a:prstGeom prst="rect">
                          <a:avLst/>
                        </a:prstGeom>
                        <a:solidFill>
                          <a:srgbClr val="FFFFFF"/>
                        </a:solidFill>
                        <a:ln>
                          <a:noFill/>
                        </a:ln>
                      </wps:spPr>
                      <wps:txbx>
                        <w:txbxContent>
                          <w:p w14:paraId="52F33CC6" w14:textId="77777777" w:rsidR="009A26D2" w:rsidRPr="00706E15" w:rsidRDefault="009A26D2" w:rsidP="007B66B6">
                            <w:pPr>
                              <w:rPr>
                                <w:b/>
                                <w:bCs/>
                                <w:szCs w:val="18"/>
                              </w:rPr>
                            </w:pPr>
                            <w:r w:rsidRPr="00706E15">
                              <w:rPr>
                                <w:b/>
                                <w:bCs/>
                                <w:szCs w:val="18"/>
                              </w:rPr>
                              <w:t>Vérifiez la seringue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06239" id="Zone de texte 126" o:spid="_x0000_s1078" type="#_x0000_t202" style="position:absolute;left:0;text-align:left;margin-left:120pt;margin-top:2.8pt;width:133.2pt;height:23.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" stroked="f">
                <v:textbox>
                  <w:txbxContent>
                    <w:p w14:paraId="52F33CC6" w14:textId="77777777" w:rsidR="009A26D2" w:rsidRPr="00706E15" w:rsidRDefault="009A26D2" w:rsidP="007B66B6">
                      <w:pPr>
                        <w:rPr>
                          <w:b/>
                          <w:bCs/>
                          <w:szCs w:val="18"/>
                        </w:rPr>
                      </w:pPr>
                      <w:r w:rsidRPr="00706E15">
                        <w:rPr>
                          <w:b/>
                          <w:bCs/>
                          <w:szCs w:val="18"/>
                        </w:rPr>
                        <w:t>Vérifiez la seringue</w:t>
                      </w:r>
                    </w:p>
                  </w:txbxContent>
                </v:textbox>
              </v:shape>
            </w:pict>
          </mc:Fallback>
        </mc:AlternateContent>
      </w:r>
      <w:r w:rsidRPr="0058432E">
        <w:rPr>
          <w:noProof/>
          <w:color w:val="000000" w:themeColor="text1"/>
        </w:rPr>
        <w:drawing>
          <wp:inline distT="0" distB="0" distL="0" distR="0" wp14:anchorId="26745298" wp14:editId="33AE8443">
            <wp:extent cx="3812540" cy="2510790"/>
            <wp:effectExtent l="0" t="0" r="0" b="0"/>
            <wp:docPr id="2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2540" cy="2510790"/>
                    </a:xfrm>
                    <a:prstGeom prst="rect">
                      <a:avLst/>
                    </a:prstGeom>
                    <a:noFill/>
                    <a:ln>
                      <a:noFill/>
                    </a:ln>
                  </pic:spPr>
                </pic:pic>
              </a:graphicData>
            </a:graphic>
          </wp:inline>
        </w:drawing>
      </w:r>
    </w:p>
    <w:p w14:paraId="1E2D0934" w14:textId="77777777" w:rsidR="00CB669F" w:rsidRPr="0058432E" w:rsidRDefault="00CB669F" w:rsidP="007B66B6">
      <w:pPr>
        <w:pStyle w:val="ListParagraph"/>
        <w:ind w:left="0"/>
        <w:rPr>
          <w:color w:val="000000" w:themeColor="text1"/>
        </w:rPr>
      </w:pPr>
    </w:p>
    <w:p w14:paraId="40C6CFE1"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 xml:space="preserve">Vérifiez que </w:t>
      </w:r>
      <w:r w:rsidR="00590399" w:rsidRPr="0058432E">
        <w:rPr>
          <w:color w:val="000000" w:themeColor="text1"/>
        </w:rPr>
        <w:t>le</w:t>
      </w:r>
      <w:r w:rsidRPr="0058432E">
        <w:rPr>
          <w:color w:val="000000" w:themeColor="text1"/>
        </w:rPr>
        <w:t xml:space="preserve"> médicament</w:t>
      </w:r>
      <w:r w:rsidR="00590399" w:rsidRPr="0058432E">
        <w:rPr>
          <w:color w:val="000000" w:themeColor="text1"/>
        </w:rPr>
        <w:t xml:space="preserve"> de votre enfant</w:t>
      </w:r>
      <w:r w:rsidRPr="0058432E">
        <w:rPr>
          <w:color w:val="000000" w:themeColor="text1"/>
        </w:rPr>
        <w:t xml:space="preserve"> s’est complètement vidé de </w:t>
      </w:r>
      <w:r w:rsidR="00590399" w:rsidRPr="0058432E">
        <w:rPr>
          <w:color w:val="000000" w:themeColor="text1"/>
        </w:rPr>
        <w:t>la</w:t>
      </w:r>
      <w:r w:rsidRPr="0058432E">
        <w:rPr>
          <w:color w:val="000000" w:themeColor="text1"/>
        </w:rPr>
        <w:t xml:space="preserve"> seringue préremplie.</w:t>
      </w:r>
    </w:p>
    <w:p w14:paraId="2621C93A" w14:textId="77777777" w:rsidR="00CB669F" w:rsidRPr="0058432E" w:rsidRDefault="00CB669F" w:rsidP="00E23160">
      <w:pPr>
        <w:pStyle w:val="ListParagraph"/>
        <w:numPr>
          <w:ilvl w:val="0"/>
          <w:numId w:val="35"/>
        </w:numPr>
        <w:ind w:left="562" w:hanging="562"/>
        <w:contextualSpacing/>
        <w:rPr>
          <w:b/>
          <w:color w:val="000000" w:themeColor="text1"/>
        </w:rPr>
      </w:pPr>
      <w:r w:rsidRPr="0058432E">
        <w:rPr>
          <w:b/>
          <w:color w:val="000000" w:themeColor="text1"/>
        </w:rPr>
        <w:t>Ne jamais réinsérer l’aiguille.</w:t>
      </w:r>
    </w:p>
    <w:p w14:paraId="79316B6B" w14:textId="77777777" w:rsidR="00CB669F" w:rsidRPr="0058432E" w:rsidRDefault="00CB669F" w:rsidP="00E23160">
      <w:pPr>
        <w:pStyle w:val="ListParagraph"/>
        <w:numPr>
          <w:ilvl w:val="0"/>
          <w:numId w:val="35"/>
        </w:numPr>
        <w:ind w:left="562" w:hanging="562"/>
        <w:contextualSpacing/>
        <w:rPr>
          <w:b/>
          <w:color w:val="000000" w:themeColor="text1"/>
        </w:rPr>
      </w:pPr>
      <w:r w:rsidRPr="0058432E">
        <w:rPr>
          <w:b/>
          <w:color w:val="000000" w:themeColor="text1"/>
        </w:rPr>
        <w:t>Ne jamais recapuchonner l’aiguille.</w:t>
      </w:r>
    </w:p>
    <w:p w14:paraId="77F2CE4C" w14:textId="77777777" w:rsidR="00CB669F" w:rsidRPr="0058432E" w:rsidRDefault="00CB669F"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si le bouchon gris n’est pas dans la position indiquée, il se peut que vous n’ayez pas injecté tout </w:t>
      </w:r>
      <w:r w:rsidR="00590399" w:rsidRPr="0058432E">
        <w:rPr>
          <w:color w:val="000000" w:themeColor="text1"/>
        </w:rPr>
        <w:t>le</w:t>
      </w:r>
      <w:r w:rsidRPr="0058432E">
        <w:rPr>
          <w:color w:val="000000" w:themeColor="text1"/>
        </w:rPr>
        <w:t xml:space="preserve"> médicament</w:t>
      </w:r>
      <w:r w:rsidR="00590399" w:rsidRPr="0058432E">
        <w:rPr>
          <w:color w:val="000000" w:themeColor="text1"/>
        </w:rPr>
        <w:t xml:space="preserve"> de votre enfant</w:t>
      </w:r>
      <w:r w:rsidRPr="0058432E">
        <w:rPr>
          <w:color w:val="000000" w:themeColor="text1"/>
        </w:rPr>
        <w:t xml:space="preserve">. </w:t>
      </w:r>
      <w:r w:rsidR="00AC47D9" w:rsidRPr="0058432E">
        <w:rPr>
          <w:color w:val="000000" w:themeColor="text1"/>
        </w:rPr>
        <w:t>Parlez-en</w:t>
      </w:r>
      <w:r w:rsidR="00B400E4" w:rsidRPr="0058432E">
        <w:rPr>
          <w:color w:val="000000" w:themeColor="text1"/>
        </w:rPr>
        <w:t xml:space="preserve"> immédiatement </w:t>
      </w:r>
      <w:r w:rsidR="00AC47D9" w:rsidRPr="0058432E">
        <w:rPr>
          <w:color w:val="000000" w:themeColor="text1"/>
        </w:rPr>
        <w:t>au</w:t>
      </w:r>
      <w:r w:rsidR="00590399" w:rsidRPr="0058432E">
        <w:rPr>
          <w:color w:val="000000" w:themeColor="text1"/>
        </w:rPr>
        <w:t xml:space="preserve"> </w:t>
      </w:r>
      <w:r w:rsidRPr="0058432E">
        <w:rPr>
          <w:color w:val="000000" w:themeColor="text1"/>
        </w:rPr>
        <w:t>médecin</w:t>
      </w:r>
      <w:r w:rsidR="00590399" w:rsidRPr="0058432E">
        <w:rPr>
          <w:color w:val="000000" w:themeColor="text1"/>
        </w:rPr>
        <w:t>,</w:t>
      </w:r>
      <w:r w:rsidR="007B66B6" w:rsidRPr="0058432E">
        <w:rPr>
          <w:color w:val="000000" w:themeColor="text1"/>
        </w:rPr>
        <w:t xml:space="preserve"> </w:t>
      </w:r>
      <w:r w:rsidR="00590399" w:rsidRPr="0058432E">
        <w:rPr>
          <w:color w:val="000000" w:themeColor="text1"/>
        </w:rPr>
        <w:t>l’</w:t>
      </w:r>
      <w:r w:rsidR="0093388F" w:rsidRPr="0058432E">
        <w:rPr>
          <w:color w:val="000000" w:themeColor="text1"/>
        </w:rPr>
        <w:t>infirmier/ère</w:t>
      </w:r>
      <w:r w:rsidRPr="0058432E">
        <w:rPr>
          <w:color w:val="000000" w:themeColor="text1"/>
        </w:rPr>
        <w:t xml:space="preserve"> ou </w:t>
      </w:r>
      <w:r w:rsidR="00590399" w:rsidRPr="0058432E">
        <w:rPr>
          <w:color w:val="000000" w:themeColor="text1"/>
        </w:rPr>
        <w:t xml:space="preserve">le </w:t>
      </w:r>
      <w:r w:rsidRPr="0058432E">
        <w:rPr>
          <w:color w:val="000000" w:themeColor="text1"/>
        </w:rPr>
        <w:t>pharmacie</w:t>
      </w:r>
      <w:r w:rsidR="005062A9" w:rsidRPr="0058432E">
        <w:rPr>
          <w:color w:val="000000" w:themeColor="text1"/>
        </w:rPr>
        <w:t>n</w:t>
      </w:r>
      <w:r w:rsidR="00AC47D9" w:rsidRPr="0058432E">
        <w:rPr>
          <w:color w:val="000000" w:themeColor="text1"/>
        </w:rPr>
        <w:t xml:space="preserve"> de votre enfant</w:t>
      </w:r>
      <w:r w:rsidR="005062A9" w:rsidRPr="0058432E">
        <w:rPr>
          <w:color w:val="000000" w:themeColor="text1"/>
        </w:rPr>
        <w:t>.</w:t>
      </w:r>
    </w:p>
    <w:p w14:paraId="38E11F23" w14:textId="77777777" w:rsidR="00CB669F" w:rsidRPr="0058432E" w:rsidRDefault="00CB669F" w:rsidP="00E23160">
      <w:pPr>
        <w:pStyle w:val="ListParagraph"/>
        <w:ind w:left="562" w:hanging="562"/>
        <w:contextualSpacing/>
        <w:rPr>
          <w:color w:val="000000" w:themeColor="text1"/>
        </w:rPr>
      </w:pPr>
    </w:p>
    <w:p w14:paraId="2F74605A" w14:textId="77777777" w:rsidR="00CB669F" w:rsidRPr="0058432E" w:rsidRDefault="00CB669F" w:rsidP="00E23160">
      <w:pPr>
        <w:pStyle w:val="ListParagraph"/>
        <w:ind w:left="562" w:hanging="562"/>
        <w:contextualSpacing/>
        <w:rPr>
          <w:color w:val="000000" w:themeColor="text1"/>
        </w:rPr>
      </w:pPr>
    </w:p>
    <w:p w14:paraId="1EA11FFC" w14:textId="7A81C9A7" w:rsidR="00296800" w:rsidRPr="0058432E" w:rsidRDefault="009D65D0" w:rsidP="00296800">
      <w:pPr>
        <w:jc w:val="center"/>
        <w:rPr>
          <w:b/>
          <w:color w:val="000000" w:themeColor="text1"/>
        </w:rPr>
      </w:pPr>
      <w:r w:rsidRPr="0058432E">
        <w:rPr>
          <w:noProof/>
          <w:color w:val="000000" w:themeColor="text1"/>
        </w:rPr>
        <w:lastRenderedPageBreak/>
        <mc:AlternateContent>
          <mc:Choice Requires="wps">
            <w:drawing>
              <wp:anchor distT="0" distB="0" distL="114300" distR="114300" simplePos="0" relativeHeight="251688448" behindDoc="0" locked="0" layoutInCell="1" allowOverlap="1" wp14:anchorId="6D34F2B4" wp14:editId="7C3E3B9C">
                <wp:simplePos x="0" y="0"/>
                <wp:positionH relativeFrom="column">
                  <wp:posOffset>1511300</wp:posOffset>
                </wp:positionH>
                <wp:positionV relativeFrom="paragraph">
                  <wp:posOffset>40005</wp:posOffset>
                </wp:positionV>
                <wp:extent cx="1871980" cy="303530"/>
                <wp:effectExtent l="0" t="0" r="0" b="0"/>
                <wp:wrapNone/>
                <wp:docPr id="128" name="Zone de texte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303530"/>
                        </a:xfrm>
                        <a:prstGeom prst="rect">
                          <a:avLst/>
                        </a:prstGeom>
                        <a:solidFill>
                          <a:srgbClr val="FFFFFF"/>
                        </a:solidFill>
                        <a:ln>
                          <a:noFill/>
                        </a:ln>
                      </wps:spPr>
                      <wps:txbx>
                        <w:txbxContent>
                          <w:p w14:paraId="42CE96A9" w14:textId="77777777" w:rsidR="009A26D2" w:rsidRPr="00706E15" w:rsidRDefault="009A26D2" w:rsidP="007B66B6">
                            <w:pPr>
                              <w:rPr>
                                <w:b/>
                                <w:bCs/>
                                <w:szCs w:val="18"/>
                              </w:rPr>
                            </w:pPr>
                            <w:r w:rsidRPr="00706E15">
                              <w:rPr>
                                <w:b/>
                                <w:bCs/>
                                <w:szCs w:val="18"/>
                              </w:rPr>
                              <w:t>Jetez la seringue utilisée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4F2B4" id="Zone de texte 128" o:spid="_x0000_s1079" type="#_x0000_t202" style="position:absolute;left:0;text-align:left;margin-left:119pt;margin-top:3.15pt;width:147.4pt;height:23.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" stroked="f">
                <v:textbox>
                  <w:txbxContent>
                    <w:p w14:paraId="42CE96A9" w14:textId="77777777" w:rsidR="009A26D2" w:rsidRPr="00706E15" w:rsidRDefault="009A26D2" w:rsidP="007B66B6">
                      <w:pPr>
                        <w:rPr>
                          <w:b/>
                          <w:bCs/>
                          <w:szCs w:val="18"/>
                        </w:rPr>
                      </w:pPr>
                      <w:r w:rsidRPr="00706E15">
                        <w:rPr>
                          <w:b/>
                          <w:bCs/>
                          <w:szCs w:val="18"/>
                        </w:rPr>
                        <w:t>Jetez la seringue utilisée</w:t>
                      </w:r>
                    </w:p>
                  </w:txbxContent>
                </v:textbox>
              </v:shape>
            </w:pict>
          </mc:Fallback>
        </mc:AlternateContent>
      </w:r>
      <w:r w:rsidRPr="0058432E">
        <w:rPr>
          <w:noProof/>
          <w:color w:val="000000" w:themeColor="text1"/>
        </w:rPr>
        <w:drawing>
          <wp:inline distT="0" distB="0" distL="0" distR="0" wp14:anchorId="57914A03" wp14:editId="42B137E6">
            <wp:extent cx="3826510" cy="2468880"/>
            <wp:effectExtent l="0" t="0" r="0" b="0"/>
            <wp:docPr id="2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26510" cy="2468880"/>
                    </a:xfrm>
                    <a:prstGeom prst="rect">
                      <a:avLst/>
                    </a:prstGeom>
                    <a:noFill/>
                    <a:ln>
                      <a:noFill/>
                    </a:ln>
                  </pic:spPr>
                </pic:pic>
              </a:graphicData>
            </a:graphic>
          </wp:inline>
        </w:drawing>
      </w:r>
    </w:p>
    <w:p w14:paraId="2654BE5F" w14:textId="77777777" w:rsidR="00CB669F" w:rsidRPr="0058432E" w:rsidRDefault="00CB669F" w:rsidP="00982118">
      <w:pPr>
        <w:rPr>
          <w:color w:val="000000" w:themeColor="text1"/>
        </w:rPr>
      </w:pPr>
    </w:p>
    <w:p w14:paraId="1C18025A" w14:textId="77777777" w:rsidR="00CB669F" w:rsidRPr="0058432E" w:rsidRDefault="00CB669F" w:rsidP="00982118">
      <w:pPr>
        <w:rPr>
          <w:color w:val="000000" w:themeColor="text1"/>
        </w:rPr>
      </w:pPr>
    </w:p>
    <w:p w14:paraId="601F073E" w14:textId="77777777" w:rsidR="00CB669F" w:rsidRPr="0058432E" w:rsidRDefault="00CB669F" w:rsidP="00E23160">
      <w:pPr>
        <w:pStyle w:val="ListParagraph"/>
        <w:numPr>
          <w:ilvl w:val="0"/>
          <w:numId w:val="37"/>
        </w:numPr>
        <w:ind w:left="562" w:hanging="562"/>
        <w:contextualSpacing/>
        <w:rPr>
          <w:color w:val="000000" w:themeColor="text1"/>
        </w:rPr>
      </w:pPr>
      <w:r w:rsidRPr="0058432E">
        <w:rPr>
          <w:color w:val="000000" w:themeColor="text1"/>
        </w:rPr>
        <w:t>Jetez la seringue immédiatement selon les instructions d</w:t>
      </w:r>
      <w:r w:rsidR="00590399" w:rsidRPr="0058432E">
        <w:rPr>
          <w:color w:val="000000" w:themeColor="text1"/>
        </w:rPr>
        <w:t>u</w:t>
      </w:r>
      <w:r w:rsidRPr="0058432E">
        <w:rPr>
          <w:color w:val="000000" w:themeColor="text1"/>
        </w:rPr>
        <w:t xml:space="preserve"> médecin</w:t>
      </w:r>
      <w:r w:rsidR="00296800" w:rsidRPr="0058432E">
        <w:rPr>
          <w:color w:val="000000" w:themeColor="text1"/>
        </w:rPr>
        <w:t>,</w:t>
      </w:r>
      <w:r w:rsidR="00590399" w:rsidRPr="0058432E">
        <w:rPr>
          <w:color w:val="000000" w:themeColor="text1"/>
        </w:rPr>
        <w:t xml:space="preserve"> de l’</w:t>
      </w:r>
      <w:r w:rsidR="0093388F" w:rsidRPr="0058432E">
        <w:rPr>
          <w:color w:val="000000" w:themeColor="text1"/>
        </w:rPr>
        <w:t>infirmier/ère</w:t>
      </w:r>
      <w:r w:rsidR="0093388F" w:rsidRPr="0058432E" w:rsidDel="0093388F">
        <w:rPr>
          <w:color w:val="000000" w:themeColor="text1"/>
        </w:rPr>
        <w:t xml:space="preserve"> </w:t>
      </w:r>
      <w:r w:rsidRPr="0058432E">
        <w:rPr>
          <w:color w:val="000000" w:themeColor="text1"/>
        </w:rPr>
        <w:t>ou d</w:t>
      </w:r>
      <w:r w:rsidR="00590399" w:rsidRPr="0058432E">
        <w:rPr>
          <w:color w:val="000000" w:themeColor="text1"/>
        </w:rPr>
        <w:t xml:space="preserve">u </w:t>
      </w:r>
      <w:r w:rsidRPr="0058432E">
        <w:rPr>
          <w:color w:val="000000" w:themeColor="text1"/>
        </w:rPr>
        <w:t>pharmacien</w:t>
      </w:r>
      <w:r w:rsidR="00296800" w:rsidRPr="0058432E">
        <w:rPr>
          <w:color w:val="000000" w:themeColor="text1"/>
        </w:rPr>
        <w:t xml:space="preserve"> de votre enfant</w:t>
      </w:r>
      <w:r w:rsidRPr="0058432E">
        <w:rPr>
          <w:color w:val="000000" w:themeColor="text1"/>
        </w:rPr>
        <w:t xml:space="preserve"> et conformément aux lois locales relatives à la santé et à la sécurité.</w:t>
      </w:r>
    </w:p>
    <w:p w14:paraId="2165B97B" w14:textId="77777777" w:rsidR="00CB669F" w:rsidRPr="0058432E" w:rsidRDefault="00CB669F" w:rsidP="00982118">
      <w:pPr>
        <w:rPr>
          <w:color w:val="000000" w:themeColor="text1"/>
        </w:rPr>
      </w:pPr>
    </w:p>
    <w:p w14:paraId="568962FF" w14:textId="77777777" w:rsidR="00CB669F" w:rsidRPr="0058432E" w:rsidRDefault="00CB669F" w:rsidP="00982118">
      <w:pPr>
        <w:rPr>
          <w:color w:val="000000" w:themeColor="text1"/>
        </w:rPr>
      </w:pPr>
    </w:p>
    <w:p w14:paraId="6FA7BD21" w14:textId="0F849F98" w:rsidR="00CB669F" w:rsidRPr="0058432E" w:rsidRDefault="009D65D0" w:rsidP="007B66B6">
      <w:pPr>
        <w:jc w:val="center"/>
        <w:rPr>
          <w:b/>
          <w:color w:val="000000" w:themeColor="text1"/>
        </w:rPr>
      </w:pPr>
      <w:r w:rsidRPr="0058432E">
        <w:rPr>
          <w:noProof/>
          <w:color w:val="000000" w:themeColor="text1"/>
        </w:rPr>
        <mc:AlternateContent>
          <mc:Choice Requires="wps">
            <w:drawing>
              <wp:anchor distT="0" distB="0" distL="114300" distR="114300" simplePos="0" relativeHeight="251689472" behindDoc="0" locked="0" layoutInCell="1" allowOverlap="1" wp14:anchorId="234FE6F7" wp14:editId="0196C15C">
                <wp:simplePos x="0" y="0"/>
                <wp:positionH relativeFrom="column">
                  <wp:posOffset>1464310</wp:posOffset>
                </wp:positionH>
                <wp:positionV relativeFrom="paragraph">
                  <wp:posOffset>72390</wp:posOffset>
                </wp:positionV>
                <wp:extent cx="1553210" cy="303530"/>
                <wp:effectExtent l="0" t="0" r="0" b="0"/>
                <wp:wrapNone/>
                <wp:docPr id="130" name="Zone de texte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303530"/>
                        </a:xfrm>
                        <a:prstGeom prst="rect">
                          <a:avLst/>
                        </a:prstGeom>
                        <a:solidFill>
                          <a:srgbClr val="FFFFFF"/>
                        </a:solidFill>
                        <a:ln>
                          <a:noFill/>
                        </a:ln>
                      </wps:spPr>
                      <wps:txbx>
                        <w:txbxContent>
                          <w:p w14:paraId="03E7A1BE" w14:textId="77777777" w:rsidR="009A26D2" w:rsidRPr="00706E15" w:rsidRDefault="009A26D2" w:rsidP="007B66B6">
                            <w:pPr>
                              <w:rPr>
                                <w:b/>
                                <w:bCs/>
                                <w:szCs w:val="18"/>
                              </w:rPr>
                            </w:pPr>
                            <w:r w:rsidRPr="00706E15">
                              <w:rPr>
                                <w:b/>
                                <w:bCs/>
                                <w:szCs w:val="18"/>
                              </w:rPr>
                              <w:t>Après l’injection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FE6F7" id="Zone de texte 130" o:spid="_x0000_s1080" type="#_x0000_t202" style="position:absolute;left:0;text-align:left;margin-left:115.3pt;margin-top:5.7pt;width:122.3pt;height:23.9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" stroked="f">
                <v:textbox>
                  <w:txbxContent>
                    <w:p w14:paraId="03E7A1BE" w14:textId="77777777" w:rsidR="009A26D2" w:rsidRPr="00706E15" w:rsidRDefault="009A26D2" w:rsidP="007B66B6">
                      <w:pPr>
                        <w:rPr>
                          <w:b/>
                          <w:bCs/>
                          <w:szCs w:val="18"/>
                        </w:rPr>
                      </w:pPr>
                      <w:r w:rsidRPr="00706E15">
                        <w:rPr>
                          <w:b/>
                          <w:bCs/>
                          <w:szCs w:val="18"/>
                        </w:rPr>
                        <w:t>Après l’injection</w:t>
                      </w:r>
                    </w:p>
                  </w:txbxContent>
                </v:textbox>
              </v:shape>
            </w:pict>
          </mc:Fallback>
        </mc:AlternateContent>
      </w:r>
      <w:r w:rsidRPr="0058432E">
        <w:rPr>
          <w:noProof/>
          <w:color w:val="000000" w:themeColor="text1"/>
        </w:rPr>
        <w:drawing>
          <wp:inline distT="0" distB="0" distL="0" distR="0" wp14:anchorId="7BD14927" wp14:editId="1943AF5D">
            <wp:extent cx="3875405" cy="2503805"/>
            <wp:effectExtent l="0" t="0" r="0" b="0"/>
            <wp:docPr id="2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75405" cy="2503805"/>
                    </a:xfrm>
                    <a:prstGeom prst="rect">
                      <a:avLst/>
                    </a:prstGeom>
                    <a:noFill/>
                    <a:ln>
                      <a:noFill/>
                    </a:ln>
                  </pic:spPr>
                </pic:pic>
              </a:graphicData>
            </a:graphic>
          </wp:inline>
        </w:drawing>
      </w:r>
    </w:p>
    <w:p w14:paraId="110F9BCB" w14:textId="77777777" w:rsidR="00CB669F" w:rsidRPr="0058432E" w:rsidRDefault="00CB669F" w:rsidP="00982118">
      <w:pPr>
        <w:rPr>
          <w:color w:val="000000" w:themeColor="text1"/>
        </w:rPr>
      </w:pPr>
    </w:p>
    <w:p w14:paraId="1ED87784"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color w:val="000000" w:themeColor="text1"/>
        </w:rPr>
        <w:t xml:space="preserve">Examinez attentivement </w:t>
      </w:r>
      <w:r w:rsidR="00590399" w:rsidRPr="0058432E">
        <w:rPr>
          <w:color w:val="000000" w:themeColor="text1"/>
        </w:rPr>
        <w:t>le</w:t>
      </w:r>
      <w:r w:rsidRPr="0058432E">
        <w:rPr>
          <w:color w:val="000000" w:themeColor="text1"/>
        </w:rPr>
        <w:t xml:space="preserve"> site d’injectio</w:t>
      </w:r>
      <w:r w:rsidR="00411DFE" w:rsidRPr="0058432E">
        <w:rPr>
          <w:color w:val="000000" w:themeColor="text1"/>
        </w:rPr>
        <w:t xml:space="preserve">n </w:t>
      </w:r>
      <w:r w:rsidR="00590399" w:rsidRPr="0058432E">
        <w:rPr>
          <w:color w:val="000000" w:themeColor="text1"/>
        </w:rPr>
        <w:t>de votre enfant</w:t>
      </w:r>
      <w:r w:rsidRPr="0058432E">
        <w:rPr>
          <w:color w:val="000000" w:themeColor="text1"/>
        </w:rPr>
        <w:t xml:space="preserve">. En cas de saignement, utilisez une boule de coton ou une compresse propre pour appuyer légèrement sur la zone d’injection pendant quelques secondes. </w:t>
      </w:r>
    </w:p>
    <w:p w14:paraId="716DC257" w14:textId="77777777" w:rsidR="00CB669F" w:rsidRPr="0058432E" w:rsidRDefault="00CB669F" w:rsidP="00E23160">
      <w:pPr>
        <w:pStyle w:val="ListParagraph"/>
        <w:numPr>
          <w:ilvl w:val="0"/>
          <w:numId w:val="35"/>
        </w:numPr>
        <w:ind w:left="562" w:hanging="562"/>
        <w:contextualSpacing/>
        <w:rPr>
          <w:color w:val="000000" w:themeColor="text1"/>
        </w:rPr>
      </w:pPr>
      <w:r w:rsidRPr="0058432E">
        <w:rPr>
          <w:b/>
          <w:color w:val="000000" w:themeColor="text1"/>
        </w:rPr>
        <w:t>Ne</w:t>
      </w:r>
      <w:r w:rsidRPr="0058432E">
        <w:rPr>
          <w:color w:val="000000" w:themeColor="text1"/>
        </w:rPr>
        <w:t xml:space="preserve"> frottez </w:t>
      </w:r>
      <w:r w:rsidRPr="0058432E">
        <w:rPr>
          <w:b/>
          <w:color w:val="000000" w:themeColor="text1"/>
        </w:rPr>
        <w:t>pas</w:t>
      </w:r>
      <w:r w:rsidRPr="0058432E">
        <w:rPr>
          <w:color w:val="000000" w:themeColor="text1"/>
        </w:rPr>
        <w:t xml:space="preserve"> le site.</w:t>
      </w:r>
    </w:p>
    <w:p w14:paraId="1AC57713" w14:textId="77777777" w:rsidR="00CB669F" w:rsidRPr="0058432E" w:rsidRDefault="00CB669F" w:rsidP="00E03946">
      <w:pPr>
        <w:pStyle w:val="ListParagraph"/>
        <w:ind w:left="562"/>
        <w:contextualSpacing/>
        <w:rPr>
          <w:color w:val="000000" w:themeColor="text1"/>
        </w:rPr>
      </w:pPr>
      <w:r w:rsidRPr="0058432E">
        <w:rPr>
          <w:b/>
          <w:color w:val="000000" w:themeColor="text1"/>
        </w:rPr>
        <w:t xml:space="preserve">Remarque : </w:t>
      </w:r>
      <w:r w:rsidRPr="0058432E">
        <w:rPr>
          <w:color w:val="000000" w:themeColor="text1"/>
        </w:rPr>
        <w:t>conservez les seringues inutilisées au réfrigérateur dans leur boîte d’origine.</w:t>
      </w:r>
    </w:p>
    <w:p w14:paraId="2475C3EF" w14:textId="77777777" w:rsidR="00CB669F" w:rsidRPr="0058432E" w:rsidRDefault="00CB669F" w:rsidP="00982118">
      <w:pPr>
        <w:rPr>
          <w:color w:val="000000" w:themeColor="text1"/>
        </w:rPr>
      </w:pPr>
    </w:p>
    <w:p w14:paraId="54EA6BDC" w14:textId="77777777" w:rsidR="00E129C1" w:rsidRPr="0058432E" w:rsidRDefault="00E129C1" w:rsidP="00982118">
      <w:pPr>
        <w:rPr>
          <w:color w:val="000000" w:themeColor="text1"/>
        </w:rPr>
      </w:pPr>
      <w:r w:rsidRPr="0058432E">
        <w:rPr>
          <w:color w:val="000000" w:themeColor="text1"/>
        </w:rPr>
        <w:t>Voir au verso</w:t>
      </w:r>
    </w:p>
    <w:p w14:paraId="4038AE10" w14:textId="77777777" w:rsidR="00E129C1" w:rsidRPr="0058432E" w:rsidRDefault="00E129C1" w:rsidP="00982118">
      <w:pPr>
        <w:rPr>
          <w:color w:val="000000" w:themeColor="text1"/>
        </w:rPr>
      </w:pPr>
      <w:r w:rsidRPr="0058432E">
        <w:rPr>
          <w:color w:val="000000" w:themeColor="text1"/>
        </w:rPr>
        <w:t>Notice : Information du patient</w:t>
      </w:r>
    </w:p>
    <w:p w14:paraId="597A7F2B" w14:textId="77777777" w:rsidR="00C46587" w:rsidRPr="0058432E" w:rsidRDefault="00E129C1" w:rsidP="00982118">
      <w:pPr>
        <w:jc w:val="center"/>
        <w:rPr>
          <w:b/>
          <w:color w:val="000000" w:themeColor="text1"/>
        </w:rPr>
      </w:pPr>
      <w:r w:rsidRPr="0058432E">
        <w:rPr>
          <w:color w:val="000000" w:themeColor="text1"/>
        </w:rPr>
        <w:br w:type="page"/>
      </w:r>
      <w:bookmarkStart w:id="33" w:name="_Hlk22723269"/>
      <w:bookmarkEnd w:id="13"/>
      <w:r w:rsidRPr="0058432E">
        <w:rPr>
          <w:b/>
          <w:color w:val="000000" w:themeColor="text1"/>
        </w:rPr>
        <w:lastRenderedPageBreak/>
        <w:t>Notice : Information du patient</w:t>
      </w:r>
    </w:p>
    <w:p w14:paraId="4B6D68EA" w14:textId="77777777" w:rsidR="00C46587" w:rsidRPr="0058432E" w:rsidRDefault="00C46587" w:rsidP="00982118">
      <w:pPr>
        <w:jc w:val="center"/>
        <w:rPr>
          <w:b/>
          <w:color w:val="000000" w:themeColor="text1"/>
        </w:rPr>
      </w:pPr>
    </w:p>
    <w:p w14:paraId="3F5EC01C" w14:textId="77777777" w:rsidR="00C46587" w:rsidRPr="0058432E" w:rsidRDefault="006A1144" w:rsidP="00982118">
      <w:pPr>
        <w:jc w:val="center"/>
        <w:rPr>
          <w:b/>
          <w:color w:val="000000" w:themeColor="text1"/>
        </w:rPr>
      </w:pPr>
      <w:r w:rsidRPr="0058432E">
        <w:rPr>
          <w:b/>
          <w:color w:val="000000" w:themeColor="text1"/>
        </w:rPr>
        <w:t>Amsparity 40 mg/0,8 ml, solution injectable</w:t>
      </w:r>
    </w:p>
    <w:p w14:paraId="30FCC99D" w14:textId="77777777" w:rsidR="00C46587" w:rsidRPr="0058432E" w:rsidRDefault="00C46587" w:rsidP="00982118">
      <w:pPr>
        <w:jc w:val="center"/>
        <w:rPr>
          <w:color w:val="000000" w:themeColor="text1"/>
        </w:rPr>
      </w:pPr>
      <w:proofErr w:type="gramStart"/>
      <w:r w:rsidRPr="0058432E">
        <w:rPr>
          <w:color w:val="000000" w:themeColor="text1"/>
        </w:rPr>
        <w:t>adalimumab</w:t>
      </w:r>
      <w:proofErr w:type="gramEnd"/>
    </w:p>
    <w:p w14:paraId="6CCF64E6" w14:textId="77777777" w:rsidR="00C46587" w:rsidRPr="0058432E" w:rsidRDefault="00C46587" w:rsidP="00982118">
      <w:pPr>
        <w:rPr>
          <w:color w:val="000000" w:themeColor="text1"/>
        </w:rPr>
      </w:pPr>
    </w:p>
    <w:p w14:paraId="2B6E893F" w14:textId="77777777" w:rsidR="00934A4A" w:rsidRPr="0058432E" w:rsidRDefault="00934A4A" w:rsidP="00982118">
      <w:pPr>
        <w:rPr>
          <w:b/>
          <w:color w:val="000000" w:themeColor="text1"/>
        </w:rPr>
      </w:pPr>
    </w:p>
    <w:p w14:paraId="4A940649" w14:textId="77777777" w:rsidR="00C46587" w:rsidRPr="0058432E" w:rsidRDefault="00C46587" w:rsidP="00982118">
      <w:pPr>
        <w:rPr>
          <w:b/>
          <w:color w:val="000000" w:themeColor="text1"/>
        </w:rPr>
      </w:pPr>
      <w:r w:rsidRPr="0058432E">
        <w:rPr>
          <w:b/>
          <w:color w:val="000000" w:themeColor="text1"/>
        </w:rPr>
        <w:t xml:space="preserve">Veuillez lire attentivement cette notice avant que votre enfant </w:t>
      </w:r>
      <w:r w:rsidR="000A2E43" w:rsidRPr="0058432E">
        <w:rPr>
          <w:b/>
          <w:color w:val="000000" w:themeColor="text1"/>
        </w:rPr>
        <w:t>n’utilise</w:t>
      </w:r>
      <w:r w:rsidRPr="0058432E">
        <w:rPr>
          <w:b/>
          <w:color w:val="000000" w:themeColor="text1"/>
        </w:rPr>
        <w:t xml:space="preserve"> ce médicament car elle contient des informations importantes. </w:t>
      </w:r>
    </w:p>
    <w:p w14:paraId="2BC1F48A"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Gardez cette notice. Vous pourriez avoir besoin de la relire. </w:t>
      </w:r>
    </w:p>
    <w:p w14:paraId="4ACF19B0"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Le médecin de votre enfant vous remettra </w:t>
      </w:r>
      <w:r w:rsidR="00476685" w:rsidRPr="0058432E">
        <w:rPr>
          <w:color w:val="000000" w:themeColor="text1"/>
        </w:rPr>
        <w:t xml:space="preserve">également </w:t>
      </w:r>
      <w:r w:rsidRPr="0058432E">
        <w:rPr>
          <w:color w:val="000000" w:themeColor="text1"/>
        </w:rPr>
        <w:t xml:space="preserve">une </w:t>
      </w:r>
      <w:r w:rsidR="0045425F" w:rsidRPr="0058432E">
        <w:rPr>
          <w:color w:val="000000" w:themeColor="text1"/>
        </w:rPr>
        <w:t>carte de rappel patient</w:t>
      </w:r>
      <w:r w:rsidRPr="0058432E">
        <w:rPr>
          <w:color w:val="000000" w:themeColor="text1"/>
        </w:rPr>
        <w:t xml:space="preserve"> qui comporte d’importantes informations sur la </w:t>
      </w:r>
      <w:r w:rsidR="000A2E43" w:rsidRPr="0058432E">
        <w:rPr>
          <w:color w:val="000000" w:themeColor="text1"/>
        </w:rPr>
        <w:t xml:space="preserve">tolérance </w:t>
      </w:r>
      <w:r w:rsidRPr="0058432E">
        <w:rPr>
          <w:color w:val="000000" w:themeColor="text1"/>
        </w:rPr>
        <w:t>que vous devez connaître avant que l’on administre Amsparity à votre enfant et pendant le traitement. Vous ou votre enfant devez conserver cette carte</w:t>
      </w:r>
      <w:r w:rsidR="000A2E43" w:rsidRPr="0058432E">
        <w:rPr>
          <w:color w:val="000000" w:themeColor="text1"/>
        </w:rPr>
        <w:t xml:space="preserve"> de rappel patient</w:t>
      </w:r>
      <w:r w:rsidRPr="0058432E">
        <w:rPr>
          <w:color w:val="000000" w:themeColor="text1"/>
        </w:rPr>
        <w:t xml:space="preserve">. </w:t>
      </w:r>
    </w:p>
    <w:p w14:paraId="061960B0"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Si vous avez d’autres questions, interrogez le médecin </w:t>
      </w:r>
      <w:r w:rsidR="000A2E43" w:rsidRPr="0058432E">
        <w:rPr>
          <w:color w:val="000000" w:themeColor="text1"/>
        </w:rPr>
        <w:t xml:space="preserve">de votre enfant </w:t>
      </w:r>
      <w:r w:rsidRPr="0058432E">
        <w:rPr>
          <w:color w:val="000000" w:themeColor="text1"/>
        </w:rPr>
        <w:t>ou le pharmacien.</w:t>
      </w:r>
    </w:p>
    <w:p w14:paraId="169EFB0F"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Ce médicament a été prescrit </w:t>
      </w:r>
      <w:r w:rsidR="000A2E43" w:rsidRPr="0058432E">
        <w:rPr>
          <w:color w:val="000000" w:themeColor="text1"/>
        </w:rPr>
        <w:t xml:space="preserve">uniquement </w:t>
      </w:r>
      <w:r w:rsidRPr="0058432E">
        <w:rPr>
          <w:color w:val="000000" w:themeColor="text1"/>
        </w:rPr>
        <w:t>à votre enfant. Ne le donnez pas à d’autres personnes. Il pourrait leur être nocif, même si les signes de leur maladie sont identiques à ceux de votre enfant.</w:t>
      </w:r>
    </w:p>
    <w:p w14:paraId="6C122DFC"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Si votre enfant ressent un quelconque effet indésirable, parlez-en au médecin </w:t>
      </w:r>
      <w:r w:rsidR="000A2E43" w:rsidRPr="0058432E">
        <w:rPr>
          <w:color w:val="000000" w:themeColor="text1"/>
        </w:rPr>
        <w:t xml:space="preserve">de votre enfant </w:t>
      </w:r>
      <w:r w:rsidRPr="0058432E">
        <w:rPr>
          <w:color w:val="000000" w:themeColor="text1"/>
        </w:rPr>
        <w:t xml:space="preserve">ou au pharmacien. Ceci s’applique aussi à tout effet indésirable qui ne serait pas mentionné dans cette notice (voir rubrique 4). </w:t>
      </w:r>
    </w:p>
    <w:p w14:paraId="107B1DF4" w14:textId="77777777" w:rsidR="00C46587" w:rsidRPr="0058432E" w:rsidRDefault="00C46587" w:rsidP="00982118">
      <w:pPr>
        <w:rPr>
          <w:color w:val="000000" w:themeColor="text1"/>
        </w:rPr>
      </w:pPr>
    </w:p>
    <w:p w14:paraId="5E38C16D" w14:textId="77777777" w:rsidR="00C46587" w:rsidRPr="0058432E" w:rsidRDefault="00C46587" w:rsidP="00982118">
      <w:pPr>
        <w:rPr>
          <w:b/>
          <w:color w:val="000000" w:themeColor="text1"/>
        </w:rPr>
      </w:pPr>
      <w:r w:rsidRPr="0058432E">
        <w:rPr>
          <w:b/>
          <w:color w:val="000000" w:themeColor="text1"/>
        </w:rPr>
        <w:t>Que contient cette notice ?</w:t>
      </w:r>
    </w:p>
    <w:p w14:paraId="42615DBF" w14:textId="77777777" w:rsidR="00C46587" w:rsidRPr="0058432E" w:rsidRDefault="00C46587" w:rsidP="00982118">
      <w:pPr>
        <w:tabs>
          <w:tab w:val="left" w:pos="562"/>
        </w:tabs>
        <w:rPr>
          <w:color w:val="000000" w:themeColor="text1"/>
        </w:rPr>
      </w:pPr>
      <w:r w:rsidRPr="0058432E">
        <w:rPr>
          <w:color w:val="000000" w:themeColor="text1"/>
        </w:rPr>
        <w:t>1.</w:t>
      </w:r>
      <w:r w:rsidRPr="0058432E">
        <w:rPr>
          <w:color w:val="000000" w:themeColor="text1"/>
        </w:rPr>
        <w:tab/>
        <w:t xml:space="preserve">Qu’est-ce qu’Amsparity et dans quels cas est-il utilisé </w:t>
      </w:r>
    </w:p>
    <w:p w14:paraId="2C56387D" w14:textId="77777777" w:rsidR="00C46587" w:rsidRPr="0058432E" w:rsidRDefault="00C46587" w:rsidP="00982118">
      <w:pPr>
        <w:tabs>
          <w:tab w:val="left" w:pos="562"/>
        </w:tabs>
        <w:rPr>
          <w:color w:val="000000" w:themeColor="text1"/>
        </w:rPr>
      </w:pPr>
      <w:r w:rsidRPr="0058432E">
        <w:rPr>
          <w:color w:val="000000" w:themeColor="text1"/>
        </w:rPr>
        <w:t>2.</w:t>
      </w:r>
      <w:r w:rsidRPr="0058432E">
        <w:rPr>
          <w:color w:val="000000" w:themeColor="text1"/>
        </w:rPr>
        <w:tab/>
        <w:t xml:space="preserve">Quelles sont les informations à connaître avant que votre enfant </w:t>
      </w:r>
      <w:r w:rsidR="000A2E43" w:rsidRPr="0058432E">
        <w:rPr>
          <w:color w:val="000000" w:themeColor="text1"/>
        </w:rPr>
        <w:t>n’utilise</w:t>
      </w:r>
      <w:r w:rsidRPr="0058432E">
        <w:rPr>
          <w:color w:val="000000" w:themeColor="text1"/>
        </w:rPr>
        <w:t xml:space="preserve"> Amsparity </w:t>
      </w:r>
    </w:p>
    <w:p w14:paraId="02C1CD8F" w14:textId="77777777" w:rsidR="00C46587" w:rsidRPr="0058432E" w:rsidRDefault="00C46587" w:rsidP="00982118">
      <w:pPr>
        <w:tabs>
          <w:tab w:val="left" w:pos="562"/>
        </w:tabs>
        <w:rPr>
          <w:color w:val="000000" w:themeColor="text1"/>
        </w:rPr>
      </w:pPr>
      <w:r w:rsidRPr="0058432E">
        <w:rPr>
          <w:color w:val="000000" w:themeColor="text1"/>
        </w:rPr>
        <w:t>3.</w:t>
      </w:r>
      <w:r w:rsidRPr="0058432E">
        <w:rPr>
          <w:color w:val="000000" w:themeColor="text1"/>
        </w:rPr>
        <w:tab/>
        <w:t xml:space="preserve">Comment utiliser Amsparity </w:t>
      </w:r>
    </w:p>
    <w:p w14:paraId="5FF798A0" w14:textId="77777777" w:rsidR="00C46587" w:rsidRPr="0058432E" w:rsidRDefault="00C46587" w:rsidP="00982118">
      <w:pPr>
        <w:tabs>
          <w:tab w:val="left" w:pos="562"/>
        </w:tabs>
        <w:rPr>
          <w:color w:val="000000" w:themeColor="text1"/>
        </w:rPr>
      </w:pPr>
      <w:r w:rsidRPr="0058432E">
        <w:rPr>
          <w:color w:val="000000" w:themeColor="text1"/>
        </w:rPr>
        <w:t>4.</w:t>
      </w:r>
      <w:r w:rsidRPr="0058432E">
        <w:rPr>
          <w:color w:val="000000" w:themeColor="text1"/>
        </w:rPr>
        <w:tab/>
        <w:t xml:space="preserve">Quels sont les effets indésirables éventuels ? </w:t>
      </w:r>
    </w:p>
    <w:p w14:paraId="38A71C60" w14:textId="77777777" w:rsidR="00C46587" w:rsidRPr="0058432E" w:rsidRDefault="00C46587" w:rsidP="00982118">
      <w:pPr>
        <w:tabs>
          <w:tab w:val="left" w:pos="562"/>
        </w:tabs>
        <w:rPr>
          <w:color w:val="000000" w:themeColor="text1"/>
        </w:rPr>
      </w:pPr>
      <w:r w:rsidRPr="0058432E">
        <w:rPr>
          <w:color w:val="000000" w:themeColor="text1"/>
        </w:rPr>
        <w:t>5.</w:t>
      </w:r>
      <w:r w:rsidRPr="0058432E">
        <w:rPr>
          <w:color w:val="000000" w:themeColor="text1"/>
        </w:rPr>
        <w:tab/>
        <w:t xml:space="preserve">Comment conserver Amsparity </w:t>
      </w:r>
    </w:p>
    <w:p w14:paraId="7DF86F14" w14:textId="77777777" w:rsidR="00C46587" w:rsidRPr="0058432E" w:rsidRDefault="00C46587" w:rsidP="00982118">
      <w:pPr>
        <w:tabs>
          <w:tab w:val="left" w:pos="562"/>
        </w:tabs>
        <w:rPr>
          <w:color w:val="000000" w:themeColor="text1"/>
        </w:rPr>
      </w:pPr>
      <w:r w:rsidRPr="0058432E">
        <w:rPr>
          <w:color w:val="000000" w:themeColor="text1"/>
        </w:rPr>
        <w:t>6.</w:t>
      </w:r>
      <w:r w:rsidRPr="0058432E">
        <w:rPr>
          <w:color w:val="000000" w:themeColor="text1"/>
        </w:rPr>
        <w:tab/>
        <w:t>Contenu de l’emballage et autres informations</w:t>
      </w:r>
    </w:p>
    <w:p w14:paraId="3ECA5B29" w14:textId="77777777" w:rsidR="00C46587" w:rsidRPr="0058432E" w:rsidRDefault="00C46587" w:rsidP="00982118">
      <w:pPr>
        <w:rPr>
          <w:color w:val="000000" w:themeColor="text1"/>
        </w:rPr>
      </w:pPr>
    </w:p>
    <w:p w14:paraId="74180856" w14:textId="77777777" w:rsidR="00C46587" w:rsidRPr="0058432E" w:rsidRDefault="00C46587" w:rsidP="00982118">
      <w:pPr>
        <w:rPr>
          <w:color w:val="000000" w:themeColor="text1"/>
        </w:rPr>
      </w:pPr>
    </w:p>
    <w:p w14:paraId="5904C047" w14:textId="77777777" w:rsidR="00C46587" w:rsidRPr="0058432E" w:rsidRDefault="00C46587" w:rsidP="00982118">
      <w:pPr>
        <w:tabs>
          <w:tab w:val="left" w:pos="562"/>
        </w:tabs>
        <w:rPr>
          <w:b/>
          <w:color w:val="000000" w:themeColor="text1"/>
        </w:rPr>
      </w:pPr>
      <w:r w:rsidRPr="0058432E">
        <w:rPr>
          <w:b/>
          <w:color w:val="000000" w:themeColor="text1"/>
        </w:rPr>
        <w:t>1.</w:t>
      </w:r>
      <w:r w:rsidRPr="0058432E">
        <w:rPr>
          <w:b/>
          <w:color w:val="000000" w:themeColor="text1"/>
        </w:rPr>
        <w:tab/>
        <w:t xml:space="preserve">Qu’est-ce qu’Amsparity et dans quels cas est-il utilisé </w:t>
      </w:r>
    </w:p>
    <w:p w14:paraId="26515982" w14:textId="77777777" w:rsidR="00C46587" w:rsidRPr="0058432E" w:rsidRDefault="00C46587" w:rsidP="00982118">
      <w:pPr>
        <w:rPr>
          <w:color w:val="000000" w:themeColor="text1"/>
        </w:rPr>
      </w:pPr>
    </w:p>
    <w:p w14:paraId="19E3916B" w14:textId="77777777" w:rsidR="00336C36" w:rsidRPr="0058432E" w:rsidRDefault="006A1144" w:rsidP="00982118">
      <w:pPr>
        <w:rPr>
          <w:color w:val="000000" w:themeColor="text1"/>
        </w:rPr>
      </w:pPr>
      <w:r w:rsidRPr="0058432E">
        <w:rPr>
          <w:color w:val="000000" w:themeColor="text1"/>
        </w:rPr>
        <w:t>Amsparity contient la substance active adalimumab,</w:t>
      </w:r>
      <w:r w:rsidR="00685E94" w:rsidRPr="0058432E">
        <w:rPr>
          <w:color w:val="000000" w:themeColor="text1"/>
        </w:rPr>
        <w:t xml:space="preserve"> un médicament qui agit sur le système immunitaire (défense) de votre enfant.</w:t>
      </w:r>
    </w:p>
    <w:p w14:paraId="4A4E6A65" w14:textId="77777777" w:rsidR="00336C36" w:rsidRPr="0058432E" w:rsidRDefault="00336C36" w:rsidP="00982118">
      <w:pPr>
        <w:rPr>
          <w:color w:val="000000" w:themeColor="text1"/>
        </w:rPr>
      </w:pPr>
    </w:p>
    <w:p w14:paraId="3D548B32" w14:textId="77777777" w:rsidR="00336C36" w:rsidRPr="0058432E" w:rsidRDefault="006A1144" w:rsidP="00982118">
      <w:pPr>
        <w:rPr>
          <w:color w:val="000000" w:themeColor="text1"/>
        </w:rPr>
      </w:pPr>
      <w:r w:rsidRPr="0058432E">
        <w:rPr>
          <w:color w:val="000000" w:themeColor="text1"/>
        </w:rPr>
        <w:t>Amsparity est destiné au traitement des maladies inflammatoires décrites ci-dessous :</w:t>
      </w:r>
    </w:p>
    <w:p w14:paraId="6F6CC338" w14:textId="77777777" w:rsidR="00336C36" w:rsidRPr="0058432E" w:rsidRDefault="00A94D54" w:rsidP="00982118">
      <w:pPr>
        <w:numPr>
          <w:ilvl w:val="0"/>
          <w:numId w:val="18"/>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juvénile idiopathique polyarticulaire </w:t>
      </w:r>
    </w:p>
    <w:p w14:paraId="3A8A352E" w14:textId="77777777" w:rsidR="00336C36" w:rsidRPr="0058432E" w:rsidRDefault="00B53A18" w:rsidP="00982118">
      <w:pPr>
        <w:numPr>
          <w:ilvl w:val="0"/>
          <w:numId w:val="18"/>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liée à l’enthésite chez l’enfant et l’adolescent</w:t>
      </w:r>
    </w:p>
    <w:p w14:paraId="6326E6AC" w14:textId="77777777" w:rsidR="00336C36" w:rsidRPr="0058432E" w:rsidRDefault="00A94D54" w:rsidP="00982118">
      <w:pPr>
        <w:numPr>
          <w:ilvl w:val="0"/>
          <w:numId w:val="18"/>
        </w:numPr>
        <w:ind w:left="360"/>
        <w:rPr>
          <w:color w:val="000000" w:themeColor="text1"/>
        </w:rPr>
      </w:pPr>
      <w:proofErr w:type="gramStart"/>
      <w:r w:rsidRPr="0058432E">
        <w:rPr>
          <w:color w:val="000000" w:themeColor="text1"/>
        </w:rPr>
        <w:t>psoriasis</w:t>
      </w:r>
      <w:proofErr w:type="gramEnd"/>
      <w:r w:rsidRPr="0058432E">
        <w:rPr>
          <w:color w:val="000000" w:themeColor="text1"/>
        </w:rPr>
        <w:t xml:space="preserve"> en plaques chez l’enfant et l’adolescent </w:t>
      </w:r>
    </w:p>
    <w:p w14:paraId="666C40D4" w14:textId="77777777" w:rsidR="00336C36" w:rsidRPr="0058432E" w:rsidRDefault="00A94D54" w:rsidP="00982118">
      <w:pPr>
        <w:numPr>
          <w:ilvl w:val="0"/>
          <w:numId w:val="18"/>
        </w:numPr>
        <w:ind w:left="360"/>
        <w:rPr>
          <w:color w:val="000000" w:themeColor="text1"/>
        </w:rPr>
      </w:pPr>
      <w:proofErr w:type="gramStart"/>
      <w:r w:rsidRPr="0058432E">
        <w:rPr>
          <w:color w:val="000000" w:themeColor="text1"/>
        </w:rPr>
        <w:t>hidrosadénite</w:t>
      </w:r>
      <w:proofErr w:type="gramEnd"/>
      <w:r w:rsidRPr="0058432E">
        <w:rPr>
          <w:color w:val="000000" w:themeColor="text1"/>
        </w:rPr>
        <w:t xml:space="preserve"> suppurée chez l’adolescent </w:t>
      </w:r>
    </w:p>
    <w:p w14:paraId="61FFF7E1" w14:textId="77777777" w:rsidR="00336C36" w:rsidRPr="0058432E" w:rsidRDefault="00A94D54" w:rsidP="00982118">
      <w:pPr>
        <w:numPr>
          <w:ilvl w:val="0"/>
          <w:numId w:val="18"/>
        </w:numPr>
        <w:ind w:left="360"/>
        <w:rPr>
          <w:color w:val="000000" w:themeColor="text1"/>
        </w:rPr>
      </w:pPr>
      <w:proofErr w:type="gramStart"/>
      <w:r w:rsidRPr="0058432E">
        <w:rPr>
          <w:color w:val="000000" w:themeColor="text1"/>
        </w:rPr>
        <w:t>maladie</w:t>
      </w:r>
      <w:proofErr w:type="gramEnd"/>
      <w:r w:rsidRPr="0058432E">
        <w:rPr>
          <w:color w:val="000000" w:themeColor="text1"/>
        </w:rPr>
        <w:t xml:space="preserve"> de Crohn chez l’enfant et l’adolescent</w:t>
      </w:r>
    </w:p>
    <w:p w14:paraId="33D55E09" w14:textId="77777777" w:rsidR="0041203B" w:rsidRPr="0058432E" w:rsidRDefault="0041203B" w:rsidP="00982118">
      <w:pPr>
        <w:numPr>
          <w:ilvl w:val="0"/>
          <w:numId w:val="18"/>
        </w:numPr>
        <w:ind w:left="360"/>
        <w:rPr>
          <w:color w:val="000000" w:themeColor="text1"/>
        </w:rPr>
      </w:pPr>
      <w:proofErr w:type="gramStart"/>
      <w:r w:rsidRPr="0058432E">
        <w:rPr>
          <w:color w:val="000000" w:themeColor="text1"/>
        </w:rPr>
        <w:t>rectocolite</w:t>
      </w:r>
      <w:proofErr w:type="gramEnd"/>
      <w:r w:rsidRPr="0058432E">
        <w:rPr>
          <w:color w:val="000000" w:themeColor="text1"/>
        </w:rPr>
        <w:t xml:space="preserve"> hémorragique chez l’enfant et l’adolescent</w:t>
      </w:r>
    </w:p>
    <w:p w14:paraId="1B855D4F" w14:textId="77777777" w:rsidR="00336C36" w:rsidRPr="0058432E" w:rsidRDefault="00A94D54" w:rsidP="00982118">
      <w:pPr>
        <w:numPr>
          <w:ilvl w:val="0"/>
          <w:numId w:val="18"/>
        </w:numPr>
        <w:ind w:left="360"/>
        <w:rPr>
          <w:color w:val="000000" w:themeColor="text1"/>
        </w:rPr>
      </w:pPr>
      <w:proofErr w:type="gramStart"/>
      <w:r w:rsidRPr="0058432E">
        <w:rPr>
          <w:color w:val="000000" w:themeColor="text1"/>
        </w:rPr>
        <w:t>uvéite</w:t>
      </w:r>
      <w:proofErr w:type="gramEnd"/>
      <w:r w:rsidRPr="0058432E">
        <w:rPr>
          <w:color w:val="000000" w:themeColor="text1"/>
        </w:rPr>
        <w:t xml:space="preserve"> chez l’enfant et l’adolescent </w:t>
      </w:r>
    </w:p>
    <w:p w14:paraId="66595199" w14:textId="77777777" w:rsidR="00336C36" w:rsidRPr="0058432E" w:rsidRDefault="00336C36" w:rsidP="00982118">
      <w:pPr>
        <w:rPr>
          <w:color w:val="000000" w:themeColor="text1"/>
        </w:rPr>
      </w:pPr>
    </w:p>
    <w:p w14:paraId="0B9C59BD" w14:textId="77777777" w:rsidR="00A94D54" w:rsidRPr="0058432E" w:rsidRDefault="00C46587" w:rsidP="00982118">
      <w:pPr>
        <w:rPr>
          <w:color w:val="000000" w:themeColor="text1"/>
        </w:rPr>
      </w:pPr>
      <w:r w:rsidRPr="0058432E">
        <w:rPr>
          <w:color w:val="000000" w:themeColor="text1"/>
        </w:rPr>
        <w:t xml:space="preserve">Le principe actif dans Amsparity, l’adalimumab, est un anticorps monoclonal. Les anticorps monoclonaux sont des protéines qui se lient à une cible spécifique dans l’organisme. </w:t>
      </w:r>
    </w:p>
    <w:p w14:paraId="082B6481" w14:textId="77777777" w:rsidR="00A94D54" w:rsidRPr="0058432E" w:rsidRDefault="00A94D54" w:rsidP="00982118">
      <w:pPr>
        <w:rPr>
          <w:color w:val="000000" w:themeColor="text1"/>
        </w:rPr>
      </w:pPr>
    </w:p>
    <w:p w14:paraId="03BB6F3A" w14:textId="77777777" w:rsidR="00C46587" w:rsidRPr="0058432E" w:rsidRDefault="00336C36" w:rsidP="00982118">
      <w:pPr>
        <w:rPr>
          <w:color w:val="000000" w:themeColor="text1"/>
        </w:rPr>
      </w:pPr>
      <w:r w:rsidRPr="0058432E">
        <w:rPr>
          <w:color w:val="000000" w:themeColor="text1"/>
        </w:rPr>
        <w:t xml:space="preserve">La cible de l’adalimumab est une autre protéine appelée facteur de nécrose tumorale (TNFα) qui est impliquée dans le système immunitaire (défense) et est présente à des taux augmentés dans les maladies inflammatoires mentionnées ci-dessus. En se liant au TNFα, Amsparity </w:t>
      </w:r>
      <w:r w:rsidR="00037C77" w:rsidRPr="0058432E">
        <w:rPr>
          <w:color w:val="000000" w:themeColor="text1"/>
        </w:rPr>
        <w:t xml:space="preserve">bloque cette action et </w:t>
      </w:r>
      <w:r w:rsidRPr="0058432E">
        <w:rPr>
          <w:color w:val="000000" w:themeColor="text1"/>
        </w:rPr>
        <w:t xml:space="preserve">diminue le processus inflammatoire dans ces maladies. </w:t>
      </w:r>
    </w:p>
    <w:p w14:paraId="48A6A6B0" w14:textId="77777777" w:rsidR="0069483F" w:rsidRPr="0058432E" w:rsidRDefault="0069483F" w:rsidP="00982118">
      <w:pPr>
        <w:rPr>
          <w:color w:val="000000" w:themeColor="text1"/>
        </w:rPr>
      </w:pPr>
    </w:p>
    <w:p w14:paraId="3C5584A1" w14:textId="77777777" w:rsidR="00C46587" w:rsidRPr="0058432E" w:rsidRDefault="00C46587" w:rsidP="00982118">
      <w:pPr>
        <w:keepNext/>
        <w:rPr>
          <w:color w:val="000000" w:themeColor="text1"/>
          <w:u w:val="single"/>
        </w:rPr>
      </w:pPr>
      <w:r w:rsidRPr="0058432E">
        <w:rPr>
          <w:color w:val="000000" w:themeColor="text1"/>
          <w:u w:val="single"/>
        </w:rPr>
        <w:lastRenderedPageBreak/>
        <w:t xml:space="preserve">Arthrite juvénile idiopathique polyarticulaire </w:t>
      </w:r>
    </w:p>
    <w:p w14:paraId="37CDF466" w14:textId="77777777" w:rsidR="00C46587" w:rsidRPr="0058432E" w:rsidRDefault="00C46587" w:rsidP="00982118">
      <w:pPr>
        <w:keepNext/>
        <w:rPr>
          <w:color w:val="000000" w:themeColor="text1"/>
        </w:rPr>
      </w:pPr>
    </w:p>
    <w:p w14:paraId="7325B3B6" w14:textId="77777777" w:rsidR="00C46587" w:rsidRPr="0058432E" w:rsidRDefault="00C46587" w:rsidP="00982118">
      <w:pPr>
        <w:keepNext/>
        <w:rPr>
          <w:color w:val="000000" w:themeColor="text1"/>
        </w:rPr>
      </w:pPr>
      <w:r w:rsidRPr="0058432E">
        <w:rPr>
          <w:color w:val="000000" w:themeColor="text1"/>
        </w:rPr>
        <w:t xml:space="preserve">L’arthrite juvénile idiopathique polyarticulaire </w:t>
      </w:r>
      <w:r w:rsidR="00287374" w:rsidRPr="0058432E">
        <w:rPr>
          <w:color w:val="000000" w:themeColor="text1"/>
        </w:rPr>
        <w:t xml:space="preserve">est une </w:t>
      </w:r>
      <w:r w:rsidR="00017BA2" w:rsidRPr="0058432E">
        <w:rPr>
          <w:color w:val="000000" w:themeColor="text1"/>
        </w:rPr>
        <w:t xml:space="preserve">maladie inflammatoire </w:t>
      </w:r>
      <w:r w:rsidRPr="0058432E">
        <w:rPr>
          <w:color w:val="000000" w:themeColor="text1"/>
        </w:rPr>
        <w:t xml:space="preserve">des articulations qui </w:t>
      </w:r>
      <w:r w:rsidR="00287374" w:rsidRPr="0058432E">
        <w:rPr>
          <w:color w:val="000000" w:themeColor="text1"/>
        </w:rPr>
        <w:t>apparaît</w:t>
      </w:r>
      <w:r w:rsidRPr="0058432E">
        <w:rPr>
          <w:color w:val="000000" w:themeColor="text1"/>
        </w:rPr>
        <w:t xml:space="preserve"> habituellement d’abord dans l’enfance. </w:t>
      </w:r>
    </w:p>
    <w:p w14:paraId="086C31F9" w14:textId="77777777" w:rsidR="0069483F" w:rsidRPr="0058432E" w:rsidRDefault="0069483F" w:rsidP="00982118">
      <w:pPr>
        <w:rPr>
          <w:color w:val="000000" w:themeColor="text1"/>
        </w:rPr>
      </w:pPr>
    </w:p>
    <w:p w14:paraId="39C5E3D1" w14:textId="77777777" w:rsidR="00C46587" w:rsidRPr="0058432E" w:rsidRDefault="006A1144" w:rsidP="00982118">
      <w:pPr>
        <w:rPr>
          <w:color w:val="000000" w:themeColor="text1"/>
        </w:rPr>
      </w:pPr>
      <w:r w:rsidRPr="0058432E">
        <w:rPr>
          <w:color w:val="000000" w:themeColor="text1"/>
        </w:rPr>
        <w:t>Amsparity est utilisé pour traiter l’arthrite juvénile idiopathique polyarticulaire chez l</w:t>
      </w:r>
      <w:r w:rsidR="005062A9" w:rsidRPr="0058432E">
        <w:rPr>
          <w:color w:val="000000" w:themeColor="text1"/>
        </w:rPr>
        <w:t xml:space="preserve">es </w:t>
      </w:r>
      <w:r w:rsidRPr="0058432E">
        <w:rPr>
          <w:color w:val="000000" w:themeColor="text1"/>
        </w:rPr>
        <w:t>enfant</w:t>
      </w:r>
      <w:r w:rsidR="005062A9" w:rsidRPr="0058432E">
        <w:rPr>
          <w:color w:val="000000" w:themeColor="text1"/>
        </w:rPr>
        <w:t>s</w:t>
      </w:r>
      <w:r w:rsidRPr="0058432E">
        <w:rPr>
          <w:color w:val="000000" w:themeColor="text1"/>
        </w:rPr>
        <w:t xml:space="preserve"> </w:t>
      </w:r>
      <w:r w:rsidR="00287374" w:rsidRPr="0058432E">
        <w:rPr>
          <w:color w:val="000000" w:themeColor="text1"/>
        </w:rPr>
        <w:t>et l</w:t>
      </w:r>
      <w:r w:rsidR="005062A9" w:rsidRPr="0058432E">
        <w:rPr>
          <w:color w:val="000000" w:themeColor="text1"/>
        </w:rPr>
        <w:t xml:space="preserve">es </w:t>
      </w:r>
      <w:r w:rsidR="00287374" w:rsidRPr="0058432E">
        <w:rPr>
          <w:color w:val="000000" w:themeColor="text1"/>
        </w:rPr>
        <w:t>adolescent</w:t>
      </w:r>
      <w:r w:rsidR="005062A9" w:rsidRPr="0058432E">
        <w:rPr>
          <w:color w:val="000000" w:themeColor="text1"/>
        </w:rPr>
        <w:t>s</w:t>
      </w:r>
      <w:r w:rsidRPr="0058432E">
        <w:rPr>
          <w:color w:val="000000" w:themeColor="text1"/>
        </w:rPr>
        <w:t xml:space="preserve"> </w:t>
      </w:r>
      <w:r w:rsidR="00792F5D" w:rsidRPr="0058432E">
        <w:rPr>
          <w:color w:val="000000" w:themeColor="text1"/>
        </w:rPr>
        <w:t xml:space="preserve">âgés </w:t>
      </w:r>
      <w:r w:rsidRPr="0058432E">
        <w:rPr>
          <w:color w:val="000000" w:themeColor="text1"/>
        </w:rPr>
        <w:t xml:space="preserve">de 2 à 17 ans. Votre enfant peut d’abord recevoir d’autres traitements de fond tels que du méthotrexate. Si ces </w:t>
      </w:r>
      <w:r w:rsidR="00EB5DA0" w:rsidRPr="0058432E">
        <w:rPr>
          <w:color w:val="000000" w:themeColor="text1"/>
        </w:rPr>
        <w:t xml:space="preserve">médicaments </w:t>
      </w:r>
      <w:r w:rsidRPr="0058432E">
        <w:rPr>
          <w:color w:val="000000" w:themeColor="text1"/>
        </w:rPr>
        <w:t xml:space="preserve">ne fonctionnent pas </w:t>
      </w:r>
      <w:r w:rsidR="00A85508" w:rsidRPr="0058432E">
        <w:rPr>
          <w:color w:val="000000" w:themeColor="text1"/>
        </w:rPr>
        <w:t xml:space="preserve">assez </w:t>
      </w:r>
      <w:r w:rsidRPr="0058432E">
        <w:rPr>
          <w:color w:val="000000" w:themeColor="text1"/>
        </w:rPr>
        <w:t xml:space="preserve">bien, votre enfant peut recevoir Amsparity pour traiter son arthrite juvénile idiopathique polyarticulaire. </w:t>
      </w:r>
    </w:p>
    <w:p w14:paraId="77C191E7" w14:textId="77777777" w:rsidR="00287374" w:rsidRPr="0058432E" w:rsidRDefault="00287374" w:rsidP="00982118">
      <w:pPr>
        <w:rPr>
          <w:color w:val="000000" w:themeColor="text1"/>
        </w:rPr>
      </w:pPr>
    </w:p>
    <w:p w14:paraId="580747F9" w14:textId="77777777" w:rsidR="00287374" w:rsidRPr="0058432E" w:rsidRDefault="00287374" w:rsidP="00287374">
      <w:pPr>
        <w:rPr>
          <w:color w:val="000000" w:themeColor="text1"/>
          <w:u w:val="single"/>
        </w:rPr>
      </w:pPr>
      <w:r w:rsidRPr="0058432E">
        <w:rPr>
          <w:color w:val="000000" w:themeColor="text1"/>
          <w:u w:val="single"/>
        </w:rPr>
        <w:t xml:space="preserve">Arthrite liée à l'enthésite </w:t>
      </w:r>
      <w:r w:rsidR="001A5AC1" w:rsidRPr="0058432E">
        <w:rPr>
          <w:color w:val="000000" w:themeColor="text1"/>
          <w:u w:val="single"/>
        </w:rPr>
        <w:t>chez l’enfant et l’adolescent</w:t>
      </w:r>
    </w:p>
    <w:p w14:paraId="2A60FB71" w14:textId="77777777" w:rsidR="00287374" w:rsidRPr="0058432E" w:rsidRDefault="00287374" w:rsidP="00287374">
      <w:pPr>
        <w:rPr>
          <w:color w:val="000000" w:themeColor="text1"/>
        </w:rPr>
      </w:pPr>
    </w:p>
    <w:p w14:paraId="659AEBAD" w14:textId="77777777" w:rsidR="00287374" w:rsidRPr="0058432E" w:rsidRDefault="00287374" w:rsidP="00287374">
      <w:pPr>
        <w:rPr>
          <w:color w:val="000000" w:themeColor="text1"/>
        </w:rPr>
      </w:pPr>
      <w:r w:rsidRPr="0058432E">
        <w:rPr>
          <w:color w:val="000000" w:themeColor="text1"/>
        </w:rPr>
        <w:t>L’arthrite liée à l’enthésite pédiatrique est une maladie inflammatoire des articulations et des points d’attache entre les tendons et les os.</w:t>
      </w:r>
    </w:p>
    <w:p w14:paraId="03502C96" w14:textId="77777777" w:rsidR="00287374" w:rsidRPr="0058432E" w:rsidRDefault="00287374" w:rsidP="00287374">
      <w:pPr>
        <w:rPr>
          <w:color w:val="000000" w:themeColor="text1"/>
        </w:rPr>
      </w:pPr>
    </w:p>
    <w:p w14:paraId="35CB16B6" w14:textId="77777777" w:rsidR="00287374" w:rsidRPr="0058432E" w:rsidRDefault="00287374" w:rsidP="00287374">
      <w:pPr>
        <w:rPr>
          <w:color w:val="000000" w:themeColor="text1"/>
        </w:rPr>
      </w:pPr>
      <w:r w:rsidRPr="0058432E">
        <w:rPr>
          <w:color w:val="000000" w:themeColor="text1"/>
        </w:rPr>
        <w:t>Amsparity est utilisé pour traiter l’arthrite liée à l’enthésite chez les</w:t>
      </w:r>
      <w:r w:rsidR="00B05538" w:rsidRPr="0058432E">
        <w:rPr>
          <w:color w:val="000000" w:themeColor="text1"/>
        </w:rPr>
        <w:t xml:space="preserve"> enfants et les adolescents âgés</w:t>
      </w:r>
      <w:r w:rsidRPr="0058432E">
        <w:rPr>
          <w:color w:val="000000" w:themeColor="text1"/>
        </w:rPr>
        <w:t xml:space="preserve"> de 6 à 17 ans. Votre enfant peut d’abord recevoir d’autres traitements de fond tels que du méthotrexate. Si ces traitements ne fonctionnent pas assez bien, votre enfant peut recevoir Amsparity pour traiter son arthrite liée à l’enthésite</w:t>
      </w:r>
    </w:p>
    <w:p w14:paraId="4B332201" w14:textId="77777777" w:rsidR="00C46587" w:rsidRPr="0058432E" w:rsidRDefault="00C46587" w:rsidP="00982118">
      <w:pPr>
        <w:rPr>
          <w:color w:val="000000" w:themeColor="text1"/>
        </w:rPr>
      </w:pPr>
    </w:p>
    <w:p w14:paraId="03AC61B3" w14:textId="77777777" w:rsidR="00C46587" w:rsidRPr="0058432E" w:rsidRDefault="00C67026" w:rsidP="00982118">
      <w:pPr>
        <w:keepNext/>
        <w:rPr>
          <w:color w:val="000000" w:themeColor="text1"/>
          <w:u w:val="single"/>
        </w:rPr>
      </w:pPr>
      <w:r w:rsidRPr="0058432E">
        <w:rPr>
          <w:color w:val="000000" w:themeColor="text1"/>
          <w:u w:val="single"/>
        </w:rPr>
        <w:t>Psoriasis en plaques chez l’enfant et l’adolescent</w:t>
      </w:r>
    </w:p>
    <w:p w14:paraId="072CC1A2" w14:textId="77777777" w:rsidR="00C46587" w:rsidRPr="0058432E" w:rsidRDefault="00C46587" w:rsidP="00982118">
      <w:pPr>
        <w:keepNext/>
        <w:rPr>
          <w:color w:val="000000" w:themeColor="text1"/>
        </w:rPr>
      </w:pPr>
    </w:p>
    <w:p w14:paraId="5B0D20C4" w14:textId="77777777" w:rsidR="00C46587" w:rsidRPr="0058432E" w:rsidRDefault="00C46587" w:rsidP="00982118">
      <w:pPr>
        <w:rPr>
          <w:color w:val="000000" w:themeColor="text1"/>
        </w:rPr>
      </w:pPr>
      <w:r w:rsidRPr="0058432E">
        <w:rPr>
          <w:color w:val="000000" w:themeColor="text1"/>
        </w:rPr>
        <w:t>Le psoriasis en plaques est une maladie de peau inflammatoire qui provoque la formation de plaques squameuses rouges croûteuses couvertes d</w:t>
      </w:r>
      <w:r w:rsidR="00EB5DA0" w:rsidRPr="0058432E">
        <w:rPr>
          <w:color w:val="000000" w:themeColor="text1"/>
        </w:rPr>
        <w:t>’</w:t>
      </w:r>
      <w:r w:rsidR="003B1D2A" w:rsidRPr="0058432E">
        <w:rPr>
          <w:color w:val="000000" w:themeColor="text1"/>
        </w:rPr>
        <w:t>écailles</w:t>
      </w:r>
      <w:r w:rsidRPr="0058432E">
        <w:rPr>
          <w:color w:val="000000" w:themeColor="text1"/>
        </w:rPr>
        <w:t xml:space="preserve"> argentées. Le psoriasis en plaques peut aussi toucher les ongles, entrainant leur effritement, leur épaississement et leur décollement du lit de l’ongle, ce qui peut être douloureux. On pense que le psoriasis est causé par un dérèglement du système immunitaire de l’organisme qui entraîne une augmentation de la production de cellules cutanées. </w:t>
      </w:r>
    </w:p>
    <w:p w14:paraId="21AEF2E5" w14:textId="77777777" w:rsidR="00C46587" w:rsidRPr="0058432E" w:rsidRDefault="00C46587" w:rsidP="00982118">
      <w:pPr>
        <w:rPr>
          <w:color w:val="000000" w:themeColor="text1"/>
        </w:rPr>
      </w:pPr>
    </w:p>
    <w:p w14:paraId="4FA9000D" w14:textId="77777777" w:rsidR="00C46587" w:rsidRPr="0058432E" w:rsidRDefault="006A1144" w:rsidP="00982118">
      <w:pPr>
        <w:rPr>
          <w:color w:val="000000" w:themeColor="text1"/>
        </w:rPr>
      </w:pPr>
      <w:r w:rsidRPr="0058432E">
        <w:rPr>
          <w:color w:val="000000" w:themeColor="text1"/>
        </w:rPr>
        <w:t xml:space="preserve">Amsparity est utilisé pour traiter le psoriasis en plaques sévère chez les enfants et adolescents âgés de 4 à 17 ans pour lesquels un traitement topique et les photothérapies n’ont pas été assez efficaces ou ne sont pas adaptés. </w:t>
      </w:r>
    </w:p>
    <w:p w14:paraId="2173C9CB" w14:textId="77777777" w:rsidR="00C46587" w:rsidRPr="0058432E" w:rsidRDefault="00C46587" w:rsidP="00982118">
      <w:pPr>
        <w:rPr>
          <w:color w:val="000000" w:themeColor="text1"/>
        </w:rPr>
      </w:pPr>
    </w:p>
    <w:p w14:paraId="721126C4" w14:textId="77777777" w:rsidR="00C46587" w:rsidRPr="0058432E" w:rsidRDefault="00C46587" w:rsidP="00982118">
      <w:pPr>
        <w:rPr>
          <w:color w:val="000000" w:themeColor="text1"/>
          <w:u w:val="single"/>
        </w:rPr>
      </w:pPr>
      <w:r w:rsidRPr="0058432E">
        <w:rPr>
          <w:color w:val="000000" w:themeColor="text1"/>
          <w:u w:val="single"/>
        </w:rPr>
        <w:t xml:space="preserve">Hidrosadénite suppurée chez l’adolescent </w:t>
      </w:r>
    </w:p>
    <w:p w14:paraId="17092BFC" w14:textId="77777777" w:rsidR="00C46587" w:rsidRPr="0058432E" w:rsidRDefault="00C46587" w:rsidP="00982118">
      <w:pPr>
        <w:rPr>
          <w:color w:val="000000" w:themeColor="text1"/>
        </w:rPr>
      </w:pPr>
    </w:p>
    <w:p w14:paraId="55E922E9" w14:textId="77777777" w:rsidR="00C46587" w:rsidRPr="0058432E" w:rsidRDefault="00C46587" w:rsidP="00982118">
      <w:pPr>
        <w:rPr>
          <w:color w:val="000000" w:themeColor="text1"/>
        </w:rPr>
      </w:pPr>
      <w:r w:rsidRPr="0058432E">
        <w:rPr>
          <w:color w:val="000000" w:themeColor="text1"/>
        </w:rPr>
        <w:t>L’hidrosadénite suppurée (également appelée maladie de Verneuil</w:t>
      </w:r>
      <w:r w:rsidR="00114815" w:rsidRPr="0058432E">
        <w:rPr>
          <w:color w:val="000000" w:themeColor="text1"/>
        </w:rPr>
        <w:t xml:space="preserve"> ou acné inverse</w:t>
      </w:r>
      <w:r w:rsidRPr="0058432E">
        <w:rPr>
          <w:color w:val="000000" w:themeColor="text1"/>
        </w:rPr>
        <w:t>) est une maladie inflammatoire</w:t>
      </w:r>
      <w:r w:rsidR="00B42EC9" w:rsidRPr="0058432E">
        <w:rPr>
          <w:color w:val="000000" w:themeColor="text1"/>
        </w:rPr>
        <w:t xml:space="preserve"> chronique</w:t>
      </w:r>
      <w:r w:rsidRPr="0058432E">
        <w:rPr>
          <w:color w:val="000000" w:themeColor="text1"/>
        </w:rPr>
        <w:t xml:space="preserve"> de la peau, souvent douloureuse. Les symptômes peuvent inclure des nodules sensibles (bosses) et des abcès (furoncles) avec éventuellement écoulement de pus. Elle touche le plus souvent des zones spécifiques de la peau, telles que les plis sous les seins, les aisselles, l’intérieur des cuisses, l’aine et les fesses. Des cicatrices peuvent également apparaître sur les zones concernées. </w:t>
      </w:r>
    </w:p>
    <w:p w14:paraId="6BED1F9B" w14:textId="77777777" w:rsidR="00C46587" w:rsidRPr="0058432E" w:rsidRDefault="00C46587" w:rsidP="00982118">
      <w:pPr>
        <w:rPr>
          <w:color w:val="000000" w:themeColor="text1"/>
        </w:rPr>
      </w:pPr>
    </w:p>
    <w:p w14:paraId="02E26AC8" w14:textId="77777777" w:rsidR="00C46587" w:rsidRPr="0058432E" w:rsidRDefault="006A1144" w:rsidP="00982118">
      <w:pPr>
        <w:rPr>
          <w:color w:val="000000" w:themeColor="text1"/>
        </w:rPr>
      </w:pPr>
      <w:r w:rsidRPr="0058432E">
        <w:rPr>
          <w:color w:val="000000" w:themeColor="text1"/>
        </w:rPr>
        <w:t xml:space="preserve">Amsparity est utilisé pour traiter l’hidrosadénite suppurée chez l’adolescent à partir de 12 ans. Amsparity peut réduire le nombre de nodules et d’abcès </w:t>
      </w:r>
      <w:r w:rsidR="00287374" w:rsidRPr="0058432E">
        <w:rPr>
          <w:color w:val="000000" w:themeColor="text1"/>
        </w:rPr>
        <w:t>de votre enfant</w:t>
      </w:r>
      <w:r w:rsidRPr="0058432E">
        <w:rPr>
          <w:color w:val="000000" w:themeColor="text1"/>
        </w:rPr>
        <w:t xml:space="preserve">, et la douleur souvent associée à la maladie. </w:t>
      </w:r>
      <w:r w:rsidR="00E50A7D" w:rsidRPr="0058432E">
        <w:rPr>
          <w:color w:val="000000" w:themeColor="text1"/>
        </w:rPr>
        <w:t>Votre enfant peut d'abord recevoir d'autres médicaments</w:t>
      </w:r>
      <w:r w:rsidRPr="0058432E">
        <w:rPr>
          <w:color w:val="000000" w:themeColor="text1"/>
        </w:rPr>
        <w:t xml:space="preserve">. Si ces médicaments ne fonctionnent pas assez bien, </w:t>
      </w:r>
      <w:r w:rsidR="000E78C9" w:rsidRPr="0058432E">
        <w:rPr>
          <w:color w:val="000000" w:themeColor="text1"/>
        </w:rPr>
        <w:t>v</w:t>
      </w:r>
      <w:r w:rsidR="00121221" w:rsidRPr="0058432E">
        <w:rPr>
          <w:color w:val="000000" w:themeColor="text1"/>
        </w:rPr>
        <w:t>otre enfant recevra Amsparity</w:t>
      </w:r>
      <w:r w:rsidRPr="0058432E">
        <w:rPr>
          <w:color w:val="000000" w:themeColor="text1"/>
        </w:rPr>
        <w:t xml:space="preserve">. </w:t>
      </w:r>
    </w:p>
    <w:p w14:paraId="43273CAB" w14:textId="77777777" w:rsidR="00C46587" w:rsidRPr="0058432E" w:rsidRDefault="00C46587" w:rsidP="00982118">
      <w:pPr>
        <w:rPr>
          <w:color w:val="000000" w:themeColor="text1"/>
        </w:rPr>
      </w:pPr>
    </w:p>
    <w:p w14:paraId="534F46F0" w14:textId="77777777" w:rsidR="00B550A1" w:rsidRPr="0058432E" w:rsidRDefault="00B550A1" w:rsidP="00982118">
      <w:pPr>
        <w:rPr>
          <w:color w:val="000000" w:themeColor="text1"/>
          <w:u w:val="single"/>
        </w:rPr>
      </w:pPr>
      <w:r w:rsidRPr="0058432E">
        <w:rPr>
          <w:color w:val="000000" w:themeColor="text1"/>
          <w:u w:val="single"/>
        </w:rPr>
        <w:t xml:space="preserve">Maladie de Crohn chez l’enfant et l’adolescent </w:t>
      </w:r>
    </w:p>
    <w:p w14:paraId="2361355D" w14:textId="77777777" w:rsidR="00B550A1" w:rsidRPr="0058432E" w:rsidRDefault="00B550A1" w:rsidP="00982118">
      <w:pPr>
        <w:rPr>
          <w:color w:val="000000" w:themeColor="text1"/>
        </w:rPr>
      </w:pPr>
    </w:p>
    <w:p w14:paraId="6348F1E5" w14:textId="77777777" w:rsidR="00B63A4C" w:rsidRPr="0058432E" w:rsidRDefault="00B550A1" w:rsidP="00982118">
      <w:pPr>
        <w:rPr>
          <w:color w:val="000000" w:themeColor="text1"/>
        </w:rPr>
      </w:pPr>
      <w:r w:rsidRPr="0058432E">
        <w:rPr>
          <w:color w:val="000000" w:themeColor="text1"/>
        </w:rPr>
        <w:t xml:space="preserve">La maladie de Crohn est une maladie inflammatoire de l’intestin. </w:t>
      </w:r>
    </w:p>
    <w:p w14:paraId="0074D87B" w14:textId="77777777" w:rsidR="00B63A4C" w:rsidRPr="0058432E" w:rsidRDefault="00B63A4C" w:rsidP="00982118">
      <w:pPr>
        <w:rPr>
          <w:color w:val="000000" w:themeColor="text1"/>
        </w:rPr>
      </w:pPr>
    </w:p>
    <w:p w14:paraId="1DA18495" w14:textId="77777777" w:rsidR="00B63A4C" w:rsidRPr="0058432E" w:rsidRDefault="006A1144" w:rsidP="00982118">
      <w:pPr>
        <w:rPr>
          <w:color w:val="000000" w:themeColor="text1"/>
        </w:rPr>
      </w:pPr>
      <w:r w:rsidRPr="0058432E">
        <w:rPr>
          <w:color w:val="000000" w:themeColor="text1"/>
        </w:rPr>
        <w:t xml:space="preserve">Amsparity est </w:t>
      </w:r>
      <w:r w:rsidR="00D069BD" w:rsidRPr="0058432E">
        <w:rPr>
          <w:color w:val="000000" w:themeColor="text1"/>
        </w:rPr>
        <w:t>utilisé</w:t>
      </w:r>
      <w:r w:rsidRPr="0058432E">
        <w:rPr>
          <w:color w:val="000000" w:themeColor="text1"/>
        </w:rPr>
        <w:t xml:space="preserve"> pour</w:t>
      </w:r>
      <w:r w:rsidR="00B42EC9" w:rsidRPr="0058432E">
        <w:rPr>
          <w:color w:val="000000" w:themeColor="text1"/>
        </w:rPr>
        <w:t xml:space="preserve"> </w:t>
      </w:r>
      <w:r w:rsidRPr="0058432E">
        <w:rPr>
          <w:color w:val="000000" w:themeColor="text1"/>
        </w:rPr>
        <w:t>traite</w:t>
      </w:r>
      <w:r w:rsidR="00D069BD" w:rsidRPr="0058432E">
        <w:rPr>
          <w:color w:val="000000" w:themeColor="text1"/>
        </w:rPr>
        <w:t>r</w:t>
      </w:r>
      <w:r w:rsidRPr="0058432E">
        <w:rPr>
          <w:color w:val="000000" w:themeColor="text1"/>
        </w:rPr>
        <w:t xml:space="preserve"> la maladie de Crohn </w:t>
      </w:r>
      <w:r w:rsidR="00B42EC9" w:rsidRPr="0058432E">
        <w:rPr>
          <w:color w:val="000000" w:themeColor="text1"/>
        </w:rPr>
        <w:t>chez</w:t>
      </w:r>
      <w:r w:rsidRPr="0058432E">
        <w:rPr>
          <w:color w:val="000000" w:themeColor="text1"/>
        </w:rPr>
        <w:t xml:space="preserve"> l</w:t>
      </w:r>
      <w:r w:rsidR="00B42EC9" w:rsidRPr="0058432E">
        <w:rPr>
          <w:color w:val="000000" w:themeColor="text1"/>
        </w:rPr>
        <w:t xml:space="preserve">es </w:t>
      </w:r>
      <w:r w:rsidRPr="0058432E">
        <w:rPr>
          <w:color w:val="000000" w:themeColor="text1"/>
        </w:rPr>
        <w:t>enfant</w:t>
      </w:r>
      <w:r w:rsidR="00D069BD" w:rsidRPr="0058432E">
        <w:rPr>
          <w:color w:val="000000" w:themeColor="text1"/>
        </w:rPr>
        <w:t>s</w:t>
      </w:r>
      <w:r w:rsidRPr="0058432E">
        <w:rPr>
          <w:color w:val="000000" w:themeColor="text1"/>
        </w:rPr>
        <w:t xml:space="preserve"> </w:t>
      </w:r>
      <w:r w:rsidR="00121221" w:rsidRPr="0058432E">
        <w:rPr>
          <w:color w:val="000000" w:themeColor="text1"/>
        </w:rPr>
        <w:t xml:space="preserve">et </w:t>
      </w:r>
      <w:r w:rsidR="00163059" w:rsidRPr="0058432E">
        <w:rPr>
          <w:color w:val="000000" w:themeColor="text1"/>
        </w:rPr>
        <w:t xml:space="preserve">les </w:t>
      </w:r>
      <w:r w:rsidR="00121221" w:rsidRPr="0058432E">
        <w:rPr>
          <w:color w:val="000000" w:themeColor="text1"/>
        </w:rPr>
        <w:t xml:space="preserve">adolescents </w:t>
      </w:r>
      <w:r w:rsidR="001A5AC1" w:rsidRPr="0058432E">
        <w:rPr>
          <w:color w:val="000000" w:themeColor="text1"/>
        </w:rPr>
        <w:t>âgés</w:t>
      </w:r>
      <w:r w:rsidR="00B42EC9" w:rsidRPr="0058432E">
        <w:rPr>
          <w:color w:val="000000" w:themeColor="text1"/>
        </w:rPr>
        <w:t xml:space="preserve"> </w:t>
      </w:r>
      <w:r w:rsidRPr="0058432E">
        <w:rPr>
          <w:color w:val="000000" w:themeColor="text1"/>
        </w:rPr>
        <w:t xml:space="preserve">de 6 à 17 ans. </w:t>
      </w:r>
    </w:p>
    <w:p w14:paraId="58680DD0" w14:textId="77777777" w:rsidR="00B63A4C" w:rsidRPr="0058432E" w:rsidRDefault="00B63A4C" w:rsidP="00982118">
      <w:pPr>
        <w:rPr>
          <w:color w:val="000000" w:themeColor="text1"/>
        </w:rPr>
      </w:pPr>
    </w:p>
    <w:p w14:paraId="2AE6C70F" w14:textId="77777777" w:rsidR="00B550A1" w:rsidRPr="0058432E" w:rsidRDefault="00FE7F98" w:rsidP="00982118">
      <w:pPr>
        <w:rPr>
          <w:color w:val="000000" w:themeColor="text1"/>
        </w:rPr>
      </w:pPr>
      <w:r w:rsidRPr="0058432E">
        <w:rPr>
          <w:color w:val="000000" w:themeColor="text1"/>
        </w:rPr>
        <w:t xml:space="preserve">Si votre enfant est atteint de la maladie de Crohn, on lui prescrira d’abord d’autres médicaments. Si la réponse de votre enfant à ces </w:t>
      </w:r>
      <w:r w:rsidR="00D069BD" w:rsidRPr="0058432E">
        <w:rPr>
          <w:color w:val="000000" w:themeColor="text1"/>
        </w:rPr>
        <w:t xml:space="preserve">médicaments </w:t>
      </w:r>
      <w:r w:rsidRPr="0058432E">
        <w:rPr>
          <w:color w:val="000000" w:themeColor="text1"/>
        </w:rPr>
        <w:t xml:space="preserve">n’est pas assez bonne, on lui prescrira Amsparity afin d’atténuer les signes et symptômes de sa maladie de Crohn. </w:t>
      </w:r>
    </w:p>
    <w:p w14:paraId="726F4830" w14:textId="77777777" w:rsidR="00B550A1" w:rsidRPr="0058432E" w:rsidRDefault="00B550A1" w:rsidP="00982118">
      <w:pPr>
        <w:rPr>
          <w:color w:val="000000" w:themeColor="text1"/>
        </w:rPr>
      </w:pPr>
    </w:p>
    <w:p w14:paraId="32314D0E" w14:textId="77777777" w:rsidR="0041203B" w:rsidRPr="0058432E" w:rsidRDefault="0041203B" w:rsidP="006D1A33">
      <w:pPr>
        <w:keepNext/>
        <w:keepLines/>
        <w:rPr>
          <w:color w:val="000000" w:themeColor="text1"/>
          <w:u w:val="single"/>
        </w:rPr>
      </w:pPr>
      <w:r w:rsidRPr="0058432E">
        <w:rPr>
          <w:color w:val="000000" w:themeColor="text1"/>
          <w:u w:val="single"/>
        </w:rPr>
        <w:lastRenderedPageBreak/>
        <w:t>Rectocolite hémorragique chez l’enfant et l’adolescent</w:t>
      </w:r>
    </w:p>
    <w:p w14:paraId="2865D00E" w14:textId="77777777" w:rsidR="0041203B" w:rsidRPr="0058432E" w:rsidRDefault="0041203B" w:rsidP="0041203B">
      <w:pPr>
        <w:rPr>
          <w:color w:val="000000" w:themeColor="text1"/>
        </w:rPr>
      </w:pPr>
    </w:p>
    <w:p w14:paraId="64EB64E0" w14:textId="77777777" w:rsidR="0041203B" w:rsidRPr="0058432E" w:rsidRDefault="0041203B" w:rsidP="0041203B">
      <w:pPr>
        <w:rPr>
          <w:color w:val="000000" w:themeColor="text1"/>
        </w:rPr>
      </w:pPr>
      <w:r w:rsidRPr="0058432E">
        <w:rPr>
          <w:color w:val="000000" w:themeColor="text1"/>
        </w:rPr>
        <w:t xml:space="preserve">La rectocolite hémorragique est une maladie inflammatoire du gros intestin. </w:t>
      </w:r>
      <w:r w:rsidR="00310811" w:rsidRPr="0058432E">
        <w:rPr>
          <w:color w:val="000000" w:themeColor="text1"/>
        </w:rPr>
        <w:t xml:space="preserve">Amsparity </w:t>
      </w:r>
      <w:r w:rsidRPr="0058432E">
        <w:rPr>
          <w:color w:val="000000" w:themeColor="text1"/>
        </w:rPr>
        <w:t>est utilisé pour traiter la rectocolite hémorragique modérée à sévère chez les enfants âgés de 6 à 17</w:t>
      </w:r>
      <w:r w:rsidR="00310811" w:rsidRPr="0058432E">
        <w:rPr>
          <w:color w:val="000000" w:themeColor="text1"/>
        </w:rPr>
        <w:t> </w:t>
      </w:r>
      <w:r w:rsidRPr="0058432E">
        <w:rPr>
          <w:color w:val="000000" w:themeColor="text1"/>
        </w:rPr>
        <w:t xml:space="preserve">ans. Votre enfant peut d’abord recevoir d’autres traitements. Si ces traitements ne fonctionnent pas assez bien, votre enfant peut recevoir </w:t>
      </w:r>
      <w:r w:rsidR="00310811" w:rsidRPr="0058432E">
        <w:rPr>
          <w:color w:val="000000" w:themeColor="text1"/>
        </w:rPr>
        <w:t xml:space="preserve">Amsparity </w:t>
      </w:r>
      <w:r w:rsidRPr="0058432E">
        <w:rPr>
          <w:color w:val="000000" w:themeColor="text1"/>
        </w:rPr>
        <w:t>pour réduire les signes et symptômes de sa maladie.</w:t>
      </w:r>
    </w:p>
    <w:p w14:paraId="3589E3A1" w14:textId="77777777" w:rsidR="0041203B" w:rsidRPr="0058432E" w:rsidRDefault="0041203B" w:rsidP="00982118">
      <w:pPr>
        <w:rPr>
          <w:color w:val="000000" w:themeColor="text1"/>
        </w:rPr>
      </w:pPr>
    </w:p>
    <w:p w14:paraId="05EE73CE" w14:textId="77777777" w:rsidR="002D5545" w:rsidRPr="0058432E" w:rsidRDefault="00B550A1" w:rsidP="006B001C">
      <w:pPr>
        <w:keepNext/>
        <w:rPr>
          <w:color w:val="000000" w:themeColor="text1"/>
          <w:u w:val="single"/>
        </w:rPr>
      </w:pPr>
      <w:r w:rsidRPr="0058432E">
        <w:rPr>
          <w:color w:val="000000" w:themeColor="text1"/>
          <w:u w:val="single"/>
        </w:rPr>
        <w:t xml:space="preserve">Uvéite chez l’enfant et l’adolescent </w:t>
      </w:r>
    </w:p>
    <w:p w14:paraId="27DD50EC" w14:textId="77777777" w:rsidR="00C46587" w:rsidRPr="0058432E" w:rsidRDefault="00C46587" w:rsidP="00982118">
      <w:pPr>
        <w:rPr>
          <w:color w:val="000000" w:themeColor="text1"/>
        </w:rPr>
      </w:pPr>
    </w:p>
    <w:p w14:paraId="70763237" w14:textId="77777777" w:rsidR="002D5545" w:rsidRPr="0058432E" w:rsidRDefault="00C46587" w:rsidP="00982118">
      <w:pPr>
        <w:rPr>
          <w:color w:val="000000" w:themeColor="text1"/>
        </w:rPr>
      </w:pPr>
      <w:r w:rsidRPr="0058432E">
        <w:rPr>
          <w:color w:val="000000" w:themeColor="text1"/>
        </w:rPr>
        <w:t xml:space="preserve">L’uvéite non infectieuse est une maladie inflammatoire </w:t>
      </w:r>
      <w:r w:rsidR="00D069BD" w:rsidRPr="0058432E">
        <w:rPr>
          <w:color w:val="000000" w:themeColor="text1"/>
        </w:rPr>
        <w:t>touchant</w:t>
      </w:r>
      <w:r w:rsidRPr="0058432E">
        <w:rPr>
          <w:color w:val="000000" w:themeColor="text1"/>
        </w:rPr>
        <w:t xml:space="preserve"> certaines parties de l’œil. Cette inflammation peut entraîner une baisse de la vision et/ou la présence de particules flottant dans l’œil (points noirs ou filaments qui se déplacent dans le champ de vision). Amsparity agit en réduisant cette inflammation.</w:t>
      </w:r>
    </w:p>
    <w:p w14:paraId="017168F0" w14:textId="77777777" w:rsidR="00764B9A" w:rsidRPr="0058432E" w:rsidRDefault="00764B9A" w:rsidP="00982118">
      <w:pPr>
        <w:rPr>
          <w:color w:val="000000" w:themeColor="text1"/>
        </w:rPr>
      </w:pPr>
    </w:p>
    <w:p w14:paraId="76D36386" w14:textId="77777777" w:rsidR="002D5545" w:rsidRPr="0058432E" w:rsidRDefault="006A1144" w:rsidP="00982118">
      <w:pPr>
        <w:rPr>
          <w:color w:val="000000" w:themeColor="text1"/>
        </w:rPr>
      </w:pPr>
      <w:r w:rsidRPr="0058432E">
        <w:rPr>
          <w:color w:val="000000" w:themeColor="text1"/>
        </w:rPr>
        <w:t>Amsparity est utilisé pour traiter l’uvéite chronique non infectieuse chez les enfants</w:t>
      </w:r>
      <w:r w:rsidR="00121221" w:rsidRPr="0058432E">
        <w:rPr>
          <w:color w:val="000000" w:themeColor="text1"/>
        </w:rPr>
        <w:t xml:space="preserve"> et les adolescents</w:t>
      </w:r>
      <w:r w:rsidRPr="0058432E">
        <w:rPr>
          <w:color w:val="000000" w:themeColor="text1"/>
        </w:rPr>
        <w:t xml:space="preserve"> à partir de l’âge de 2 ans lorsque l’inflammation affecte la partie avant de l’œil. </w:t>
      </w:r>
    </w:p>
    <w:p w14:paraId="269E0F8E" w14:textId="77777777" w:rsidR="00764B9A" w:rsidRPr="0058432E" w:rsidRDefault="00764B9A" w:rsidP="00982118">
      <w:pPr>
        <w:pStyle w:val="BodyText"/>
        <w:widowControl/>
        <w:kinsoku w:val="0"/>
        <w:overflowPunct w:val="0"/>
        <w:ind w:left="0" w:right="354"/>
        <w:rPr>
          <w:color w:val="000000" w:themeColor="text1"/>
        </w:rPr>
      </w:pPr>
    </w:p>
    <w:p w14:paraId="18C793FA" w14:textId="77777777" w:rsidR="00B53A18" w:rsidRPr="0058432E" w:rsidRDefault="00B53A18" w:rsidP="00982118">
      <w:pPr>
        <w:pStyle w:val="BodyText"/>
        <w:widowControl/>
        <w:kinsoku w:val="0"/>
        <w:overflowPunct w:val="0"/>
        <w:ind w:left="0" w:right="354"/>
        <w:rPr>
          <w:color w:val="000000" w:themeColor="text1"/>
        </w:rPr>
      </w:pPr>
      <w:r w:rsidRPr="0058432E">
        <w:rPr>
          <w:color w:val="000000" w:themeColor="text1"/>
        </w:rPr>
        <w:t xml:space="preserve">Votre enfant peut d’abord recevoir d’autres </w:t>
      </w:r>
      <w:r w:rsidR="00D069BD" w:rsidRPr="0058432E">
        <w:rPr>
          <w:color w:val="000000" w:themeColor="text1"/>
        </w:rPr>
        <w:t>médicaments</w:t>
      </w:r>
      <w:r w:rsidRPr="0058432E">
        <w:rPr>
          <w:color w:val="000000" w:themeColor="text1"/>
        </w:rPr>
        <w:t xml:space="preserve">. Si ces </w:t>
      </w:r>
      <w:r w:rsidR="00D069BD" w:rsidRPr="0058432E">
        <w:rPr>
          <w:color w:val="000000" w:themeColor="text1"/>
        </w:rPr>
        <w:t xml:space="preserve">médicaments </w:t>
      </w:r>
      <w:r w:rsidRPr="0058432E">
        <w:rPr>
          <w:color w:val="000000" w:themeColor="text1"/>
        </w:rPr>
        <w:t>ne fonctionnent pas assez bien, votre enfant peut recevoir Amsparity pour réduire les signes et symptômes de sa maladie.</w:t>
      </w:r>
    </w:p>
    <w:p w14:paraId="3B84AC0C" w14:textId="77777777" w:rsidR="00C46587" w:rsidRPr="0058432E" w:rsidRDefault="00C46587" w:rsidP="00982118">
      <w:pPr>
        <w:rPr>
          <w:color w:val="000000" w:themeColor="text1"/>
        </w:rPr>
      </w:pPr>
    </w:p>
    <w:p w14:paraId="6BC9141C" w14:textId="77777777" w:rsidR="00C46587" w:rsidRPr="0058432E" w:rsidRDefault="00C46587" w:rsidP="00982118">
      <w:pPr>
        <w:rPr>
          <w:color w:val="000000" w:themeColor="text1"/>
        </w:rPr>
      </w:pPr>
    </w:p>
    <w:p w14:paraId="1C156884" w14:textId="77777777" w:rsidR="00C46587" w:rsidRPr="0058432E" w:rsidRDefault="00C46587" w:rsidP="00764B9A">
      <w:pPr>
        <w:keepNext/>
        <w:tabs>
          <w:tab w:val="left" w:pos="562"/>
        </w:tabs>
        <w:rPr>
          <w:b/>
          <w:color w:val="000000" w:themeColor="text1"/>
        </w:rPr>
      </w:pPr>
      <w:r w:rsidRPr="0058432E">
        <w:rPr>
          <w:b/>
          <w:color w:val="000000" w:themeColor="text1"/>
        </w:rPr>
        <w:t>2.</w:t>
      </w:r>
      <w:r w:rsidRPr="0058432E">
        <w:rPr>
          <w:b/>
          <w:color w:val="000000" w:themeColor="text1"/>
        </w:rPr>
        <w:tab/>
        <w:t xml:space="preserve">Quelles sont les informations à connaître avant que votre enfant </w:t>
      </w:r>
      <w:r w:rsidR="00DE583B" w:rsidRPr="0058432E">
        <w:rPr>
          <w:b/>
          <w:color w:val="000000" w:themeColor="text1"/>
        </w:rPr>
        <w:t>n’utilise</w:t>
      </w:r>
      <w:r w:rsidRPr="0058432E">
        <w:rPr>
          <w:b/>
          <w:color w:val="000000" w:themeColor="text1"/>
        </w:rPr>
        <w:t xml:space="preserve"> Amsparity </w:t>
      </w:r>
    </w:p>
    <w:p w14:paraId="7C574A9E" w14:textId="77777777" w:rsidR="00C46587" w:rsidRPr="0058432E" w:rsidRDefault="00C46587" w:rsidP="00764B9A">
      <w:pPr>
        <w:keepNext/>
        <w:rPr>
          <w:color w:val="000000" w:themeColor="text1"/>
        </w:rPr>
      </w:pPr>
    </w:p>
    <w:p w14:paraId="3BD69838" w14:textId="77777777" w:rsidR="00C46587" w:rsidRPr="0058432E" w:rsidRDefault="00C46587" w:rsidP="00764B9A">
      <w:pPr>
        <w:keepNext/>
        <w:rPr>
          <w:b/>
          <w:color w:val="000000" w:themeColor="text1"/>
        </w:rPr>
      </w:pPr>
      <w:r w:rsidRPr="0058432E">
        <w:rPr>
          <w:b/>
          <w:color w:val="000000" w:themeColor="text1"/>
        </w:rPr>
        <w:t xml:space="preserve">N’utilisez jamais Amsparity </w:t>
      </w:r>
    </w:p>
    <w:p w14:paraId="329A69E5" w14:textId="77777777" w:rsidR="00C46587" w:rsidRPr="0058432E" w:rsidRDefault="00C46587" w:rsidP="00764B9A">
      <w:pPr>
        <w:keepNext/>
        <w:rPr>
          <w:color w:val="000000" w:themeColor="text1"/>
        </w:rPr>
      </w:pPr>
    </w:p>
    <w:p w14:paraId="68DD4FF4" w14:textId="77777777" w:rsidR="00C46587" w:rsidRPr="0058432E" w:rsidRDefault="002E513E"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votre enfant est allergique à l’adalimumab ou à l’un des autres composants contenus dans ce médicament (mentionnés dans la rubrique 6). </w:t>
      </w:r>
    </w:p>
    <w:p w14:paraId="0D5134B6" w14:textId="77777777" w:rsidR="00C46587" w:rsidRPr="0058432E" w:rsidRDefault="00C46587" w:rsidP="00982118">
      <w:pPr>
        <w:rPr>
          <w:color w:val="000000" w:themeColor="text1"/>
        </w:rPr>
      </w:pPr>
    </w:p>
    <w:p w14:paraId="7F5FE143" w14:textId="77777777" w:rsidR="00C46587" w:rsidRPr="0058432E" w:rsidRDefault="002E513E"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votre enfant présente une infection </w:t>
      </w:r>
      <w:r w:rsidR="00DE583B" w:rsidRPr="0058432E">
        <w:rPr>
          <w:color w:val="000000" w:themeColor="text1"/>
        </w:rPr>
        <w:t>grave</w:t>
      </w:r>
      <w:r w:rsidRPr="0058432E">
        <w:rPr>
          <w:color w:val="000000" w:themeColor="text1"/>
        </w:rPr>
        <w:t>, y compris une tuberculose active, un</w:t>
      </w:r>
      <w:r w:rsidR="00C564BD" w:rsidRPr="0058432E">
        <w:rPr>
          <w:color w:val="000000" w:themeColor="text1"/>
        </w:rPr>
        <w:t>e</w:t>
      </w:r>
      <w:r w:rsidRPr="0058432E">
        <w:rPr>
          <w:color w:val="000000" w:themeColor="text1"/>
        </w:rPr>
        <w:t xml:space="preserve"> </w:t>
      </w:r>
      <w:r w:rsidR="00C564BD" w:rsidRPr="0058432E">
        <w:rPr>
          <w:color w:val="000000" w:themeColor="text1"/>
        </w:rPr>
        <w:t>septicémie</w:t>
      </w:r>
      <w:r w:rsidRPr="0058432E">
        <w:rPr>
          <w:color w:val="000000" w:themeColor="text1"/>
        </w:rPr>
        <w:t xml:space="preserve"> (empoisonnement du sang) ou des infections opportunistes (infections inhabituelles associées à un système immunitaire affaibli). Il est important de signaler au médecin de votre enfant si votre enfant présente des symptômes d’infections,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de la fièvre, des plaies, une sensation de fatigue, des problèmes dentaires (voir « Avertissements et précautions »). </w:t>
      </w:r>
    </w:p>
    <w:p w14:paraId="1C51BB8E" w14:textId="77777777" w:rsidR="00C46587" w:rsidRPr="0058432E" w:rsidRDefault="00C46587" w:rsidP="00982118">
      <w:pPr>
        <w:rPr>
          <w:color w:val="000000" w:themeColor="text1"/>
        </w:rPr>
      </w:pPr>
    </w:p>
    <w:p w14:paraId="069505F0" w14:textId="77777777" w:rsidR="00C46587" w:rsidRPr="0058432E" w:rsidRDefault="002E513E"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votre enfant souffre d’insuffisance cardiaque modérée ou sévère. Il est important d’informer le médecin de votre enfant si votre enfant a ou a eu des problèmes cardiaques graves (voir « Avertissements et précautions »). </w:t>
      </w:r>
    </w:p>
    <w:p w14:paraId="1E118961" w14:textId="77777777" w:rsidR="00C46587" w:rsidRPr="0058432E" w:rsidRDefault="00C46587" w:rsidP="00982118">
      <w:pPr>
        <w:rPr>
          <w:color w:val="000000" w:themeColor="text1"/>
        </w:rPr>
      </w:pPr>
    </w:p>
    <w:p w14:paraId="21D002C4" w14:textId="77777777" w:rsidR="00C46587" w:rsidRPr="0058432E" w:rsidRDefault="00C46587" w:rsidP="00982118">
      <w:pPr>
        <w:keepNext/>
        <w:rPr>
          <w:b/>
          <w:color w:val="000000" w:themeColor="text1"/>
        </w:rPr>
      </w:pPr>
      <w:r w:rsidRPr="0058432E">
        <w:rPr>
          <w:b/>
          <w:color w:val="000000" w:themeColor="text1"/>
        </w:rPr>
        <w:t xml:space="preserve">Avertissements et précautions </w:t>
      </w:r>
    </w:p>
    <w:p w14:paraId="4406D958" w14:textId="77777777" w:rsidR="00C46587" w:rsidRPr="0058432E" w:rsidRDefault="00C46587" w:rsidP="00982118">
      <w:pPr>
        <w:rPr>
          <w:color w:val="000000" w:themeColor="text1"/>
        </w:rPr>
      </w:pPr>
    </w:p>
    <w:p w14:paraId="55CCCB07" w14:textId="77777777" w:rsidR="00260E03" w:rsidRPr="0058432E" w:rsidRDefault="00C46587" w:rsidP="00982118">
      <w:pPr>
        <w:rPr>
          <w:color w:val="000000" w:themeColor="text1"/>
        </w:rPr>
      </w:pPr>
      <w:r w:rsidRPr="0058432E">
        <w:rPr>
          <w:color w:val="000000" w:themeColor="text1"/>
        </w:rPr>
        <w:t xml:space="preserve">Adressez-vous au médecin </w:t>
      </w:r>
      <w:r w:rsidR="00DE583B" w:rsidRPr="0058432E">
        <w:rPr>
          <w:color w:val="000000" w:themeColor="text1"/>
        </w:rPr>
        <w:t xml:space="preserve">de votre enfant </w:t>
      </w:r>
      <w:r w:rsidRPr="0058432E">
        <w:rPr>
          <w:color w:val="000000" w:themeColor="text1"/>
        </w:rPr>
        <w:t>ou au pharmacien avant d’utiliser Amsparity.</w:t>
      </w:r>
    </w:p>
    <w:p w14:paraId="2C959F04" w14:textId="77777777" w:rsidR="00260E03" w:rsidRPr="0058432E" w:rsidRDefault="00260E03" w:rsidP="00982118">
      <w:pPr>
        <w:rPr>
          <w:color w:val="000000" w:themeColor="text1"/>
        </w:rPr>
      </w:pPr>
    </w:p>
    <w:p w14:paraId="03021D45" w14:textId="77777777" w:rsidR="00260E03" w:rsidRPr="0058432E" w:rsidRDefault="00260E03" w:rsidP="00982118">
      <w:pPr>
        <w:pStyle w:val="BodyText"/>
        <w:widowControl/>
        <w:tabs>
          <w:tab w:val="left" w:pos="720"/>
        </w:tabs>
        <w:ind w:left="0" w:right="291"/>
        <w:rPr>
          <w:color w:val="000000" w:themeColor="text1"/>
        </w:rPr>
      </w:pPr>
      <w:r w:rsidRPr="0058432E">
        <w:rPr>
          <w:color w:val="000000" w:themeColor="text1"/>
        </w:rPr>
        <w:t>Il est primordial que vous et le médecin de votre enfant conserviez le nom de marque et le numéro de lot du médicament de votre enfant.</w:t>
      </w:r>
    </w:p>
    <w:p w14:paraId="0329981E" w14:textId="77777777" w:rsidR="00A35350" w:rsidRPr="0058432E" w:rsidRDefault="00C46587" w:rsidP="00982118">
      <w:pPr>
        <w:pStyle w:val="BodyText"/>
        <w:widowControl/>
        <w:tabs>
          <w:tab w:val="left" w:pos="720"/>
        </w:tabs>
        <w:ind w:left="0" w:right="291"/>
        <w:rPr>
          <w:color w:val="000000" w:themeColor="text1"/>
        </w:rPr>
      </w:pPr>
      <w:r w:rsidRPr="0058432E">
        <w:rPr>
          <w:color w:val="000000" w:themeColor="text1"/>
        </w:rPr>
        <w:t xml:space="preserve"> </w:t>
      </w:r>
    </w:p>
    <w:p w14:paraId="6DBD6547" w14:textId="77777777" w:rsidR="00C46587" w:rsidRPr="0058432E" w:rsidRDefault="00A35350" w:rsidP="00982118">
      <w:pPr>
        <w:pStyle w:val="BodyText"/>
        <w:widowControl/>
        <w:tabs>
          <w:tab w:val="left" w:pos="6480"/>
        </w:tabs>
        <w:kinsoku w:val="0"/>
        <w:overflowPunct w:val="0"/>
        <w:spacing w:line="479" w:lineRule="auto"/>
        <w:ind w:left="0" w:right="2150"/>
        <w:rPr>
          <w:color w:val="000000" w:themeColor="text1"/>
        </w:rPr>
      </w:pPr>
      <w:r w:rsidRPr="0058432E">
        <w:rPr>
          <w:color w:val="000000" w:themeColor="text1"/>
          <w:u w:val="single"/>
        </w:rPr>
        <w:t>Réactions allergiques</w:t>
      </w:r>
    </w:p>
    <w:p w14:paraId="15E35658" w14:textId="77777777" w:rsidR="00C46587" w:rsidRPr="0058432E" w:rsidRDefault="00C46587"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Si votre enfant présente des réactions allergiques avec des symptômes tels qu’</w:t>
      </w:r>
      <w:r w:rsidR="00B42EC9" w:rsidRPr="0058432E">
        <w:rPr>
          <w:color w:val="000000" w:themeColor="text1"/>
        </w:rPr>
        <w:t xml:space="preserve">une </w:t>
      </w:r>
      <w:r w:rsidRPr="0058432E">
        <w:rPr>
          <w:color w:val="000000" w:themeColor="text1"/>
        </w:rPr>
        <w:t xml:space="preserve">oppression dans la poitrine, </w:t>
      </w:r>
      <w:r w:rsidR="00B42EC9" w:rsidRPr="0058432E">
        <w:rPr>
          <w:color w:val="000000" w:themeColor="text1"/>
        </w:rPr>
        <w:t xml:space="preserve">une </w:t>
      </w:r>
      <w:r w:rsidRPr="0058432E">
        <w:rPr>
          <w:color w:val="000000" w:themeColor="text1"/>
        </w:rPr>
        <w:t>respiration sifflante,</w:t>
      </w:r>
      <w:r w:rsidR="00B42EC9" w:rsidRPr="0058432E">
        <w:rPr>
          <w:color w:val="000000" w:themeColor="text1"/>
        </w:rPr>
        <w:t xml:space="preserve"> une</w:t>
      </w:r>
      <w:r w:rsidRPr="0058432E">
        <w:rPr>
          <w:color w:val="000000" w:themeColor="text1"/>
        </w:rPr>
        <w:t xml:space="preserve"> sensation vertigineuse, </w:t>
      </w:r>
      <w:r w:rsidR="00B42EC9" w:rsidRPr="0058432E">
        <w:rPr>
          <w:color w:val="000000" w:themeColor="text1"/>
        </w:rPr>
        <w:t xml:space="preserve">un </w:t>
      </w:r>
      <w:r w:rsidRPr="0058432E">
        <w:rPr>
          <w:color w:val="000000" w:themeColor="text1"/>
        </w:rPr>
        <w:t xml:space="preserve">gonflement ou </w:t>
      </w:r>
      <w:r w:rsidR="00B42EC9" w:rsidRPr="0058432E">
        <w:rPr>
          <w:color w:val="000000" w:themeColor="text1"/>
        </w:rPr>
        <w:t xml:space="preserve">une </w:t>
      </w:r>
      <w:r w:rsidRPr="0058432E">
        <w:rPr>
          <w:color w:val="000000" w:themeColor="text1"/>
        </w:rPr>
        <w:t xml:space="preserve">éruption cutanée, arrêtez les injections d’Amsparity et contactez le médecin de votre enfant immédiatement car, dans de rares cas, ces réactions peuvent menacer le pronostic vital. </w:t>
      </w:r>
    </w:p>
    <w:p w14:paraId="4D741C0D" w14:textId="77777777" w:rsidR="00C46587" w:rsidRPr="0058432E" w:rsidRDefault="00C46587" w:rsidP="00982118">
      <w:pPr>
        <w:rPr>
          <w:color w:val="000000" w:themeColor="text1"/>
        </w:rPr>
      </w:pPr>
    </w:p>
    <w:p w14:paraId="7A64ED65" w14:textId="77777777" w:rsidR="00A35350" w:rsidRPr="0058432E" w:rsidRDefault="00A35350" w:rsidP="006D1A33">
      <w:pPr>
        <w:pStyle w:val="BodyText"/>
        <w:keepNext/>
        <w:keepLines/>
        <w:widowControl/>
        <w:kinsoku w:val="0"/>
        <w:overflowPunct w:val="0"/>
        <w:ind w:left="0"/>
        <w:rPr>
          <w:color w:val="000000" w:themeColor="text1"/>
        </w:rPr>
      </w:pPr>
      <w:r w:rsidRPr="0058432E">
        <w:rPr>
          <w:color w:val="000000" w:themeColor="text1"/>
          <w:u w:val="single"/>
        </w:rPr>
        <w:lastRenderedPageBreak/>
        <w:t>Infections</w:t>
      </w:r>
    </w:p>
    <w:p w14:paraId="0CF43142" w14:textId="77777777" w:rsidR="00A35350" w:rsidRPr="0058432E" w:rsidRDefault="00A35350" w:rsidP="006D1A33">
      <w:pPr>
        <w:keepNext/>
        <w:keepLines/>
        <w:rPr>
          <w:color w:val="000000" w:themeColor="text1"/>
        </w:rPr>
      </w:pPr>
    </w:p>
    <w:p w14:paraId="0F12644E" w14:textId="77777777" w:rsidR="00C46587"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votre enfant a une infection, y compris une infection de longue durée ou une infection sur une partie du corps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ulcère de jambe), consultez </w:t>
      </w:r>
      <w:r w:rsidR="00D10CE1" w:rsidRPr="0058432E">
        <w:rPr>
          <w:color w:val="000000" w:themeColor="text1"/>
        </w:rPr>
        <w:t xml:space="preserve">le </w:t>
      </w:r>
      <w:r w:rsidRPr="0058432E">
        <w:rPr>
          <w:color w:val="000000" w:themeColor="text1"/>
        </w:rPr>
        <w:t xml:space="preserve">médecin </w:t>
      </w:r>
      <w:r w:rsidR="00D10CE1" w:rsidRPr="0058432E">
        <w:rPr>
          <w:color w:val="000000" w:themeColor="text1"/>
        </w:rPr>
        <w:t xml:space="preserve">de votre enfant </w:t>
      </w:r>
      <w:r w:rsidRPr="0058432E">
        <w:rPr>
          <w:color w:val="000000" w:themeColor="text1"/>
        </w:rPr>
        <w:t xml:space="preserve">avant de commencer Amsparity. En cas de doute, veuillez contacter le médecin de votre enfant. </w:t>
      </w:r>
    </w:p>
    <w:p w14:paraId="4F9EC812" w14:textId="77777777" w:rsidR="00C46587" w:rsidRPr="0058432E" w:rsidRDefault="00C46587" w:rsidP="000B37DD">
      <w:pPr>
        <w:pStyle w:val="BodyText"/>
        <w:widowControl/>
        <w:kinsoku w:val="0"/>
        <w:overflowPunct w:val="0"/>
        <w:autoSpaceDE w:val="0"/>
        <w:autoSpaceDN w:val="0"/>
        <w:adjustRightInd w:val="0"/>
        <w:ind w:left="0"/>
        <w:rPr>
          <w:color w:val="000000" w:themeColor="text1"/>
        </w:rPr>
      </w:pPr>
    </w:p>
    <w:p w14:paraId="196E3C2C" w14:textId="77777777" w:rsidR="00C46587"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Votre enfant peut développer plus facilement des infections au cours du traitement par Amsparity. Ce risque peut augmenter si votre enfant a des problèmes au niveau des poumons. Ces infections peuvent être graves et inclu</w:t>
      </w:r>
      <w:r w:rsidR="00DE583B" w:rsidRPr="0058432E">
        <w:rPr>
          <w:color w:val="000000" w:themeColor="text1"/>
        </w:rPr>
        <w:t>r</w:t>
      </w:r>
      <w:r w:rsidRPr="0058432E">
        <w:rPr>
          <w:color w:val="000000" w:themeColor="text1"/>
        </w:rPr>
        <w:t xml:space="preserve">e tuberculose, infections causées par des virus, des champignons, des parasites ou des bactéries, ou autres infections opportunistes (agents infectieux inhabituels), et </w:t>
      </w:r>
      <w:r w:rsidR="00C564BD" w:rsidRPr="0058432E">
        <w:rPr>
          <w:color w:val="000000" w:themeColor="text1"/>
        </w:rPr>
        <w:t>septicémie</w:t>
      </w:r>
      <w:r w:rsidRPr="0058432E">
        <w:rPr>
          <w:color w:val="000000" w:themeColor="text1"/>
        </w:rPr>
        <w:t xml:space="preserve"> (empoisonnement du sang). Dans de rares cas, ces infections peuvent menacer </w:t>
      </w:r>
      <w:r w:rsidR="007D6D01" w:rsidRPr="0058432E">
        <w:rPr>
          <w:color w:val="000000" w:themeColor="text1"/>
        </w:rPr>
        <w:t>le pronostic vital</w:t>
      </w:r>
      <w:r w:rsidRPr="0058432E">
        <w:rPr>
          <w:color w:val="000000" w:themeColor="text1"/>
        </w:rPr>
        <w:t xml:space="preserve">. Il est important de prévenir le médecin de votre enfant si votre enfant présente des symptômes tels que de la fièvre, s’il a des plaies, s’il se sent fatigué ou s’il a des problèmes dentaires. Le médecin de votre enfant peut recommander d’arrêter temporairement Amsparity. </w:t>
      </w:r>
    </w:p>
    <w:p w14:paraId="35073176" w14:textId="77777777" w:rsidR="00C46587" w:rsidRPr="0058432E" w:rsidRDefault="00C46587" w:rsidP="00982118">
      <w:pPr>
        <w:rPr>
          <w:color w:val="000000" w:themeColor="text1"/>
        </w:rPr>
      </w:pPr>
    </w:p>
    <w:p w14:paraId="70014EA9" w14:textId="77777777" w:rsidR="004E39F4" w:rsidRPr="0058432E" w:rsidRDefault="004E39F4" w:rsidP="00982118">
      <w:pPr>
        <w:pStyle w:val="BodyText"/>
        <w:keepNext/>
        <w:widowControl/>
        <w:kinsoku w:val="0"/>
        <w:overflowPunct w:val="0"/>
        <w:ind w:left="0"/>
        <w:rPr>
          <w:color w:val="000000" w:themeColor="text1"/>
        </w:rPr>
      </w:pPr>
      <w:r w:rsidRPr="0058432E">
        <w:rPr>
          <w:color w:val="000000" w:themeColor="text1"/>
          <w:u w:val="single"/>
        </w:rPr>
        <w:t>Tuberculose (TB)</w:t>
      </w:r>
    </w:p>
    <w:p w14:paraId="7D339E94" w14:textId="77777777" w:rsidR="004E39F4" w:rsidRPr="0058432E" w:rsidRDefault="004E39F4" w:rsidP="00982118">
      <w:pPr>
        <w:rPr>
          <w:color w:val="000000" w:themeColor="text1"/>
        </w:rPr>
      </w:pPr>
    </w:p>
    <w:p w14:paraId="40579744" w14:textId="77777777" w:rsidR="00EF27DD"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Comme des cas de tuberculose ont été rapportés chez des patients traités par adalimumab, le médecin de votre enfant recherchera tout signe ou symptôme de tuberculose chez votre enfant avant de débuter le traitement</w:t>
      </w:r>
      <w:r w:rsidR="00476685" w:rsidRPr="0058432E">
        <w:rPr>
          <w:color w:val="000000" w:themeColor="text1"/>
        </w:rPr>
        <w:t xml:space="preserve"> par Amsparity</w:t>
      </w:r>
      <w:r w:rsidRPr="0058432E">
        <w:rPr>
          <w:color w:val="000000" w:themeColor="text1"/>
        </w:rPr>
        <w:t xml:space="preserve">. Ceci comprendra une évaluation médicale approfondie incluant les antécédents médicaux de votre enfant et </w:t>
      </w:r>
      <w:r w:rsidR="007D6D01" w:rsidRPr="0058432E">
        <w:rPr>
          <w:color w:val="000000" w:themeColor="text1"/>
        </w:rPr>
        <w:t>d</w:t>
      </w:r>
      <w:r w:rsidRPr="0058432E">
        <w:rPr>
          <w:color w:val="000000" w:themeColor="text1"/>
        </w:rPr>
        <w:t>es examens de dépistage</w:t>
      </w:r>
      <w:r w:rsidR="00B42EC9" w:rsidRPr="0058432E">
        <w:rPr>
          <w:color w:val="000000" w:themeColor="text1"/>
        </w:rPr>
        <w:t xml:space="preserve"> </w:t>
      </w:r>
      <w:r w:rsidRPr="0058432E">
        <w:rPr>
          <w:color w:val="000000" w:themeColor="text1"/>
        </w:rPr>
        <w:t xml:space="preserve">(par </w:t>
      </w:r>
      <w:r w:rsidR="001946D2" w:rsidRPr="0058432E">
        <w:rPr>
          <w:color w:val="000000" w:themeColor="text1"/>
        </w:rPr>
        <w:t>ex</w:t>
      </w:r>
      <w:r w:rsidR="00A67736" w:rsidRPr="0058432E">
        <w:rPr>
          <w:color w:val="000000" w:themeColor="text1"/>
        </w:rPr>
        <w:t>emple</w:t>
      </w:r>
      <w:r w:rsidRPr="0058432E">
        <w:rPr>
          <w:color w:val="000000" w:themeColor="text1"/>
        </w:rPr>
        <w:t xml:space="preserve">, radiographie pulmonaire et test tuberculinique). La réalisation et les résultats de ces tests devront être enregistrés sur la </w:t>
      </w:r>
      <w:r w:rsidR="0045425F" w:rsidRPr="0058432E">
        <w:rPr>
          <w:color w:val="000000" w:themeColor="text1"/>
        </w:rPr>
        <w:t>carte de rappel patient</w:t>
      </w:r>
      <w:r w:rsidRPr="0058432E">
        <w:rPr>
          <w:color w:val="000000" w:themeColor="text1"/>
        </w:rPr>
        <w:t xml:space="preserve"> de votre enfant.</w:t>
      </w:r>
    </w:p>
    <w:p w14:paraId="7B52DD26" w14:textId="77777777" w:rsidR="0075699B" w:rsidRPr="0058432E" w:rsidRDefault="00C46587" w:rsidP="00982118">
      <w:pPr>
        <w:ind w:left="720"/>
        <w:rPr>
          <w:color w:val="000000" w:themeColor="text1"/>
        </w:rPr>
      </w:pPr>
      <w:r w:rsidRPr="0058432E">
        <w:rPr>
          <w:color w:val="000000" w:themeColor="text1"/>
        </w:rPr>
        <w:t xml:space="preserve"> </w:t>
      </w:r>
    </w:p>
    <w:p w14:paraId="34FAE5A7" w14:textId="77777777" w:rsidR="0075699B" w:rsidRPr="0058432E" w:rsidRDefault="00C46587" w:rsidP="000B37DD">
      <w:pPr>
        <w:pStyle w:val="BodyText"/>
        <w:widowControl/>
        <w:numPr>
          <w:ilvl w:val="0"/>
          <w:numId w:val="6"/>
        </w:numPr>
        <w:kinsoku w:val="0"/>
        <w:overflowPunct w:val="0"/>
        <w:autoSpaceDE w:val="0"/>
        <w:autoSpaceDN w:val="0"/>
        <w:adjustRightInd w:val="0"/>
        <w:ind w:left="562" w:hanging="562"/>
        <w:rPr>
          <w:color w:val="000000" w:themeColor="text1"/>
        </w:rPr>
      </w:pPr>
      <w:r w:rsidRPr="0058432E">
        <w:rPr>
          <w:color w:val="000000" w:themeColor="text1"/>
        </w:rPr>
        <w:t>Il est très important de dire au médecin de votre enfant si votre enfant a déjà contracté la tuberculose ou s’il a été en contact étroit avec quelqu’un qui a eu la tuberculose. Si votre enfant a une tuberculose active, ne pas utiliser Amsparity.</w:t>
      </w:r>
    </w:p>
    <w:p w14:paraId="18491269" w14:textId="77777777" w:rsidR="00EF27DD" w:rsidRPr="0058432E" w:rsidRDefault="00EF27DD" w:rsidP="00982118">
      <w:pPr>
        <w:pStyle w:val="BodyText"/>
        <w:widowControl/>
        <w:tabs>
          <w:tab w:val="left" w:pos="720"/>
        </w:tabs>
        <w:kinsoku w:val="0"/>
        <w:overflowPunct w:val="0"/>
        <w:autoSpaceDE w:val="0"/>
        <w:autoSpaceDN w:val="0"/>
        <w:adjustRightInd w:val="0"/>
        <w:ind w:left="720" w:right="142"/>
        <w:rPr>
          <w:color w:val="000000" w:themeColor="text1"/>
        </w:rPr>
      </w:pPr>
    </w:p>
    <w:p w14:paraId="4653F859" w14:textId="77777777" w:rsidR="0075699B" w:rsidRPr="0058432E" w:rsidRDefault="00C46587" w:rsidP="000B37DD">
      <w:pPr>
        <w:numPr>
          <w:ilvl w:val="0"/>
          <w:numId w:val="6"/>
        </w:numPr>
        <w:kinsoku w:val="0"/>
        <w:overflowPunct w:val="0"/>
        <w:autoSpaceDE w:val="0"/>
        <w:autoSpaceDN w:val="0"/>
        <w:adjustRightInd w:val="0"/>
        <w:ind w:left="562" w:hanging="562"/>
        <w:rPr>
          <w:color w:val="000000" w:themeColor="text1"/>
        </w:rPr>
      </w:pPr>
      <w:r w:rsidRPr="0058432E">
        <w:rPr>
          <w:color w:val="000000" w:themeColor="text1"/>
        </w:rPr>
        <w:t xml:space="preserve">Une tuberculose peut se développer pendant le traitement, même si votre enfant a reçu un traitement pour la prévention de la tuberculose. </w:t>
      </w:r>
    </w:p>
    <w:p w14:paraId="1E6B3CA2" w14:textId="77777777" w:rsidR="00EF27DD" w:rsidRPr="0058432E" w:rsidRDefault="00EF27DD" w:rsidP="00982118">
      <w:pPr>
        <w:ind w:left="720"/>
        <w:rPr>
          <w:color w:val="000000" w:themeColor="text1"/>
        </w:rPr>
      </w:pPr>
    </w:p>
    <w:p w14:paraId="1301E593" w14:textId="77777777" w:rsidR="00C46587" w:rsidRPr="0058432E" w:rsidRDefault="00C46587" w:rsidP="000B37DD">
      <w:pPr>
        <w:numPr>
          <w:ilvl w:val="0"/>
          <w:numId w:val="6"/>
        </w:numPr>
        <w:kinsoku w:val="0"/>
        <w:overflowPunct w:val="0"/>
        <w:autoSpaceDE w:val="0"/>
        <w:autoSpaceDN w:val="0"/>
        <w:adjustRightInd w:val="0"/>
        <w:ind w:left="562" w:hanging="562"/>
        <w:rPr>
          <w:color w:val="000000" w:themeColor="text1"/>
        </w:rPr>
      </w:pPr>
      <w:r w:rsidRPr="0058432E">
        <w:rPr>
          <w:color w:val="000000" w:themeColor="text1"/>
        </w:rPr>
        <w:t xml:space="preserve">Si des symptômes de tuberculose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toux qui ne part pas, perte de poids, manque d’énergie, légère fièvre) ou si d’autres infections apparaissent durant ou après le traitement, prévenez le médecin de votre enfant immédiatement. </w:t>
      </w:r>
    </w:p>
    <w:p w14:paraId="4AD10042" w14:textId="77777777" w:rsidR="00C46587" w:rsidRPr="0058432E" w:rsidRDefault="00C46587" w:rsidP="00982118">
      <w:pPr>
        <w:rPr>
          <w:color w:val="000000" w:themeColor="text1"/>
        </w:rPr>
      </w:pPr>
    </w:p>
    <w:p w14:paraId="4F03C53C" w14:textId="77777777" w:rsidR="0075699B" w:rsidRPr="0058432E" w:rsidRDefault="0075699B" w:rsidP="00982118">
      <w:pPr>
        <w:keepNext/>
        <w:rPr>
          <w:color w:val="000000" w:themeColor="text1"/>
          <w:u w:val="single"/>
        </w:rPr>
      </w:pPr>
      <w:r w:rsidRPr="0058432E">
        <w:rPr>
          <w:color w:val="000000" w:themeColor="text1"/>
          <w:u w:val="single"/>
        </w:rPr>
        <w:t>Voyage/infection récurrente</w:t>
      </w:r>
    </w:p>
    <w:p w14:paraId="5EB25FCB" w14:textId="77777777" w:rsidR="0075699B" w:rsidRPr="0058432E" w:rsidRDefault="0075699B" w:rsidP="00982118">
      <w:pPr>
        <w:rPr>
          <w:color w:val="000000" w:themeColor="text1"/>
        </w:rPr>
      </w:pPr>
    </w:p>
    <w:p w14:paraId="7C11D625" w14:textId="77777777" w:rsidR="00C46587" w:rsidRPr="0058432E" w:rsidRDefault="008B6BAC" w:rsidP="00AA4681">
      <w:pPr>
        <w:numPr>
          <w:ilvl w:val="0"/>
          <w:numId w:val="6"/>
        </w:numPr>
        <w:ind w:left="562" w:hanging="562"/>
        <w:rPr>
          <w:color w:val="000000" w:themeColor="text1"/>
        </w:rPr>
      </w:pPr>
      <w:r w:rsidRPr="0058432E">
        <w:rPr>
          <w:color w:val="000000" w:themeColor="text1"/>
        </w:rPr>
        <w:t xml:space="preserve">Avertissez le médecin de votre enfant si votre enfant a habité ou voyagé dans des régions où les infections fongiques telles qu’histoplasmose, coccidioïdomycose ou blastomycose sont endémiques (détectées). </w:t>
      </w:r>
    </w:p>
    <w:p w14:paraId="53513CC1" w14:textId="77777777" w:rsidR="00C46587" w:rsidRPr="0058432E" w:rsidRDefault="00C46587" w:rsidP="00AA4681">
      <w:pPr>
        <w:ind w:left="562" w:hanging="562"/>
        <w:rPr>
          <w:color w:val="000000" w:themeColor="text1"/>
        </w:rPr>
      </w:pPr>
    </w:p>
    <w:p w14:paraId="6E94A6EE" w14:textId="77777777" w:rsidR="00C46587" w:rsidRPr="0058432E" w:rsidRDefault="0075699B" w:rsidP="00AA4681">
      <w:pPr>
        <w:numPr>
          <w:ilvl w:val="0"/>
          <w:numId w:val="6"/>
        </w:numPr>
        <w:ind w:left="562" w:hanging="562"/>
        <w:rPr>
          <w:color w:val="000000" w:themeColor="text1"/>
        </w:rPr>
      </w:pPr>
      <w:r w:rsidRPr="0058432E">
        <w:rPr>
          <w:color w:val="000000" w:themeColor="text1"/>
        </w:rPr>
        <w:t xml:space="preserve">Informez le médecin de votre enfant si votre enfant a eu des infections qui reviennent à plusieurs reprises ou d’autres problèmes de santé qui augmentent le risque d’infection. </w:t>
      </w:r>
    </w:p>
    <w:p w14:paraId="57D4EB1A" w14:textId="77777777" w:rsidR="008B6BAC" w:rsidRPr="0058432E" w:rsidRDefault="008B6BAC" w:rsidP="00AA4681">
      <w:pPr>
        <w:ind w:left="562" w:hanging="562"/>
        <w:rPr>
          <w:color w:val="000000" w:themeColor="text1"/>
        </w:rPr>
      </w:pPr>
    </w:p>
    <w:p w14:paraId="1E4C1AFD" w14:textId="77777777" w:rsidR="0075699B" w:rsidRPr="0058432E" w:rsidRDefault="00260A57" w:rsidP="00AA4681">
      <w:pPr>
        <w:numPr>
          <w:ilvl w:val="0"/>
          <w:numId w:val="6"/>
        </w:numPr>
        <w:ind w:left="562" w:hanging="562"/>
        <w:rPr>
          <w:color w:val="000000" w:themeColor="text1"/>
        </w:rPr>
      </w:pPr>
      <w:r w:rsidRPr="0058432E">
        <w:rPr>
          <w:color w:val="000000" w:themeColor="text1"/>
        </w:rPr>
        <w:t xml:space="preserve">Vous et le médecin de votre enfant devez apporter une attention particulière aux signes d’infection lorsque </w:t>
      </w:r>
      <w:r w:rsidR="00CC25F6" w:rsidRPr="0058432E">
        <w:rPr>
          <w:color w:val="000000" w:themeColor="text1"/>
        </w:rPr>
        <w:t>votre enfant est traité</w:t>
      </w:r>
      <w:r w:rsidRPr="0058432E">
        <w:rPr>
          <w:color w:val="000000" w:themeColor="text1"/>
        </w:rPr>
        <w:t xml:space="preserve"> par Amsparity. Il est important de signaler au médecin de votre enfant si votre enfant présente des signes d’infection tels que de la fièvre, des plaies, une sensation de fatigue ou des problèmes dentaires. </w:t>
      </w:r>
    </w:p>
    <w:p w14:paraId="68B42DE1" w14:textId="77777777" w:rsidR="00C46587" w:rsidRPr="0058432E" w:rsidRDefault="00C46587" w:rsidP="00AA4681">
      <w:pPr>
        <w:ind w:left="562" w:hanging="562"/>
        <w:rPr>
          <w:color w:val="000000" w:themeColor="text1"/>
        </w:rPr>
      </w:pPr>
    </w:p>
    <w:p w14:paraId="63510600" w14:textId="77777777" w:rsidR="0075699B" w:rsidRPr="0058432E" w:rsidRDefault="0075699B" w:rsidP="00982118">
      <w:pPr>
        <w:pStyle w:val="BodyText"/>
        <w:widowControl/>
        <w:kinsoku w:val="0"/>
        <w:overflowPunct w:val="0"/>
        <w:ind w:left="0" w:right="250"/>
        <w:rPr>
          <w:color w:val="000000" w:themeColor="text1"/>
        </w:rPr>
      </w:pPr>
      <w:r w:rsidRPr="0058432E">
        <w:rPr>
          <w:color w:val="000000" w:themeColor="text1"/>
          <w:u w:val="single"/>
        </w:rPr>
        <w:t>Hépatite B</w:t>
      </w:r>
    </w:p>
    <w:p w14:paraId="3660121B" w14:textId="77777777" w:rsidR="0075699B" w:rsidRPr="0058432E" w:rsidRDefault="0075699B" w:rsidP="00AA4681">
      <w:pPr>
        <w:ind w:left="562" w:hanging="562"/>
        <w:rPr>
          <w:color w:val="000000" w:themeColor="text1"/>
        </w:rPr>
      </w:pPr>
    </w:p>
    <w:p w14:paraId="1EA36310" w14:textId="77777777" w:rsidR="00C46587" w:rsidRPr="0058432E" w:rsidRDefault="008B6BAC" w:rsidP="00AA4681">
      <w:pPr>
        <w:numPr>
          <w:ilvl w:val="0"/>
          <w:numId w:val="6"/>
        </w:numPr>
        <w:ind w:left="562" w:hanging="562"/>
        <w:rPr>
          <w:color w:val="000000" w:themeColor="text1"/>
        </w:rPr>
      </w:pPr>
      <w:r w:rsidRPr="0058432E">
        <w:rPr>
          <w:color w:val="000000" w:themeColor="text1"/>
        </w:rPr>
        <w:t xml:space="preserve">Informez le médecin de votre enfant si votre enfant est porteur du virus de l’hépatite B (VHB), s’il a une infection active par le VHB ou si vous pensez qu’il peut avoir un risque d’attraper le VHB. Le médecin de votre enfant devra effectuer un dépistage du VHB chez votre enfant. L’adalimumab peut réactiver l’infection par le VHB chez les personnes porteuses du virus. Dans </w:t>
      </w:r>
      <w:r w:rsidRPr="0058432E">
        <w:rPr>
          <w:color w:val="000000" w:themeColor="text1"/>
        </w:rPr>
        <w:lastRenderedPageBreak/>
        <w:t xml:space="preserve">de rares cas, particulièrement si votre enfant prend d’autres médicaments qui diminuent le système immunitaire, une réactivation de l’infection par le VHB peut menacer le pronostic vital. </w:t>
      </w:r>
    </w:p>
    <w:p w14:paraId="7D1C1AB3" w14:textId="77777777" w:rsidR="00C46587" w:rsidRPr="0058432E" w:rsidRDefault="00C46587" w:rsidP="00AA4681">
      <w:pPr>
        <w:ind w:left="562" w:hanging="562"/>
        <w:rPr>
          <w:color w:val="000000" w:themeColor="text1"/>
        </w:rPr>
      </w:pPr>
    </w:p>
    <w:p w14:paraId="3A394694" w14:textId="77777777" w:rsidR="00F10899" w:rsidRPr="0058432E" w:rsidRDefault="007D6D01" w:rsidP="00AA4681">
      <w:pPr>
        <w:pStyle w:val="BodyText"/>
        <w:widowControl/>
        <w:ind w:left="562" w:hanging="562"/>
        <w:rPr>
          <w:color w:val="000000" w:themeColor="text1"/>
        </w:rPr>
      </w:pPr>
      <w:r w:rsidRPr="0058432E">
        <w:rPr>
          <w:color w:val="000000" w:themeColor="text1"/>
          <w:u w:val="single"/>
        </w:rPr>
        <w:t>Intervention chirurgicale ou</w:t>
      </w:r>
      <w:r w:rsidR="00F10899" w:rsidRPr="0058432E">
        <w:rPr>
          <w:color w:val="000000" w:themeColor="text1"/>
          <w:u w:val="single"/>
        </w:rPr>
        <w:t xml:space="preserve"> dentaire</w:t>
      </w:r>
    </w:p>
    <w:p w14:paraId="425577DA" w14:textId="77777777" w:rsidR="00F10899" w:rsidRPr="0058432E" w:rsidRDefault="00F10899" w:rsidP="00AA4681">
      <w:pPr>
        <w:ind w:left="562" w:hanging="562"/>
        <w:rPr>
          <w:color w:val="000000" w:themeColor="text1"/>
        </w:rPr>
      </w:pPr>
    </w:p>
    <w:p w14:paraId="63E3C919" w14:textId="77777777" w:rsidR="00C46587" w:rsidRPr="0058432E" w:rsidRDefault="00C46587" w:rsidP="00AA4681">
      <w:pPr>
        <w:numPr>
          <w:ilvl w:val="0"/>
          <w:numId w:val="6"/>
        </w:numPr>
        <w:ind w:left="562" w:hanging="562"/>
        <w:rPr>
          <w:color w:val="000000" w:themeColor="text1"/>
        </w:rPr>
      </w:pPr>
      <w:r w:rsidRPr="0058432E">
        <w:rPr>
          <w:color w:val="000000" w:themeColor="text1"/>
        </w:rPr>
        <w:t xml:space="preserve">Si votre enfant doit subir une intervention chirurgicale ou dentaire, informez le médecin de votre enfant qu’il est traité par Amsparity. Le médecin de votre enfant peut recommander d’arrêter temporairement Amsparity. </w:t>
      </w:r>
    </w:p>
    <w:p w14:paraId="34A6BB4B" w14:textId="77777777" w:rsidR="00C46587" w:rsidRPr="0058432E" w:rsidRDefault="00C46587" w:rsidP="00AA4681">
      <w:pPr>
        <w:ind w:left="562" w:hanging="562"/>
        <w:rPr>
          <w:color w:val="000000" w:themeColor="text1"/>
        </w:rPr>
      </w:pPr>
    </w:p>
    <w:p w14:paraId="7B6C05B5" w14:textId="77777777" w:rsidR="00F10899" w:rsidRPr="0058432E" w:rsidRDefault="00F10899" w:rsidP="00920CA5">
      <w:pPr>
        <w:pStyle w:val="BodyText"/>
        <w:keepNext/>
        <w:keepLines/>
        <w:widowControl/>
        <w:ind w:left="561" w:hanging="561"/>
        <w:rPr>
          <w:color w:val="000000" w:themeColor="text1"/>
        </w:rPr>
      </w:pPr>
      <w:r w:rsidRPr="0058432E">
        <w:rPr>
          <w:color w:val="000000" w:themeColor="text1"/>
          <w:u w:val="single"/>
        </w:rPr>
        <w:t>Maladie démyélinisante</w:t>
      </w:r>
    </w:p>
    <w:p w14:paraId="7A23EC4F" w14:textId="77777777" w:rsidR="00F10899" w:rsidRPr="0058432E" w:rsidRDefault="00F10899" w:rsidP="00920CA5">
      <w:pPr>
        <w:keepNext/>
        <w:keepLines/>
        <w:ind w:left="561" w:hanging="561"/>
        <w:rPr>
          <w:color w:val="000000" w:themeColor="text1"/>
        </w:rPr>
      </w:pPr>
    </w:p>
    <w:p w14:paraId="4F2D80C5" w14:textId="77777777" w:rsidR="00C46587" w:rsidRPr="0058432E" w:rsidRDefault="00C46587" w:rsidP="00AA4681">
      <w:pPr>
        <w:numPr>
          <w:ilvl w:val="0"/>
          <w:numId w:val="6"/>
        </w:numPr>
        <w:ind w:left="562" w:hanging="562"/>
        <w:rPr>
          <w:color w:val="000000" w:themeColor="text1"/>
        </w:rPr>
      </w:pPr>
      <w:r w:rsidRPr="0058432E">
        <w:rPr>
          <w:color w:val="000000" w:themeColor="text1"/>
        </w:rPr>
        <w:t xml:space="preserve">Si votre enfant a ou développe une maladie démyélinisante (une maladie qui affecte la gaine </w:t>
      </w:r>
      <w:r w:rsidR="007D6D01" w:rsidRPr="0058432E">
        <w:rPr>
          <w:color w:val="000000" w:themeColor="text1"/>
        </w:rPr>
        <w:t xml:space="preserve">isolante </w:t>
      </w:r>
      <w:r w:rsidRPr="0058432E">
        <w:rPr>
          <w:color w:val="000000" w:themeColor="text1"/>
        </w:rPr>
        <w:t xml:space="preserve">entourant les nerfs, telle que la sclérose en plaques), le médecin de votre enfant évaluera s’il doit recevoir ou continuer de recevoir Amsparity. Informez immédiatement le médecin de votre enfant si votre enfant présente des symptômes tels que des modifications de la vision, une faiblesse dans les bras ou les jambes, ou un engourdissement ou des fourmillements dans une partie du corps. </w:t>
      </w:r>
    </w:p>
    <w:p w14:paraId="1FB1D8F7" w14:textId="77777777" w:rsidR="00C46587" w:rsidRPr="0058432E" w:rsidRDefault="00C46587" w:rsidP="00AA4681">
      <w:pPr>
        <w:ind w:left="562" w:hanging="562"/>
        <w:rPr>
          <w:color w:val="000000" w:themeColor="text1"/>
        </w:rPr>
      </w:pPr>
    </w:p>
    <w:p w14:paraId="04DD3594" w14:textId="77777777" w:rsidR="00F10899" w:rsidRPr="0058432E" w:rsidRDefault="00F10899" w:rsidP="007C4B2C">
      <w:pPr>
        <w:pStyle w:val="BodyText"/>
        <w:keepNext/>
        <w:widowControl/>
        <w:ind w:left="562" w:hanging="562"/>
        <w:rPr>
          <w:color w:val="000000" w:themeColor="text1"/>
          <w:u w:val="single"/>
        </w:rPr>
      </w:pPr>
      <w:r w:rsidRPr="0058432E">
        <w:rPr>
          <w:color w:val="000000" w:themeColor="text1"/>
          <w:u w:val="single"/>
        </w:rPr>
        <w:t>Vaccin</w:t>
      </w:r>
      <w:r w:rsidR="00121221" w:rsidRPr="0058432E">
        <w:rPr>
          <w:color w:val="000000" w:themeColor="text1"/>
          <w:u w:val="single"/>
        </w:rPr>
        <w:t>ation</w:t>
      </w:r>
    </w:p>
    <w:p w14:paraId="355D2AEF" w14:textId="77777777" w:rsidR="00F10899" w:rsidRPr="0058432E" w:rsidRDefault="00F10899" w:rsidP="007C4B2C">
      <w:pPr>
        <w:pStyle w:val="BodyText"/>
        <w:keepNext/>
        <w:widowControl/>
        <w:ind w:left="562" w:hanging="562"/>
        <w:rPr>
          <w:color w:val="000000" w:themeColor="text1"/>
          <w:u w:val="single"/>
        </w:rPr>
      </w:pPr>
    </w:p>
    <w:p w14:paraId="5244E731" w14:textId="77777777" w:rsidR="00C46587" w:rsidRPr="0058432E" w:rsidRDefault="00C46587" w:rsidP="007C4B2C">
      <w:pPr>
        <w:keepNext/>
        <w:numPr>
          <w:ilvl w:val="0"/>
          <w:numId w:val="6"/>
        </w:numPr>
        <w:ind w:left="562" w:hanging="562"/>
        <w:rPr>
          <w:color w:val="000000" w:themeColor="text1"/>
        </w:rPr>
      </w:pPr>
      <w:r w:rsidRPr="0058432E">
        <w:rPr>
          <w:color w:val="000000" w:themeColor="text1"/>
        </w:rPr>
        <w:t xml:space="preserve">Certains vaccins contiennent des formes vivantes mais affaiblies de bactéries ou de virus pathogènes qui peuvent </w:t>
      </w:r>
      <w:r w:rsidR="00B42EC9" w:rsidRPr="0058432E">
        <w:rPr>
          <w:color w:val="000000" w:themeColor="text1"/>
        </w:rPr>
        <w:t>entraîner</w:t>
      </w:r>
      <w:r w:rsidRPr="0058432E">
        <w:rPr>
          <w:color w:val="000000" w:themeColor="text1"/>
        </w:rPr>
        <w:t xml:space="preserve"> des infections et ne doivent pas être administrés pendant le traitement par Amsparity. Vérifiez avec le médecin de votre enfant avant toute vaccination de votre enfant. Il est recommandé, si possible, que les enfants aient reçu les vaccinations prévues pour leur âge avant le début du traitement par Amsparity. Si votre fille a reçu Amsparity alors qu’elle était enceinte, son bébé peut présenter un risque plus élevé d’avoir une infection pendant environ cinq mois après la dernière dose d’Amsparity reçue </w:t>
      </w:r>
      <w:r w:rsidR="005830C6" w:rsidRPr="0058432E">
        <w:rPr>
          <w:color w:val="000000" w:themeColor="text1"/>
        </w:rPr>
        <w:t xml:space="preserve">par votre fille </w:t>
      </w:r>
      <w:r w:rsidRPr="0058432E">
        <w:rPr>
          <w:color w:val="000000" w:themeColor="text1"/>
        </w:rPr>
        <w:t xml:space="preserve">pendant la grossesse. Il est important de dire aux médecins de son bébé et aux autres professionnels de santé que votre fille a reçu Amsparity pendant sa grossesse ; ils pourront ainsi décider quand son bébé devra recevoir ses vaccins. </w:t>
      </w:r>
    </w:p>
    <w:p w14:paraId="386630DF" w14:textId="77777777" w:rsidR="00EA74EB" w:rsidRPr="0058432E" w:rsidRDefault="00EA74EB" w:rsidP="00AA4681">
      <w:pPr>
        <w:ind w:left="562" w:hanging="562"/>
        <w:rPr>
          <w:color w:val="000000" w:themeColor="text1"/>
        </w:rPr>
      </w:pPr>
    </w:p>
    <w:p w14:paraId="436DAE55" w14:textId="77777777" w:rsidR="00E8411C" w:rsidRPr="0058432E" w:rsidRDefault="00E8411C" w:rsidP="00A71117">
      <w:pPr>
        <w:pStyle w:val="BodyText"/>
        <w:keepNext/>
        <w:keepLines/>
        <w:widowControl/>
        <w:ind w:left="561" w:hanging="561"/>
        <w:rPr>
          <w:color w:val="000000" w:themeColor="text1"/>
        </w:rPr>
      </w:pPr>
      <w:r w:rsidRPr="0058432E">
        <w:rPr>
          <w:color w:val="000000" w:themeColor="text1"/>
          <w:u w:val="single"/>
        </w:rPr>
        <w:t>Troubles cardiaques</w:t>
      </w:r>
    </w:p>
    <w:p w14:paraId="61C5CC1E" w14:textId="77777777" w:rsidR="00E8411C" w:rsidRPr="0058432E" w:rsidRDefault="00E8411C" w:rsidP="00A71117">
      <w:pPr>
        <w:keepNext/>
        <w:keepLines/>
        <w:ind w:left="561" w:hanging="561"/>
        <w:rPr>
          <w:color w:val="000000" w:themeColor="text1"/>
        </w:rPr>
      </w:pPr>
    </w:p>
    <w:p w14:paraId="7C34818C" w14:textId="77777777" w:rsidR="00C46587" w:rsidRPr="0058432E" w:rsidRDefault="00E8411C" w:rsidP="00A71117">
      <w:pPr>
        <w:keepNext/>
        <w:keepLines/>
        <w:numPr>
          <w:ilvl w:val="0"/>
          <w:numId w:val="6"/>
        </w:numPr>
        <w:ind w:left="561" w:hanging="561"/>
        <w:rPr>
          <w:color w:val="000000" w:themeColor="text1"/>
        </w:rPr>
      </w:pPr>
      <w:r w:rsidRPr="0058432E">
        <w:rPr>
          <w:color w:val="000000" w:themeColor="text1"/>
        </w:rPr>
        <w:t xml:space="preserve">Il est important d’informer le médecin de votre enfant si votre enfant a ou a eu des problèmes cardiaques graves. Si votre enfant a une insuffisance cardiaque légère et est traité par Amsparity, ses troubles cardiaques doivent être surveillés </w:t>
      </w:r>
      <w:r w:rsidR="00DE19D0" w:rsidRPr="0058432E">
        <w:rPr>
          <w:color w:val="000000" w:themeColor="text1"/>
        </w:rPr>
        <w:t>attenti</w:t>
      </w:r>
      <w:r w:rsidR="002B331C" w:rsidRPr="0058432E">
        <w:rPr>
          <w:color w:val="000000" w:themeColor="text1"/>
        </w:rPr>
        <w:t xml:space="preserve">vement </w:t>
      </w:r>
      <w:r w:rsidRPr="0058432E">
        <w:rPr>
          <w:color w:val="000000" w:themeColor="text1"/>
        </w:rPr>
        <w:t xml:space="preserve">par le médecin de votre enfant. S’il développe de nouveaux symptômes ou si ceux de l’insuffisance cardiaque s’aggravent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BF7BFC" w:rsidRPr="0058432E">
        <w:rPr>
          <w:color w:val="000000" w:themeColor="text1"/>
        </w:rPr>
        <w:t>essoufflement</w:t>
      </w:r>
      <w:r w:rsidRPr="0058432E">
        <w:rPr>
          <w:color w:val="000000" w:themeColor="text1"/>
        </w:rPr>
        <w:t xml:space="preserve"> ou gonflement des pieds), vous devez contacter immédiatement le médecin de votre enfant. </w:t>
      </w:r>
    </w:p>
    <w:p w14:paraId="055AD239" w14:textId="77777777" w:rsidR="00C46587" w:rsidRPr="0058432E" w:rsidRDefault="00C46587" w:rsidP="00AA4681">
      <w:pPr>
        <w:ind w:left="562" w:hanging="562"/>
        <w:rPr>
          <w:color w:val="000000" w:themeColor="text1"/>
        </w:rPr>
      </w:pPr>
    </w:p>
    <w:p w14:paraId="083F79A7" w14:textId="77777777" w:rsidR="00E8411C" w:rsidRPr="0058432E" w:rsidRDefault="00E8411C" w:rsidP="00AA4681">
      <w:pPr>
        <w:pStyle w:val="BodyText"/>
        <w:widowControl/>
        <w:ind w:left="562" w:hanging="562"/>
        <w:rPr>
          <w:color w:val="000000" w:themeColor="text1"/>
        </w:rPr>
      </w:pPr>
      <w:r w:rsidRPr="0058432E">
        <w:rPr>
          <w:color w:val="000000" w:themeColor="text1"/>
          <w:u w:val="single"/>
        </w:rPr>
        <w:t xml:space="preserve">Fièvre, </w:t>
      </w:r>
      <w:r w:rsidR="002B331C" w:rsidRPr="0058432E">
        <w:rPr>
          <w:color w:val="000000" w:themeColor="text1"/>
          <w:u w:val="single"/>
        </w:rPr>
        <w:t>contusions</w:t>
      </w:r>
      <w:r w:rsidRPr="0058432E">
        <w:rPr>
          <w:color w:val="000000" w:themeColor="text1"/>
          <w:u w:val="single"/>
        </w:rPr>
        <w:t>, saignement ou aspect pâle</w:t>
      </w:r>
    </w:p>
    <w:p w14:paraId="062A9DD7" w14:textId="77777777" w:rsidR="00E8411C" w:rsidRPr="0058432E" w:rsidRDefault="00E8411C" w:rsidP="00AA4681">
      <w:pPr>
        <w:ind w:left="562" w:hanging="562"/>
        <w:rPr>
          <w:color w:val="000000" w:themeColor="text1"/>
        </w:rPr>
      </w:pPr>
    </w:p>
    <w:p w14:paraId="2BF5EDFD" w14:textId="77777777" w:rsidR="00C46587" w:rsidRPr="0058432E" w:rsidRDefault="00C46587" w:rsidP="00AA4681">
      <w:pPr>
        <w:numPr>
          <w:ilvl w:val="0"/>
          <w:numId w:val="6"/>
        </w:numPr>
        <w:ind w:left="562" w:hanging="562"/>
        <w:rPr>
          <w:color w:val="000000" w:themeColor="text1"/>
        </w:rPr>
      </w:pPr>
      <w:r w:rsidRPr="0058432E">
        <w:rPr>
          <w:color w:val="000000" w:themeColor="text1"/>
        </w:rPr>
        <w:t xml:space="preserve">Chez certains patients, l’organisme n’arrive plus à produire suffisamment de </w:t>
      </w:r>
      <w:r w:rsidR="00FB440E" w:rsidRPr="0058432E">
        <w:rPr>
          <w:color w:val="000000" w:themeColor="text1"/>
        </w:rPr>
        <w:t>globules</w:t>
      </w:r>
      <w:r w:rsidRPr="0058432E">
        <w:rPr>
          <w:color w:val="000000" w:themeColor="text1"/>
        </w:rPr>
        <w:t xml:space="preserve"> sanguins qui aident à lutter contre les infections ou à arrêter les saignements. Si votre enfant a une fièvre qui ne disparaît pas, des contusions ou s’il saigne très facilement ou semble très pâle, contactez tout de suite le médecin de votre enfant. Le médecin de votre enfant pourrait décider d’arrêter le traitement. </w:t>
      </w:r>
    </w:p>
    <w:p w14:paraId="14B7D52F" w14:textId="77777777" w:rsidR="00C46587" w:rsidRPr="0058432E" w:rsidRDefault="00C46587" w:rsidP="00AA4681">
      <w:pPr>
        <w:ind w:left="562" w:hanging="562"/>
        <w:rPr>
          <w:color w:val="000000" w:themeColor="text1"/>
        </w:rPr>
      </w:pPr>
    </w:p>
    <w:p w14:paraId="6B7A307B" w14:textId="77777777" w:rsidR="00EF27DD" w:rsidRPr="0058432E" w:rsidRDefault="00EF27DD" w:rsidP="00AA4681">
      <w:pPr>
        <w:pStyle w:val="BodyText"/>
        <w:widowControl/>
        <w:ind w:left="562" w:hanging="562"/>
        <w:rPr>
          <w:color w:val="000000" w:themeColor="text1"/>
        </w:rPr>
      </w:pPr>
      <w:r w:rsidRPr="0058432E">
        <w:rPr>
          <w:color w:val="000000" w:themeColor="text1"/>
          <w:u w:val="single"/>
        </w:rPr>
        <w:t>Cancer</w:t>
      </w:r>
    </w:p>
    <w:p w14:paraId="49A2D8AB" w14:textId="77777777" w:rsidR="00EF27DD" w:rsidRPr="0058432E" w:rsidRDefault="00EF27DD" w:rsidP="00AA4681">
      <w:pPr>
        <w:ind w:left="562" w:hanging="562"/>
        <w:rPr>
          <w:color w:val="000000" w:themeColor="text1"/>
        </w:rPr>
      </w:pPr>
    </w:p>
    <w:p w14:paraId="075EE6E0" w14:textId="77777777" w:rsidR="00EF27DD" w:rsidRPr="0058432E" w:rsidRDefault="00C46587" w:rsidP="00AA4681">
      <w:pPr>
        <w:numPr>
          <w:ilvl w:val="0"/>
          <w:numId w:val="6"/>
        </w:numPr>
        <w:ind w:left="562" w:hanging="562"/>
        <w:rPr>
          <w:color w:val="000000" w:themeColor="text1"/>
        </w:rPr>
      </w:pPr>
      <w:r w:rsidRPr="0058432E">
        <w:rPr>
          <w:color w:val="000000" w:themeColor="text1"/>
        </w:rPr>
        <w:t xml:space="preserve">Il y a eu de très rares cas de certains types de cancers chez des enfants et des adultes traités par adalimumab ou par d’autres anti-TNFα. Les sujets avec une polyarthrite rhumatoïde plus grave et qui ont développé la maladie depuis longtemps </w:t>
      </w:r>
      <w:r w:rsidR="002B331C" w:rsidRPr="0058432E">
        <w:rPr>
          <w:color w:val="000000" w:themeColor="text1"/>
        </w:rPr>
        <w:t xml:space="preserve">peuvent avoir </w:t>
      </w:r>
      <w:r w:rsidRPr="0058432E">
        <w:rPr>
          <w:color w:val="000000" w:themeColor="text1"/>
        </w:rPr>
        <w:t xml:space="preserve">un risque plus élevé que la moyenne de développer un lymphome et une leucémie (cancers qui touchent les </w:t>
      </w:r>
      <w:r w:rsidR="00FB440E" w:rsidRPr="0058432E">
        <w:rPr>
          <w:color w:val="000000" w:themeColor="text1"/>
        </w:rPr>
        <w:t>globules</w:t>
      </w:r>
      <w:r w:rsidRPr="0058432E">
        <w:rPr>
          <w:color w:val="000000" w:themeColor="text1"/>
        </w:rPr>
        <w:t xml:space="preserve"> sanguins et la moelle osseuse). Si votre enfant est traité par Amsparity, le risque d’avoir un lymphome, une leucémie ou d’autres cancers peut augmenter. Dans de rares cas, une forme rare et sévère de lymphome a été observée chez des patients prenant l’adalimumab. Certains de ces </w:t>
      </w:r>
      <w:r w:rsidRPr="0058432E">
        <w:rPr>
          <w:color w:val="000000" w:themeColor="text1"/>
        </w:rPr>
        <w:lastRenderedPageBreak/>
        <w:t xml:space="preserve">patients étaient également traités par les médicaments azathioprine ou mercaptopurine. Indiquez au médecin de votre enfant si votre enfant prend de l’azathioprine ou de la mercaptopurine avec Amsparity. </w:t>
      </w:r>
    </w:p>
    <w:p w14:paraId="5ECBCF2D" w14:textId="77777777" w:rsidR="00EF27DD" w:rsidRPr="0058432E" w:rsidRDefault="00EF27DD" w:rsidP="00AA4681">
      <w:pPr>
        <w:ind w:left="562" w:hanging="562"/>
        <w:rPr>
          <w:color w:val="000000" w:themeColor="text1"/>
        </w:rPr>
      </w:pPr>
    </w:p>
    <w:p w14:paraId="4BD7ED34" w14:textId="77777777" w:rsidR="00C46587" w:rsidRPr="0058432E" w:rsidRDefault="00C46587" w:rsidP="00AA4681">
      <w:pPr>
        <w:numPr>
          <w:ilvl w:val="0"/>
          <w:numId w:val="6"/>
        </w:numPr>
        <w:ind w:left="562" w:hanging="562"/>
        <w:rPr>
          <w:color w:val="000000" w:themeColor="text1"/>
        </w:rPr>
      </w:pPr>
      <w:r w:rsidRPr="0058432E">
        <w:rPr>
          <w:color w:val="000000" w:themeColor="text1"/>
        </w:rPr>
        <w:t xml:space="preserve">De plus, des cas de cancers de la peau </w:t>
      </w:r>
      <w:proofErr w:type="gramStart"/>
      <w:r w:rsidRPr="0058432E">
        <w:rPr>
          <w:color w:val="000000" w:themeColor="text1"/>
        </w:rPr>
        <w:t>non mélanomes</w:t>
      </w:r>
      <w:proofErr w:type="gramEnd"/>
      <w:r w:rsidRPr="0058432E">
        <w:rPr>
          <w:color w:val="000000" w:themeColor="text1"/>
        </w:rPr>
        <w:t xml:space="preserve"> ont été observés chez des patients prenant de l’adalimumab. Si de nouvelles zones de peau lésée apparaissent pendant ou après le traitement ou si des marques existantes ou des zones lésées changent d’apparence, dites-le au médecin de votre enfant. </w:t>
      </w:r>
    </w:p>
    <w:p w14:paraId="35B3C765" w14:textId="77777777" w:rsidR="00C46587" w:rsidRPr="0058432E" w:rsidRDefault="00C46587" w:rsidP="00AA4681">
      <w:pPr>
        <w:ind w:left="562" w:hanging="562"/>
        <w:rPr>
          <w:color w:val="000000" w:themeColor="text1"/>
        </w:rPr>
      </w:pPr>
    </w:p>
    <w:p w14:paraId="4CF54FEC" w14:textId="77777777" w:rsidR="00C46587" w:rsidRPr="0058432E" w:rsidRDefault="00C46587" w:rsidP="00AA4681">
      <w:pPr>
        <w:numPr>
          <w:ilvl w:val="0"/>
          <w:numId w:val="6"/>
        </w:numPr>
        <w:ind w:left="562" w:hanging="562"/>
        <w:rPr>
          <w:color w:val="000000" w:themeColor="text1"/>
        </w:rPr>
      </w:pPr>
      <w:r w:rsidRPr="0058432E">
        <w:rPr>
          <w:color w:val="000000" w:themeColor="text1"/>
        </w:rPr>
        <w:t xml:space="preserve">Des cas de cancers autres que des lymphomes ont été signalés chez des patients </w:t>
      </w:r>
      <w:r w:rsidR="00D546C9" w:rsidRPr="0058432E">
        <w:rPr>
          <w:color w:val="000000" w:themeColor="text1"/>
        </w:rPr>
        <w:t>atteints</w:t>
      </w:r>
      <w:r w:rsidRPr="0058432E">
        <w:rPr>
          <w:color w:val="000000" w:themeColor="text1"/>
        </w:rPr>
        <w:t xml:space="preserve"> d’une maladie pulmonaire spécifique appelée broncho-pneumopathie chronique obstructive (BPCO) et traités par un autre anti-TNFα. Si votre enfant souffre de BPCO ou est un gros fumeur, vous devriez discuter avec le médecin de votre enfant si un traitement par un anti-TNFα est adapté pour votre enfant. </w:t>
      </w:r>
    </w:p>
    <w:p w14:paraId="7A07EF97" w14:textId="77777777" w:rsidR="0072207D" w:rsidRPr="0058432E" w:rsidRDefault="0072207D" w:rsidP="00AA4681">
      <w:pPr>
        <w:pStyle w:val="ListParagraph"/>
        <w:ind w:left="562" w:hanging="562"/>
        <w:rPr>
          <w:color w:val="000000" w:themeColor="text1"/>
        </w:rPr>
      </w:pPr>
    </w:p>
    <w:p w14:paraId="1D7F7269" w14:textId="77777777" w:rsidR="00EF27DD" w:rsidRPr="0058432E" w:rsidRDefault="00EF27DD" w:rsidP="00AA4681">
      <w:pPr>
        <w:pStyle w:val="BodyText"/>
        <w:widowControl/>
        <w:ind w:left="562" w:hanging="562"/>
        <w:rPr>
          <w:color w:val="000000" w:themeColor="text1"/>
        </w:rPr>
      </w:pPr>
      <w:r w:rsidRPr="0058432E">
        <w:rPr>
          <w:color w:val="000000" w:themeColor="text1"/>
          <w:u w:val="single"/>
        </w:rPr>
        <w:t>Maladie auto-immune</w:t>
      </w:r>
    </w:p>
    <w:p w14:paraId="3D54F80B" w14:textId="77777777" w:rsidR="00EF27DD" w:rsidRPr="0058432E" w:rsidRDefault="00EF27DD" w:rsidP="00AA4681">
      <w:pPr>
        <w:pStyle w:val="ListParagraph"/>
        <w:ind w:left="562" w:hanging="562"/>
        <w:rPr>
          <w:color w:val="000000" w:themeColor="text1"/>
        </w:rPr>
      </w:pPr>
    </w:p>
    <w:p w14:paraId="7FBC85EC" w14:textId="77777777" w:rsidR="0072207D" w:rsidRPr="0058432E" w:rsidRDefault="0072207D" w:rsidP="00AA4681">
      <w:pPr>
        <w:numPr>
          <w:ilvl w:val="0"/>
          <w:numId w:val="6"/>
        </w:numPr>
        <w:ind w:left="562" w:hanging="562"/>
        <w:rPr>
          <w:color w:val="000000" w:themeColor="text1"/>
        </w:rPr>
      </w:pPr>
      <w:r w:rsidRPr="0058432E">
        <w:rPr>
          <w:color w:val="000000" w:themeColor="text1"/>
        </w:rPr>
        <w:t>Dans de rares cas, le traitement par Amsparity peut entrainer un syndrome de type lupus. Contactez le médecin de votre enfant si des symptômes tels qu</w:t>
      </w:r>
      <w:r w:rsidR="007B66B6" w:rsidRPr="0058432E">
        <w:rPr>
          <w:color w:val="000000" w:themeColor="text1"/>
        </w:rPr>
        <w:t>’une</w:t>
      </w:r>
      <w:r w:rsidRPr="0058432E">
        <w:rPr>
          <w:color w:val="000000" w:themeColor="text1"/>
        </w:rPr>
        <w:t xml:space="preserve"> </w:t>
      </w:r>
      <w:r w:rsidR="00BF7BFC" w:rsidRPr="0058432E">
        <w:rPr>
          <w:color w:val="000000" w:themeColor="text1"/>
        </w:rPr>
        <w:t xml:space="preserve">éruption cutanée </w:t>
      </w:r>
      <w:r w:rsidRPr="0058432E">
        <w:rPr>
          <w:color w:val="000000" w:themeColor="text1"/>
        </w:rPr>
        <w:t>persistant</w:t>
      </w:r>
      <w:r w:rsidR="002B331C" w:rsidRPr="0058432E">
        <w:rPr>
          <w:color w:val="000000" w:themeColor="text1"/>
        </w:rPr>
        <w:t>e</w:t>
      </w:r>
      <w:r w:rsidRPr="0058432E">
        <w:rPr>
          <w:color w:val="000000" w:themeColor="text1"/>
        </w:rPr>
        <w:t>, inexpliqué</w:t>
      </w:r>
      <w:r w:rsidR="002B331C" w:rsidRPr="0058432E">
        <w:rPr>
          <w:color w:val="000000" w:themeColor="text1"/>
        </w:rPr>
        <w:t>e</w:t>
      </w:r>
      <w:r w:rsidRPr="0058432E">
        <w:rPr>
          <w:color w:val="000000" w:themeColor="text1"/>
        </w:rPr>
        <w:t>, fièvre, douleur articulaire ou fatigue surviennent.</w:t>
      </w:r>
    </w:p>
    <w:p w14:paraId="7E6ABD52" w14:textId="77777777" w:rsidR="00216602" w:rsidRPr="0058432E" w:rsidRDefault="00216602" w:rsidP="00AA4681">
      <w:pPr>
        <w:ind w:left="562" w:hanging="562"/>
        <w:rPr>
          <w:color w:val="000000" w:themeColor="text1"/>
        </w:rPr>
      </w:pPr>
    </w:p>
    <w:p w14:paraId="5FEDE61A" w14:textId="77777777" w:rsidR="00C46587" w:rsidRPr="0058432E" w:rsidRDefault="00C46587" w:rsidP="00982118">
      <w:pPr>
        <w:keepNext/>
        <w:rPr>
          <w:b/>
          <w:color w:val="000000" w:themeColor="text1"/>
        </w:rPr>
      </w:pPr>
      <w:r w:rsidRPr="0058432E">
        <w:rPr>
          <w:b/>
          <w:color w:val="000000" w:themeColor="text1"/>
        </w:rPr>
        <w:t xml:space="preserve">Autres médicaments et Amsparity </w:t>
      </w:r>
    </w:p>
    <w:p w14:paraId="44A16244" w14:textId="77777777" w:rsidR="00C46587" w:rsidRPr="0058432E" w:rsidRDefault="00C46587" w:rsidP="00982118">
      <w:pPr>
        <w:keepNext/>
        <w:rPr>
          <w:color w:val="000000" w:themeColor="text1"/>
        </w:rPr>
      </w:pPr>
    </w:p>
    <w:p w14:paraId="7E4396FA" w14:textId="77777777" w:rsidR="00C46587" w:rsidRPr="0058432E" w:rsidRDefault="00C46587" w:rsidP="00982118">
      <w:pPr>
        <w:keepNext/>
        <w:rPr>
          <w:color w:val="000000" w:themeColor="text1"/>
        </w:rPr>
      </w:pPr>
      <w:r w:rsidRPr="0058432E">
        <w:rPr>
          <w:color w:val="000000" w:themeColor="text1"/>
        </w:rPr>
        <w:t xml:space="preserve">Informez le médecin </w:t>
      </w:r>
      <w:r w:rsidR="002B331C" w:rsidRPr="0058432E">
        <w:rPr>
          <w:color w:val="000000" w:themeColor="text1"/>
        </w:rPr>
        <w:t xml:space="preserve">de votre enfant </w:t>
      </w:r>
      <w:r w:rsidRPr="0058432E">
        <w:rPr>
          <w:color w:val="000000" w:themeColor="text1"/>
        </w:rPr>
        <w:t xml:space="preserve">ou le pharmacien si votre enfant prend ou a pris récemment, ou pourrait prendre tout autre médicament. </w:t>
      </w:r>
    </w:p>
    <w:p w14:paraId="0203F194" w14:textId="77777777" w:rsidR="00C46587" w:rsidRPr="0058432E" w:rsidRDefault="00C46587" w:rsidP="00982118">
      <w:pPr>
        <w:rPr>
          <w:color w:val="000000" w:themeColor="text1"/>
        </w:rPr>
      </w:pPr>
    </w:p>
    <w:p w14:paraId="6C577EE0" w14:textId="77777777" w:rsidR="00C46587" w:rsidRPr="0058432E" w:rsidRDefault="006A1144" w:rsidP="00982118">
      <w:pPr>
        <w:rPr>
          <w:color w:val="000000" w:themeColor="text1"/>
        </w:rPr>
      </w:pPr>
      <w:r w:rsidRPr="0058432E">
        <w:rPr>
          <w:color w:val="000000" w:themeColor="text1"/>
        </w:rPr>
        <w:t xml:space="preserve">Amsparity peut être pris en association avec le méthotrexate ou certains traitements de fond </w:t>
      </w:r>
      <w:r w:rsidR="00E86A8F" w:rsidRPr="0058432E">
        <w:rPr>
          <w:color w:val="000000" w:themeColor="text1"/>
        </w:rPr>
        <w:t>antirhumatismaux</w:t>
      </w:r>
      <w:r w:rsidRPr="0058432E">
        <w:rPr>
          <w:color w:val="000000" w:themeColor="text1"/>
        </w:rPr>
        <w:t xml:space="preserv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sulfasalazine, hydroxychloroquine, léflunomide et préparations injectables à base de sels d’or), corticoïdes ou médicaments contre la douleur y compris les anti-inflammatoires non stéroïdiens (AINS). </w:t>
      </w:r>
    </w:p>
    <w:p w14:paraId="73AB357C" w14:textId="77777777" w:rsidR="00C46587" w:rsidRPr="0058432E" w:rsidRDefault="00C46587" w:rsidP="00982118">
      <w:pPr>
        <w:rPr>
          <w:color w:val="000000" w:themeColor="text1"/>
        </w:rPr>
      </w:pPr>
    </w:p>
    <w:p w14:paraId="0A2FCC5D" w14:textId="77777777" w:rsidR="00C46587" w:rsidRPr="0058432E" w:rsidRDefault="00C46587" w:rsidP="00982118">
      <w:pPr>
        <w:rPr>
          <w:color w:val="000000" w:themeColor="text1"/>
        </w:rPr>
      </w:pPr>
      <w:r w:rsidRPr="0058432E">
        <w:rPr>
          <w:color w:val="000000" w:themeColor="text1"/>
        </w:rPr>
        <w:t xml:space="preserve">Votre enfant ne doit pas prendre Amsparity en association avec des médicaments contenant les substances actives anakinra ou abatacept en raison du risque accru d’infection grave. L’association de l’adalimumab et d’autres </w:t>
      </w:r>
      <w:r w:rsidR="00533435" w:rsidRPr="0058432E">
        <w:rPr>
          <w:color w:val="000000" w:themeColor="text1"/>
        </w:rPr>
        <w:t>antagoniste du TNF</w:t>
      </w:r>
      <w:r w:rsidR="002B331C" w:rsidRPr="0058432E">
        <w:rPr>
          <w:color w:val="000000" w:themeColor="text1"/>
        </w:rPr>
        <w:t xml:space="preserve"> </w:t>
      </w:r>
      <w:r w:rsidRPr="0058432E">
        <w:rPr>
          <w:color w:val="000000" w:themeColor="text1"/>
        </w:rPr>
        <w:t xml:space="preserve">avec l’anakinra ou l’abatacept n’est pas recommandée en raison de l’augmentation possible du risque d’infections, y compris d’infections graves, et d’autres interactions pharmacologiques potentielles. Si vous vous posez des questions, consultez le médecin de votre enfant. </w:t>
      </w:r>
    </w:p>
    <w:p w14:paraId="66BFB811" w14:textId="77777777" w:rsidR="00C46587" w:rsidRPr="0058432E" w:rsidRDefault="00C46587" w:rsidP="00982118">
      <w:pPr>
        <w:rPr>
          <w:color w:val="000000" w:themeColor="text1"/>
        </w:rPr>
      </w:pPr>
    </w:p>
    <w:p w14:paraId="64054B6D" w14:textId="77777777" w:rsidR="00C46587" w:rsidRPr="0058432E" w:rsidRDefault="00C46587" w:rsidP="007C4B2C">
      <w:pPr>
        <w:keepNext/>
        <w:rPr>
          <w:b/>
          <w:color w:val="000000" w:themeColor="text1"/>
        </w:rPr>
      </w:pPr>
      <w:r w:rsidRPr="0058432E">
        <w:rPr>
          <w:b/>
          <w:color w:val="000000" w:themeColor="text1"/>
        </w:rPr>
        <w:t xml:space="preserve">Grossesse et allaitement </w:t>
      </w:r>
    </w:p>
    <w:p w14:paraId="3A2B79FA" w14:textId="77777777" w:rsidR="00C46587" w:rsidRPr="0058432E" w:rsidRDefault="00C46587" w:rsidP="007C4B2C">
      <w:pPr>
        <w:keepNext/>
        <w:rPr>
          <w:color w:val="000000" w:themeColor="text1"/>
        </w:rPr>
      </w:pPr>
    </w:p>
    <w:p w14:paraId="30F33C72" w14:textId="77777777" w:rsidR="00C27C54" w:rsidRPr="0058432E" w:rsidRDefault="00C27C54" w:rsidP="007C4B2C">
      <w:pPr>
        <w:keepNext/>
        <w:autoSpaceDE w:val="0"/>
        <w:autoSpaceDN w:val="0"/>
        <w:adjustRightInd w:val="0"/>
        <w:rPr>
          <w:color w:val="000000" w:themeColor="text1"/>
        </w:rPr>
      </w:pPr>
      <w:r w:rsidRPr="0058432E">
        <w:rPr>
          <w:color w:val="000000" w:themeColor="text1"/>
        </w:rPr>
        <w:t>Votre fille doit envisager l’utilisation d’une contraception efficace pour éviter toute grossesse et poursuivre son utilisation pendant au moins 5 mois après l’arrêt du traitement par Amsparity.</w:t>
      </w:r>
    </w:p>
    <w:p w14:paraId="7E62A5F8" w14:textId="77777777" w:rsidR="00494D2A" w:rsidRPr="0058432E" w:rsidRDefault="00494D2A" w:rsidP="00755F77">
      <w:pPr>
        <w:autoSpaceDE w:val="0"/>
        <w:autoSpaceDN w:val="0"/>
        <w:adjustRightInd w:val="0"/>
        <w:rPr>
          <w:color w:val="000000" w:themeColor="text1"/>
        </w:rPr>
      </w:pPr>
    </w:p>
    <w:p w14:paraId="29862304" w14:textId="77777777" w:rsidR="00C27C54" w:rsidRPr="0058432E" w:rsidRDefault="00C27C54" w:rsidP="00755F77">
      <w:pPr>
        <w:autoSpaceDE w:val="0"/>
        <w:autoSpaceDN w:val="0"/>
        <w:adjustRightInd w:val="0"/>
        <w:rPr>
          <w:color w:val="000000" w:themeColor="text1"/>
        </w:rPr>
      </w:pPr>
      <w:r w:rsidRPr="0058432E">
        <w:rPr>
          <w:color w:val="000000" w:themeColor="text1"/>
        </w:rPr>
        <w:t>Si votre fille est enceinte, si elle pense être enceinte ou planifie une grossesse, demandez conseil à son médecin avant de prendre ce médicament.</w:t>
      </w:r>
    </w:p>
    <w:p w14:paraId="19FA171D" w14:textId="77777777" w:rsidR="00494D2A" w:rsidRPr="0058432E" w:rsidRDefault="00494D2A" w:rsidP="00755F77">
      <w:pPr>
        <w:autoSpaceDE w:val="0"/>
        <w:autoSpaceDN w:val="0"/>
        <w:adjustRightInd w:val="0"/>
        <w:rPr>
          <w:color w:val="000000" w:themeColor="text1"/>
        </w:rPr>
      </w:pPr>
    </w:p>
    <w:p w14:paraId="2A557207" w14:textId="77777777" w:rsidR="00C27C54" w:rsidRPr="0058432E" w:rsidRDefault="006A1144" w:rsidP="00755F77">
      <w:pPr>
        <w:autoSpaceDE w:val="0"/>
        <w:autoSpaceDN w:val="0"/>
        <w:adjustRightInd w:val="0"/>
        <w:rPr>
          <w:color w:val="000000" w:themeColor="text1"/>
        </w:rPr>
      </w:pPr>
      <w:r w:rsidRPr="0058432E">
        <w:rPr>
          <w:color w:val="000000" w:themeColor="text1"/>
        </w:rPr>
        <w:t>Amsparity doit être utilisé pendant la grossesse seulement si nécessaire.</w:t>
      </w:r>
    </w:p>
    <w:p w14:paraId="2B043CC1" w14:textId="77777777" w:rsidR="00494D2A" w:rsidRPr="0058432E" w:rsidRDefault="00494D2A" w:rsidP="00755F77">
      <w:pPr>
        <w:autoSpaceDE w:val="0"/>
        <w:autoSpaceDN w:val="0"/>
        <w:adjustRightInd w:val="0"/>
        <w:rPr>
          <w:color w:val="000000" w:themeColor="text1"/>
        </w:rPr>
      </w:pPr>
    </w:p>
    <w:p w14:paraId="5C9B7328" w14:textId="77777777" w:rsidR="00C27C54" w:rsidRPr="0058432E" w:rsidRDefault="00C27C54" w:rsidP="00755F77">
      <w:pPr>
        <w:autoSpaceDE w:val="0"/>
        <w:autoSpaceDN w:val="0"/>
        <w:adjustRightInd w:val="0"/>
        <w:rPr>
          <w:color w:val="000000" w:themeColor="text1"/>
        </w:rPr>
      </w:pPr>
      <w:r w:rsidRPr="0058432E">
        <w:rPr>
          <w:color w:val="000000" w:themeColor="text1"/>
        </w:rPr>
        <w:t>D’après une étude sur la grossesse, il n’existait pas de risque plus élevé d’anomalies congénitales lorsque la mère avait reçu de l’adalimumab pendant la grossesse par rapport aux mères ayant la même maladie et n’ayant pas reçu d’adalimumab pendant la grossesse.</w:t>
      </w:r>
    </w:p>
    <w:p w14:paraId="529DA477" w14:textId="77777777" w:rsidR="00494D2A" w:rsidRPr="0058432E" w:rsidRDefault="00494D2A" w:rsidP="00755F77">
      <w:pPr>
        <w:autoSpaceDE w:val="0"/>
        <w:autoSpaceDN w:val="0"/>
        <w:adjustRightInd w:val="0"/>
        <w:rPr>
          <w:color w:val="000000" w:themeColor="text1"/>
        </w:rPr>
      </w:pPr>
    </w:p>
    <w:p w14:paraId="04BB4865" w14:textId="77777777" w:rsidR="00C27C54" w:rsidRPr="0058432E" w:rsidRDefault="006A1144" w:rsidP="00755F77">
      <w:pPr>
        <w:autoSpaceDE w:val="0"/>
        <w:autoSpaceDN w:val="0"/>
        <w:adjustRightInd w:val="0"/>
        <w:rPr>
          <w:color w:val="000000" w:themeColor="text1"/>
        </w:rPr>
      </w:pPr>
      <w:r w:rsidRPr="0058432E">
        <w:rPr>
          <w:color w:val="000000" w:themeColor="text1"/>
        </w:rPr>
        <w:t>Amsparity peut être utilisé pendant l’allaitement.</w:t>
      </w:r>
    </w:p>
    <w:p w14:paraId="1FD4F208" w14:textId="77777777" w:rsidR="00494D2A" w:rsidRPr="0058432E" w:rsidRDefault="00494D2A" w:rsidP="00755F77">
      <w:pPr>
        <w:autoSpaceDE w:val="0"/>
        <w:autoSpaceDN w:val="0"/>
        <w:adjustRightInd w:val="0"/>
        <w:rPr>
          <w:color w:val="000000" w:themeColor="text1"/>
        </w:rPr>
      </w:pPr>
    </w:p>
    <w:p w14:paraId="4755DE3E" w14:textId="77777777" w:rsidR="00C27C54" w:rsidRPr="0058432E" w:rsidRDefault="00C27C54" w:rsidP="00755F77">
      <w:pPr>
        <w:autoSpaceDE w:val="0"/>
        <w:autoSpaceDN w:val="0"/>
        <w:adjustRightInd w:val="0"/>
        <w:rPr>
          <w:color w:val="000000" w:themeColor="text1"/>
        </w:rPr>
      </w:pPr>
      <w:r w:rsidRPr="0058432E">
        <w:rPr>
          <w:color w:val="000000" w:themeColor="text1"/>
        </w:rPr>
        <w:t xml:space="preserve">Si votre fille reçoit Amsparity pendant sa grossesse, son bébé peut présenter un risque plus élevé d’avoir une infection. Il est important de prévenir les médecins de son bébé ainsi que les autres professionnels de santé que votre fille a </w:t>
      </w:r>
      <w:proofErr w:type="gramStart"/>
      <w:r w:rsidRPr="0058432E">
        <w:rPr>
          <w:color w:val="000000" w:themeColor="text1"/>
        </w:rPr>
        <w:t>eu</w:t>
      </w:r>
      <w:proofErr w:type="gramEnd"/>
      <w:r w:rsidRPr="0058432E">
        <w:rPr>
          <w:color w:val="000000" w:themeColor="text1"/>
        </w:rPr>
        <w:t xml:space="preserve"> Amsparity pendant sa grossesse et ceci, avant que son bébé </w:t>
      </w:r>
      <w:r w:rsidRPr="0058432E">
        <w:rPr>
          <w:color w:val="000000" w:themeColor="text1"/>
        </w:rPr>
        <w:lastRenderedPageBreak/>
        <w:t>ne reçoive ses vaccins. Pour plus d’informations concernant les vaccins, voir rubrique « Avertissements et précautions ».</w:t>
      </w:r>
    </w:p>
    <w:p w14:paraId="443BD959" w14:textId="77777777" w:rsidR="00C46587" w:rsidRPr="0058432E" w:rsidRDefault="00C46587" w:rsidP="00982118">
      <w:pPr>
        <w:rPr>
          <w:color w:val="000000" w:themeColor="text1"/>
        </w:rPr>
      </w:pPr>
    </w:p>
    <w:p w14:paraId="470E0997" w14:textId="77777777" w:rsidR="00C46587" w:rsidRPr="0058432E" w:rsidRDefault="00C46587" w:rsidP="00982118">
      <w:pPr>
        <w:rPr>
          <w:b/>
          <w:color w:val="000000" w:themeColor="text1"/>
        </w:rPr>
      </w:pPr>
      <w:r w:rsidRPr="0058432E">
        <w:rPr>
          <w:b/>
          <w:color w:val="000000" w:themeColor="text1"/>
        </w:rPr>
        <w:t xml:space="preserve">Conduite de véhicules et utilisation de machines </w:t>
      </w:r>
    </w:p>
    <w:p w14:paraId="0092D308" w14:textId="77777777" w:rsidR="00C46587" w:rsidRPr="0058432E" w:rsidRDefault="00C46587" w:rsidP="00982118">
      <w:pPr>
        <w:rPr>
          <w:color w:val="000000" w:themeColor="text1"/>
        </w:rPr>
      </w:pPr>
    </w:p>
    <w:p w14:paraId="1BB67FF9" w14:textId="77777777" w:rsidR="00C46587" w:rsidRPr="0058432E" w:rsidRDefault="006A1144" w:rsidP="00982118">
      <w:pPr>
        <w:rPr>
          <w:color w:val="000000" w:themeColor="text1"/>
        </w:rPr>
      </w:pPr>
      <w:r w:rsidRPr="0058432E">
        <w:rPr>
          <w:color w:val="000000" w:themeColor="text1"/>
        </w:rPr>
        <w:t xml:space="preserve">Amsparity peut </w:t>
      </w:r>
      <w:proofErr w:type="gramStart"/>
      <w:r w:rsidRPr="0058432E">
        <w:rPr>
          <w:color w:val="000000" w:themeColor="text1"/>
        </w:rPr>
        <w:t>avoir</w:t>
      </w:r>
      <w:proofErr w:type="gramEnd"/>
      <w:r w:rsidRPr="0058432E">
        <w:rPr>
          <w:color w:val="000000" w:themeColor="text1"/>
        </w:rPr>
        <w:t xml:space="preserve"> une influence mineure sur l’aptitude de votre enfant à conduire, à faire du vélo ou à utiliser des machines. Des sensations d’étourdissement (vertiges) et des troubles de la vision peuvent survenir après l’injection d’Amsparity. </w:t>
      </w:r>
    </w:p>
    <w:p w14:paraId="4358316D" w14:textId="77777777" w:rsidR="00C46587" w:rsidRPr="0058432E" w:rsidRDefault="00C46587" w:rsidP="00982118">
      <w:pPr>
        <w:rPr>
          <w:color w:val="000000" w:themeColor="text1"/>
        </w:rPr>
      </w:pPr>
    </w:p>
    <w:p w14:paraId="2910688E" w14:textId="77777777" w:rsidR="00253214" w:rsidRPr="0058432E" w:rsidRDefault="00253214" w:rsidP="00253214">
      <w:pPr>
        <w:rPr>
          <w:b/>
          <w:color w:val="000000" w:themeColor="text1"/>
        </w:rPr>
      </w:pPr>
      <w:r w:rsidRPr="0058432E">
        <w:rPr>
          <w:b/>
          <w:color w:val="000000" w:themeColor="text1"/>
        </w:rPr>
        <w:t>Amsparity contient du polysorbate 80</w:t>
      </w:r>
    </w:p>
    <w:p w14:paraId="7587CEF9" w14:textId="77777777" w:rsidR="00253214" w:rsidRPr="0058432E" w:rsidRDefault="00253214" w:rsidP="00253214">
      <w:pPr>
        <w:rPr>
          <w:bCs/>
          <w:color w:val="000000" w:themeColor="text1"/>
        </w:rPr>
      </w:pPr>
    </w:p>
    <w:p w14:paraId="3A787CA3" w14:textId="2B54E6F6" w:rsidR="00253214" w:rsidRPr="0058432E" w:rsidRDefault="00253214" w:rsidP="00253214">
      <w:pPr>
        <w:rPr>
          <w:color w:val="000000" w:themeColor="text1"/>
        </w:rPr>
      </w:pPr>
      <w:r w:rsidRPr="0058432E">
        <w:rPr>
          <w:color w:val="000000" w:themeColor="text1"/>
        </w:rPr>
        <w:t xml:space="preserve">Ce médicament contient 0,16 mg de polysorbate 80 </w:t>
      </w:r>
      <w:r w:rsidR="00046CB5" w:rsidRPr="0058432E">
        <w:rPr>
          <w:color w:val="000000" w:themeColor="text1"/>
        </w:rPr>
        <w:t xml:space="preserve">par </w:t>
      </w:r>
      <w:r w:rsidRPr="0058432E">
        <w:rPr>
          <w:color w:val="000000" w:themeColor="text1"/>
        </w:rPr>
        <w:t>flacon unidose de 0,8 ml, équiva</w:t>
      </w:r>
      <w:r w:rsidR="00046CB5" w:rsidRPr="0058432E">
        <w:rPr>
          <w:color w:val="000000" w:themeColor="text1"/>
        </w:rPr>
        <w:t>lant</w:t>
      </w:r>
      <w:r w:rsidRPr="0058432E">
        <w:rPr>
          <w:color w:val="000000" w:themeColor="text1"/>
        </w:rPr>
        <w:t xml:space="preserve"> à 0,2 mg/ml de polysorbate 80. Les polysorbates peuvent provoquer des réactions allergiques. Informez votre médecin si votre enfant a déjà présenté une allergie.</w:t>
      </w:r>
    </w:p>
    <w:p w14:paraId="2363F3E2" w14:textId="77777777" w:rsidR="00253214" w:rsidRPr="0058432E" w:rsidRDefault="00253214" w:rsidP="00982118">
      <w:pPr>
        <w:rPr>
          <w:color w:val="000000" w:themeColor="text1"/>
        </w:rPr>
      </w:pPr>
    </w:p>
    <w:p w14:paraId="296CE9E5" w14:textId="77777777" w:rsidR="0072207D" w:rsidRPr="0058432E" w:rsidRDefault="006A1144" w:rsidP="006B001C">
      <w:pPr>
        <w:keepNext/>
        <w:rPr>
          <w:b/>
          <w:color w:val="000000" w:themeColor="text1"/>
        </w:rPr>
      </w:pPr>
      <w:r w:rsidRPr="0058432E">
        <w:rPr>
          <w:b/>
          <w:color w:val="000000" w:themeColor="text1"/>
        </w:rPr>
        <w:t>Amsparity contient du sodium</w:t>
      </w:r>
    </w:p>
    <w:p w14:paraId="5255B654" w14:textId="77777777" w:rsidR="0072207D" w:rsidRPr="0058432E" w:rsidRDefault="0072207D" w:rsidP="00982118">
      <w:pPr>
        <w:rPr>
          <w:color w:val="000000" w:themeColor="text1"/>
        </w:rPr>
      </w:pPr>
    </w:p>
    <w:p w14:paraId="3D40A0F0" w14:textId="77777777" w:rsidR="0072207D" w:rsidRPr="0058432E" w:rsidRDefault="0072207D" w:rsidP="00982118">
      <w:pPr>
        <w:rPr>
          <w:color w:val="000000" w:themeColor="text1"/>
        </w:rPr>
      </w:pPr>
      <w:r w:rsidRPr="0058432E">
        <w:rPr>
          <w:color w:val="000000" w:themeColor="text1"/>
        </w:rPr>
        <w:t>Ce médicament contient moins de 1 mmol (23 mg) de sodium par dose de 0,8 ml, c.-à-d. qu’il est essentiellement « sans sodium ».</w:t>
      </w:r>
    </w:p>
    <w:p w14:paraId="736AEAA8" w14:textId="77777777" w:rsidR="0072207D" w:rsidRPr="0058432E" w:rsidRDefault="0072207D" w:rsidP="00982118">
      <w:pPr>
        <w:rPr>
          <w:color w:val="000000" w:themeColor="text1"/>
        </w:rPr>
      </w:pPr>
    </w:p>
    <w:p w14:paraId="67B91635" w14:textId="77777777" w:rsidR="00C46587" w:rsidRPr="0058432E" w:rsidRDefault="00C46587" w:rsidP="00982118">
      <w:pPr>
        <w:rPr>
          <w:color w:val="000000" w:themeColor="text1"/>
        </w:rPr>
      </w:pPr>
    </w:p>
    <w:p w14:paraId="4295CDBD" w14:textId="77777777" w:rsidR="00C46587" w:rsidRPr="0058432E" w:rsidRDefault="00C46587" w:rsidP="00982118">
      <w:pPr>
        <w:tabs>
          <w:tab w:val="left" w:pos="562"/>
        </w:tabs>
        <w:rPr>
          <w:b/>
          <w:color w:val="000000" w:themeColor="text1"/>
        </w:rPr>
      </w:pPr>
      <w:r w:rsidRPr="0058432E">
        <w:rPr>
          <w:b/>
          <w:color w:val="000000" w:themeColor="text1"/>
        </w:rPr>
        <w:t>3.</w:t>
      </w:r>
      <w:r w:rsidRPr="0058432E">
        <w:rPr>
          <w:b/>
          <w:color w:val="000000" w:themeColor="text1"/>
        </w:rPr>
        <w:tab/>
        <w:t xml:space="preserve">Comment utiliser Amsparity </w:t>
      </w:r>
    </w:p>
    <w:p w14:paraId="0802A760" w14:textId="77777777" w:rsidR="00C46587" w:rsidRPr="0058432E" w:rsidRDefault="00C46587" w:rsidP="00982118">
      <w:pPr>
        <w:rPr>
          <w:color w:val="000000" w:themeColor="text1"/>
        </w:rPr>
      </w:pPr>
    </w:p>
    <w:p w14:paraId="68DBCDF0" w14:textId="77777777" w:rsidR="00C46587" w:rsidRPr="0058432E" w:rsidRDefault="00C46587" w:rsidP="00982118">
      <w:pPr>
        <w:rPr>
          <w:color w:val="000000" w:themeColor="text1"/>
        </w:rPr>
      </w:pPr>
      <w:r w:rsidRPr="0058432E">
        <w:rPr>
          <w:color w:val="000000" w:themeColor="text1"/>
        </w:rPr>
        <w:t>Veillez à toujours utiliser ce médicament en suivant exactement les indications du médecin</w:t>
      </w:r>
      <w:r w:rsidR="005062A9" w:rsidRPr="0058432E">
        <w:rPr>
          <w:color w:val="000000" w:themeColor="text1"/>
        </w:rPr>
        <w:t xml:space="preserve">, </w:t>
      </w:r>
      <w:r w:rsidR="0093388F" w:rsidRPr="0058432E">
        <w:rPr>
          <w:color w:val="000000" w:themeColor="text1"/>
        </w:rPr>
        <w:t>infirmier/ère</w:t>
      </w:r>
      <w:r w:rsidR="00411DFE" w:rsidRPr="0058432E">
        <w:rPr>
          <w:color w:val="000000" w:themeColor="text1"/>
        </w:rPr>
        <w:t xml:space="preserve"> </w:t>
      </w:r>
      <w:r w:rsidRPr="0058432E">
        <w:rPr>
          <w:color w:val="000000" w:themeColor="text1"/>
        </w:rPr>
        <w:t>ou pharmacien de votre enfant. Vérifiez auprès du médecin</w:t>
      </w:r>
      <w:r w:rsidR="005062A9" w:rsidRPr="0058432E">
        <w:rPr>
          <w:color w:val="000000" w:themeColor="text1"/>
        </w:rPr>
        <w:t>, de l’</w:t>
      </w:r>
      <w:r w:rsidR="0093388F" w:rsidRPr="0058432E">
        <w:rPr>
          <w:color w:val="000000" w:themeColor="text1"/>
        </w:rPr>
        <w:t>infirmier/ère</w:t>
      </w:r>
      <w:r w:rsidR="00411DFE" w:rsidRPr="0058432E">
        <w:rPr>
          <w:color w:val="000000" w:themeColor="text1"/>
        </w:rPr>
        <w:t xml:space="preserve"> </w:t>
      </w:r>
      <w:r w:rsidRPr="0058432E">
        <w:rPr>
          <w:color w:val="000000" w:themeColor="text1"/>
        </w:rPr>
        <w:t>ou du pharmacien</w:t>
      </w:r>
      <w:r w:rsidR="001A5AC1" w:rsidRPr="0058432E">
        <w:rPr>
          <w:color w:val="000000" w:themeColor="text1"/>
        </w:rPr>
        <w:t xml:space="preserve"> de votre enfant</w:t>
      </w:r>
      <w:r w:rsidRPr="0058432E">
        <w:rPr>
          <w:color w:val="000000" w:themeColor="text1"/>
        </w:rPr>
        <w:t>, en cas de doute. Le médecin de votre enfant pourra prescrire un autre dosage d’Amsparity si votre enfant a besoin d’une dose différente.</w:t>
      </w:r>
    </w:p>
    <w:p w14:paraId="537855A4" w14:textId="77777777" w:rsidR="00894E1B" w:rsidRPr="0058432E" w:rsidRDefault="00894E1B" w:rsidP="00982118">
      <w:pPr>
        <w:rPr>
          <w:color w:val="000000" w:themeColor="text1"/>
        </w:rPr>
      </w:pPr>
    </w:p>
    <w:p w14:paraId="4A7A4C2B" w14:textId="77777777" w:rsidR="00894E1B" w:rsidRPr="0058432E" w:rsidRDefault="00894E1B" w:rsidP="00E936BC">
      <w:pPr>
        <w:pStyle w:val="BodyText"/>
        <w:widowControl/>
        <w:kinsoku w:val="0"/>
        <w:overflowPunct w:val="0"/>
        <w:ind w:left="0" w:right="168"/>
        <w:rPr>
          <w:color w:val="000000" w:themeColor="text1"/>
        </w:rPr>
      </w:pPr>
      <w:r w:rsidRPr="0058432E">
        <w:rPr>
          <w:color w:val="000000" w:themeColor="text1"/>
        </w:rPr>
        <w:t>Amsparity est injecté sous la peau (voie sous-cutanée).</w:t>
      </w:r>
    </w:p>
    <w:p w14:paraId="50C8F46C" w14:textId="77777777" w:rsidR="00C46587" w:rsidRPr="0058432E" w:rsidRDefault="00C46587" w:rsidP="00982118">
      <w:pPr>
        <w:rPr>
          <w:color w:val="000000" w:themeColor="text1"/>
        </w:rPr>
      </w:pPr>
    </w:p>
    <w:p w14:paraId="4855B52A" w14:textId="77777777" w:rsidR="00C46587" w:rsidRPr="0058432E" w:rsidRDefault="00C46587" w:rsidP="00982118">
      <w:pPr>
        <w:keepNext/>
        <w:rPr>
          <w:color w:val="000000" w:themeColor="text1"/>
          <w:u w:val="single"/>
        </w:rPr>
      </w:pPr>
      <w:r w:rsidRPr="0058432E">
        <w:rPr>
          <w:color w:val="000000" w:themeColor="text1"/>
          <w:u w:val="single"/>
        </w:rPr>
        <w:t xml:space="preserve">Enfants et adolescents atteints d’arthrite juvénile idiopathique polyarticulaire </w:t>
      </w:r>
    </w:p>
    <w:p w14:paraId="1B13F59C" w14:textId="77777777" w:rsidR="0072207D" w:rsidRPr="0058432E" w:rsidRDefault="0072207D" w:rsidP="00982118">
      <w:pPr>
        <w:rPr>
          <w:color w:val="000000" w:themeColor="text1"/>
        </w:rPr>
      </w:pPr>
    </w:p>
    <w:p w14:paraId="67C223FB" w14:textId="77777777" w:rsidR="00C46587" w:rsidRPr="0058432E" w:rsidRDefault="0072207D" w:rsidP="00982118">
      <w:pPr>
        <w:rPr>
          <w:i/>
          <w:color w:val="000000" w:themeColor="text1"/>
        </w:rPr>
      </w:pPr>
      <w:r w:rsidRPr="0058432E">
        <w:rPr>
          <w:i/>
          <w:color w:val="000000" w:themeColor="text1"/>
        </w:rPr>
        <w:t>Enfants et adolescents à partir de 2 ans et pesant 10 kg à moins de 30 kg</w:t>
      </w:r>
    </w:p>
    <w:p w14:paraId="1DEB4ADF" w14:textId="77777777" w:rsidR="0072207D" w:rsidRPr="0058432E" w:rsidRDefault="0072207D" w:rsidP="00982118">
      <w:pPr>
        <w:rPr>
          <w:color w:val="000000" w:themeColor="text1"/>
        </w:rPr>
      </w:pPr>
    </w:p>
    <w:p w14:paraId="66A41C0F" w14:textId="77777777" w:rsidR="00C46587" w:rsidRPr="0058432E" w:rsidRDefault="00C46587"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 xml:space="preserve">. </w:t>
      </w:r>
    </w:p>
    <w:p w14:paraId="40D55D7E" w14:textId="77777777" w:rsidR="00C46587" w:rsidRPr="0058432E" w:rsidRDefault="00C46587" w:rsidP="00982118">
      <w:pPr>
        <w:rPr>
          <w:color w:val="000000" w:themeColor="text1"/>
        </w:rPr>
      </w:pPr>
    </w:p>
    <w:p w14:paraId="54706FC8" w14:textId="77777777" w:rsidR="001D1928" w:rsidRPr="0058432E" w:rsidRDefault="001D1928" w:rsidP="00A71117">
      <w:pPr>
        <w:keepNext/>
        <w:rPr>
          <w:i/>
          <w:color w:val="000000" w:themeColor="text1"/>
        </w:rPr>
      </w:pPr>
      <w:r w:rsidRPr="0058432E">
        <w:rPr>
          <w:i/>
          <w:color w:val="000000" w:themeColor="text1"/>
        </w:rPr>
        <w:t>Enfants et adolescents à partir de 2 ans et pesant 30 kg et plus</w:t>
      </w:r>
    </w:p>
    <w:p w14:paraId="787D30A8" w14:textId="77777777" w:rsidR="001D1928" w:rsidRPr="0058432E" w:rsidRDefault="001D1928" w:rsidP="00A71117">
      <w:pPr>
        <w:keepNext/>
        <w:rPr>
          <w:color w:val="000000" w:themeColor="text1"/>
        </w:rPr>
      </w:pPr>
    </w:p>
    <w:p w14:paraId="75C09789" w14:textId="77777777" w:rsidR="00C46587" w:rsidRPr="0058432E" w:rsidRDefault="00C46587" w:rsidP="00A71117">
      <w:pPr>
        <w:keepNext/>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7882625F" w14:textId="77777777" w:rsidR="00C46587" w:rsidRPr="0058432E" w:rsidRDefault="00C46587" w:rsidP="00982118">
      <w:pPr>
        <w:rPr>
          <w:color w:val="000000" w:themeColor="text1"/>
        </w:rPr>
      </w:pPr>
    </w:p>
    <w:p w14:paraId="3D04BD3D" w14:textId="77777777" w:rsidR="00C46587" w:rsidRPr="0058432E" w:rsidRDefault="00C46587" w:rsidP="00982118">
      <w:pPr>
        <w:keepNext/>
        <w:rPr>
          <w:color w:val="000000" w:themeColor="text1"/>
          <w:u w:val="single"/>
        </w:rPr>
      </w:pPr>
      <w:r w:rsidRPr="0058432E">
        <w:rPr>
          <w:color w:val="000000" w:themeColor="text1"/>
          <w:u w:val="single"/>
        </w:rPr>
        <w:t>Enfants</w:t>
      </w:r>
      <w:r w:rsidR="005062A9" w:rsidRPr="0058432E">
        <w:rPr>
          <w:color w:val="000000" w:themeColor="text1"/>
          <w:u w:val="single"/>
        </w:rPr>
        <w:t xml:space="preserve"> et</w:t>
      </w:r>
      <w:r w:rsidRPr="0058432E">
        <w:rPr>
          <w:color w:val="000000" w:themeColor="text1"/>
          <w:u w:val="single"/>
        </w:rPr>
        <w:t xml:space="preserve"> adolescents atteints d’arthrite liée à l’enthésite </w:t>
      </w:r>
    </w:p>
    <w:p w14:paraId="79DCA832" w14:textId="77777777" w:rsidR="00C46587" w:rsidRPr="0058432E" w:rsidRDefault="00C46587" w:rsidP="00982118">
      <w:pPr>
        <w:keepNext/>
        <w:rPr>
          <w:color w:val="000000" w:themeColor="text1"/>
        </w:rPr>
      </w:pPr>
    </w:p>
    <w:p w14:paraId="212D7A9B" w14:textId="77777777" w:rsidR="001D1928" w:rsidRPr="0058432E" w:rsidRDefault="001D1928" w:rsidP="00982118">
      <w:pPr>
        <w:keepNext/>
        <w:rPr>
          <w:i/>
          <w:color w:val="000000" w:themeColor="text1"/>
        </w:rPr>
      </w:pPr>
      <w:r w:rsidRPr="0058432E">
        <w:rPr>
          <w:i/>
          <w:color w:val="000000" w:themeColor="text1"/>
        </w:rPr>
        <w:t>Enfants et adolescents à partir de 6 ans et pesant 15 kg à moins de 30 kg</w:t>
      </w:r>
    </w:p>
    <w:p w14:paraId="68C54A46" w14:textId="77777777" w:rsidR="001D1928" w:rsidRPr="0058432E" w:rsidRDefault="001D1928" w:rsidP="00982118">
      <w:pPr>
        <w:keepNext/>
        <w:rPr>
          <w:color w:val="000000" w:themeColor="text1"/>
        </w:rPr>
      </w:pPr>
    </w:p>
    <w:p w14:paraId="73BF4195" w14:textId="77777777" w:rsidR="001D1928" w:rsidRPr="0058432E" w:rsidRDefault="001D1928"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w:t>
      </w:r>
    </w:p>
    <w:p w14:paraId="0B43EF63" w14:textId="77777777" w:rsidR="001D1928" w:rsidRPr="0058432E" w:rsidRDefault="001D1928" w:rsidP="00982118">
      <w:pPr>
        <w:rPr>
          <w:color w:val="000000" w:themeColor="text1"/>
        </w:rPr>
      </w:pPr>
    </w:p>
    <w:p w14:paraId="48435EFD" w14:textId="77777777" w:rsidR="001D1928" w:rsidRPr="0058432E" w:rsidRDefault="001D1928" w:rsidP="007C4B2C">
      <w:pPr>
        <w:keepNext/>
        <w:rPr>
          <w:i/>
          <w:color w:val="000000" w:themeColor="text1"/>
        </w:rPr>
      </w:pPr>
      <w:r w:rsidRPr="0058432E">
        <w:rPr>
          <w:i/>
          <w:color w:val="000000" w:themeColor="text1"/>
        </w:rPr>
        <w:t>Enfants</w:t>
      </w:r>
      <w:r w:rsidR="005062A9" w:rsidRPr="0058432E">
        <w:rPr>
          <w:i/>
          <w:color w:val="000000" w:themeColor="text1"/>
        </w:rPr>
        <w:t xml:space="preserve"> et</w:t>
      </w:r>
      <w:r w:rsidRPr="0058432E">
        <w:rPr>
          <w:i/>
          <w:color w:val="000000" w:themeColor="text1"/>
        </w:rPr>
        <w:t xml:space="preserve"> adolescents, à partir de 6 ans et pesant 30 kg et plus</w:t>
      </w:r>
    </w:p>
    <w:p w14:paraId="5B9FE853" w14:textId="77777777" w:rsidR="001D1928" w:rsidRPr="0058432E" w:rsidRDefault="001D1928" w:rsidP="007C4B2C">
      <w:pPr>
        <w:keepNext/>
        <w:rPr>
          <w:color w:val="000000" w:themeColor="text1"/>
        </w:rPr>
      </w:pPr>
    </w:p>
    <w:p w14:paraId="20A09EE2" w14:textId="77777777" w:rsidR="00C46587" w:rsidRPr="0058432E" w:rsidRDefault="00C46587" w:rsidP="007C4B2C">
      <w:pPr>
        <w:keepNext/>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4CFBF8B3" w14:textId="77777777" w:rsidR="00C46587" w:rsidRPr="0058432E" w:rsidRDefault="00C46587" w:rsidP="00982118">
      <w:pPr>
        <w:keepNext/>
        <w:rPr>
          <w:color w:val="000000" w:themeColor="text1"/>
        </w:rPr>
      </w:pPr>
    </w:p>
    <w:p w14:paraId="7980D87F" w14:textId="77777777" w:rsidR="001D1928" w:rsidRPr="0058432E" w:rsidRDefault="001D1928" w:rsidP="00E936BC">
      <w:pPr>
        <w:keepNext/>
        <w:tabs>
          <w:tab w:val="left" w:pos="3918"/>
        </w:tabs>
        <w:rPr>
          <w:color w:val="000000" w:themeColor="text1"/>
          <w:u w:val="single"/>
        </w:rPr>
      </w:pPr>
      <w:r w:rsidRPr="0058432E">
        <w:rPr>
          <w:color w:val="000000" w:themeColor="text1"/>
          <w:u w:val="single"/>
        </w:rPr>
        <w:t>Enfants et adolescents atteints de psoriasis</w:t>
      </w:r>
    </w:p>
    <w:p w14:paraId="5EFE686F" w14:textId="77777777" w:rsidR="001D1928" w:rsidRPr="0058432E" w:rsidRDefault="001D1928" w:rsidP="00982118">
      <w:pPr>
        <w:keepNext/>
        <w:rPr>
          <w:color w:val="000000" w:themeColor="text1"/>
        </w:rPr>
      </w:pPr>
    </w:p>
    <w:p w14:paraId="60F96488" w14:textId="77777777" w:rsidR="001D1928" w:rsidRPr="0058432E" w:rsidRDefault="001D1928" w:rsidP="00982118">
      <w:pPr>
        <w:keepNext/>
        <w:rPr>
          <w:i/>
          <w:color w:val="000000" w:themeColor="text1"/>
        </w:rPr>
      </w:pPr>
      <w:r w:rsidRPr="0058432E">
        <w:rPr>
          <w:i/>
          <w:color w:val="000000" w:themeColor="text1"/>
        </w:rPr>
        <w:t>Enfants et adolescents de 4 à 17 ans et pesant 15 kg à moins de 30 kg</w:t>
      </w:r>
    </w:p>
    <w:p w14:paraId="5A92990F" w14:textId="77777777" w:rsidR="001D1928" w:rsidRPr="0058432E" w:rsidRDefault="001D1928" w:rsidP="00982118">
      <w:pPr>
        <w:keepNext/>
        <w:rPr>
          <w:color w:val="000000" w:themeColor="text1"/>
        </w:rPr>
      </w:pPr>
    </w:p>
    <w:p w14:paraId="4506C49E" w14:textId="77777777" w:rsidR="001D1928" w:rsidRPr="0058432E" w:rsidRDefault="001D1928" w:rsidP="00982118">
      <w:pPr>
        <w:rPr>
          <w:color w:val="000000" w:themeColor="text1"/>
        </w:rPr>
      </w:pPr>
      <w:r w:rsidRPr="0058432E">
        <w:rPr>
          <w:color w:val="000000" w:themeColor="text1"/>
        </w:rPr>
        <w:t xml:space="preserve">La posologie recommandée d’Amsparity est une dose initiale de 20 mg suivie d’une dose de 20 mg une semaine plus tard. Par la suite, la posologie habituelle est de 20 mg </w:t>
      </w:r>
      <w:r w:rsidR="001B430D" w:rsidRPr="0058432E">
        <w:rPr>
          <w:color w:val="000000" w:themeColor="text1"/>
        </w:rPr>
        <w:t>toutes les deux semaines</w:t>
      </w:r>
      <w:r w:rsidRPr="0058432E">
        <w:rPr>
          <w:color w:val="000000" w:themeColor="text1"/>
        </w:rPr>
        <w:t xml:space="preserve">. </w:t>
      </w:r>
    </w:p>
    <w:p w14:paraId="2FB1B804" w14:textId="77777777" w:rsidR="001D1928" w:rsidRPr="0058432E" w:rsidRDefault="001D1928" w:rsidP="00982118">
      <w:pPr>
        <w:rPr>
          <w:color w:val="000000" w:themeColor="text1"/>
        </w:rPr>
      </w:pPr>
    </w:p>
    <w:p w14:paraId="4FED4A64" w14:textId="77777777" w:rsidR="001D1928" w:rsidRPr="0058432E" w:rsidRDefault="001D1928" w:rsidP="00982118">
      <w:pPr>
        <w:rPr>
          <w:i/>
          <w:color w:val="000000" w:themeColor="text1"/>
        </w:rPr>
      </w:pPr>
      <w:r w:rsidRPr="0058432E">
        <w:rPr>
          <w:i/>
          <w:color w:val="000000" w:themeColor="text1"/>
        </w:rPr>
        <w:lastRenderedPageBreak/>
        <w:t>Enfants et adolescents de 4 à 17 ans et pesant 30 kg et plus</w:t>
      </w:r>
    </w:p>
    <w:p w14:paraId="5D4BCF78" w14:textId="77777777" w:rsidR="001D1928" w:rsidRPr="0058432E" w:rsidRDefault="001D1928" w:rsidP="00982118">
      <w:pPr>
        <w:rPr>
          <w:color w:val="000000" w:themeColor="text1"/>
        </w:rPr>
      </w:pPr>
    </w:p>
    <w:p w14:paraId="40631313" w14:textId="77777777" w:rsidR="001D1928" w:rsidRPr="0058432E" w:rsidRDefault="001D1928" w:rsidP="00982118">
      <w:pPr>
        <w:rPr>
          <w:color w:val="000000" w:themeColor="text1"/>
        </w:rPr>
      </w:pPr>
      <w:r w:rsidRPr="0058432E">
        <w:rPr>
          <w:color w:val="000000" w:themeColor="text1"/>
        </w:rPr>
        <w:t xml:space="preserve">La posologie recommandée d’Amsparity est une dose initiale de 40 mg, suivie d’une dose de 40 mg une semaine plus tard. Par la suite, la posologie habituelle est de 40 mg </w:t>
      </w:r>
      <w:r w:rsidR="001B430D" w:rsidRPr="0058432E">
        <w:rPr>
          <w:color w:val="000000" w:themeColor="text1"/>
        </w:rPr>
        <w:t>toutes les deux semaines</w:t>
      </w:r>
      <w:r w:rsidRPr="0058432E">
        <w:rPr>
          <w:color w:val="000000" w:themeColor="text1"/>
        </w:rPr>
        <w:t>.</w:t>
      </w:r>
    </w:p>
    <w:p w14:paraId="33DF89A2" w14:textId="77777777" w:rsidR="001D1928" w:rsidRPr="0058432E" w:rsidRDefault="001D1928" w:rsidP="00982118">
      <w:pPr>
        <w:rPr>
          <w:color w:val="000000" w:themeColor="text1"/>
        </w:rPr>
      </w:pPr>
    </w:p>
    <w:p w14:paraId="21AFDB81" w14:textId="77777777" w:rsidR="001D1928" w:rsidRPr="0058432E" w:rsidRDefault="001D1928" w:rsidP="00982118">
      <w:pPr>
        <w:keepNext/>
        <w:rPr>
          <w:color w:val="000000" w:themeColor="text1"/>
          <w:u w:val="single"/>
        </w:rPr>
      </w:pPr>
      <w:r w:rsidRPr="0058432E">
        <w:rPr>
          <w:color w:val="000000" w:themeColor="text1"/>
          <w:u w:val="single"/>
        </w:rPr>
        <w:t xml:space="preserve">Adolescents atteints d’hidrosadénite suppurée âgés de 12 à 17 ans et pesant 30 kg et plus </w:t>
      </w:r>
    </w:p>
    <w:p w14:paraId="72849A8F" w14:textId="77777777" w:rsidR="001D1928" w:rsidRPr="0058432E" w:rsidRDefault="001D1928" w:rsidP="00982118">
      <w:pPr>
        <w:keepNext/>
        <w:rPr>
          <w:color w:val="000000" w:themeColor="text1"/>
        </w:rPr>
      </w:pPr>
    </w:p>
    <w:p w14:paraId="642A50B7" w14:textId="77777777" w:rsidR="001D1928" w:rsidRPr="0058432E" w:rsidRDefault="001D1928" w:rsidP="00982118">
      <w:pPr>
        <w:rPr>
          <w:color w:val="000000" w:themeColor="text1"/>
        </w:rPr>
      </w:pPr>
      <w:r w:rsidRPr="0058432E">
        <w:rPr>
          <w:color w:val="000000" w:themeColor="text1"/>
        </w:rPr>
        <w:t xml:space="preserve">La posologie recommandée d’Amsparity est une dose initiale de 80 mg (administrée sous forme de deux injections de 40 mg sur un jour), suivie d’une dose de 40 mg toutes les deux semaines à partir de la semaine suivante. Si cette dose ne fonctionne pas assez bien, votre médecin pourra augmenter la posologie à 40 mg toutes les semaines ou à 80 mg toutes les deux semaines. </w:t>
      </w:r>
    </w:p>
    <w:p w14:paraId="4667648E" w14:textId="77777777" w:rsidR="001D1928" w:rsidRPr="0058432E" w:rsidRDefault="001D1928" w:rsidP="00982118">
      <w:pPr>
        <w:rPr>
          <w:color w:val="000000" w:themeColor="text1"/>
        </w:rPr>
      </w:pPr>
    </w:p>
    <w:p w14:paraId="078980E5" w14:textId="77777777" w:rsidR="001D1928" w:rsidRPr="0058432E" w:rsidRDefault="001D1928" w:rsidP="00982118">
      <w:pPr>
        <w:rPr>
          <w:color w:val="000000" w:themeColor="text1"/>
        </w:rPr>
      </w:pPr>
      <w:r w:rsidRPr="0058432E">
        <w:rPr>
          <w:color w:val="000000" w:themeColor="text1"/>
        </w:rPr>
        <w:t xml:space="preserve">Il est recommandé de laver quotidiennement les zones concernées avec un antiseptique local. </w:t>
      </w:r>
    </w:p>
    <w:p w14:paraId="4122747C" w14:textId="77777777" w:rsidR="001D1928" w:rsidRPr="0058432E" w:rsidRDefault="001D1928" w:rsidP="00982118">
      <w:pPr>
        <w:rPr>
          <w:color w:val="000000" w:themeColor="text1"/>
        </w:rPr>
      </w:pPr>
    </w:p>
    <w:p w14:paraId="61DB81BA" w14:textId="77777777" w:rsidR="00C46587" w:rsidRPr="0058432E" w:rsidRDefault="00C46587" w:rsidP="006B001C">
      <w:pPr>
        <w:keepNext/>
        <w:rPr>
          <w:color w:val="000000" w:themeColor="text1"/>
        </w:rPr>
      </w:pPr>
      <w:r w:rsidRPr="0058432E">
        <w:rPr>
          <w:color w:val="000000" w:themeColor="text1"/>
          <w:u w:val="single"/>
        </w:rPr>
        <w:t>Enfants et adolescents atteints de la maladie de Crohn</w:t>
      </w:r>
      <w:r w:rsidRPr="0058432E">
        <w:rPr>
          <w:color w:val="000000" w:themeColor="text1"/>
        </w:rPr>
        <w:t xml:space="preserve"> </w:t>
      </w:r>
    </w:p>
    <w:p w14:paraId="3D0C9DC1" w14:textId="77777777" w:rsidR="00C46587" w:rsidRPr="0058432E" w:rsidRDefault="00C46587" w:rsidP="00982118">
      <w:pPr>
        <w:rPr>
          <w:color w:val="000000" w:themeColor="text1"/>
        </w:rPr>
      </w:pPr>
    </w:p>
    <w:p w14:paraId="280CBF25" w14:textId="77777777" w:rsidR="00C46587" w:rsidRPr="0058432E" w:rsidRDefault="00C46587" w:rsidP="00982118">
      <w:pPr>
        <w:rPr>
          <w:i/>
          <w:color w:val="000000" w:themeColor="text1"/>
        </w:rPr>
      </w:pPr>
      <w:r w:rsidRPr="0058432E">
        <w:rPr>
          <w:i/>
          <w:color w:val="000000" w:themeColor="text1"/>
        </w:rPr>
        <w:t>Enfants et adolescents âgés de 6 à 17 ans et pesant moins de 40 kg</w:t>
      </w:r>
    </w:p>
    <w:p w14:paraId="0C0DB39B" w14:textId="77777777" w:rsidR="00C46587" w:rsidRPr="0058432E" w:rsidRDefault="00C46587" w:rsidP="00982118">
      <w:pPr>
        <w:rPr>
          <w:color w:val="000000" w:themeColor="text1"/>
        </w:rPr>
      </w:pPr>
    </w:p>
    <w:p w14:paraId="04AFE787" w14:textId="77777777" w:rsidR="00C46587" w:rsidRPr="0058432E" w:rsidRDefault="00C46587" w:rsidP="00982118">
      <w:pPr>
        <w:rPr>
          <w:color w:val="000000" w:themeColor="text1"/>
        </w:rPr>
      </w:pPr>
      <w:r w:rsidRPr="0058432E">
        <w:rPr>
          <w:color w:val="000000" w:themeColor="text1"/>
        </w:rPr>
        <w:t xml:space="preserve">La posologie initiale habituelle est de 40 mg, suivie de 20 mg deux semaines plus tard. Si une réponse plus rapide est nécessaire, le médecin de votre enfant pourra lui prescrire une dose initiale de 80 mg (administrée sous forme de deux injections de 40 mg sur un jour), suivie d’une dose de 40 mg deux semaines plus tard. </w:t>
      </w:r>
    </w:p>
    <w:p w14:paraId="6B51CB94" w14:textId="77777777" w:rsidR="00C46587" w:rsidRPr="0058432E" w:rsidRDefault="00C46587" w:rsidP="00982118">
      <w:pPr>
        <w:rPr>
          <w:color w:val="000000" w:themeColor="text1"/>
        </w:rPr>
      </w:pPr>
    </w:p>
    <w:p w14:paraId="3BFBED0B" w14:textId="77777777" w:rsidR="00C46587" w:rsidRPr="0058432E" w:rsidRDefault="00C46587" w:rsidP="00982118">
      <w:pPr>
        <w:rPr>
          <w:color w:val="000000" w:themeColor="text1"/>
        </w:rPr>
      </w:pPr>
      <w:r w:rsidRPr="0058432E">
        <w:rPr>
          <w:color w:val="000000" w:themeColor="text1"/>
        </w:rPr>
        <w:t xml:space="preserve">Par la suite, la posologie habituelle est de 20 mg </w:t>
      </w:r>
      <w:r w:rsidR="001B430D" w:rsidRPr="0058432E">
        <w:rPr>
          <w:color w:val="000000" w:themeColor="text1"/>
        </w:rPr>
        <w:t>toutes les deux semaines</w:t>
      </w:r>
      <w:r w:rsidRPr="0058432E">
        <w:rPr>
          <w:color w:val="000000" w:themeColor="text1"/>
        </w:rPr>
        <w:t xml:space="preserve">. Si cette dose ne fonctionne pas assez bien, </w:t>
      </w:r>
      <w:r w:rsidR="005823A5" w:rsidRPr="0058432E">
        <w:rPr>
          <w:color w:val="000000" w:themeColor="text1"/>
        </w:rPr>
        <w:t xml:space="preserve">le </w:t>
      </w:r>
      <w:r w:rsidRPr="0058432E">
        <w:rPr>
          <w:color w:val="000000" w:themeColor="text1"/>
        </w:rPr>
        <w:t xml:space="preserve">médecin </w:t>
      </w:r>
      <w:r w:rsidR="005823A5" w:rsidRPr="0058432E">
        <w:rPr>
          <w:color w:val="000000" w:themeColor="text1"/>
        </w:rPr>
        <w:t xml:space="preserve">de votre </w:t>
      </w:r>
      <w:r w:rsidRPr="0058432E">
        <w:rPr>
          <w:color w:val="000000" w:themeColor="text1"/>
        </w:rPr>
        <w:t xml:space="preserve">pourra augmenter la posologie à 20 mg toutes les semaines. </w:t>
      </w:r>
    </w:p>
    <w:p w14:paraId="4AC197A3" w14:textId="77777777" w:rsidR="00C46587" w:rsidRPr="0058432E" w:rsidRDefault="00C46587" w:rsidP="00982118">
      <w:pPr>
        <w:rPr>
          <w:color w:val="000000" w:themeColor="text1"/>
        </w:rPr>
      </w:pPr>
    </w:p>
    <w:p w14:paraId="7FE31D7B" w14:textId="77777777" w:rsidR="00C46587" w:rsidRPr="0058432E" w:rsidRDefault="00C46587" w:rsidP="00982118">
      <w:pPr>
        <w:rPr>
          <w:i/>
          <w:color w:val="000000" w:themeColor="text1"/>
        </w:rPr>
      </w:pPr>
      <w:r w:rsidRPr="0058432E">
        <w:rPr>
          <w:i/>
          <w:color w:val="000000" w:themeColor="text1"/>
        </w:rPr>
        <w:t>Enfants et adolescents de 6 à 17 ans et pesant 40 kg et plus</w:t>
      </w:r>
    </w:p>
    <w:p w14:paraId="46EEECA6" w14:textId="77777777" w:rsidR="00C46587" w:rsidRPr="0058432E" w:rsidRDefault="00C46587" w:rsidP="00982118">
      <w:pPr>
        <w:rPr>
          <w:color w:val="000000" w:themeColor="text1"/>
        </w:rPr>
      </w:pPr>
    </w:p>
    <w:p w14:paraId="56F9649C" w14:textId="77777777" w:rsidR="00C46587" w:rsidRPr="0058432E" w:rsidRDefault="00C46587" w:rsidP="00982118">
      <w:pPr>
        <w:rPr>
          <w:color w:val="000000" w:themeColor="text1"/>
        </w:rPr>
      </w:pPr>
      <w:r w:rsidRPr="0058432E">
        <w:rPr>
          <w:color w:val="000000" w:themeColor="text1"/>
        </w:rPr>
        <w:t xml:space="preserve">La posologie initiale habituelle est de 80 mg (administrée sous forme de deux injections de 40 mg sur un jour), suivie de 40 mg deux semaines plus tard. Si une réponse plus rapide est nécessaire, le médecin de votre enfant pourra lui prescrire une dose initiale de 160 mg (en quatre injections de 40 mg le même jour ou en deux injections de 40 mg par jour pendant deux jours consécutifs), suivie d’une dose de 80 mg (en deux injections de 40 mg le même jour) deux semaines plus tard. </w:t>
      </w:r>
    </w:p>
    <w:p w14:paraId="38959960" w14:textId="77777777" w:rsidR="00C46587" w:rsidRPr="0058432E" w:rsidRDefault="00C46587" w:rsidP="00982118">
      <w:pPr>
        <w:rPr>
          <w:color w:val="000000" w:themeColor="text1"/>
        </w:rPr>
      </w:pPr>
    </w:p>
    <w:p w14:paraId="5E29D682" w14:textId="77777777" w:rsidR="00C46587" w:rsidRPr="0058432E" w:rsidRDefault="00C46587" w:rsidP="00982118">
      <w:pPr>
        <w:rPr>
          <w:color w:val="000000" w:themeColor="text1"/>
        </w:rPr>
      </w:pPr>
      <w:r w:rsidRPr="0058432E">
        <w:rPr>
          <w:color w:val="000000" w:themeColor="text1"/>
        </w:rPr>
        <w:t xml:space="preserve">Par la suite, la posologie habituelle est de 40 mg </w:t>
      </w:r>
      <w:r w:rsidR="001B430D" w:rsidRPr="0058432E">
        <w:rPr>
          <w:color w:val="000000" w:themeColor="text1"/>
        </w:rPr>
        <w:t>toutes les deux semaines</w:t>
      </w:r>
      <w:r w:rsidRPr="0058432E">
        <w:rPr>
          <w:color w:val="000000" w:themeColor="text1"/>
        </w:rPr>
        <w:t xml:space="preserve">. Si cette dose ne fonctionne pas assez bien, le médecin de votre enfant pourra augmenter la posologie à 40 mg toutes les semaines ou à 80 mg toutes les deux semaines. </w:t>
      </w:r>
    </w:p>
    <w:p w14:paraId="061722E1" w14:textId="77777777" w:rsidR="00C46587" w:rsidRPr="0058432E" w:rsidRDefault="00C46587" w:rsidP="00982118">
      <w:pPr>
        <w:rPr>
          <w:color w:val="000000" w:themeColor="text1"/>
        </w:rPr>
      </w:pPr>
    </w:p>
    <w:p w14:paraId="40A1C98F" w14:textId="77777777" w:rsidR="0041203B" w:rsidRPr="0058432E" w:rsidRDefault="0041203B" w:rsidP="0041203B">
      <w:pPr>
        <w:rPr>
          <w:color w:val="000000" w:themeColor="text1"/>
          <w:u w:val="single"/>
        </w:rPr>
      </w:pPr>
      <w:r w:rsidRPr="0058432E">
        <w:rPr>
          <w:color w:val="000000" w:themeColor="text1"/>
          <w:u w:val="single"/>
        </w:rPr>
        <w:t>Enfants et adolescents atteints de rectocolite hémorragique</w:t>
      </w:r>
    </w:p>
    <w:p w14:paraId="19BE5927" w14:textId="77777777" w:rsidR="0041203B" w:rsidRPr="0058432E" w:rsidRDefault="0041203B" w:rsidP="0041203B">
      <w:pPr>
        <w:rPr>
          <w:color w:val="000000" w:themeColor="text1"/>
        </w:rPr>
      </w:pPr>
    </w:p>
    <w:p w14:paraId="366EFDB7" w14:textId="77777777" w:rsidR="0041203B" w:rsidRPr="0058432E" w:rsidRDefault="0041203B" w:rsidP="0041203B">
      <w:pPr>
        <w:rPr>
          <w:i/>
          <w:color w:val="000000" w:themeColor="text1"/>
        </w:rPr>
      </w:pPr>
      <w:r w:rsidRPr="0058432E">
        <w:rPr>
          <w:i/>
          <w:color w:val="000000" w:themeColor="text1"/>
        </w:rPr>
        <w:t>Enfan</w:t>
      </w:r>
      <w:r w:rsidR="00310811" w:rsidRPr="0058432E">
        <w:rPr>
          <w:i/>
          <w:color w:val="000000" w:themeColor="text1"/>
        </w:rPr>
        <w:t>ts et adolescents à partir de 6 ans pesant moins de 40 </w:t>
      </w:r>
      <w:r w:rsidRPr="0058432E">
        <w:rPr>
          <w:i/>
          <w:color w:val="000000" w:themeColor="text1"/>
        </w:rPr>
        <w:t>kg</w:t>
      </w:r>
    </w:p>
    <w:p w14:paraId="5B08396F" w14:textId="77777777" w:rsidR="0041203B" w:rsidRPr="0058432E" w:rsidRDefault="0041203B" w:rsidP="0041203B">
      <w:pPr>
        <w:rPr>
          <w:color w:val="000000" w:themeColor="text1"/>
        </w:rPr>
      </w:pPr>
    </w:p>
    <w:p w14:paraId="65903D00" w14:textId="77777777" w:rsidR="0041203B" w:rsidRPr="0058432E" w:rsidRDefault="0041203B" w:rsidP="0041203B">
      <w:pPr>
        <w:rPr>
          <w:color w:val="000000" w:themeColor="text1"/>
        </w:rPr>
      </w:pPr>
      <w:r w:rsidRPr="0058432E">
        <w:rPr>
          <w:color w:val="000000" w:themeColor="text1"/>
        </w:rPr>
        <w:t xml:space="preserve">La dose </w:t>
      </w:r>
      <w:r w:rsidR="00310811" w:rsidRPr="0058432E">
        <w:rPr>
          <w:color w:val="000000" w:themeColor="text1"/>
        </w:rPr>
        <w:t xml:space="preserve">initiale </w:t>
      </w:r>
      <w:r w:rsidRPr="0058432E">
        <w:rPr>
          <w:color w:val="000000" w:themeColor="text1"/>
        </w:rPr>
        <w:t xml:space="preserve">habituelle </w:t>
      </w:r>
      <w:r w:rsidR="00310811" w:rsidRPr="0058432E">
        <w:rPr>
          <w:color w:val="000000" w:themeColor="text1"/>
        </w:rPr>
        <w:t>d’Amsparity est de 80 </w:t>
      </w:r>
      <w:r w:rsidRPr="0058432E">
        <w:rPr>
          <w:color w:val="000000" w:themeColor="text1"/>
        </w:rPr>
        <w:t>mg (administrée sous</w:t>
      </w:r>
      <w:r w:rsidR="00310811" w:rsidRPr="0058432E">
        <w:rPr>
          <w:color w:val="000000" w:themeColor="text1"/>
        </w:rPr>
        <w:t xml:space="preserve"> forme de deux injections de 40 mg sur un jour), suivie de 40 </w:t>
      </w:r>
      <w:r w:rsidRPr="0058432E">
        <w:rPr>
          <w:color w:val="000000" w:themeColor="text1"/>
        </w:rPr>
        <w:t>mg (administr</w:t>
      </w:r>
      <w:r w:rsidR="00310811" w:rsidRPr="0058432E">
        <w:rPr>
          <w:color w:val="000000" w:themeColor="text1"/>
        </w:rPr>
        <w:t>és en une seule injection de 40 </w:t>
      </w:r>
      <w:r w:rsidRPr="0058432E">
        <w:rPr>
          <w:color w:val="000000" w:themeColor="text1"/>
        </w:rPr>
        <w:t>mg) deux semaines plus tard. Ensuit</w:t>
      </w:r>
      <w:r w:rsidR="00310811" w:rsidRPr="0058432E">
        <w:rPr>
          <w:color w:val="000000" w:themeColor="text1"/>
        </w:rPr>
        <w:t>e, la dose habituelle est de 40 </w:t>
      </w:r>
      <w:r w:rsidRPr="0058432E">
        <w:rPr>
          <w:color w:val="000000" w:themeColor="text1"/>
        </w:rPr>
        <w:t>mg une semaine sur deux.</w:t>
      </w:r>
    </w:p>
    <w:p w14:paraId="6981157E" w14:textId="77777777" w:rsidR="0041203B" w:rsidRPr="0058432E" w:rsidRDefault="0041203B" w:rsidP="0041203B">
      <w:pPr>
        <w:rPr>
          <w:color w:val="000000" w:themeColor="text1"/>
        </w:rPr>
      </w:pPr>
    </w:p>
    <w:p w14:paraId="18228394" w14:textId="77777777" w:rsidR="0041203B" w:rsidRPr="0058432E" w:rsidRDefault="0041203B" w:rsidP="0041203B">
      <w:pPr>
        <w:rPr>
          <w:color w:val="000000" w:themeColor="text1"/>
        </w:rPr>
      </w:pPr>
      <w:r w:rsidRPr="0058432E">
        <w:rPr>
          <w:color w:val="000000" w:themeColor="text1"/>
        </w:rPr>
        <w:t xml:space="preserve">Les </w:t>
      </w:r>
      <w:r w:rsidR="00310811" w:rsidRPr="0058432E">
        <w:rPr>
          <w:color w:val="000000" w:themeColor="text1"/>
        </w:rPr>
        <w:t>patients atteignant l’âge de 18 </w:t>
      </w:r>
      <w:r w:rsidRPr="0058432E">
        <w:rPr>
          <w:color w:val="000000" w:themeColor="text1"/>
        </w:rPr>
        <w:t xml:space="preserve">ans alors </w:t>
      </w:r>
      <w:r w:rsidR="00310811" w:rsidRPr="0058432E">
        <w:rPr>
          <w:color w:val="000000" w:themeColor="text1"/>
        </w:rPr>
        <w:t>qu’ils reçoivent une dose de 40 </w:t>
      </w:r>
      <w:r w:rsidRPr="0058432E">
        <w:rPr>
          <w:color w:val="000000" w:themeColor="text1"/>
        </w:rPr>
        <w:t>mg toutes les deux semaines doivent poursuivre leur traitement à la dose prescrite.</w:t>
      </w:r>
    </w:p>
    <w:p w14:paraId="7F1E8174" w14:textId="77777777" w:rsidR="0041203B" w:rsidRPr="0058432E" w:rsidRDefault="0041203B" w:rsidP="0041203B">
      <w:pPr>
        <w:rPr>
          <w:color w:val="000000" w:themeColor="text1"/>
        </w:rPr>
      </w:pPr>
    </w:p>
    <w:p w14:paraId="5059444A" w14:textId="77777777" w:rsidR="0041203B" w:rsidRPr="0058432E" w:rsidRDefault="0041203B" w:rsidP="0041203B">
      <w:pPr>
        <w:rPr>
          <w:i/>
          <w:color w:val="000000" w:themeColor="text1"/>
        </w:rPr>
      </w:pPr>
      <w:r w:rsidRPr="0058432E">
        <w:rPr>
          <w:i/>
          <w:color w:val="000000" w:themeColor="text1"/>
        </w:rPr>
        <w:t>Enfan</w:t>
      </w:r>
      <w:r w:rsidR="00310811" w:rsidRPr="0058432E">
        <w:rPr>
          <w:i/>
          <w:color w:val="000000" w:themeColor="text1"/>
        </w:rPr>
        <w:t>ts et adolescents à partir de 6 ans pesant 40 </w:t>
      </w:r>
      <w:r w:rsidRPr="0058432E">
        <w:rPr>
          <w:i/>
          <w:color w:val="000000" w:themeColor="text1"/>
        </w:rPr>
        <w:t>kg et plus</w:t>
      </w:r>
    </w:p>
    <w:p w14:paraId="0B9D9C2F" w14:textId="77777777" w:rsidR="0041203B" w:rsidRPr="0058432E" w:rsidRDefault="0041203B" w:rsidP="0041203B">
      <w:pPr>
        <w:rPr>
          <w:color w:val="000000" w:themeColor="text1"/>
        </w:rPr>
      </w:pPr>
    </w:p>
    <w:p w14:paraId="387D6D9F" w14:textId="77777777" w:rsidR="0041203B" w:rsidRPr="0058432E" w:rsidRDefault="0041203B" w:rsidP="0041203B">
      <w:pPr>
        <w:rPr>
          <w:color w:val="000000" w:themeColor="text1"/>
        </w:rPr>
      </w:pPr>
      <w:r w:rsidRPr="0058432E">
        <w:rPr>
          <w:color w:val="000000" w:themeColor="text1"/>
        </w:rPr>
        <w:t xml:space="preserve">La dose </w:t>
      </w:r>
      <w:r w:rsidR="00310811" w:rsidRPr="0058432E">
        <w:rPr>
          <w:color w:val="000000" w:themeColor="text1"/>
        </w:rPr>
        <w:t xml:space="preserve">initiale </w:t>
      </w:r>
      <w:r w:rsidRPr="0058432E">
        <w:rPr>
          <w:color w:val="000000" w:themeColor="text1"/>
        </w:rPr>
        <w:t xml:space="preserve">habituelle </w:t>
      </w:r>
      <w:r w:rsidR="00310811" w:rsidRPr="0058432E">
        <w:rPr>
          <w:color w:val="000000" w:themeColor="text1"/>
        </w:rPr>
        <w:t xml:space="preserve">d’Amsparity </w:t>
      </w:r>
      <w:r w:rsidRPr="0058432E">
        <w:rPr>
          <w:color w:val="000000" w:themeColor="text1"/>
        </w:rPr>
        <w:t>est de 160</w:t>
      </w:r>
      <w:r w:rsidR="00310811" w:rsidRPr="0058432E">
        <w:rPr>
          <w:color w:val="000000" w:themeColor="text1"/>
        </w:rPr>
        <w:t> </w:t>
      </w:r>
      <w:r w:rsidRPr="0058432E">
        <w:rPr>
          <w:color w:val="000000" w:themeColor="text1"/>
        </w:rPr>
        <w:t>mg (administrée sous f</w:t>
      </w:r>
      <w:r w:rsidR="00310811" w:rsidRPr="0058432E">
        <w:rPr>
          <w:color w:val="000000" w:themeColor="text1"/>
        </w:rPr>
        <w:t>orme de quatre injections de 40 </w:t>
      </w:r>
      <w:r w:rsidRPr="0058432E">
        <w:rPr>
          <w:color w:val="000000" w:themeColor="text1"/>
        </w:rPr>
        <w:t>mg sur un j</w:t>
      </w:r>
      <w:r w:rsidR="00310811" w:rsidRPr="0058432E">
        <w:rPr>
          <w:color w:val="000000" w:themeColor="text1"/>
        </w:rPr>
        <w:t>our ou de deux injections de 40 </w:t>
      </w:r>
      <w:r w:rsidRPr="0058432E">
        <w:rPr>
          <w:color w:val="000000" w:themeColor="text1"/>
        </w:rPr>
        <w:t>mg par jour pendant deux j</w:t>
      </w:r>
      <w:r w:rsidR="00310811" w:rsidRPr="0058432E">
        <w:rPr>
          <w:color w:val="000000" w:themeColor="text1"/>
        </w:rPr>
        <w:t>ours consécutifs), suivie de 80 </w:t>
      </w:r>
      <w:r w:rsidRPr="0058432E">
        <w:rPr>
          <w:color w:val="000000" w:themeColor="text1"/>
        </w:rPr>
        <w:t>mg (administrés sous forme de deux injections de 40</w:t>
      </w:r>
      <w:r w:rsidR="00310811" w:rsidRPr="0058432E">
        <w:rPr>
          <w:color w:val="000000" w:themeColor="text1"/>
        </w:rPr>
        <w:t> </w:t>
      </w:r>
      <w:r w:rsidRPr="0058432E">
        <w:rPr>
          <w:color w:val="000000" w:themeColor="text1"/>
        </w:rPr>
        <w:t>mg sur un jour) deux semaines plus tard. Ensui</w:t>
      </w:r>
      <w:r w:rsidR="00310811" w:rsidRPr="0058432E">
        <w:rPr>
          <w:color w:val="000000" w:themeColor="text1"/>
        </w:rPr>
        <w:t>te, la dose habituelle est de 80 </w:t>
      </w:r>
      <w:r w:rsidRPr="0058432E">
        <w:rPr>
          <w:color w:val="000000" w:themeColor="text1"/>
        </w:rPr>
        <w:t>mg une semaine sur deux.</w:t>
      </w:r>
    </w:p>
    <w:p w14:paraId="3EE34F98" w14:textId="77777777" w:rsidR="0041203B" w:rsidRPr="0058432E" w:rsidRDefault="0041203B" w:rsidP="0041203B">
      <w:pPr>
        <w:rPr>
          <w:color w:val="000000" w:themeColor="text1"/>
        </w:rPr>
      </w:pPr>
    </w:p>
    <w:p w14:paraId="31714419" w14:textId="77777777" w:rsidR="0041203B" w:rsidRPr="0058432E" w:rsidRDefault="0041203B" w:rsidP="0041203B">
      <w:pPr>
        <w:rPr>
          <w:color w:val="000000" w:themeColor="text1"/>
        </w:rPr>
      </w:pPr>
      <w:r w:rsidRPr="0058432E">
        <w:rPr>
          <w:color w:val="000000" w:themeColor="text1"/>
        </w:rPr>
        <w:lastRenderedPageBreak/>
        <w:t>Les patients atteignant l’âge de 18</w:t>
      </w:r>
      <w:r w:rsidR="00310811" w:rsidRPr="0058432E">
        <w:rPr>
          <w:color w:val="000000" w:themeColor="text1"/>
        </w:rPr>
        <w:t> </w:t>
      </w:r>
      <w:r w:rsidRPr="0058432E">
        <w:rPr>
          <w:color w:val="000000" w:themeColor="text1"/>
        </w:rPr>
        <w:t>ans alors qu’i</w:t>
      </w:r>
      <w:r w:rsidR="00310811" w:rsidRPr="0058432E">
        <w:rPr>
          <w:color w:val="000000" w:themeColor="text1"/>
        </w:rPr>
        <w:t>ls reçoivent une dose de 80 </w:t>
      </w:r>
      <w:r w:rsidRPr="0058432E">
        <w:rPr>
          <w:color w:val="000000" w:themeColor="text1"/>
        </w:rPr>
        <w:t>mg toutes les deux semaines doivent poursuivre leur traitement à la dose prescrite.</w:t>
      </w:r>
    </w:p>
    <w:p w14:paraId="614E50AA" w14:textId="77777777" w:rsidR="0041203B" w:rsidRPr="0058432E" w:rsidRDefault="0041203B" w:rsidP="00982118">
      <w:pPr>
        <w:rPr>
          <w:color w:val="000000" w:themeColor="text1"/>
        </w:rPr>
      </w:pPr>
    </w:p>
    <w:p w14:paraId="147984F1" w14:textId="77777777" w:rsidR="002D5545" w:rsidRPr="0058432E" w:rsidRDefault="002D5545" w:rsidP="00982118">
      <w:pPr>
        <w:keepNext/>
        <w:rPr>
          <w:color w:val="000000" w:themeColor="text1"/>
          <w:u w:val="single"/>
        </w:rPr>
      </w:pPr>
      <w:r w:rsidRPr="0058432E">
        <w:rPr>
          <w:color w:val="000000" w:themeColor="text1"/>
          <w:u w:val="single"/>
        </w:rPr>
        <w:t xml:space="preserve">Enfants et adolescents atteints d’uvéite chronique non infectieuse à partir de 2 ans </w:t>
      </w:r>
    </w:p>
    <w:p w14:paraId="14EDDCB5" w14:textId="77777777" w:rsidR="002D5545" w:rsidRPr="0058432E" w:rsidRDefault="002D5545" w:rsidP="00982118">
      <w:pPr>
        <w:keepNext/>
        <w:rPr>
          <w:color w:val="000000" w:themeColor="text1"/>
          <w:u w:val="single"/>
        </w:rPr>
      </w:pPr>
    </w:p>
    <w:p w14:paraId="0438C65A" w14:textId="77777777" w:rsidR="002D5545" w:rsidRPr="0058432E" w:rsidRDefault="002D5545" w:rsidP="00982118">
      <w:pPr>
        <w:keepNext/>
        <w:rPr>
          <w:i/>
          <w:color w:val="000000" w:themeColor="text1"/>
        </w:rPr>
      </w:pPr>
      <w:r w:rsidRPr="0058432E">
        <w:rPr>
          <w:i/>
          <w:color w:val="000000" w:themeColor="text1"/>
        </w:rPr>
        <w:t xml:space="preserve">Enfants et adolescents à partir de 2 ans et pesant moins de 30 kg </w:t>
      </w:r>
    </w:p>
    <w:p w14:paraId="111E1FD3" w14:textId="77777777" w:rsidR="002D5545" w:rsidRPr="0058432E" w:rsidRDefault="002D5545" w:rsidP="00982118">
      <w:pPr>
        <w:keepNext/>
        <w:rPr>
          <w:color w:val="000000" w:themeColor="text1"/>
        </w:rPr>
      </w:pPr>
    </w:p>
    <w:p w14:paraId="4BB78CD0" w14:textId="77777777" w:rsidR="002D5545" w:rsidRPr="0058432E" w:rsidRDefault="002D5545" w:rsidP="00982118">
      <w:pPr>
        <w:rPr>
          <w:color w:val="000000" w:themeColor="text1"/>
        </w:rPr>
      </w:pPr>
      <w:r w:rsidRPr="0058432E">
        <w:rPr>
          <w:color w:val="000000" w:themeColor="text1"/>
        </w:rPr>
        <w:t xml:space="preserve">La dose </w:t>
      </w:r>
      <w:r w:rsidR="005823A5" w:rsidRPr="0058432E">
        <w:rPr>
          <w:color w:val="000000" w:themeColor="text1"/>
        </w:rPr>
        <w:t xml:space="preserve">habituelle </w:t>
      </w:r>
      <w:r w:rsidRPr="0058432E">
        <w:rPr>
          <w:color w:val="000000" w:themeColor="text1"/>
        </w:rPr>
        <w:t>d’Amsparity est de 20 mg toutes les deux semaines,</w:t>
      </w:r>
      <w:r w:rsidR="004056DA" w:rsidRPr="0058432E">
        <w:rPr>
          <w:color w:val="000000" w:themeColor="text1"/>
        </w:rPr>
        <w:t xml:space="preserve"> </w:t>
      </w:r>
      <w:r w:rsidRPr="0058432E">
        <w:rPr>
          <w:color w:val="000000" w:themeColor="text1"/>
        </w:rPr>
        <w:t>en association au méthotrexate.</w:t>
      </w:r>
    </w:p>
    <w:p w14:paraId="5BA1D304" w14:textId="77777777" w:rsidR="002D5545" w:rsidRPr="0058432E" w:rsidRDefault="002D5545" w:rsidP="00982118">
      <w:pPr>
        <w:rPr>
          <w:color w:val="000000" w:themeColor="text1"/>
        </w:rPr>
      </w:pPr>
    </w:p>
    <w:p w14:paraId="6A2916EB" w14:textId="77777777" w:rsidR="002D5545" w:rsidRPr="0058432E" w:rsidRDefault="002D5545" w:rsidP="00982118">
      <w:pPr>
        <w:rPr>
          <w:color w:val="000000" w:themeColor="text1"/>
        </w:rPr>
      </w:pPr>
      <w:r w:rsidRPr="0058432E">
        <w:rPr>
          <w:color w:val="000000" w:themeColor="text1"/>
        </w:rPr>
        <w:t xml:space="preserve">Le médecin de votre enfant peut également lui prescrire une dose initiale de 40 mg qui pourra être administrée une semaine avant le début de la dose </w:t>
      </w:r>
      <w:r w:rsidR="005823A5" w:rsidRPr="0058432E">
        <w:rPr>
          <w:color w:val="000000" w:themeColor="text1"/>
        </w:rPr>
        <w:t>habituelle</w:t>
      </w:r>
      <w:r w:rsidRPr="0058432E">
        <w:rPr>
          <w:color w:val="000000" w:themeColor="text1"/>
        </w:rPr>
        <w:t>.</w:t>
      </w:r>
    </w:p>
    <w:p w14:paraId="456126BD" w14:textId="77777777" w:rsidR="002D5545" w:rsidRPr="0058432E" w:rsidRDefault="002D5545" w:rsidP="00982118">
      <w:pPr>
        <w:rPr>
          <w:color w:val="000000" w:themeColor="text1"/>
          <w:u w:val="single"/>
        </w:rPr>
      </w:pPr>
    </w:p>
    <w:p w14:paraId="3B17F3AE" w14:textId="77777777" w:rsidR="002D5545" w:rsidRPr="0058432E" w:rsidRDefault="002D5545" w:rsidP="00982118">
      <w:pPr>
        <w:rPr>
          <w:i/>
          <w:color w:val="000000" w:themeColor="text1"/>
        </w:rPr>
      </w:pPr>
      <w:r w:rsidRPr="0058432E">
        <w:rPr>
          <w:i/>
          <w:color w:val="000000" w:themeColor="text1"/>
        </w:rPr>
        <w:t xml:space="preserve">Enfants et adolescents à partir de 2 ans et pesant 30 kg et plus </w:t>
      </w:r>
    </w:p>
    <w:p w14:paraId="20EC3DF1" w14:textId="77777777" w:rsidR="002D5545" w:rsidRPr="0058432E" w:rsidRDefault="002D5545" w:rsidP="00982118">
      <w:pPr>
        <w:rPr>
          <w:color w:val="000000" w:themeColor="text1"/>
        </w:rPr>
      </w:pPr>
    </w:p>
    <w:p w14:paraId="22111753" w14:textId="77777777" w:rsidR="002D5545" w:rsidRPr="0058432E" w:rsidRDefault="002D5545" w:rsidP="00982118">
      <w:pPr>
        <w:rPr>
          <w:color w:val="000000" w:themeColor="text1"/>
        </w:rPr>
      </w:pPr>
      <w:r w:rsidRPr="0058432E">
        <w:rPr>
          <w:color w:val="000000" w:themeColor="text1"/>
        </w:rPr>
        <w:t xml:space="preserve">La dose </w:t>
      </w:r>
      <w:r w:rsidR="005823A5" w:rsidRPr="0058432E">
        <w:rPr>
          <w:color w:val="000000" w:themeColor="text1"/>
        </w:rPr>
        <w:t>habituelle</w:t>
      </w:r>
      <w:r w:rsidRPr="0058432E">
        <w:rPr>
          <w:color w:val="000000" w:themeColor="text1"/>
        </w:rPr>
        <w:t xml:space="preserve"> d’Amsparity est de 40</w:t>
      </w:r>
      <w:r w:rsidR="0001410E" w:rsidRPr="0058432E">
        <w:rPr>
          <w:color w:val="000000" w:themeColor="text1"/>
        </w:rPr>
        <w:t> </w:t>
      </w:r>
      <w:r w:rsidRPr="0058432E">
        <w:rPr>
          <w:color w:val="000000" w:themeColor="text1"/>
        </w:rPr>
        <w:t>mg toutes les deux semaines,</w:t>
      </w:r>
      <w:r w:rsidR="004056DA" w:rsidRPr="0058432E">
        <w:rPr>
          <w:color w:val="000000" w:themeColor="text1"/>
        </w:rPr>
        <w:t xml:space="preserve"> </w:t>
      </w:r>
      <w:r w:rsidRPr="0058432E">
        <w:rPr>
          <w:color w:val="000000" w:themeColor="text1"/>
        </w:rPr>
        <w:t>en association au méthotrexate.</w:t>
      </w:r>
    </w:p>
    <w:p w14:paraId="04B89DA7" w14:textId="77777777" w:rsidR="002D5545" w:rsidRPr="0058432E" w:rsidRDefault="002D5545" w:rsidP="00982118">
      <w:pPr>
        <w:rPr>
          <w:color w:val="000000" w:themeColor="text1"/>
        </w:rPr>
      </w:pPr>
    </w:p>
    <w:p w14:paraId="3984C29F" w14:textId="77777777" w:rsidR="002D5545" w:rsidRPr="0058432E" w:rsidRDefault="002D5545" w:rsidP="00982118">
      <w:pPr>
        <w:rPr>
          <w:color w:val="000000" w:themeColor="text1"/>
        </w:rPr>
      </w:pPr>
      <w:r w:rsidRPr="0058432E">
        <w:rPr>
          <w:color w:val="000000" w:themeColor="text1"/>
        </w:rPr>
        <w:t>Le médecin de votre enfant peut également lui prescrire une dose initiale de 80</w:t>
      </w:r>
      <w:r w:rsidR="0001410E" w:rsidRPr="0058432E">
        <w:rPr>
          <w:color w:val="000000" w:themeColor="text1"/>
        </w:rPr>
        <w:t> </w:t>
      </w:r>
      <w:r w:rsidRPr="0058432E">
        <w:rPr>
          <w:color w:val="000000" w:themeColor="text1"/>
        </w:rPr>
        <w:t xml:space="preserve">mg qui pourra être administrée une semaine avant le début de la dose </w:t>
      </w:r>
      <w:r w:rsidR="005823A5" w:rsidRPr="0058432E">
        <w:rPr>
          <w:color w:val="000000" w:themeColor="text1"/>
        </w:rPr>
        <w:t>habituelle</w:t>
      </w:r>
      <w:r w:rsidRPr="0058432E">
        <w:rPr>
          <w:color w:val="000000" w:themeColor="text1"/>
        </w:rPr>
        <w:t>.</w:t>
      </w:r>
    </w:p>
    <w:p w14:paraId="352B1505" w14:textId="77777777" w:rsidR="00C46587" w:rsidRPr="0058432E" w:rsidRDefault="00C46587" w:rsidP="00982118">
      <w:pPr>
        <w:rPr>
          <w:color w:val="000000" w:themeColor="text1"/>
        </w:rPr>
      </w:pPr>
    </w:p>
    <w:p w14:paraId="50D230B0" w14:textId="77777777" w:rsidR="00C46587" w:rsidRPr="0058432E" w:rsidRDefault="00C46587" w:rsidP="00982118">
      <w:pPr>
        <w:keepNext/>
        <w:rPr>
          <w:b/>
          <w:color w:val="000000" w:themeColor="text1"/>
        </w:rPr>
      </w:pPr>
      <w:r w:rsidRPr="0058432E">
        <w:rPr>
          <w:b/>
          <w:color w:val="000000" w:themeColor="text1"/>
        </w:rPr>
        <w:t xml:space="preserve">Mode et voie d’administration </w:t>
      </w:r>
    </w:p>
    <w:p w14:paraId="2AA2C1E8" w14:textId="77777777" w:rsidR="00C46587" w:rsidRPr="0058432E" w:rsidRDefault="00C46587" w:rsidP="00982118">
      <w:pPr>
        <w:keepNext/>
        <w:rPr>
          <w:color w:val="000000" w:themeColor="text1"/>
        </w:rPr>
      </w:pPr>
    </w:p>
    <w:p w14:paraId="40F59F52" w14:textId="77777777" w:rsidR="00C46587" w:rsidRPr="0058432E" w:rsidRDefault="006A1144" w:rsidP="00982118">
      <w:pPr>
        <w:rPr>
          <w:color w:val="000000" w:themeColor="text1"/>
        </w:rPr>
      </w:pPr>
      <w:r w:rsidRPr="0058432E">
        <w:rPr>
          <w:color w:val="000000" w:themeColor="text1"/>
        </w:rPr>
        <w:t>Amsparity est administré par injection sous la peau (</w:t>
      </w:r>
      <w:r w:rsidR="0041652B" w:rsidRPr="0058432E">
        <w:rPr>
          <w:color w:val="000000" w:themeColor="text1"/>
        </w:rPr>
        <w:t xml:space="preserve">par </w:t>
      </w:r>
      <w:r w:rsidRPr="0058432E">
        <w:rPr>
          <w:color w:val="000000" w:themeColor="text1"/>
        </w:rPr>
        <w:t xml:space="preserve">injection sous-cutanée). </w:t>
      </w:r>
    </w:p>
    <w:p w14:paraId="29EDF5EA" w14:textId="77777777" w:rsidR="00C46587" w:rsidRPr="0058432E" w:rsidRDefault="00C46587" w:rsidP="00982118">
      <w:pPr>
        <w:rPr>
          <w:color w:val="000000" w:themeColor="text1"/>
        </w:rPr>
      </w:pPr>
    </w:p>
    <w:p w14:paraId="28FFE5C8" w14:textId="77777777" w:rsidR="00B51C8C" w:rsidRPr="0058432E" w:rsidRDefault="00B51C8C" w:rsidP="00982118">
      <w:pPr>
        <w:rPr>
          <w:b/>
          <w:bCs/>
          <w:color w:val="000000" w:themeColor="text1"/>
        </w:rPr>
      </w:pPr>
      <w:r w:rsidRPr="0058432E">
        <w:rPr>
          <w:b/>
          <w:color w:val="000000" w:themeColor="text1"/>
        </w:rPr>
        <w:t>Des instructions détaillées sur comment s’injecter Amsparity sont fournies à la rubrique « Instructions d’utilisation ».</w:t>
      </w:r>
    </w:p>
    <w:p w14:paraId="7C1EDFFA" w14:textId="77777777" w:rsidR="00C46587" w:rsidRPr="0058432E" w:rsidRDefault="00C46587" w:rsidP="00982118">
      <w:pPr>
        <w:rPr>
          <w:color w:val="000000" w:themeColor="text1"/>
        </w:rPr>
      </w:pPr>
    </w:p>
    <w:p w14:paraId="47836E1C" w14:textId="77777777" w:rsidR="00C46587" w:rsidRPr="0058432E" w:rsidRDefault="00C46587" w:rsidP="00982118">
      <w:pPr>
        <w:rPr>
          <w:b/>
          <w:color w:val="000000" w:themeColor="text1"/>
        </w:rPr>
      </w:pPr>
      <w:r w:rsidRPr="0058432E">
        <w:rPr>
          <w:b/>
          <w:color w:val="000000" w:themeColor="text1"/>
        </w:rPr>
        <w:t xml:space="preserve">Si vous avez utilisé plus d’Amsparity que vous n’auriez dû </w:t>
      </w:r>
    </w:p>
    <w:p w14:paraId="1823FE6B" w14:textId="77777777" w:rsidR="00C46587" w:rsidRPr="0058432E" w:rsidRDefault="00C46587" w:rsidP="00982118">
      <w:pPr>
        <w:rPr>
          <w:color w:val="000000" w:themeColor="text1"/>
        </w:rPr>
      </w:pPr>
    </w:p>
    <w:p w14:paraId="37E404F8" w14:textId="77777777" w:rsidR="00C46587" w:rsidRPr="0058432E" w:rsidRDefault="009129EF" w:rsidP="00982118">
      <w:pPr>
        <w:rPr>
          <w:color w:val="000000" w:themeColor="text1"/>
        </w:rPr>
      </w:pPr>
      <w:r w:rsidRPr="0058432E">
        <w:rPr>
          <w:color w:val="000000" w:themeColor="text1"/>
        </w:rPr>
        <w:t>Si vous injectez accidentellement à votre enfant</w:t>
      </w:r>
      <w:r w:rsidR="00C46587" w:rsidRPr="0058432E">
        <w:rPr>
          <w:color w:val="000000" w:themeColor="text1"/>
        </w:rPr>
        <w:t>, un volume plus important de solution d’Amsparity ou si vous avez injecté Amsparity plus souvent que le médecin de votre enfant ne l’avait prescrit, contactez le médecin ou le pharmacien de votre enfant et dites-lui que votre enfant en a reçu plus qu’il n’aurait dû. Gardez toujours avec vous la boîte</w:t>
      </w:r>
      <w:r w:rsidR="00B132A6" w:rsidRPr="0058432E">
        <w:rPr>
          <w:color w:val="000000" w:themeColor="text1"/>
        </w:rPr>
        <w:t xml:space="preserve"> ou le flacon</w:t>
      </w:r>
      <w:r w:rsidR="00C46587" w:rsidRPr="0058432E">
        <w:rPr>
          <w:color w:val="000000" w:themeColor="text1"/>
        </w:rPr>
        <w:t xml:space="preserve"> du médicament, même vide. </w:t>
      </w:r>
    </w:p>
    <w:p w14:paraId="419F7D7A" w14:textId="77777777" w:rsidR="00C46587" w:rsidRPr="0058432E" w:rsidRDefault="00C46587" w:rsidP="00982118">
      <w:pPr>
        <w:rPr>
          <w:color w:val="000000" w:themeColor="text1"/>
        </w:rPr>
      </w:pPr>
    </w:p>
    <w:p w14:paraId="1E9D93EE" w14:textId="77777777" w:rsidR="00C46587" w:rsidRPr="0058432E" w:rsidRDefault="00C46587" w:rsidP="006B001C">
      <w:pPr>
        <w:keepNext/>
        <w:rPr>
          <w:b/>
          <w:color w:val="000000" w:themeColor="text1"/>
        </w:rPr>
      </w:pPr>
      <w:r w:rsidRPr="0058432E">
        <w:rPr>
          <w:b/>
          <w:color w:val="000000" w:themeColor="text1"/>
        </w:rPr>
        <w:t xml:space="preserve">Si vous avez injecté moins d’Amsparity que vous n’auriez dû </w:t>
      </w:r>
    </w:p>
    <w:p w14:paraId="1E40C670" w14:textId="77777777" w:rsidR="00C46587" w:rsidRPr="0058432E" w:rsidRDefault="00C46587" w:rsidP="006B001C">
      <w:pPr>
        <w:keepNext/>
        <w:rPr>
          <w:color w:val="000000" w:themeColor="text1"/>
        </w:rPr>
      </w:pPr>
    </w:p>
    <w:p w14:paraId="36097A46" w14:textId="77777777" w:rsidR="00C46587" w:rsidRPr="0058432E" w:rsidRDefault="009129EF" w:rsidP="00982118">
      <w:pPr>
        <w:rPr>
          <w:color w:val="000000" w:themeColor="text1"/>
        </w:rPr>
      </w:pPr>
      <w:r w:rsidRPr="0058432E">
        <w:rPr>
          <w:color w:val="000000" w:themeColor="text1"/>
        </w:rPr>
        <w:t>Si vous injectez accidentellement à votre enfant</w:t>
      </w:r>
      <w:r w:rsidR="005748FA" w:rsidRPr="0058432E">
        <w:rPr>
          <w:color w:val="000000" w:themeColor="text1"/>
        </w:rPr>
        <w:t>,</w:t>
      </w:r>
      <w:r w:rsidR="00C46587" w:rsidRPr="0058432E">
        <w:rPr>
          <w:color w:val="000000" w:themeColor="text1"/>
        </w:rPr>
        <w:t xml:space="preserve"> un volume moins important de solution d’Amsparity ou </w:t>
      </w:r>
      <w:r w:rsidRPr="0058432E">
        <w:rPr>
          <w:color w:val="000000" w:themeColor="text1"/>
        </w:rPr>
        <w:t xml:space="preserve">si vous injectez à votre enfant </w:t>
      </w:r>
      <w:r w:rsidR="00C46587" w:rsidRPr="0058432E">
        <w:rPr>
          <w:color w:val="000000" w:themeColor="text1"/>
        </w:rPr>
        <w:t xml:space="preserve">Amsparity moins souvent que le médecin de votre enfant ne l’avait prescrit, contactez le médecin ou le pharmacien de votre enfant et dites-lui que votre enfant en a reçu moins qu’il n’aurait dû. Gardez toujours avec vous la boîte </w:t>
      </w:r>
      <w:r w:rsidR="005748FA" w:rsidRPr="0058432E">
        <w:rPr>
          <w:color w:val="000000" w:themeColor="text1"/>
        </w:rPr>
        <w:t xml:space="preserve">ou le flacon </w:t>
      </w:r>
      <w:r w:rsidR="00C46587" w:rsidRPr="0058432E">
        <w:rPr>
          <w:color w:val="000000" w:themeColor="text1"/>
        </w:rPr>
        <w:t xml:space="preserve">du médicament, même vide. </w:t>
      </w:r>
    </w:p>
    <w:p w14:paraId="24A4A320" w14:textId="77777777" w:rsidR="00C46587" w:rsidRPr="0058432E" w:rsidRDefault="00C46587" w:rsidP="00982118">
      <w:pPr>
        <w:rPr>
          <w:color w:val="000000" w:themeColor="text1"/>
        </w:rPr>
      </w:pPr>
    </w:p>
    <w:p w14:paraId="5B12D857" w14:textId="77777777" w:rsidR="00C46587" w:rsidRPr="0058432E" w:rsidRDefault="00C46587" w:rsidP="00982118">
      <w:pPr>
        <w:keepNext/>
        <w:rPr>
          <w:b/>
          <w:color w:val="000000" w:themeColor="text1"/>
        </w:rPr>
      </w:pPr>
      <w:r w:rsidRPr="0058432E">
        <w:rPr>
          <w:b/>
          <w:color w:val="000000" w:themeColor="text1"/>
        </w:rPr>
        <w:t xml:space="preserve">Si vous oubliez d’utiliser Amsparity </w:t>
      </w:r>
    </w:p>
    <w:p w14:paraId="7D027A03" w14:textId="77777777" w:rsidR="00C46587" w:rsidRPr="0058432E" w:rsidRDefault="00C46587" w:rsidP="00982118">
      <w:pPr>
        <w:keepNext/>
        <w:rPr>
          <w:color w:val="000000" w:themeColor="text1"/>
        </w:rPr>
      </w:pPr>
    </w:p>
    <w:p w14:paraId="630FC152" w14:textId="77777777" w:rsidR="00C46587" w:rsidRPr="0058432E" w:rsidRDefault="00C46587" w:rsidP="00982118">
      <w:pPr>
        <w:rPr>
          <w:color w:val="000000" w:themeColor="text1"/>
        </w:rPr>
      </w:pPr>
      <w:r w:rsidRPr="0058432E">
        <w:rPr>
          <w:color w:val="000000" w:themeColor="text1"/>
        </w:rPr>
        <w:t xml:space="preserve">Si vous oubliez de faire une injection d’Amsparity à votre enfant, vous devez lui injecter Amsparity dès que vous vous en rendez compte. Puis, injectez à votre enfant la dose suivante à la date qui avait été initialement prévue si vous n’aviez pas oublié une dose. </w:t>
      </w:r>
    </w:p>
    <w:p w14:paraId="6E7846EB" w14:textId="77777777" w:rsidR="00C46587" w:rsidRPr="0058432E" w:rsidRDefault="00C46587" w:rsidP="00982118">
      <w:pPr>
        <w:rPr>
          <w:color w:val="000000" w:themeColor="text1"/>
        </w:rPr>
      </w:pPr>
    </w:p>
    <w:p w14:paraId="1745A74D" w14:textId="77777777" w:rsidR="00C46587" w:rsidRPr="0058432E" w:rsidRDefault="00C46587" w:rsidP="00982118">
      <w:pPr>
        <w:rPr>
          <w:b/>
          <w:color w:val="000000" w:themeColor="text1"/>
        </w:rPr>
      </w:pPr>
      <w:r w:rsidRPr="0058432E">
        <w:rPr>
          <w:b/>
          <w:color w:val="000000" w:themeColor="text1"/>
        </w:rPr>
        <w:t xml:space="preserve">Si votre enfant arrête d’utiliser Amsparity </w:t>
      </w:r>
    </w:p>
    <w:p w14:paraId="662FE73F" w14:textId="77777777" w:rsidR="00C46587" w:rsidRPr="0058432E" w:rsidRDefault="00C46587" w:rsidP="00982118">
      <w:pPr>
        <w:rPr>
          <w:color w:val="000000" w:themeColor="text1"/>
        </w:rPr>
      </w:pPr>
    </w:p>
    <w:p w14:paraId="56C75784" w14:textId="77777777" w:rsidR="00C46587" w:rsidRPr="0058432E" w:rsidRDefault="00C46587" w:rsidP="00982118">
      <w:pPr>
        <w:rPr>
          <w:color w:val="000000" w:themeColor="text1"/>
        </w:rPr>
      </w:pPr>
      <w:r w:rsidRPr="0058432E">
        <w:rPr>
          <w:color w:val="000000" w:themeColor="text1"/>
        </w:rPr>
        <w:t xml:space="preserve">La décision d’arrêter d’utiliser Amsparity doit être discutée avec le médecin de votre enfant. Les symptômes de votre enfant peuvent revenir à l’arrêt du traitement. </w:t>
      </w:r>
    </w:p>
    <w:p w14:paraId="387557EB" w14:textId="77777777" w:rsidR="00C46587" w:rsidRPr="0058432E" w:rsidRDefault="00C46587" w:rsidP="00982118">
      <w:pPr>
        <w:rPr>
          <w:color w:val="000000" w:themeColor="text1"/>
        </w:rPr>
      </w:pPr>
    </w:p>
    <w:p w14:paraId="08BA9A9B" w14:textId="77777777" w:rsidR="00C46587" w:rsidRPr="0058432E" w:rsidRDefault="00C46587" w:rsidP="00982118">
      <w:pPr>
        <w:rPr>
          <w:color w:val="000000" w:themeColor="text1"/>
        </w:rPr>
      </w:pPr>
      <w:r w:rsidRPr="0058432E">
        <w:rPr>
          <w:color w:val="000000" w:themeColor="text1"/>
        </w:rPr>
        <w:t xml:space="preserve">Si vous avez d’autres questions sur l’utilisation de ce médicament, demandez plus d’informations au médecin ou au pharmacien de votre enfant. </w:t>
      </w:r>
    </w:p>
    <w:p w14:paraId="79C9E3AD" w14:textId="77777777" w:rsidR="00C46587" w:rsidRPr="0058432E" w:rsidRDefault="00C46587" w:rsidP="00982118">
      <w:pPr>
        <w:rPr>
          <w:color w:val="000000" w:themeColor="text1"/>
        </w:rPr>
      </w:pPr>
    </w:p>
    <w:p w14:paraId="51306CF7" w14:textId="77777777" w:rsidR="00C46587" w:rsidRPr="0058432E" w:rsidRDefault="00C46587" w:rsidP="00982118">
      <w:pPr>
        <w:rPr>
          <w:color w:val="000000" w:themeColor="text1"/>
        </w:rPr>
      </w:pPr>
    </w:p>
    <w:p w14:paraId="49D12928" w14:textId="77777777" w:rsidR="00C46587" w:rsidRPr="0058432E" w:rsidRDefault="00C46587" w:rsidP="00982118">
      <w:pPr>
        <w:tabs>
          <w:tab w:val="left" w:pos="562"/>
        </w:tabs>
        <w:rPr>
          <w:b/>
          <w:color w:val="000000" w:themeColor="text1"/>
        </w:rPr>
      </w:pPr>
      <w:r w:rsidRPr="0058432E">
        <w:rPr>
          <w:b/>
          <w:color w:val="000000" w:themeColor="text1"/>
        </w:rPr>
        <w:t>4.</w:t>
      </w:r>
      <w:r w:rsidRPr="0058432E">
        <w:rPr>
          <w:b/>
          <w:color w:val="000000" w:themeColor="text1"/>
        </w:rPr>
        <w:tab/>
        <w:t xml:space="preserve">Quels sont les effets indésirables éventuels ? </w:t>
      </w:r>
    </w:p>
    <w:p w14:paraId="7824ACCF" w14:textId="77777777" w:rsidR="00C46587" w:rsidRPr="0058432E" w:rsidRDefault="00C46587" w:rsidP="00982118">
      <w:pPr>
        <w:rPr>
          <w:color w:val="000000" w:themeColor="text1"/>
        </w:rPr>
      </w:pPr>
    </w:p>
    <w:p w14:paraId="320673C4" w14:textId="77777777" w:rsidR="00C46587" w:rsidRPr="0058432E" w:rsidRDefault="00C46587" w:rsidP="00982118">
      <w:pPr>
        <w:rPr>
          <w:color w:val="000000" w:themeColor="text1"/>
        </w:rPr>
      </w:pPr>
      <w:r w:rsidRPr="0058432E">
        <w:rPr>
          <w:color w:val="000000" w:themeColor="text1"/>
        </w:rPr>
        <w:lastRenderedPageBreak/>
        <w:t xml:space="preserve">Comme tous les médicaments, ce médicament peut provoquer des effets indésirables, mais ils ne surviennent pas systématiquement chez tout le monde. La plupart sont légers ou </w:t>
      </w:r>
      <w:r w:rsidR="003D1A6D" w:rsidRPr="0058432E">
        <w:rPr>
          <w:color w:val="000000" w:themeColor="text1"/>
        </w:rPr>
        <w:t>modérés</w:t>
      </w:r>
      <w:r w:rsidRPr="0058432E">
        <w:rPr>
          <w:color w:val="000000" w:themeColor="text1"/>
        </w:rPr>
        <w:t xml:space="preserve">. Cependant, certains peuvent être graves et nécessiter un traitement. Les effets indésirables peuvent survenir au moins encore 4 mois après la dernière injection d’Amsparity. </w:t>
      </w:r>
    </w:p>
    <w:p w14:paraId="3C93F5B4" w14:textId="77777777" w:rsidR="00C46587" w:rsidRPr="0058432E" w:rsidRDefault="00C46587" w:rsidP="00982118">
      <w:pPr>
        <w:rPr>
          <w:color w:val="000000" w:themeColor="text1"/>
        </w:rPr>
      </w:pPr>
    </w:p>
    <w:p w14:paraId="1345C985" w14:textId="77777777" w:rsidR="00C46587" w:rsidRPr="0058432E" w:rsidRDefault="000E0015" w:rsidP="00A71117">
      <w:pPr>
        <w:keepNext/>
        <w:rPr>
          <w:color w:val="000000" w:themeColor="text1"/>
        </w:rPr>
      </w:pPr>
      <w:r w:rsidRPr="0058432E">
        <w:rPr>
          <w:b/>
          <w:color w:val="000000" w:themeColor="text1"/>
        </w:rPr>
        <w:t>Vous devez consulter un médecin en urgence</w:t>
      </w:r>
      <w:r w:rsidRPr="0058432E">
        <w:rPr>
          <w:color w:val="000000" w:themeColor="text1"/>
        </w:rPr>
        <w:t xml:space="preserve"> si vous remarquez l’un des signes suivants :</w:t>
      </w:r>
    </w:p>
    <w:p w14:paraId="77509F99" w14:textId="77777777" w:rsidR="00194625" w:rsidRPr="0058432E" w:rsidRDefault="00194625" w:rsidP="00A71117">
      <w:pPr>
        <w:keepNext/>
        <w:rPr>
          <w:color w:val="000000" w:themeColor="text1"/>
        </w:rPr>
      </w:pPr>
    </w:p>
    <w:p w14:paraId="6B0797D5" w14:textId="77777777" w:rsidR="00C46587" w:rsidRPr="0058432E" w:rsidRDefault="00C2239D" w:rsidP="00A71117">
      <w:pPr>
        <w:keepNext/>
        <w:numPr>
          <w:ilvl w:val="0"/>
          <w:numId w:val="9"/>
        </w:numPr>
        <w:rPr>
          <w:color w:val="000000" w:themeColor="text1"/>
        </w:rPr>
      </w:pPr>
      <w:proofErr w:type="gramStart"/>
      <w:r w:rsidRPr="0058432E">
        <w:rPr>
          <w:color w:val="000000" w:themeColor="text1"/>
        </w:rPr>
        <w:t>éruption</w:t>
      </w:r>
      <w:proofErr w:type="gramEnd"/>
      <w:r w:rsidRPr="0058432E">
        <w:rPr>
          <w:color w:val="000000" w:themeColor="text1"/>
        </w:rPr>
        <w:t xml:space="preserve"> cutanée sévère, urticaire ou autres signes de réaction allergique ; </w:t>
      </w:r>
    </w:p>
    <w:p w14:paraId="1D58ABE9" w14:textId="77777777" w:rsidR="00C46587" w:rsidRPr="0058432E" w:rsidRDefault="00C2239D" w:rsidP="00A71117">
      <w:pPr>
        <w:keepNext/>
        <w:numPr>
          <w:ilvl w:val="0"/>
          <w:numId w:val="9"/>
        </w:numPr>
        <w:rPr>
          <w:color w:val="000000" w:themeColor="text1"/>
        </w:rPr>
      </w:pPr>
      <w:proofErr w:type="gramStart"/>
      <w:r w:rsidRPr="0058432E">
        <w:rPr>
          <w:color w:val="000000" w:themeColor="text1"/>
        </w:rPr>
        <w:t>gonflement</w:t>
      </w:r>
      <w:proofErr w:type="gramEnd"/>
      <w:r w:rsidRPr="0058432E">
        <w:rPr>
          <w:color w:val="000000" w:themeColor="text1"/>
        </w:rPr>
        <w:t xml:space="preserve"> de la face, des mains, des pieds ; </w:t>
      </w:r>
    </w:p>
    <w:p w14:paraId="6DC7C1EA" w14:textId="77777777" w:rsidR="00C46587" w:rsidRPr="0058432E" w:rsidRDefault="00C2239D" w:rsidP="00982118">
      <w:pPr>
        <w:numPr>
          <w:ilvl w:val="0"/>
          <w:numId w:val="9"/>
        </w:numPr>
        <w:rPr>
          <w:color w:val="000000" w:themeColor="text1"/>
        </w:rPr>
      </w:pPr>
      <w:proofErr w:type="gramStart"/>
      <w:r w:rsidRPr="0058432E">
        <w:rPr>
          <w:color w:val="000000" w:themeColor="text1"/>
        </w:rPr>
        <w:t>gêne</w:t>
      </w:r>
      <w:proofErr w:type="gramEnd"/>
      <w:r w:rsidRPr="0058432E">
        <w:rPr>
          <w:color w:val="000000" w:themeColor="text1"/>
        </w:rPr>
        <w:t xml:space="preserve"> respiratoire, gêne en avalant ; </w:t>
      </w:r>
    </w:p>
    <w:p w14:paraId="236717A9" w14:textId="77777777" w:rsidR="00C46587" w:rsidRPr="0058432E" w:rsidRDefault="00C2239D" w:rsidP="00982118">
      <w:pPr>
        <w:numPr>
          <w:ilvl w:val="0"/>
          <w:numId w:val="9"/>
        </w:numPr>
        <w:rPr>
          <w:color w:val="000000" w:themeColor="text1"/>
        </w:rPr>
      </w:pPr>
      <w:proofErr w:type="gramStart"/>
      <w:r w:rsidRPr="0058432E">
        <w:rPr>
          <w:color w:val="000000" w:themeColor="text1"/>
        </w:rPr>
        <w:t>essoufflement</w:t>
      </w:r>
      <w:proofErr w:type="gramEnd"/>
      <w:r w:rsidRPr="0058432E">
        <w:rPr>
          <w:color w:val="000000" w:themeColor="text1"/>
        </w:rPr>
        <w:t xml:space="preserve"> au cours de l’activité physique ou en position allongée ou gonflement des pieds. </w:t>
      </w:r>
    </w:p>
    <w:p w14:paraId="4503665E" w14:textId="77777777" w:rsidR="00685A30" w:rsidRPr="0058432E" w:rsidRDefault="00685A30" w:rsidP="00982118">
      <w:pPr>
        <w:rPr>
          <w:color w:val="000000" w:themeColor="text1"/>
        </w:rPr>
      </w:pPr>
    </w:p>
    <w:p w14:paraId="2E7AF1ED" w14:textId="77777777" w:rsidR="00C46587" w:rsidRPr="0058432E" w:rsidRDefault="00C46587" w:rsidP="00982118">
      <w:pPr>
        <w:rPr>
          <w:color w:val="000000" w:themeColor="text1"/>
        </w:rPr>
      </w:pPr>
      <w:r w:rsidRPr="0058432E">
        <w:rPr>
          <w:b/>
          <w:color w:val="000000" w:themeColor="text1"/>
        </w:rPr>
        <w:t xml:space="preserve">Informez </w:t>
      </w:r>
      <w:r w:rsidR="009129EF" w:rsidRPr="0058432E">
        <w:rPr>
          <w:b/>
          <w:color w:val="000000" w:themeColor="text1"/>
        </w:rPr>
        <w:t>le</w:t>
      </w:r>
      <w:r w:rsidRPr="0058432E">
        <w:rPr>
          <w:b/>
          <w:color w:val="000000" w:themeColor="text1"/>
        </w:rPr>
        <w:t xml:space="preserve"> médecin</w:t>
      </w:r>
      <w:r w:rsidR="009129EF" w:rsidRPr="0058432E">
        <w:rPr>
          <w:b/>
          <w:color w:val="000000" w:themeColor="text1"/>
        </w:rPr>
        <w:t xml:space="preserve"> de votre enfant</w:t>
      </w:r>
      <w:r w:rsidRPr="0058432E">
        <w:rPr>
          <w:b/>
          <w:color w:val="000000" w:themeColor="text1"/>
        </w:rPr>
        <w:t xml:space="preserve"> dès que possible</w:t>
      </w:r>
      <w:r w:rsidRPr="0058432E">
        <w:rPr>
          <w:color w:val="000000" w:themeColor="text1"/>
        </w:rPr>
        <w:t xml:space="preserve"> si vous constatez l’un des effets suivants : </w:t>
      </w:r>
    </w:p>
    <w:p w14:paraId="3D9FD967" w14:textId="77777777" w:rsidR="00C46587" w:rsidRPr="0058432E" w:rsidRDefault="00C46587" w:rsidP="00982118">
      <w:pPr>
        <w:rPr>
          <w:color w:val="000000" w:themeColor="text1"/>
        </w:rPr>
      </w:pPr>
    </w:p>
    <w:p w14:paraId="3864291F" w14:textId="77777777" w:rsidR="00C46587" w:rsidRPr="0058432E" w:rsidRDefault="00C2239D" w:rsidP="00DB03B2">
      <w:pPr>
        <w:numPr>
          <w:ilvl w:val="0"/>
          <w:numId w:val="9"/>
        </w:numPr>
        <w:rPr>
          <w:color w:val="000000" w:themeColor="text1"/>
        </w:rPr>
      </w:pPr>
      <w:proofErr w:type="gramStart"/>
      <w:r w:rsidRPr="0058432E">
        <w:rPr>
          <w:color w:val="000000" w:themeColor="text1"/>
        </w:rPr>
        <w:t>signes</w:t>
      </w:r>
      <w:proofErr w:type="gramEnd"/>
      <w:r w:rsidRPr="0058432E">
        <w:rPr>
          <w:color w:val="000000" w:themeColor="text1"/>
        </w:rPr>
        <w:t xml:space="preserve"> </w:t>
      </w:r>
      <w:r w:rsidR="007E3411" w:rsidRPr="0058432E">
        <w:rPr>
          <w:color w:val="000000" w:themeColor="text1"/>
        </w:rPr>
        <w:t xml:space="preserve">et symptômes </w:t>
      </w:r>
      <w:r w:rsidRPr="0058432E">
        <w:rPr>
          <w:color w:val="000000" w:themeColor="text1"/>
        </w:rPr>
        <w:t xml:space="preserve">d’infection tels que fièvre, nausées, plaies, problèmes dentaires, brûlures en urinant, sensation de faiblesse ou de fatigue ou toux ; </w:t>
      </w:r>
    </w:p>
    <w:p w14:paraId="758A68E5" w14:textId="77777777" w:rsidR="00C46587" w:rsidRPr="0058432E" w:rsidRDefault="00DD6771" w:rsidP="00982118">
      <w:pPr>
        <w:numPr>
          <w:ilvl w:val="0"/>
          <w:numId w:val="9"/>
        </w:numPr>
        <w:rPr>
          <w:color w:val="000000" w:themeColor="text1"/>
        </w:rPr>
      </w:pPr>
      <w:proofErr w:type="gramStart"/>
      <w:r w:rsidRPr="0058432E">
        <w:rPr>
          <w:color w:val="000000" w:themeColor="text1"/>
        </w:rPr>
        <w:t>symptômes</w:t>
      </w:r>
      <w:proofErr w:type="gramEnd"/>
      <w:r w:rsidRPr="0058432E">
        <w:rPr>
          <w:color w:val="000000" w:themeColor="text1"/>
        </w:rPr>
        <w:t xml:space="preserve"> de problèmes nerveux tels que picotements, engourdissement, vision double, ou faiblesse des bras ou des jambes ; </w:t>
      </w:r>
    </w:p>
    <w:p w14:paraId="59E702D7" w14:textId="77777777" w:rsidR="00C46587" w:rsidRPr="0058432E" w:rsidRDefault="00DD6771" w:rsidP="00982118">
      <w:pPr>
        <w:numPr>
          <w:ilvl w:val="0"/>
          <w:numId w:val="9"/>
        </w:numPr>
        <w:rPr>
          <w:color w:val="000000" w:themeColor="text1"/>
        </w:rPr>
      </w:pPr>
      <w:proofErr w:type="gramStart"/>
      <w:r w:rsidRPr="0058432E">
        <w:rPr>
          <w:color w:val="000000" w:themeColor="text1"/>
        </w:rPr>
        <w:t>signes</w:t>
      </w:r>
      <w:proofErr w:type="gramEnd"/>
      <w:r w:rsidRPr="0058432E">
        <w:rPr>
          <w:color w:val="000000" w:themeColor="text1"/>
        </w:rPr>
        <w:t xml:space="preserve"> de cancer de la peau tels qu’un</w:t>
      </w:r>
      <w:r w:rsidR="007E3411" w:rsidRPr="0058432E">
        <w:rPr>
          <w:color w:val="000000" w:themeColor="text1"/>
        </w:rPr>
        <w:t>e</w:t>
      </w:r>
      <w:r w:rsidRPr="0058432E">
        <w:rPr>
          <w:color w:val="000000" w:themeColor="text1"/>
        </w:rPr>
        <w:t xml:space="preserve"> « </w:t>
      </w:r>
      <w:r w:rsidR="007E3411" w:rsidRPr="0058432E">
        <w:rPr>
          <w:color w:val="000000" w:themeColor="text1"/>
        </w:rPr>
        <w:t>bosse </w:t>
      </w:r>
      <w:r w:rsidRPr="0058432E">
        <w:rPr>
          <w:color w:val="000000" w:themeColor="text1"/>
        </w:rPr>
        <w:t xml:space="preserve">» ou une plaie ouverte qui ne cicatrise pas ; </w:t>
      </w:r>
    </w:p>
    <w:p w14:paraId="0E64D072" w14:textId="77777777" w:rsidR="00C46587" w:rsidRPr="0058432E" w:rsidRDefault="00C2239D" w:rsidP="00982118">
      <w:pPr>
        <w:numPr>
          <w:ilvl w:val="0"/>
          <w:numId w:val="9"/>
        </w:numPr>
        <w:rPr>
          <w:color w:val="000000" w:themeColor="text1"/>
        </w:rPr>
      </w:pPr>
      <w:proofErr w:type="gramStart"/>
      <w:r w:rsidRPr="0058432E">
        <w:rPr>
          <w:color w:val="000000" w:themeColor="text1"/>
        </w:rPr>
        <w:t>signes</w:t>
      </w:r>
      <w:proofErr w:type="gramEnd"/>
      <w:r w:rsidRPr="0058432E">
        <w:rPr>
          <w:color w:val="000000" w:themeColor="text1"/>
        </w:rPr>
        <w:t xml:space="preserve"> et symptômes évocateurs de troubles sanguins tels que fièvre persistante, contusions, saignements, pâleur. </w:t>
      </w:r>
    </w:p>
    <w:p w14:paraId="4C9D4CD3" w14:textId="77777777" w:rsidR="00C46587" w:rsidRPr="0058432E" w:rsidRDefault="00C46587" w:rsidP="00982118">
      <w:pPr>
        <w:rPr>
          <w:color w:val="000000" w:themeColor="text1"/>
        </w:rPr>
      </w:pPr>
    </w:p>
    <w:p w14:paraId="49992952" w14:textId="77777777" w:rsidR="00C46587" w:rsidRPr="0058432E" w:rsidRDefault="00993AAF" w:rsidP="00982118">
      <w:pPr>
        <w:rPr>
          <w:color w:val="000000" w:themeColor="text1"/>
        </w:rPr>
      </w:pPr>
      <w:r w:rsidRPr="0058432E">
        <w:rPr>
          <w:color w:val="000000" w:themeColor="text1"/>
        </w:rPr>
        <w:t>Les signes et symptômes décrits ci-dessus peuvent représenter les effets indésirables listés ci-dessous, qui ont été observés avec l’adalimumab :</w:t>
      </w:r>
    </w:p>
    <w:p w14:paraId="13D3137F" w14:textId="77777777" w:rsidR="00993AAF" w:rsidRPr="0058432E" w:rsidRDefault="00993AAF" w:rsidP="00982118">
      <w:pPr>
        <w:rPr>
          <w:color w:val="000000" w:themeColor="text1"/>
        </w:rPr>
      </w:pPr>
    </w:p>
    <w:p w14:paraId="239FA769" w14:textId="77777777" w:rsidR="00C46587" w:rsidRPr="0058432E" w:rsidRDefault="00C46587" w:rsidP="00982118">
      <w:pPr>
        <w:rPr>
          <w:color w:val="000000" w:themeColor="text1"/>
        </w:rPr>
      </w:pPr>
      <w:r w:rsidRPr="0058432E">
        <w:rPr>
          <w:b/>
          <w:color w:val="000000" w:themeColor="text1"/>
        </w:rPr>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 </w:t>
      </w:r>
    </w:p>
    <w:p w14:paraId="3EE62A6E" w14:textId="77777777" w:rsidR="00C46587" w:rsidRPr="0058432E" w:rsidRDefault="00C46587" w:rsidP="00982118">
      <w:pPr>
        <w:rPr>
          <w:color w:val="000000" w:themeColor="text1"/>
        </w:rPr>
      </w:pPr>
    </w:p>
    <w:p w14:paraId="1EF69C26"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au point d’injection (dont douleur, tuméfaction, rougeur ou démangeaison) ; </w:t>
      </w:r>
    </w:p>
    <w:p w14:paraId="75D11DA4"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voies respiratoires (y compris rhume, nez qui coule, sinusite, pneumonie) ; </w:t>
      </w:r>
    </w:p>
    <w:p w14:paraId="726B137D"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maux</w:t>
      </w:r>
      <w:proofErr w:type="gramEnd"/>
      <w:r w:rsidRPr="0058432E">
        <w:rPr>
          <w:color w:val="000000" w:themeColor="text1"/>
        </w:rPr>
        <w:t xml:space="preserve"> de tête ; </w:t>
      </w:r>
    </w:p>
    <w:p w14:paraId="10D78671"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abdominales (au ventre) ; </w:t>
      </w:r>
    </w:p>
    <w:p w14:paraId="374D6369"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 ; </w:t>
      </w:r>
    </w:p>
    <w:p w14:paraId="2EEB7C20" w14:textId="77777777" w:rsidR="00C46587" w:rsidRPr="0058432E" w:rsidRDefault="00BF7BFC" w:rsidP="00194625">
      <w:pPr>
        <w:numPr>
          <w:ilvl w:val="0"/>
          <w:numId w:val="9"/>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w:t>
      </w:r>
      <w:proofErr w:type="gramStart"/>
      <w:r w:rsidRPr="0058432E">
        <w:rPr>
          <w:color w:val="000000" w:themeColor="text1"/>
        </w:rPr>
        <w:t xml:space="preserve">cutanée </w:t>
      </w:r>
      <w:r w:rsidR="00C46587" w:rsidRPr="0058432E">
        <w:rPr>
          <w:color w:val="000000" w:themeColor="text1"/>
        </w:rPr>
        <w:t> ;</w:t>
      </w:r>
      <w:proofErr w:type="gramEnd"/>
      <w:r w:rsidR="00C46587" w:rsidRPr="0058432E">
        <w:rPr>
          <w:color w:val="000000" w:themeColor="text1"/>
        </w:rPr>
        <w:t xml:space="preserve"> </w:t>
      </w:r>
    </w:p>
    <w:p w14:paraId="1B05AE52" w14:textId="77777777" w:rsidR="00C46587" w:rsidRPr="0058432E" w:rsidRDefault="00C46587" w:rsidP="00194625">
      <w:pPr>
        <w:numPr>
          <w:ilvl w:val="0"/>
          <w:numId w:val="9"/>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dans les muscles ou les articulations. </w:t>
      </w:r>
    </w:p>
    <w:p w14:paraId="43FD3956" w14:textId="77777777" w:rsidR="00C46587" w:rsidRPr="0058432E" w:rsidRDefault="00C46587" w:rsidP="00982118">
      <w:pPr>
        <w:rPr>
          <w:color w:val="000000" w:themeColor="text1"/>
        </w:rPr>
      </w:pPr>
    </w:p>
    <w:p w14:paraId="648D5EE6" w14:textId="77777777" w:rsidR="00C46587" w:rsidRPr="0058432E" w:rsidRDefault="00C46587" w:rsidP="00982118">
      <w:pPr>
        <w:keepNext/>
        <w:rPr>
          <w:color w:val="000000" w:themeColor="text1"/>
        </w:rPr>
      </w:pPr>
      <w:r w:rsidRPr="0058432E">
        <w:rPr>
          <w:b/>
          <w:color w:val="000000" w:themeColor="text1"/>
        </w:rPr>
        <w:t>Fréquent</w:t>
      </w:r>
      <w:r w:rsidRPr="0058432E">
        <w:rPr>
          <w:color w:val="000000" w:themeColor="text1"/>
        </w:rPr>
        <w:t xml:space="preserve"> (</w:t>
      </w:r>
      <w:r w:rsidR="00B42EC9" w:rsidRPr="0058432E">
        <w:rPr>
          <w:color w:val="000000" w:themeColor="text1"/>
        </w:rPr>
        <w:t>peut</w:t>
      </w:r>
      <w:r w:rsidRPr="0058432E">
        <w:rPr>
          <w:color w:val="000000" w:themeColor="text1"/>
        </w:rPr>
        <w:t xml:space="preserve"> affecter jusqu’à 1 personne sur 10)</w:t>
      </w:r>
    </w:p>
    <w:p w14:paraId="1E7E8269" w14:textId="77777777" w:rsidR="00C46587" w:rsidRPr="0058432E" w:rsidRDefault="00C46587" w:rsidP="00982118">
      <w:pPr>
        <w:keepNext/>
        <w:rPr>
          <w:color w:val="000000" w:themeColor="text1"/>
        </w:rPr>
      </w:pPr>
    </w:p>
    <w:p w14:paraId="765DBC59" w14:textId="77777777" w:rsidR="00C46587" w:rsidRPr="0058432E" w:rsidRDefault="00546F81" w:rsidP="007C0A4F">
      <w:pPr>
        <w:keepNext/>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graves (y compris empoisonnement du sang et grippe) ; </w:t>
      </w:r>
    </w:p>
    <w:p w14:paraId="050FAA1B" w14:textId="77777777" w:rsidR="00C2239D" w:rsidRPr="0058432E" w:rsidRDefault="00C2239D"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w:t>
      </w:r>
    </w:p>
    <w:p w14:paraId="44FD866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cutanées (y compris cellulite et zona) ; </w:t>
      </w:r>
    </w:p>
    <w:p w14:paraId="4D191666" w14:textId="77777777" w:rsidR="00594865"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 l’oreille ; </w:t>
      </w:r>
    </w:p>
    <w:p w14:paraId="567D14C1" w14:textId="77777777" w:rsidR="00C46587" w:rsidRPr="0058432E" w:rsidRDefault="00DD6771"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infections dentaires et boutons de fièvre) ; </w:t>
      </w:r>
    </w:p>
    <w:p w14:paraId="179217D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 </w:t>
      </w:r>
    </w:p>
    <w:p w14:paraId="5AA86F63"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w:t>
      </w:r>
      <w:r w:rsidR="007E3411" w:rsidRPr="0058432E">
        <w:rPr>
          <w:color w:val="000000" w:themeColor="text1"/>
        </w:rPr>
        <w:t xml:space="preserve">des voies </w:t>
      </w:r>
      <w:r w:rsidRPr="0058432E">
        <w:rPr>
          <w:color w:val="000000" w:themeColor="text1"/>
        </w:rPr>
        <w:t xml:space="preserve">urinaires ; </w:t>
      </w:r>
    </w:p>
    <w:p w14:paraId="0AC6073A"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fongiques ; </w:t>
      </w:r>
    </w:p>
    <w:p w14:paraId="6A1002E0"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articulaires ; </w:t>
      </w:r>
    </w:p>
    <w:p w14:paraId="034B3E2B"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tumeurs</w:t>
      </w:r>
      <w:proofErr w:type="gramEnd"/>
      <w:r w:rsidRPr="0058432E">
        <w:rPr>
          <w:color w:val="000000" w:themeColor="text1"/>
        </w:rPr>
        <w:t xml:space="preserve"> bénignes ; </w:t>
      </w:r>
    </w:p>
    <w:p w14:paraId="789CB595"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de la peau ; </w:t>
      </w:r>
    </w:p>
    <w:p w14:paraId="2EEF1DA7"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(y compris allergie saisonnière) ; </w:t>
      </w:r>
    </w:p>
    <w:p w14:paraId="26515846"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déshydratation</w:t>
      </w:r>
      <w:proofErr w:type="gramEnd"/>
      <w:r w:rsidRPr="0058432E">
        <w:rPr>
          <w:color w:val="000000" w:themeColor="text1"/>
        </w:rPr>
        <w:t xml:space="preserve"> ; </w:t>
      </w:r>
    </w:p>
    <w:p w14:paraId="19B44FA5"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l’humeur (y compris dépression) ; </w:t>
      </w:r>
    </w:p>
    <w:p w14:paraId="35603B18"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anxiété</w:t>
      </w:r>
      <w:proofErr w:type="gramEnd"/>
      <w:r w:rsidRPr="0058432E">
        <w:rPr>
          <w:color w:val="000000" w:themeColor="text1"/>
        </w:rPr>
        <w:t xml:space="preserve"> ; </w:t>
      </w:r>
    </w:p>
    <w:p w14:paraId="47C7CC8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difficile ; </w:t>
      </w:r>
    </w:p>
    <w:p w14:paraId="56FD40F6"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sensitifs tels que fourmillements, picotements ou engourdissement ; </w:t>
      </w:r>
    </w:p>
    <w:p w14:paraId="4CB1FDE0"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migraine</w:t>
      </w:r>
      <w:proofErr w:type="gramEnd"/>
      <w:r w:rsidRPr="0058432E">
        <w:rPr>
          <w:color w:val="000000" w:themeColor="text1"/>
        </w:rPr>
        <w:t xml:space="preserve"> ; </w:t>
      </w:r>
    </w:p>
    <w:p w14:paraId="6365526A" w14:textId="77777777" w:rsidR="00C46587" w:rsidRPr="0058432E" w:rsidRDefault="00DD6771" w:rsidP="007C0A4F">
      <w:pPr>
        <w:numPr>
          <w:ilvl w:val="0"/>
          <w:numId w:val="9"/>
        </w:numPr>
        <w:ind w:left="562" w:hanging="562"/>
        <w:rPr>
          <w:color w:val="000000" w:themeColor="text1"/>
        </w:rPr>
      </w:pPr>
      <w:proofErr w:type="gramStart"/>
      <w:r w:rsidRPr="0058432E">
        <w:rPr>
          <w:color w:val="000000" w:themeColor="text1"/>
        </w:rPr>
        <w:lastRenderedPageBreak/>
        <w:t>symptômes</w:t>
      </w:r>
      <w:proofErr w:type="gramEnd"/>
      <w:r w:rsidRPr="0058432E">
        <w:rPr>
          <w:color w:val="000000" w:themeColor="text1"/>
        </w:rPr>
        <w:t xml:space="preserve"> de compression des racines nerveuses (y compris douleurs au bas du dos et douleurs dans les jambes) ; </w:t>
      </w:r>
    </w:p>
    <w:p w14:paraId="411796C2"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la vision ; </w:t>
      </w:r>
    </w:p>
    <w:p w14:paraId="40FF59AF"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oculaire ; </w:t>
      </w:r>
    </w:p>
    <w:p w14:paraId="1F2053CF"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paupière et gonflement des yeux ; </w:t>
      </w:r>
    </w:p>
    <w:p w14:paraId="363BFFBF"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vertiges</w:t>
      </w:r>
      <w:proofErr w:type="gramEnd"/>
      <w:r w:rsidRPr="0058432E">
        <w:rPr>
          <w:color w:val="000000" w:themeColor="text1"/>
        </w:rPr>
        <w:t xml:space="preserve"> (sensation d’étourdissement) ; </w:t>
      </w:r>
    </w:p>
    <w:p w14:paraId="36CF0A2B"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de cœur rapides ; </w:t>
      </w:r>
    </w:p>
    <w:p w14:paraId="3FC5EDE9"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hypertension</w:t>
      </w:r>
      <w:proofErr w:type="gramEnd"/>
      <w:r w:rsidRPr="0058432E">
        <w:rPr>
          <w:color w:val="000000" w:themeColor="text1"/>
        </w:rPr>
        <w:t xml:space="preserve"> ; </w:t>
      </w:r>
    </w:p>
    <w:p w14:paraId="2744D8C4"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bouffées</w:t>
      </w:r>
      <w:proofErr w:type="gramEnd"/>
      <w:r w:rsidRPr="0058432E">
        <w:rPr>
          <w:color w:val="000000" w:themeColor="text1"/>
        </w:rPr>
        <w:t xml:space="preserve"> de chaleur ; </w:t>
      </w:r>
    </w:p>
    <w:p w14:paraId="173C97DE"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hématome</w:t>
      </w:r>
      <w:proofErr w:type="gramEnd"/>
      <w:r w:rsidRPr="0058432E">
        <w:rPr>
          <w:color w:val="000000" w:themeColor="text1"/>
        </w:rPr>
        <w:t xml:space="preserve"> (gonflement solide avec sang coagulé) ; </w:t>
      </w:r>
    </w:p>
    <w:p w14:paraId="0A9AF020"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toux</w:t>
      </w:r>
      <w:proofErr w:type="gramEnd"/>
      <w:r w:rsidRPr="0058432E">
        <w:rPr>
          <w:color w:val="000000" w:themeColor="text1"/>
        </w:rPr>
        <w:t xml:space="preserve"> ; </w:t>
      </w:r>
    </w:p>
    <w:p w14:paraId="74FAB23F"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asthme</w:t>
      </w:r>
      <w:proofErr w:type="gramEnd"/>
      <w:r w:rsidRPr="0058432E">
        <w:rPr>
          <w:color w:val="000000" w:themeColor="text1"/>
        </w:rPr>
        <w:t xml:space="preserve"> ; </w:t>
      </w:r>
    </w:p>
    <w:p w14:paraId="509504AF" w14:textId="77777777" w:rsidR="00C46587" w:rsidRPr="0058432E" w:rsidRDefault="00BF7BFC" w:rsidP="007C0A4F">
      <w:pPr>
        <w:numPr>
          <w:ilvl w:val="0"/>
          <w:numId w:val="9"/>
        </w:numPr>
        <w:ind w:left="562" w:hanging="562"/>
        <w:rPr>
          <w:color w:val="000000" w:themeColor="text1"/>
        </w:rPr>
      </w:pPr>
      <w:proofErr w:type="gramStart"/>
      <w:r w:rsidRPr="0058432E">
        <w:rPr>
          <w:color w:val="000000" w:themeColor="text1"/>
        </w:rPr>
        <w:t>essoufflement</w:t>
      </w:r>
      <w:proofErr w:type="gramEnd"/>
      <w:r w:rsidR="00C46587" w:rsidRPr="0058432E">
        <w:rPr>
          <w:color w:val="000000" w:themeColor="text1"/>
        </w:rPr>
        <w:t xml:space="preserve"> ; </w:t>
      </w:r>
    </w:p>
    <w:p w14:paraId="7FE199B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saignements</w:t>
      </w:r>
      <w:proofErr w:type="gramEnd"/>
      <w:r w:rsidRPr="0058432E">
        <w:rPr>
          <w:color w:val="000000" w:themeColor="text1"/>
        </w:rPr>
        <w:t xml:space="preserve"> gastro-intestinaux ; </w:t>
      </w:r>
    </w:p>
    <w:p w14:paraId="0CD21FA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dyspepsie</w:t>
      </w:r>
      <w:proofErr w:type="gramEnd"/>
      <w:r w:rsidRPr="0058432E">
        <w:rPr>
          <w:color w:val="000000" w:themeColor="text1"/>
        </w:rPr>
        <w:t xml:space="preserve"> (indigestion, ballonnement, brûlure gastrique) ; </w:t>
      </w:r>
    </w:p>
    <w:p w14:paraId="74140E92"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reflux</w:t>
      </w:r>
      <w:proofErr w:type="gramEnd"/>
      <w:r w:rsidRPr="0058432E">
        <w:rPr>
          <w:color w:val="000000" w:themeColor="text1"/>
        </w:rPr>
        <w:t xml:space="preserve"> acide ; </w:t>
      </w:r>
    </w:p>
    <w:p w14:paraId="407FE1E3"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 (y compris sècheresse des yeux et de la bouche) ; </w:t>
      </w:r>
    </w:p>
    <w:p w14:paraId="05099C35"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démangeaisons</w:t>
      </w:r>
      <w:proofErr w:type="gramEnd"/>
      <w:r w:rsidRPr="0058432E">
        <w:rPr>
          <w:color w:val="000000" w:themeColor="text1"/>
        </w:rPr>
        <w:t xml:space="preserve"> ; </w:t>
      </w:r>
    </w:p>
    <w:p w14:paraId="5CBA4F74"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cutanée avec démangeaisons ; </w:t>
      </w:r>
    </w:p>
    <w:p w14:paraId="728709CD" w14:textId="77777777" w:rsidR="00C46587" w:rsidRPr="0058432E" w:rsidRDefault="00BF7BFC" w:rsidP="007C0A4F">
      <w:pPr>
        <w:numPr>
          <w:ilvl w:val="0"/>
          <w:numId w:val="9"/>
        </w:numPr>
        <w:ind w:left="562" w:hanging="562"/>
        <w:rPr>
          <w:color w:val="000000" w:themeColor="text1"/>
        </w:rPr>
      </w:pPr>
      <w:proofErr w:type="gramStart"/>
      <w:r w:rsidRPr="0058432E">
        <w:rPr>
          <w:color w:val="000000" w:themeColor="text1"/>
        </w:rPr>
        <w:t>contusions</w:t>
      </w:r>
      <w:proofErr w:type="gramEnd"/>
      <w:r w:rsidR="00C46587" w:rsidRPr="0058432E">
        <w:rPr>
          <w:color w:val="000000" w:themeColor="text1"/>
        </w:rPr>
        <w:t xml:space="preserve"> ; </w:t>
      </w:r>
    </w:p>
    <w:p w14:paraId="418FF68F"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cutanée (telle qu’eczéma) ; </w:t>
      </w:r>
    </w:p>
    <w:p w14:paraId="4AF293CE"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cassure</w:t>
      </w:r>
      <w:proofErr w:type="gramEnd"/>
      <w:r w:rsidRPr="0058432E">
        <w:rPr>
          <w:color w:val="000000" w:themeColor="text1"/>
        </w:rPr>
        <w:t xml:space="preserve"> des ongles des mains et des pieds ; </w:t>
      </w:r>
    </w:p>
    <w:p w14:paraId="571D2717"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transpiration</w:t>
      </w:r>
      <w:proofErr w:type="gramEnd"/>
      <w:r w:rsidRPr="0058432E">
        <w:rPr>
          <w:color w:val="000000" w:themeColor="text1"/>
        </w:rPr>
        <w:t xml:space="preserve"> excessive ; </w:t>
      </w:r>
    </w:p>
    <w:p w14:paraId="147194B8"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chute</w:t>
      </w:r>
      <w:proofErr w:type="gramEnd"/>
      <w:r w:rsidRPr="0058432E">
        <w:rPr>
          <w:color w:val="000000" w:themeColor="text1"/>
        </w:rPr>
        <w:t xml:space="preserve"> des cheveux ; </w:t>
      </w:r>
    </w:p>
    <w:p w14:paraId="646317E1"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apparition</w:t>
      </w:r>
      <w:proofErr w:type="gramEnd"/>
      <w:r w:rsidRPr="0058432E">
        <w:rPr>
          <w:color w:val="000000" w:themeColor="text1"/>
        </w:rPr>
        <w:t xml:space="preserve"> ou aggravation d’un psoriasis ; </w:t>
      </w:r>
    </w:p>
    <w:p w14:paraId="4898060D"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spasmes</w:t>
      </w:r>
      <w:proofErr w:type="gramEnd"/>
      <w:r w:rsidRPr="0058432E">
        <w:rPr>
          <w:color w:val="000000" w:themeColor="text1"/>
        </w:rPr>
        <w:t xml:space="preserve"> musculaires ; </w:t>
      </w:r>
    </w:p>
    <w:p w14:paraId="0B2D0F78"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de sang dans les urines ; </w:t>
      </w:r>
    </w:p>
    <w:p w14:paraId="5AB733E7"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problèmes</w:t>
      </w:r>
      <w:proofErr w:type="gramEnd"/>
      <w:r w:rsidRPr="0058432E">
        <w:rPr>
          <w:color w:val="000000" w:themeColor="text1"/>
        </w:rPr>
        <w:t xml:space="preserve"> rénaux ; </w:t>
      </w:r>
    </w:p>
    <w:p w14:paraId="414EFF6E" w14:textId="77777777" w:rsidR="00594865" w:rsidRPr="0058432E" w:rsidRDefault="00C46587" w:rsidP="007C0A4F">
      <w:pPr>
        <w:numPr>
          <w:ilvl w:val="0"/>
          <w:numId w:val="9"/>
        </w:numPr>
        <w:ind w:left="562" w:hanging="562"/>
        <w:rPr>
          <w:color w:val="000000" w:themeColor="text1"/>
        </w:rPr>
      </w:pPr>
      <w:proofErr w:type="gramStart"/>
      <w:r w:rsidRPr="0058432E">
        <w:rPr>
          <w:color w:val="000000" w:themeColor="text1"/>
        </w:rPr>
        <w:t>douleur</w:t>
      </w:r>
      <w:proofErr w:type="gramEnd"/>
      <w:r w:rsidRPr="0058432E">
        <w:rPr>
          <w:color w:val="000000" w:themeColor="text1"/>
        </w:rPr>
        <w:t xml:space="preserve"> thoracique ; </w:t>
      </w:r>
    </w:p>
    <w:p w14:paraId="0EAA08FD"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(accumulation de liquide dans l’organisme qui provoque le gonflement des tissus affectés) ; </w:t>
      </w:r>
    </w:p>
    <w:p w14:paraId="2C278636"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fièvre</w:t>
      </w:r>
      <w:proofErr w:type="gramEnd"/>
      <w:r w:rsidRPr="0058432E">
        <w:rPr>
          <w:color w:val="000000" w:themeColor="text1"/>
        </w:rPr>
        <w:t xml:space="preserve"> ; </w:t>
      </w:r>
    </w:p>
    <w:p w14:paraId="03549738"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diminution</w:t>
      </w:r>
      <w:proofErr w:type="gramEnd"/>
      <w:r w:rsidRPr="0058432E">
        <w:rPr>
          <w:color w:val="000000" w:themeColor="text1"/>
        </w:rPr>
        <w:t xml:space="preserve"> du nombre de plaquettes sanguines, ce qui augmente le risque de saignements ou </w:t>
      </w:r>
      <w:r w:rsidR="007E3411" w:rsidRPr="0058432E">
        <w:rPr>
          <w:color w:val="000000" w:themeColor="text1"/>
        </w:rPr>
        <w:t>de contusions </w:t>
      </w:r>
      <w:r w:rsidRPr="0058432E">
        <w:rPr>
          <w:color w:val="000000" w:themeColor="text1"/>
        </w:rPr>
        <w:t xml:space="preserve">; </w:t>
      </w:r>
    </w:p>
    <w:p w14:paraId="5F39EB66" w14:textId="77777777" w:rsidR="00C46587" w:rsidRPr="0058432E" w:rsidRDefault="00C46587" w:rsidP="007C0A4F">
      <w:pPr>
        <w:numPr>
          <w:ilvl w:val="0"/>
          <w:numId w:val="9"/>
        </w:numPr>
        <w:ind w:left="562" w:hanging="562"/>
        <w:rPr>
          <w:color w:val="000000" w:themeColor="text1"/>
        </w:rPr>
      </w:pPr>
      <w:proofErr w:type="gramStart"/>
      <w:r w:rsidRPr="0058432E">
        <w:rPr>
          <w:color w:val="000000" w:themeColor="text1"/>
        </w:rPr>
        <w:t>mauvaise</w:t>
      </w:r>
      <w:proofErr w:type="gramEnd"/>
      <w:r w:rsidRPr="0058432E">
        <w:rPr>
          <w:color w:val="000000" w:themeColor="text1"/>
        </w:rPr>
        <w:t xml:space="preserve"> cicatrisation. </w:t>
      </w:r>
    </w:p>
    <w:p w14:paraId="4C08A0C4" w14:textId="77777777" w:rsidR="00C46587" w:rsidRPr="0058432E" w:rsidRDefault="00C46587" w:rsidP="00982118">
      <w:pPr>
        <w:rPr>
          <w:color w:val="000000" w:themeColor="text1"/>
        </w:rPr>
      </w:pPr>
    </w:p>
    <w:p w14:paraId="020C6197" w14:textId="77777777" w:rsidR="00C46587" w:rsidRPr="0058432E" w:rsidRDefault="00C46587" w:rsidP="007C4B2C">
      <w:pPr>
        <w:rPr>
          <w:color w:val="000000" w:themeColor="text1"/>
        </w:rPr>
      </w:pPr>
      <w:r w:rsidRPr="0058432E">
        <w:rPr>
          <w:b/>
          <w:color w:val="000000" w:themeColor="text1"/>
        </w:rPr>
        <w:t xml:space="preserve">Peu fréquent </w:t>
      </w:r>
      <w:r w:rsidRPr="0058432E">
        <w:rPr>
          <w:color w:val="000000" w:themeColor="text1"/>
        </w:rPr>
        <w:t>(p</w:t>
      </w:r>
      <w:r w:rsidR="00B42EC9" w:rsidRPr="0058432E">
        <w:rPr>
          <w:color w:val="000000" w:themeColor="text1"/>
        </w:rPr>
        <w:t>eut</w:t>
      </w:r>
      <w:r w:rsidRPr="0058432E">
        <w:rPr>
          <w:color w:val="000000" w:themeColor="text1"/>
        </w:rPr>
        <w:t xml:space="preserve"> affecter jusqu’à 1 personne sur 100)</w:t>
      </w:r>
    </w:p>
    <w:p w14:paraId="30087DED" w14:textId="77777777" w:rsidR="00C46587" w:rsidRPr="0058432E" w:rsidRDefault="00C46587" w:rsidP="007C4B2C">
      <w:pPr>
        <w:rPr>
          <w:color w:val="000000" w:themeColor="text1"/>
        </w:rPr>
      </w:pPr>
    </w:p>
    <w:p w14:paraId="50D3BD0C"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(inhabituelles) (incluant la tuberculose et d’autres infections) qui surviennent lorsque la résistance aux maladies est diminuée ; </w:t>
      </w:r>
    </w:p>
    <w:p w14:paraId="66085EEE"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neurologiques (y compris méningite virale) ; </w:t>
      </w:r>
    </w:p>
    <w:p w14:paraId="6A2ECE0A"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oculaires ; </w:t>
      </w:r>
    </w:p>
    <w:p w14:paraId="20A33FF5"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 ; </w:t>
      </w:r>
    </w:p>
    <w:p w14:paraId="31D96A2E"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diverticulite</w:t>
      </w:r>
      <w:proofErr w:type="gramEnd"/>
      <w:r w:rsidRPr="0058432E">
        <w:rPr>
          <w:color w:val="000000" w:themeColor="text1"/>
        </w:rPr>
        <w:t xml:space="preserve"> (inflammation et infection du gros intestin) ; </w:t>
      </w:r>
    </w:p>
    <w:p w14:paraId="7CCB27D2" w14:textId="77777777" w:rsidR="00C46587" w:rsidRPr="0058432E" w:rsidRDefault="00C46587" w:rsidP="007C4B2C">
      <w:pPr>
        <w:numPr>
          <w:ilvl w:val="0"/>
          <w:numId w:val="9"/>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y compris cancer qui affecte le système lymphatique (lymphome) et mélanome (un type de cancer de la peau) ; </w:t>
      </w:r>
    </w:p>
    <w:p w14:paraId="18C39D93"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troubles</w:t>
      </w:r>
      <w:proofErr w:type="gramEnd"/>
      <w:r w:rsidRPr="0058432E">
        <w:rPr>
          <w:color w:val="000000" w:themeColor="text1"/>
        </w:rPr>
        <w:t xml:space="preserve"> immunitaires qui peuvent affecter les poumons, la peau et les ganglions lymphatiques (le plus souvent une maladie appelée sarcoïdose) ; </w:t>
      </w:r>
    </w:p>
    <w:p w14:paraId="2380D4AA"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vascularite</w:t>
      </w:r>
      <w:proofErr w:type="gramEnd"/>
      <w:r w:rsidRPr="0058432E">
        <w:rPr>
          <w:color w:val="000000" w:themeColor="text1"/>
        </w:rPr>
        <w:t xml:space="preserve"> (inflammation des vaisseaux sanguins) ; </w:t>
      </w:r>
    </w:p>
    <w:p w14:paraId="206B4372"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tremblements</w:t>
      </w:r>
      <w:proofErr w:type="gramEnd"/>
      <w:r w:rsidRPr="0058432E">
        <w:rPr>
          <w:color w:val="000000" w:themeColor="text1"/>
        </w:rPr>
        <w:t xml:space="preserve"> (frissons) ; </w:t>
      </w:r>
    </w:p>
    <w:p w14:paraId="4E071D0B" w14:textId="77777777" w:rsidR="00F81BF5" w:rsidRPr="0058432E" w:rsidRDefault="00F81BF5" w:rsidP="00A71117">
      <w:pPr>
        <w:numPr>
          <w:ilvl w:val="0"/>
          <w:numId w:val="9"/>
        </w:numPr>
        <w:ind w:left="561" w:hanging="561"/>
        <w:rPr>
          <w:color w:val="000000" w:themeColor="text1"/>
        </w:rPr>
      </w:pPr>
      <w:proofErr w:type="gramStart"/>
      <w:r w:rsidRPr="0058432E">
        <w:rPr>
          <w:color w:val="000000" w:themeColor="text1"/>
        </w:rPr>
        <w:t>neuropathie</w:t>
      </w:r>
      <w:proofErr w:type="gramEnd"/>
      <w:r w:rsidRPr="0058432E">
        <w:rPr>
          <w:color w:val="000000" w:themeColor="text1"/>
        </w:rPr>
        <w:t xml:space="preserve"> (atteinte nerveuse) ; </w:t>
      </w:r>
    </w:p>
    <w:p w14:paraId="01F2046B"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accident</w:t>
      </w:r>
      <w:proofErr w:type="gramEnd"/>
      <w:r w:rsidRPr="0058432E">
        <w:rPr>
          <w:color w:val="000000" w:themeColor="text1"/>
        </w:rPr>
        <w:t xml:space="preserve"> vasculaire cérébral ; </w:t>
      </w:r>
    </w:p>
    <w:p w14:paraId="3CA0330B" w14:textId="77777777" w:rsidR="00F81BF5" w:rsidRPr="0058432E" w:rsidRDefault="00F81BF5" w:rsidP="00A71117">
      <w:pPr>
        <w:numPr>
          <w:ilvl w:val="0"/>
          <w:numId w:val="9"/>
        </w:numPr>
        <w:ind w:left="561" w:hanging="561"/>
        <w:rPr>
          <w:color w:val="000000" w:themeColor="text1"/>
        </w:rPr>
      </w:pPr>
      <w:proofErr w:type="gramStart"/>
      <w:r w:rsidRPr="0058432E">
        <w:rPr>
          <w:color w:val="000000" w:themeColor="text1"/>
        </w:rPr>
        <w:t>vision</w:t>
      </w:r>
      <w:proofErr w:type="gramEnd"/>
      <w:r w:rsidRPr="0058432E">
        <w:rPr>
          <w:color w:val="000000" w:themeColor="text1"/>
        </w:rPr>
        <w:t xml:space="preserve"> double ;</w:t>
      </w:r>
    </w:p>
    <w:p w14:paraId="68D31359"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perte</w:t>
      </w:r>
      <w:proofErr w:type="gramEnd"/>
      <w:r w:rsidRPr="0058432E">
        <w:rPr>
          <w:color w:val="000000" w:themeColor="text1"/>
        </w:rPr>
        <w:t xml:space="preserve"> d’audition, bourdonnements d’oreilles ; </w:t>
      </w:r>
    </w:p>
    <w:p w14:paraId="049A32D3"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lastRenderedPageBreak/>
        <w:t>sensation</w:t>
      </w:r>
      <w:proofErr w:type="gramEnd"/>
      <w:r w:rsidRPr="0058432E">
        <w:rPr>
          <w:color w:val="000000" w:themeColor="text1"/>
        </w:rPr>
        <w:t xml:space="preserve"> de battements cardiaques irréguliers tels que </w:t>
      </w:r>
      <w:r w:rsidR="00FB440E" w:rsidRPr="0058432E">
        <w:rPr>
          <w:color w:val="000000" w:themeColor="text1"/>
        </w:rPr>
        <w:t xml:space="preserve">battements de cœur </w:t>
      </w:r>
      <w:proofErr w:type="gramStart"/>
      <w:r w:rsidR="00FB440E" w:rsidRPr="0058432E">
        <w:rPr>
          <w:color w:val="000000" w:themeColor="text1"/>
        </w:rPr>
        <w:t>manqués</w:t>
      </w:r>
      <w:r w:rsidRPr="0058432E">
        <w:rPr>
          <w:color w:val="000000" w:themeColor="text1"/>
        </w:rPr>
        <w:t>;</w:t>
      </w:r>
      <w:proofErr w:type="gramEnd"/>
      <w:r w:rsidRPr="0058432E">
        <w:rPr>
          <w:color w:val="000000" w:themeColor="text1"/>
        </w:rPr>
        <w:t xml:space="preserve"> </w:t>
      </w:r>
    </w:p>
    <w:p w14:paraId="2A9C74F0"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troubles</w:t>
      </w:r>
      <w:proofErr w:type="gramEnd"/>
      <w:r w:rsidRPr="0058432E">
        <w:rPr>
          <w:color w:val="000000" w:themeColor="text1"/>
        </w:rPr>
        <w:t xml:space="preserve"> cardiaques qui peuvent provoquer un essoufflement ou un œdème des chevilles ; </w:t>
      </w:r>
    </w:p>
    <w:p w14:paraId="4F3EDC13"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crise</w:t>
      </w:r>
      <w:proofErr w:type="gramEnd"/>
      <w:r w:rsidRPr="0058432E">
        <w:rPr>
          <w:color w:val="000000" w:themeColor="text1"/>
        </w:rPr>
        <w:t xml:space="preserve"> cardiaque ; </w:t>
      </w:r>
    </w:p>
    <w:p w14:paraId="398DAA48"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poche</w:t>
      </w:r>
      <w:proofErr w:type="gramEnd"/>
      <w:r w:rsidRPr="0058432E">
        <w:rPr>
          <w:color w:val="000000" w:themeColor="text1"/>
        </w:rPr>
        <w:t xml:space="preserve"> dans la paroi d’une grosse artère, inflammation et caillot dans une veine, obstruction d’un vaisseau sanguin ; </w:t>
      </w:r>
    </w:p>
    <w:p w14:paraId="0ACA5CC8"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maladie</w:t>
      </w:r>
      <w:proofErr w:type="gramEnd"/>
      <w:r w:rsidRPr="0058432E">
        <w:rPr>
          <w:color w:val="000000" w:themeColor="text1"/>
        </w:rPr>
        <w:t xml:space="preserve"> pulmonaire entraîn</w:t>
      </w:r>
      <w:r w:rsidR="007E3411" w:rsidRPr="0058432E">
        <w:rPr>
          <w:color w:val="000000" w:themeColor="text1"/>
        </w:rPr>
        <w:t>ant</w:t>
      </w:r>
      <w:r w:rsidRPr="0058432E">
        <w:rPr>
          <w:color w:val="000000" w:themeColor="text1"/>
        </w:rPr>
        <w:t xml:space="preserve"> un essoufflement (y compris inflammation) ; </w:t>
      </w:r>
    </w:p>
    <w:p w14:paraId="10562938"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embolie</w:t>
      </w:r>
      <w:proofErr w:type="gramEnd"/>
      <w:r w:rsidRPr="0058432E">
        <w:rPr>
          <w:color w:val="000000" w:themeColor="text1"/>
        </w:rPr>
        <w:t xml:space="preserve"> pulmonaire (obstruction d’une artère du poumon) ; </w:t>
      </w:r>
    </w:p>
    <w:p w14:paraId="54780489" w14:textId="77777777" w:rsidR="00C46587" w:rsidRPr="0058432E" w:rsidRDefault="00C46587" w:rsidP="00A71117">
      <w:pPr>
        <w:numPr>
          <w:ilvl w:val="0"/>
          <w:numId w:val="9"/>
        </w:numPr>
        <w:ind w:left="561" w:hanging="561"/>
        <w:rPr>
          <w:color w:val="000000" w:themeColor="text1"/>
        </w:rPr>
      </w:pPr>
      <w:proofErr w:type="gramStart"/>
      <w:r w:rsidRPr="0058432E">
        <w:rPr>
          <w:color w:val="000000" w:themeColor="text1"/>
        </w:rPr>
        <w:t>épanchement</w:t>
      </w:r>
      <w:proofErr w:type="gramEnd"/>
      <w:r w:rsidRPr="0058432E">
        <w:rPr>
          <w:color w:val="000000" w:themeColor="text1"/>
        </w:rPr>
        <w:t xml:space="preserve"> pleural (accumulation anormale de liquide dans la cavité pleurale) ; </w:t>
      </w:r>
    </w:p>
    <w:p w14:paraId="1B52E8A5"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du pancréas qui provoque une douleur intense dans l’abdomen et le dos ; </w:t>
      </w:r>
    </w:p>
    <w:p w14:paraId="56B3B27E"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difficulté</w:t>
      </w:r>
      <w:proofErr w:type="gramEnd"/>
      <w:r w:rsidRPr="0058432E">
        <w:rPr>
          <w:color w:val="000000" w:themeColor="text1"/>
        </w:rPr>
        <w:t xml:space="preserve"> à avaler ; </w:t>
      </w:r>
    </w:p>
    <w:p w14:paraId="46D38096"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 </w:t>
      </w:r>
    </w:p>
    <w:p w14:paraId="3AF8DB26"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vésicule biliaire, calculs dans la vésicule biliaire ; </w:t>
      </w:r>
    </w:p>
    <w:p w14:paraId="77FC26C7"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stéatose</w:t>
      </w:r>
      <w:proofErr w:type="gramEnd"/>
      <w:r w:rsidRPr="0058432E">
        <w:rPr>
          <w:color w:val="000000" w:themeColor="text1"/>
        </w:rPr>
        <w:t xml:space="preserve"> du foie (accumulation de graisse dans les cellules hépatiques) ; </w:t>
      </w:r>
    </w:p>
    <w:p w14:paraId="1F68A8AA"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sueurs</w:t>
      </w:r>
      <w:proofErr w:type="gramEnd"/>
      <w:r w:rsidRPr="0058432E">
        <w:rPr>
          <w:color w:val="000000" w:themeColor="text1"/>
        </w:rPr>
        <w:t xml:space="preserve"> nocturnes ; </w:t>
      </w:r>
    </w:p>
    <w:p w14:paraId="0D1B4BB7"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cicatrice</w:t>
      </w:r>
      <w:proofErr w:type="gramEnd"/>
      <w:r w:rsidRPr="0058432E">
        <w:rPr>
          <w:color w:val="000000" w:themeColor="text1"/>
        </w:rPr>
        <w:t xml:space="preserve"> ; </w:t>
      </w:r>
    </w:p>
    <w:p w14:paraId="6B3469AB"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faiblesse</w:t>
      </w:r>
      <w:proofErr w:type="gramEnd"/>
      <w:r w:rsidRPr="0058432E">
        <w:rPr>
          <w:color w:val="000000" w:themeColor="text1"/>
        </w:rPr>
        <w:t xml:space="preserve"> musculaire anormale ; </w:t>
      </w:r>
    </w:p>
    <w:p w14:paraId="54C6BC2E"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 (trouble immunitaire comprenant inflammation de la peau, du cœur, du poumon, des articulations et des autres systèmes d’organes) ; </w:t>
      </w:r>
    </w:p>
    <w:p w14:paraId="672E22AD"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interrompu ; </w:t>
      </w:r>
    </w:p>
    <w:p w14:paraId="6FF52B40"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impuissance</w:t>
      </w:r>
      <w:proofErr w:type="gramEnd"/>
      <w:r w:rsidRPr="0058432E">
        <w:rPr>
          <w:color w:val="000000" w:themeColor="text1"/>
        </w:rPr>
        <w:t xml:space="preserve"> ; </w:t>
      </w:r>
    </w:p>
    <w:p w14:paraId="2B891F60"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inflammations</w:t>
      </w:r>
      <w:proofErr w:type="gramEnd"/>
      <w:r w:rsidRPr="0058432E">
        <w:rPr>
          <w:color w:val="000000" w:themeColor="text1"/>
        </w:rPr>
        <w:t xml:space="preserve">. </w:t>
      </w:r>
    </w:p>
    <w:p w14:paraId="468579B8" w14:textId="77777777" w:rsidR="00C46587" w:rsidRPr="0058432E" w:rsidRDefault="00C46587" w:rsidP="006B001C">
      <w:pPr>
        <w:rPr>
          <w:color w:val="000000" w:themeColor="text1"/>
        </w:rPr>
      </w:pPr>
    </w:p>
    <w:p w14:paraId="099B6B81" w14:textId="77777777" w:rsidR="00C46587" w:rsidRPr="0058432E" w:rsidRDefault="00C46587" w:rsidP="006B001C">
      <w:pPr>
        <w:rPr>
          <w:color w:val="000000" w:themeColor="text1"/>
        </w:rPr>
      </w:pPr>
      <w:r w:rsidRPr="0058432E">
        <w:rPr>
          <w:b/>
          <w:color w:val="000000" w:themeColor="text1"/>
        </w:rPr>
        <w:t xml:space="preserve">Rare </w:t>
      </w:r>
      <w:r w:rsidRPr="0058432E">
        <w:rPr>
          <w:color w:val="000000" w:themeColor="text1"/>
        </w:rPr>
        <w:t>(p</w:t>
      </w:r>
      <w:r w:rsidR="00B42EC9" w:rsidRPr="0058432E">
        <w:rPr>
          <w:color w:val="000000" w:themeColor="text1"/>
        </w:rPr>
        <w:t>eut</w:t>
      </w:r>
      <w:r w:rsidRPr="0058432E">
        <w:rPr>
          <w:color w:val="000000" w:themeColor="text1"/>
        </w:rPr>
        <w:t xml:space="preserve"> affecter jusqu’à 1 personne sur 1 000) </w:t>
      </w:r>
    </w:p>
    <w:p w14:paraId="2A77D74E" w14:textId="77777777" w:rsidR="00C46587" w:rsidRPr="0058432E" w:rsidRDefault="00C46587" w:rsidP="006B001C">
      <w:pPr>
        <w:rPr>
          <w:color w:val="000000" w:themeColor="text1"/>
        </w:rPr>
      </w:pPr>
    </w:p>
    <w:p w14:paraId="528BA1F4"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leucémie</w:t>
      </w:r>
      <w:proofErr w:type="gramEnd"/>
      <w:r w:rsidRPr="0058432E">
        <w:rPr>
          <w:color w:val="000000" w:themeColor="text1"/>
        </w:rPr>
        <w:t xml:space="preserve"> (cancer affectant le sang et la moelle osseuse) ; </w:t>
      </w:r>
    </w:p>
    <w:p w14:paraId="51D0E694"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sévères avec choc ; </w:t>
      </w:r>
    </w:p>
    <w:p w14:paraId="562AACE8"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sclérose</w:t>
      </w:r>
      <w:proofErr w:type="gramEnd"/>
      <w:r w:rsidRPr="0058432E">
        <w:rPr>
          <w:color w:val="000000" w:themeColor="text1"/>
        </w:rPr>
        <w:t xml:space="preserve"> en plaques ; </w:t>
      </w:r>
    </w:p>
    <w:p w14:paraId="3E3824C3"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neurologiques (tels qu’inflammation du nerf optique de l’œil et syndrome de Guillain</w:t>
      </w:r>
      <w:r w:rsidRPr="0058432E">
        <w:rPr>
          <w:color w:val="000000" w:themeColor="text1"/>
        </w:rPr>
        <w:noBreakHyphen/>
        <w:t xml:space="preserve">Barré, une maladie pouvant entraîner une faiblesse musculaire, des sensations anormales, des fourmillements dans les bras et le haut du corps) ; </w:t>
      </w:r>
    </w:p>
    <w:p w14:paraId="0AE71693"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arrêt</w:t>
      </w:r>
      <w:proofErr w:type="gramEnd"/>
      <w:r w:rsidRPr="0058432E">
        <w:rPr>
          <w:color w:val="000000" w:themeColor="text1"/>
        </w:rPr>
        <w:t xml:space="preserve"> de la fonction de pompage du cœur ; </w:t>
      </w:r>
    </w:p>
    <w:p w14:paraId="5E59AEB0"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fibrose</w:t>
      </w:r>
      <w:proofErr w:type="gramEnd"/>
      <w:r w:rsidRPr="0058432E">
        <w:rPr>
          <w:color w:val="000000" w:themeColor="text1"/>
        </w:rPr>
        <w:t xml:space="preserve"> pulmonaire (formation de tissus cicatriciels dans les poumons) ; </w:t>
      </w:r>
    </w:p>
    <w:p w14:paraId="318F7300"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perforation</w:t>
      </w:r>
      <w:proofErr w:type="gramEnd"/>
      <w:r w:rsidRPr="0058432E">
        <w:rPr>
          <w:color w:val="000000" w:themeColor="text1"/>
        </w:rPr>
        <w:t xml:space="preserve"> intestinale (trou dans la paroi de l’intestin) ; </w:t>
      </w:r>
    </w:p>
    <w:p w14:paraId="673B9167"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(inflammation du foie) ; </w:t>
      </w:r>
    </w:p>
    <w:p w14:paraId="7346046A"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réactivation</w:t>
      </w:r>
      <w:proofErr w:type="gramEnd"/>
      <w:r w:rsidRPr="0058432E">
        <w:rPr>
          <w:color w:val="000000" w:themeColor="text1"/>
        </w:rPr>
        <w:t xml:space="preserve"> de l’infection par le virus de l’hépatite B ; </w:t>
      </w:r>
    </w:p>
    <w:p w14:paraId="60245B34"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auto-immune (inflammation du foie causée par le propre système immunitaire du corps) ; </w:t>
      </w:r>
    </w:p>
    <w:p w14:paraId="6DCBCE1A"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cutanée (inflammation des vaisseaux sanguins dans la peau) ; </w:t>
      </w:r>
    </w:p>
    <w:p w14:paraId="3EAEB115" w14:textId="77777777" w:rsidR="00C46587" w:rsidRPr="0058432E" w:rsidRDefault="00C46587" w:rsidP="006B001C">
      <w:pPr>
        <w:numPr>
          <w:ilvl w:val="0"/>
          <w:numId w:val="9"/>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 xml:space="preserve">Johnson (réaction menaçant le pronostic vital avec symptômes pseudo-grippaux et éruption cutanée avec cloques) ; </w:t>
      </w:r>
    </w:p>
    <w:p w14:paraId="4ECC535C"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avec réactions allergiques ; </w:t>
      </w:r>
    </w:p>
    <w:p w14:paraId="0FA6DD5F"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érythème</w:t>
      </w:r>
      <w:proofErr w:type="gramEnd"/>
      <w:r w:rsidRPr="0058432E">
        <w:rPr>
          <w:color w:val="000000" w:themeColor="text1"/>
        </w:rPr>
        <w:t xml:space="preserve"> polymorphe (</w:t>
      </w:r>
      <w:r w:rsidR="00BF7BFC" w:rsidRPr="0058432E">
        <w:rPr>
          <w:color w:val="000000" w:themeColor="text1"/>
        </w:rPr>
        <w:t xml:space="preserve">éruption cutanée </w:t>
      </w:r>
      <w:r w:rsidRPr="0058432E">
        <w:rPr>
          <w:color w:val="000000" w:themeColor="text1"/>
        </w:rPr>
        <w:t xml:space="preserve">inflammatoire de la peau) ; </w:t>
      </w:r>
    </w:p>
    <w:p w14:paraId="0F873D09" w14:textId="77777777" w:rsidR="00C2239D" w:rsidRPr="0058432E" w:rsidRDefault="00C46587" w:rsidP="007C0A4F">
      <w:pPr>
        <w:keepNext/>
        <w:numPr>
          <w:ilvl w:val="0"/>
          <w:numId w:val="9"/>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type lupus ;</w:t>
      </w:r>
    </w:p>
    <w:p w14:paraId="523D4C99" w14:textId="77777777" w:rsidR="00C46587" w:rsidRPr="0058432E" w:rsidRDefault="00B23FB1" w:rsidP="007C0A4F">
      <w:pPr>
        <w:keepNext/>
        <w:numPr>
          <w:ilvl w:val="0"/>
          <w:numId w:val="9"/>
        </w:numPr>
        <w:ind w:left="562" w:hanging="562"/>
        <w:rPr>
          <w:color w:val="000000" w:themeColor="text1"/>
        </w:rPr>
      </w:pPr>
      <w:proofErr w:type="gramStart"/>
      <w:r w:rsidRPr="0058432E">
        <w:rPr>
          <w:color w:val="000000" w:themeColor="text1"/>
        </w:rPr>
        <w:t>angiœdème</w:t>
      </w:r>
      <w:proofErr w:type="gramEnd"/>
      <w:r w:rsidRPr="0058432E">
        <w:rPr>
          <w:color w:val="000000" w:themeColor="text1"/>
        </w:rPr>
        <w:t xml:space="preserve"> (gonflement localisé de la peau) ;</w:t>
      </w:r>
    </w:p>
    <w:p w14:paraId="14B06A9E" w14:textId="77777777" w:rsidR="00546F81" w:rsidRPr="0058432E" w:rsidRDefault="00546F81" w:rsidP="007C0A4F">
      <w:pPr>
        <w:keepNext/>
        <w:numPr>
          <w:ilvl w:val="0"/>
          <w:numId w:val="9"/>
        </w:numPr>
        <w:ind w:left="562" w:hanging="562"/>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 (éruption cutanée violet-rougeâtre avec démangeaisons) ;</w:t>
      </w:r>
    </w:p>
    <w:p w14:paraId="4EF6EB7E" w14:textId="77777777" w:rsidR="00C46587" w:rsidRPr="0058432E" w:rsidRDefault="00C46587" w:rsidP="00982118">
      <w:pPr>
        <w:rPr>
          <w:color w:val="000000" w:themeColor="text1"/>
        </w:rPr>
      </w:pPr>
    </w:p>
    <w:p w14:paraId="71B50E2C" w14:textId="77777777" w:rsidR="00C46587" w:rsidRPr="0058432E" w:rsidRDefault="00C46587" w:rsidP="0017564C">
      <w:pPr>
        <w:keepNext/>
        <w:rPr>
          <w:color w:val="000000" w:themeColor="text1"/>
        </w:rPr>
      </w:pPr>
      <w:r w:rsidRPr="0058432E">
        <w:rPr>
          <w:b/>
          <w:color w:val="000000" w:themeColor="text1"/>
        </w:rPr>
        <w:lastRenderedPageBreak/>
        <w:t>Fréquence indéterminée</w:t>
      </w:r>
      <w:r w:rsidRPr="0058432E">
        <w:rPr>
          <w:color w:val="000000" w:themeColor="text1"/>
        </w:rPr>
        <w:t xml:space="preserve"> (</w:t>
      </w:r>
      <w:r w:rsidR="00B42EC9" w:rsidRPr="0058432E">
        <w:rPr>
          <w:color w:val="000000" w:themeColor="text1"/>
        </w:rPr>
        <w:t xml:space="preserve">la fréquence </w:t>
      </w:r>
      <w:r w:rsidRPr="0058432E">
        <w:rPr>
          <w:color w:val="000000" w:themeColor="text1"/>
        </w:rPr>
        <w:t xml:space="preserve">ne peut être estimée sur la base des données disponibles) </w:t>
      </w:r>
    </w:p>
    <w:p w14:paraId="49EDA02D" w14:textId="77777777" w:rsidR="00C46587" w:rsidRPr="0058432E" w:rsidRDefault="00C46587" w:rsidP="0017564C">
      <w:pPr>
        <w:keepNext/>
        <w:rPr>
          <w:color w:val="000000" w:themeColor="text1"/>
        </w:rPr>
      </w:pPr>
    </w:p>
    <w:p w14:paraId="3C26B14B" w14:textId="77777777" w:rsidR="00C46587" w:rsidRPr="0058432E" w:rsidRDefault="00C46587" w:rsidP="000C078E">
      <w:pPr>
        <w:keepNext/>
        <w:numPr>
          <w:ilvl w:val="0"/>
          <w:numId w:val="9"/>
        </w:numPr>
        <w:ind w:left="562" w:hanging="562"/>
        <w:rPr>
          <w:color w:val="000000" w:themeColor="text1"/>
        </w:rPr>
      </w:pPr>
      <w:proofErr w:type="gramStart"/>
      <w:r w:rsidRPr="0058432E">
        <w:rPr>
          <w:color w:val="000000" w:themeColor="text1"/>
        </w:rPr>
        <w:t>lymphome</w:t>
      </w:r>
      <w:proofErr w:type="gramEnd"/>
      <w:r w:rsidRPr="0058432E">
        <w:rPr>
          <w:color w:val="000000" w:themeColor="text1"/>
        </w:rPr>
        <w:t xml:space="preserve"> hépatosplénique à lymphocytes T (cancer hématologique rare souvent mortel) ; </w:t>
      </w:r>
    </w:p>
    <w:p w14:paraId="336C6702" w14:textId="77777777" w:rsidR="004F250F" w:rsidRPr="0058432E" w:rsidRDefault="00C46587" w:rsidP="004F250F">
      <w:pPr>
        <w:keepNext/>
        <w:numPr>
          <w:ilvl w:val="0"/>
          <w:numId w:val="9"/>
        </w:numPr>
        <w:ind w:left="562" w:hanging="562"/>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(un type de cancer de la peau) ;</w:t>
      </w:r>
    </w:p>
    <w:p w14:paraId="60B88C9E" w14:textId="77777777" w:rsidR="00060941" w:rsidRPr="0058432E" w:rsidRDefault="00060941" w:rsidP="00060941">
      <w:pPr>
        <w:keepNext/>
        <w:numPr>
          <w:ilvl w:val="0"/>
          <w:numId w:val="9"/>
        </w:numPr>
        <w:ind w:left="562" w:hanging="562"/>
        <w:rPr>
          <w:color w:val="000000" w:themeColor="text1"/>
        </w:rPr>
      </w:pPr>
      <w:proofErr w:type="gramStart"/>
      <w:r w:rsidRPr="0058432E">
        <w:rPr>
          <w:color w:val="000000" w:themeColor="text1"/>
        </w:rPr>
        <w:t>sarcome</w:t>
      </w:r>
      <w:proofErr w:type="gramEnd"/>
      <w:r w:rsidRPr="0058432E">
        <w:rPr>
          <w:color w:val="000000" w:themeColor="text1"/>
        </w:rPr>
        <w:t xml:space="preserve"> de Kaposi, un cancer rare lié à l’infection par l’herpèsvirus humain de type 8. Le sarcome de Kaposi apparaît le plus fréquemment sous la forme de lésions violacées de la peau.</w:t>
      </w:r>
    </w:p>
    <w:p w14:paraId="22F781E3" w14:textId="77777777" w:rsidR="00C46587" w:rsidRPr="0058432E" w:rsidRDefault="00C46587" w:rsidP="00CB66CF">
      <w:pPr>
        <w:keepNext/>
        <w:numPr>
          <w:ilvl w:val="0"/>
          <w:numId w:val="9"/>
        </w:numPr>
        <w:ind w:left="561" w:hanging="561"/>
        <w:rPr>
          <w:color w:val="000000" w:themeColor="text1"/>
        </w:rPr>
      </w:pPr>
      <w:proofErr w:type="gramStart"/>
      <w:r w:rsidRPr="0058432E">
        <w:rPr>
          <w:color w:val="000000" w:themeColor="text1"/>
        </w:rPr>
        <w:t>insuffisance</w:t>
      </w:r>
      <w:proofErr w:type="gramEnd"/>
      <w:r w:rsidRPr="0058432E">
        <w:rPr>
          <w:color w:val="000000" w:themeColor="text1"/>
        </w:rPr>
        <w:t xml:space="preserve"> hépatique ; </w:t>
      </w:r>
    </w:p>
    <w:p w14:paraId="0C3E97F1" w14:textId="77777777" w:rsidR="00BD13E0" w:rsidRPr="0058432E" w:rsidRDefault="00C46587" w:rsidP="007C0A4F">
      <w:pPr>
        <w:keepNext/>
        <w:numPr>
          <w:ilvl w:val="0"/>
          <w:numId w:val="9"/>
        </w:numPr>
        <w:ind w:left="562" w:hanging="562"/>
        <w:rPr>
          <w:color w:val="000000" w:themeColor="text1"/>
        </w:rPr>
      </w:pPr>
      <w:proofErr w:type="gramStart"/>
      <w:r w:rsidRPr="0058432E">
        <w:rPr>
          <w:color w:val="000000" w:themeColor="text1"/>
        </w:rPr>
        <w:t>aggravation</w:t>
      </w:r>
      <w:proofErr w:type="gramEnd"/>
      <w:r w:rsidRPr="0058432E">
        <w:rPr>
          <w:color w:val="000000" w:themeColor="text1"/>
        </w:rPr>
        <w:t xml:space="preserve"> d’une maladie appelée dermatomyosite (caractérisée par une éruption cutanée accompagnant une faiblesse musculaire)</w:t>
      </w:r>
      <w:r w:rsidR="00BD13E0" w:rsidRPr="0058432E">
        <w:rPr>
          <w:color w:val="000000" w:themeColor="text1"/>
        </w:rPr>
        <w:t> ;</w:t>
      </w:r>
    </w:p>
    <w:p w14:paraId="5857AE0C" w14:textId="77777777" w:rsidR="00BD13E0" w:rsidRPr="0058432E" w:rsidRDefault="00BD13E0" w:rsidP="00BD13E0">
      <w:pPr>
        <w:numPr>
          <w:ilvl w:val="0"/>
          <w:numId w:val="9"/>
        </w:numPr>
        <w:rPr>
          <w:color w:val="000000" w:themeColor="text1"/>
        </w:rPr>
      </w:pPr>
      <w:r w:rsidRPr="0058432E">
        <w:rPr>
          <w:color w:val="000000" w:themeColor="text1"/>
        </w:rPr>
        <w:t xml:space="preserve">   </w:t>
      </w:r>
      <w:proofErr w:type="gramStart"/>
      <w:r w:rsidRPr="0058432E">
        <w:rPr>
          <w:color w:val="000000" w:themeColor="text1"/>
        </w:rPr>
        <w:t>prise</w:t>
      </w:r>
      <w:proofErr w:type="gramEnd"/>
      <w:r w:rsidRPr="0058432E">
        <w:rPr>
          <w:color w:val="000000" w:themeColor="text1"/>
        </w:rPr>
        <w:t xml:space="preserve"> de poids (pour la plupart des patients, la prise de poids a été faible).</w:t>
      </w:r>
    </w:p>
    <w:p w14:paraId="0A51F46C" w14:textId="77777777" w:rsidR="00C46587" w:rsidRPr="0058432E" w:rsidRDefault="00C46587" w:rsidP="00FD2941">
      <w:pPr>
        <w:keepNext/>
        <w:rPr>
          <w:color w:val="000000" w:themeColor="text1"/>
        </w:rPr>
      </w:pPr>
    </w:p>
    <w:p w14:paraId="051A8537" w14:textId="77777777" w:rsidR="00C46587" w:rsidRPr="0058432E" w:rsidRDefault="00C46587" w:rsidP="00982118">
      <w:pPr>
        <w:rPr>
          <w:color w:val="000000" w:themeColor="text1"/>
        </w:rPr>
      </w:pPr>
      <w:r w:rsidRPr="0058432E">
        <w:rPr>
          <w:color w:val="000000" w:themeColor="text1"/>
        </w:rPr>
        <w:t>Certains effets indésirables observés avec l’adalimumab ne se traduisent par aucun symptôme et ne peuvent être détectés qu’au moyen d’examens</w:t>
      </w:r>
      <w:r w:rsidR="006C6DD9" w:rsidRPr="0058432E">
        <w:rPr>
          <w:color w:val="000000" w:themeColor="text1"/>
        </w:rPr>
        <w:t xml:space="preserve"> sanguins</w:t>
      </w:r>
      <w:r w:rsidRPr="0058432E">
        <w:rPr>
          <w:color w:val="000000" w:themeColor="text1"/>
        </w:rPr>
        <w:t xml:space="preserve">. Ils incluent : </w:t>
      </w:r>
    </w:p>
    <w:p w14:paraId="65754860" w14:textId="77777777" w:rsidR="00C46587" w:rsidRPr="0058432E" w:rsidRDefault="00C46587" w:rsidP="00982118">
      <w:pPr>
        <w:rPr>
          <w:color w:val="000000" w:themeColor="text1"/>
        </w:rPr>
      </w:pPr>
    </w:p>
    <w:p w14:paraId="5F6669F5" w14:textId="77777777" w:rsidR="00C46587" w:rsidRPr="0058432E" w:rsidRDefault="00C46587" w:rsidP="007C0A4F">
      <w:pPr>
        <w:keepNext/>
        <w:rPr>
          <w:color w:val="000000" w:themeColor="text1"/>
        </w:rPr>
      </w:pPr>
      <w:r w:rsidRPr="0058432E">
        <w:rPr>
          <w:b/>
          <w:color w:val="000000" w:themeColor="text1"/>
        </w:rPr>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 </w:t>
      </w:r>
    </w:p>
    <w:p w14:paraId="76FBC919" w14:textId="77777777" w:rsidR="00C46587" w:rsidRPr="0058432E" w:rsidRDefault="00C46587" w:rsidP="007C0A4F">
      <w:pPr>
        <w:keepNext/>
        <w:rPr>
          <w:color w:val="000000" w:themeColor="text1"/>
        </w:rPr>
      </w:pPr>
    </w:p>
    <w:p w14:paraId="345EAFE8"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 </w:t>
      </w:r>
    </w:p>
    <w:p w14:paraId="2F8F1972"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rouges ; </w:t>
      </w:r>
    </w:p>
    <w:p w14:paraId="1FCFECCE"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de lipides dans le sang ; </w:t>
      </w:r>
    </w:p>
    <w:p w14:paraId="06BC4BC5" w14:textId="77777777" w:rsidR="00C46587" w:rsidRPr="0058432E" w:rsidRDefault="007A6D86" w:rsidP="007C0A4F">
      <w:pPr>
        <w:keepNext/>
        <w:numPr>
          <w:ilvl w:val="0"/>
          <w:numId w:val="9"/>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enzymes hépatiques. </w:t>
      </w:r>
    </w:p>
    <w:p w14:paraId="00B36923" w14:textId="77777777" w:rsidR="00C46587" w:rsidRPr="0058432E" w:rsidRDefault="00C46587" w:rsidP="00982118">
      <w:pPr>
        <w:rPr>
          <w:color w:val="000000" w:themeColor="text1"/>
        </w:rPr>
      </w:pPr>
    </w:p>
    <w:p w14:paraId="7DD50966" w14:textId="77777777" w:rsidR="00C46587" w:rsidRPr="0058432E" w:rsidRDefault="00C46587" w:rsidP="007C0A4F">
      <w:pPr>
        <w:keepNext/>
        <w:rPr>
          <w:color w:val="000000" w:themeColor="text1"/>
        </w:rPr>
      </w:pPr>
      <w:r w:rsidRPr="0058432E">
        <w:rPr>
          <w:b/>
          <w:color w:val="000000" w:themeColor="text1"/>
        </w:rPr>
        <w:t>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w:t>
      </w:r>
    </w:p>
    <w:p w14:paraId="70D69C44" w14:textId="77777777" w:rsidR="00C46587" w:rsidRPr="0058432E" w:rsidRDefault="00C46587" w:rsidP="007C0A4F">
      <w:pPr>
        <w:keepNext/>
        <w:rPr>
          <w:color w:val="000000" w:themeColor="text1"/>
        </w:rPr>
      </w:pPr>
    </w:p>
    <w:p w14:paraId="7435DF00"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globules blancs ; </w:t>
      </w:r>
    </w:p>
    <w:p w14:paraId="51B8FE68"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plaquettes ; </w:t>
      </w:r>
    </w:p>
    <w:p w14:paraId="4104BBEA"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d’acide urique dans le sang ; </w:t>
      </w:r>
    </w:p>
    <w:p w14:paraId="6DA9DB91"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anormaux de sodium dans le sang ; </w:t>
      </w:r>
    </w:p>
    <w:p w14:paraId="28594888"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calcium dans le sang ; </w:t>
      </w:r>
    </w:p>
    <w:p w14:paraId="044050D1"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phosphate dans le sang ; </w:t>
      </w:r>
    </w:p>
    <w:p w14:paraId="32691960"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de sucre élevé dans le sang ; </w:t>
      </w:r>
    </w:p>
    <w:p w14:paraId="04FF3B3D"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lactate déshydrogénase dans le sang ; </w:t>
      </w:r>
    </w:p>
    <w:p w14:paraId="4E9051F3" w14:textId="77777777" w:rsidR="00C2239D" w:rsidRPr="0058432E" w:rsidRDefault="00C46587" w:rsidP="007C0A4F">
      <w:pPr>
        <w:keepNext/>
        <w:numPr>
          <w:ilvl w:val="0"/>
          <w:numId w:val="9"/>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d’anticorps dans le sang ;</w:t>
      </w:r>
    </w:p>
    <w:p w14:paraId="11A4B95D" w14:textId="77777777" w:rsidR="00C46587" w:rsidRPr="0058432E" w:rsidRDefault="00C2239D"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 de potassium dans le sang. </w:t>
      </w:r>
    </w:p>
    <w:p w14:paraId="7767CF57" w14:textId="77777777" w:rsidR="00C46587" w:rsidRPr="0058432E" w:rsidRDefault="00C46587" w:rsidP="00982118">
      <w:pPr>
        <w:rPr>
          <w:color w:val="000000" w:themeColor="text1"/>
        </w:rPr>
      </w:pPr>
    </w:p>
    <w:p w14:paraId="648A4366" w14:textId="77777777" w:rsidR="00C2239D" w:rsidRPr="0058432E" w:rsidRDefault="00C2239D" w:rsidP="007C0A4F">
      <w:pPr>
        <w:keepNext/>
        <w:rPr>
          <w:color w:val="000000" w:themeColor="text1"/>
        </w:rPr>
      </w:pPr>
      <w:r w:rsidRPr="0058432E">
        <w:rPr>
          <w:b/>
          <w:color w:val="000000" w:themeColor="text1"/>
        </w:rPr>
        <w:t>Peu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100)</w:t>
      </w:r>
    </w:p>
    <w:p w14:paraId="27489791" w14:textId="77777777" w:rsidR="00C2239D" w:rsidRPr="0058432E" w:rsidRDefault="00C2239D" w:rsidP="007C0A4F">
      <w:pPr>
        <w:keepNext/>
        <w:rPr>
          <w:color w:val="000000" w:themeColor="text1"/>
        </w:rPr>
      </w:pPr>
    </w:p>
    <w:p w14:paraId="26EB64A7" w14:textId="77777777" w:rsidR="00C2239D" w:rsidRPr="0058432E" w:rsidRDefault="007A6D86"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bilirubine (test sanguin du foie).</w:t>
      </w:r>
    </w:p>
    <w:p w14:paraId="2F811F61" w14:textId="77777777" w:rsidR="00C2239D" w:rsidRPr="0058432E" w:rsidRDefault="00C2239D" w:rsidP="00982118">
      <w:pPr>
        <w:rPr>
          <w:color w:val="000000" w:themeColor="text1"/>
        </w:rPr>
      </w:pPr>
    </w:p>
    <w:p w14:paraId="079D955F" w14:textId="77777777" w:rsidR="00C46587" w:rsidRPr="0058432E" w:rsidRDefault="00C46587" w:rsidP="007C0A4F">
      <w:pPr>
        <w:keepNext/>
        <w:rPr>
          <w:color w:val="000000" w:themeColor="text1"/>
        </w:rPr>
      </w:pPr>
      <w:r w:rsidRPr="0058432E">
        <w:rPr>
          <w:b/>
          <w:color w:val="000000" w:themeColor="text1"/>
        </w:rPr>
        <w:t>Rare</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1 000)</w:t>
      </w:r>
    </w:p>
    <w:p w14:paraId="43781BC7" w14:textId="77777777" w:rsidR="00C46587" w:rsidRPr="0058432E" w:rsidRDefault="00C46587" w:rsidP="007C0A4F">
      <w:pPr>
        <w:keepNext/>
        <w:rPr>
          <w:color w:val="000000" w:themeColor="text1"/>
        </w:rPr>
      </w:pPr>
    </w:p>
    <w:p w14:paraId="71CE78F5" w14:textId="77777777" w:rsidR="00C46587" w:rsidRPr="0058432E" w:rsidRDefault="00C46587" w:rsidP="007C0A4F">
      <w:pPr>
        <w:keepNext/>
        <w:numPr>
          <w:ilvl w:val="0"/>
          <w:numId w:val="9"/>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de globules rouges et de plaquettes. </w:t>
      </w:r>
    </w:p>
    <w:p w14:paraId="19033CC7" w14:textId="77777777" w:rsidR="00C46587" w:rsidRPr="0058432E" w:rsidRDefault="00C46587" w:rsidP="00982118">
      <w:pPr>
        <w:rPr>
          <w:color w:val="000000" w:themeColor="text1"/>
        </w:rPr>
      </w:pPr>
    </w:p>
    <w:p w14:paraId="2C3F55D1" w14:textId="77777777" w:rsidR="00C46587" w:rsidRPr="0058432E" w:rsidRDefault="00C46587" w:rsidP="006B001C">
      <w:pPr>
        <w:keepNext/>
        <w:rPr>
          <w:color w:val="000000" w:themeColor="text1"/>
        </w:rPr>
      </w:pPr>
      <w:r w:rsidRPr="0058432E">
        <w:rPr>
          <w:b/>
          <w:color w:val="000000" w:themeColor="text1"/>
        </w:rPr>
        <w:t xml:space="preserve">Déclaration des effets secondaires </w:t>
      </w:r>
    </w:p>
    <w:p w14:paraId="14CBFD42" w14:textId="50578811" w:rsidR="00C46587" w:rsidRPr="0058432E" w:rsidRDefault="00C46587" w:rsidP="00982118">
      <w:pPr>
        <w:rPr>
          <w:color w:val="000000" w:themeColor="text1"/>
        </w:rPr>
      </w:pPr>
      <w:r w:rsidRPr="0058432E">
        <w:rPr>
          <w:color w:val="000000" w:themeColor="text1"/>
        </w:rPr>
        <w:t xml:space="preserve">Si votre enfant ressent un quelconque effet indésirable, parlez-en au médecin ou au pharmacien de votre enfant. Ceci s’applique aussi à tout effet indésirable qui ne serait pas mentionné dans cette notice. Vous pouvez également déclarer les effets indésirables directement via </w:t>
      </w:r>
      <w:r w:rsidRPr="0058432E">
        <w:rPr>
          <w:color w:val="000000" w:themeColor="text1"/>
          <w:highlight w:val="lightGray"/>
        </w:rPr>
        <w:t xml:space="preserve">le système national de déclaration décrit en </w:t>
      </w:r>
      <w:hyperlink r:id="rId36" w:history="1">
        <w:r w:rsidRPr="0058432E">
          <w:rPr>
            <w:rStyle w:val="Hyperlink"/>
            <w:highlight w:val="lightGray"/>
          </w:rPr>
          <w:t>Annexe V</w:t>
        </w:r>
      </w:hyperlink>
      <w:r w:rsidRPr="0058432E">
        <w:rPr>
          <w:color w:val="000000" w:themeColor="text1"/>
        </w:rPr>
        <w:t xml:space="preserve">. En signalant les effets indésirables, vous contribuez à fournir davantage d’informations sur la sécurité du médicament. </w:t>
      </w:r>
    </w:p>
    <w:p w14:paraId="70BF87A5" w14:textId="77777777" w:rsidR="00C46587" w:rsidRPr="0058432E" w:rsidRDefault="00C46587" w:rsidP="00982118">
      <w:pPr>
        <w:rPr>
          <w:color w:val="000000" w:themeColor="text1"/>
        </w:rPr>
      </w:pPr>
    </w:p>
    <w:p w14:paraId="7EC3A765" w14:textId="77777777" w:rsidR="00C46587" w:rsidRPr="0058432E" w:rsidRDefault="00C46587" w:rsidP="00982118">
      <w:pPr>
        <w:rPr>
          <w:color w:val="000000" w:themeColor="text1"/>
        </w:rPr>
      </w:pPr>
    </w:p>
    <w:p w14:paraId="32F9C19B" w14:textId="77777777" w:rsidR="00C46587" w:rsidRPr="0058432E" w:rsidRDefault="00C46587" w:rsidP="00982118">
      <w:pPr>
        <w:keepNext/>
        <w:tabs>
          <w:tab w:val="left" w:pos="562"/>
        </w:tabs>
        <w:rPr>
          <w:b/>
          <w:color w:val="000000" w:themeColor="text1"/>
        </w:rPr>
      </w:pPr>
      <w:r w:rsidRPr="0058432E">
        <w:rPr>
          <w:b/>
          <w:color w:val="000000" w:themeColor="text1"/>
        </w:rPr>
        <w:t>5.</w:t>
      </w:r>
      <w:r w:rsidRPr="0058432E">
        <w:rPr>
          <w:b/>
          <w:color w:val="000000" w:themeColor="text1"/>
        </w:rPr>
        <w:tab/>
        <w:t xml:space="preserve">Comment conserver Amsparity </w:t>
      </w:r>
    </w:p>
    <w:p w14:paraId="32853126" w14:textId="77777777" w:rsidR="00C46587" w:rsidRPr="0058432E" w:rsidRDefault="00C46587" w:rsidP="00982118">
      <w:pPr>
        <w:keepNext/>
        <w:rPr>
          <w:color w:val="000000" w:themeColor="text1"/>
        </w:rPr>
      </w:pPr>
    </w:p>
    <w:p w14:paraId="3ABB507A" w14:textId="77777777" w:rsidR="00C46587" w:rsidRPr="0058432E" w:rsidRDefault="00C46587" w:rsidP="00982118">
      <w:pPr>
        <w:rPr>
          <w:color w:val="000000" w:themeColor="text1"/>
        </w:rPr>
      </w:pPr>
      <w:r w:rsidRPr="0058432E">
        <w:rPr>
          <w:color w:val="000000" w:themeColor="text1"/>
        </w:rPr>
        <w:t xml:space="preserve">Tenir ce médicament hors de la vue et de la portée des enfants. </w:t>
      </w:r>
    </w:p>
    <w:p w14:paraId="3F0B31B6" w14:textId="77777777" w:rsidR="00C46587" w:rsidRPr="0058432E" w:rsidRDefault="00C46587" w:rsidP="00982118">
      <w:pPr>
        <w:rPr>
          <w:color w:val="000000" w:themeColor="text1"/>
        </w:rPr>
      </w:pPr>
    </w:p>
    <w:p w14:paraId="2B7EE158" w14:textId="77777777" w:rsidR="00C46587" w:rsidRPr="0058432E" w:rsidRDefault="00C46587" w:rsidP="00982118">
      <w:pPr>
        <w:rPr>
          <w:color w:val="000000" w:themeColor="text1"/>
        </w:rPr>
      </w:pPr>
      <w:r w:rsidRPr="0058432E">
        <w:rPr>
          <w:color w:val="000000" w:themeColor="text1"/>
        </w:rPr>
        <w:t xml:space="preserve">N’utilisez pas ce médicament après la date de péremption indiquée sur l’étiquette/la boîte après EXP. </w:t>
      </w:r>
    </w:p>
    <w:p w14:paraId="3D97B8B9" w14:textId="77777777" w:rsidR="00C46587" w:rsidRPr="0058432E" w:rsidRDefault="00C46587" w:rsidP="00982118">
      <w:pPr>
        <w:rPr>
          <w:color w:val="000000" w:themeColor="text1"/>
        </w:rPr>
      </w:pPr>
    </w:p>
    <w:p w14:paraId="00965D30" w14:textId="77777777" w:rsidR="00C46587" w:rsidRPr="0058432E" w:rsidRDefault="00C46587" w:rsidP="00982118">
      <w:pPr>
        <w:rPr>
          <w:color w:val="000000" w:themeColor="text1"/>
        </w:rPr>
      </w:pPr>
      <w:r w:rsidRPr="0058432E">
        <w:rPr>
          <w:color w:val="000000" w:themeColor="text1"/>
        </w:rPr>
        <w:lastRenderedPageBreak/>
        <w:t xml:space="preserve">À conserver au réfrigérateur (entre 2 °C et 8 °C). Ne pas congeler. </w:t>
      </w:r>
    </w:p>
    <w:p w14:paraId="2381B4F5" w14:textId="77777777" w:rsidR="00C46587" w:rsidRPr="0058432E" w:rsidRDefault="00C46587" w:rsidP="00982118">
      <w:pPr>
        <w:rPr>
          <w:color w:val="000000" w:themeColor="text1"/>
        </w:rPr>
      </w:pPr>
    </w:p>
    <w:p w14:paraId="4207EF86" w14:textId="77777777" w:rsidR="00C46587" w:rsidRPr="0058432E" w:rsidRDefault="00C46587" w:rsidP="00982118">
      <w:pPr>
        <w:rPr>
          <w:color w:val="000000" w:themeColor="text1"/>
        </w:rPr>
      </w:pPr>
      <w:r w:rsidRPr="0058432E">
        <w:rPr>
          <w:color w:val="000000" w:themeColor="text1"/>
        </w:rPr>
        <w:t xml:space="preserve">Conserver le flacon dans l’emballage extérieur à l’abri de la lumière. </w:t>
      </w:r>
    </w:p>
    <w:p w14:paraId="457CC8D3" w14:textId="77777777" w:rsidR="00C46587" w:rsidRPr="0058432E" w:rsidRDefault="00C46587" w:rsidP="00982118">
      <w:pPr>
        <w:rPr>
          <w:color w:val="000000" w:themeColor="text1"/>
        </w:rPr>
      </w:pPr>
    </w:p>
    <w:p w14:paraId="5F31206A" w14:textId="77777777" w:rsidR="00A8620A" w:rsidRPr="0058432E" w:rsidRDefault="00A8620A" w:rsidP="00982118">
      <w:pPr>
        <w:pStyle w:val="BodyText"/>
        <w:widowControl/>
        <w:kinsoku w:val="0"/>
        <w:overflowPunct w:val="0"/>
        <w:spacing w:before="48"/>
        <w:ind w:left="0"/>
        <w:rPr>
          <w:color w:val="000000" w:themeColor="text1"/>
          <w:u w:val="single"/>
        </w:rPr>
      </w:pPr>
      <w:r w:rsidRPr="0058432E">
        <w:rPr>
          <w:color w:val="000000" w:themeColor="text1"/>
          <w:u w:val="single"/>
        </w:rPr>
        <w:t>Autres conditions de conservation :</w:t>
      </w:r>
    </w:p>
    <w:p w14:paraId="7AB57392" w14:textId="77777777" w:rsidR="00A8620A" w:rsidRPr="0058432E" w:rsidRDefault="00A8620A" w:rsidP="00982118">
      <w:pPr>
        <w:pStyle w:val="BodyText"/>
        <w:widowControl/>
        <w:kinsoku w:val="0"/>
        <w:overflowPunct w:val="0"/>
        <w:ind w:left="0"/>
        <w:rPr>
          <w:color w:val="000000" w:themeColor="text1"/>
        </w:rPr>
      </w:pPr>
    </w:p>
    <w:p w14:paraId="1E1FABEA" w14:textId="77777777" w:rsidR="00A8620A" w:rsidRPr="0058432E" w:rsidRDefault="00A8620A" w:rsidP="00982118">
      <w:pPr>
        <w:pStyle w:val="BodyText"/>
        <w:widowControl/>
        <w:kinsoku w:val="0"/>
        <w:overflowPunct w:val="0"/>
        <w:ind w:left="0" w:right="234"/>
        <w:rPr>
          <w:color w:val="000000" w:themeColor="text1"/>
        </w:rPr>
      </w:pPr>
      <w:r w:rsidRPr="0058432E">
        <w:rPr>
          <w:color w:val="000000" w:themeColor="text1"/>
        </w:rPr>
        <w:t xml:space="preserve">Si nécessaire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9129EF" w:rsidRPr="0058432E">
        <w:rPr>
          <w:color w:val="000000" w:themeColor="text1"/>
        </w:rPr>
        <w:t>en voyage</w:t>
      </w:r>
      <w:r w:rsidRPr="0058432E">
        <w:rPr>
          <w:color w:val="000000" w:themeColor="text1"/>
        </w:rPr>
        <w:t xml:space="preserve">), un flacon d’Amsparity peut être conservé à température ambiante (jusqu’à 30 °C) pendant une durée maximale de 30 jours, en le protégeant de la lumière. Après avoir été retiré du réfrigérateur pour être conservé à température ambiante, le flacon </w:t>
      </w:r>
      <w:r w:rsidRPr="0058432E">
        <w:rPr>
          <w:b/>
          <w:bCs/>
          <w:color w:val="000000" w:themeColor="text1"/>
        </w:rPr>
        <w:t>doit être utilisé dans les 30 jours ou jeté</w:t>
      </w:r>
      <w:r w:rsidRPr="0058432E">
        <w:rPr>
          <w:color w:val="000000" w:themeColor="text1"/>
        </w:rPr>
        <w:t>, même s’il est remis au réfrigérateur.</w:t>
      </w:r>
    </w:p>
    <w:p w14:paraId="4012FDDC" w14:textId="77777777" w:rsidR="00A8620A" w:rsidRPr="0058432E" w:rsidRDefault="00A8620A" w:rsidP="00982118">
      <w:pPr>
        <w:pStyle w:val="BodyText"/>
        <w:widowControl/>
        <w:kinsoku w:val="0"/>
        <w:overflowPunct w:val="0"/>
        <w:ind w:left="0"/>
        <w:rPr>
          <w:color w:val="000000" w:themeColor="text1"/>
        </w:rPr>
      </w:pPr>
    </w:p>
    <w:p w14:paraId="33A1B032" w14:textId="77777777" w:rsidR="00A8620A" w:rsidRPr="0058432E" w:rsidRDefault="00A8620A" w:rsidP="00982118">
      <w:pPr>
        <w:pStyle w:val="BodyText"/>
        <w:widowControl/>
        <w:kinsoku w:val="0"/>
        <w:overflowPunct w:val="0"/>
        <w:ind w:left="0" w:right="234"/>
        <w:rPr>
          <w:color w:val="000000" w:themeColor="text1"/>
        </w:rPr>
      </w:pPr>
      <w:r w:rsidRPr="0058432E">
        <w:rPr>
          <w:color w:val="000000" w:themeColor="text1"/>
        </w:rPr>
        <w:t>Vous devez noter la date à laquelle le flacon a été retiré la première fois du réfrigérateur et la date à laquelle il doit être jeté.</w:t>
      </w:r>
    </w:p>
    <w:p w14:paraId="5CF14EBF" w14:textId="77777777" w:rsidR="00A8620A" w:rsidRPr="0058432E" w:rsidRDefault="00A8620A" w:rsidP="00982118">
      <w:pPr>
        <w:rPr>
          <w:color w:val="000000" w:themeColor="text1"/>
        </w:rPr>
      </w:pPr>
    </w:p>
    <w:p w14:paraId="3066D466" w14:textId="77777777" w:rsidR="00C46587" w:rsidRPr="0058432E" w:rsidRDefault="00C46587" w:rsidP="00982118">
      <w:pPr>
        <w:rPr>
          <w:color w:val="000000" w:themeColor="text1"/>
        </w:rPr>
      </w:pPr>
      <w:r w:rsidRPr="0058432E">
        <w:rPr>
          <w:color w:val="000000" w:themeColor="text1"/>
        </w:rPr>
        <w:t xml:space="preserve">Ne jetez aucun médicament au tout-à-l’égout ou avec les ordures ménagères. Demandez </w:t>
      </w:r>
      <w:r w:rsidR="009129EF" w:rsidRPr="0058432E">
        <w:rPr>
          <w:color w:val="000000" w:themeColor="text1"/>
        </w:rPr>
        <w:t>au médecin</w:t>
      </w:r>
      <w:r w:rsidR="00CB0A35" w:rsidRPr="0058432E">
        <w:rPr>
          <w:color w:val="000000" w:themeColor="text1"/>
        </w:rPr>
        <w:t xml:space="preserve"> de votre enfant</w:t>
      </w:r>
      <w:r w:rsidR="009129EF" w:rsidRPr="0058432E">
        <w:rPr>
          <w:color w:val="000000" w:themeColor="text1"/>
        </w:rPr>
        <w:t xml:space="preserve"> ou au</w:t>
      </w:r>
      <w:r w:rsidRPr="0058432E">
        <w:rPr>
          <w:color w:val="000000" w:themeColor="text1"/>
        </w:rPr>
        <w:t xml:space="preserve"> pharmacien</w:t>
      </w:r>
      <w:r w:rsidR="009129EF" w:rsidRPr="0058432E">
        <w:rPr>
          <w:color w:val="000000" w:themeColor="text1"/>
        </w:rPr>
        <w:t xml:space="preserve"> </w:t>
      </w:r>
      <w:r w:rsidRPr="0058432E">
        <w:rPr>
          <w:color w:val="000000" w:themeColor="text1"/>
        </w:rPr>
        <w:t xml:space="preserve">d’éliminer les médicaments que vous n’utilisez plus. Ces mesures contribueront à protéger l’environnement. </w:t>
      </w:r>
    </w:p>
    <w:p w14:paraId="73EF0CD1" w14:textId="77777777" w:rsidR="00C46587" w:rsidRPr="0058432E" w:rsidRDefault="00C46587" w:rsidP="00982118">
      <w:pPr>
        <w:rPr>
          <w:color w:val="000000" w:themeColor="text1"/>
        </w:rPr>
      </w:pPr>
    </w:p>
    <w:p w14:paraId="34CB9DDF" w14:textId="77777777" w:rsidR="00C46587" w:rsidRPr="0058432E" w:rsidRDefault="00C46587" w:rsidP="00982118">
      <w:pPr>
        <w:rPr>
          <w:color w:val="000000" w:themeColor="text1"/>
        </w:rPr>
      </w:pPr>
    </w:p>
    <w:p w14:paraId="027435E1" w14:textId="77777777" w:rsidR="00C46587" w:rsidRPr="0058432E" w:rsidRDefault="00C46587" w:rsidP="00982118">
      <w:pPr>
        <w:tabs>
          <w:tab w:val="left" w:pos="562"/>
        </w:tabs>
        <w:rPr>
          <w:b/>
          <w:color w:val="000000" w:themeColor="text1"/>
        </w:rPr>
      </w:pPr>
      <w:r w:rsidRPr="0058432E">
        <w:rPr>
          <w:b/>
          <w:color w:val="000000" w:themeColor="text1"/>
        </w:rPr>
        <w:t>6.</w:t>
      </w:r>
      <w:r w:rsidRPr="0058432E">
        <w:rPr>
          <w:b/>
          <w:color w:val="000000" w:themeColor="text1"/>
        </w:rPr>
        <w:tab/>
        <w:t xml:space="preserve">Contenu de l’emballage et autres informations </w:t>
      </w:r>
    </w:p>
    <w:p w14:paraId="3F439F40" w14:textId="77777777" w:rsidR="00C46587" w:rsidRPr="0058432E" w:rsidRDefault="00C46587" w:rsidP="00982118">
      <w:pPr>
        <w:rPr>
          <w:color w:val="000000" w:themeColor="text1"/>
        </w:rPr>
      </w:pPr>
    </w:p>
    <w:p w14:paraId="20414208" w14:textId="77777777" w:rsidR="00C46587" w:rsidRPr="0058432E" w:rsidRDefault="00C46587" w:rsidP="00982118">
      <w:pPr>
        <w:rPr>
          <w:b/>
          <w:color w:val="000000" w:themeColor="text1"/>
        </w:rPr>
      </w:pPr>
      <w:r w:rsidRPr="0058432E">
        <w:rPr>
          <w:b/>
          <w:color w:val="000000" w:themeColor="text1"/>
        </w:rPr>
        <w:t>Ce que contient Amsparity</w:t>
      </w:r>
    </w:p>
    <w:p w14:paraId="028EE6FB" w14:textId="77777777" w:rsidR="00C46587" w:rsidRPr="0058432E" w:rsidRDefault="00C46587" w:rsidP="00982118">
      <w:pPr>
        <w:rPr>
          <w:color w:val="000000" w:themeColor="text1"/>
        </w:rPr>
      </w:pPr>
    </w:p>
    <w:p w14:paraId="3F3FD5E5" w14:textId="77777777" w:rsidR="00C46587" w:rsidRPr="0058432E" w:rsidRDefault="00C46587" w:rsidP="00982118">
      <w:pPr>
        <w:rPr>
          <w:color w:val="000000" w:themeColor="text1"/>
        </w:rPr>
      </w:pPr>
      <w:r w:rsidRPr="0058432E">
        <w:rPr>
          <w:color w:val="000000" w:themeColor="text1"/>
        </w:rPr>
        <w:t xml:space="preserve">La substance active est l’adalimumab. </w:t>
      </w:r>
    </w:p>
    <w:p w14:paraId="0EFD7A34" w14:textId="77777777" w:rsidR="0016465E" w:rsidRPr="0058432E" w:rsidRDefault="0016465E" w:rsidP="00982118">
      <w:pPr>
        <w:rPr>
          <w:color w:val="000000" w:themeColor="text1"/>
        </w:rPr>
      </w:pPr>
    </w:p>
    <w:p w14:paraId="2D45D65D" w14:textId="74051872" w:rsidR="00C46587" w:rsidRPr="0058432E" w:rsidRDefault="00C46587" w:rsidP="00982118">
      <w:pPr>
        <w:rPr>
          <w:color w:val="000000" w:themeColor="text1"/>
        </w:rPr>
      </w:pPr>
      <w:r w:rsidRPr="0058432E">
        <w:rPr>
          <w:color w:val="000000" w:themeColor="text1"/>
        </w:rPr>
        <w:t>Les autres composants sont : L-histidine, chlorhydrate de L-histidine monohydraté, saccharose, édétate disodique dihydraté, L-méthionine, polysorbate 80 et eau pour préparations injectables</w:t>
      </w:r>
      <w:r w:rsidR="00253214" w:rsidRPr="0058432E">
        <w:rPr>
          <w:color w:val="000000" w:themeColor="text1"/>
        </w:rPr>
        <w:t xml:space="preserve"> (voir rubrique 2 « Amsparity contient du polysorbate 80 » et « Amsparity contient du sodium »)</w:t>
      </w:r>
      <w:r w:rsidRPr="0058432E">
        <w:rPr>
          <w:color w:val="000000" w:themeColor="text1"/>
        </w:rPr>
        <w:t xml:space="preserve">. </w:t>
      </w:r>
    </w:p>
    <w:p w14:paraId="6B3D6D79" w14:textId="77777777" w:rsidR="00C46587" w:rsidRPr="0058432E" w:rsidRDefault="00C46587" w:rsidP="00982118">
      <w:pPr>
        <w:rPr>
          <w:color w:val="000000" w:themeColor="text1"/>
        </w:rPr>
      </w:pPr>
    </w:p>
    <w:p w14:paraId="2E9DA3EF" w14:textId="77777777" w:rsidR="00C46587" w:rsidRPr="0058432E" w:rsidRDefault="00C46587" w:rsidP="00982118">
      <w:pPr>
        <w:rPr>
          <w:b/>
          <w:color w:val="000000" w:themeColor="text1"/>
        </w:rPr>
      </w:pPr>
      <w:r w:rsidRPr="0058432E">
        <w:rPr>
          <w:b/>
          <w:color w:val="000000" w:themeColor="text1"/>
        </w:rPr>
        <w:t xml:space="preserve">Comment se présente Amsparity en flacon et contenu de l'emballage extérieur </w:t>
      </w:r>
    </w:p>
    <w:p w14:paraId="70A6CDBB" w14:textId="77777777" w:rsidR="00C46587" w:rsidRPr="0058432E" w:rsidRDefault="00C46587" w:rsidP="00982118">
      <w:pPr>
        <w:rPr>
          <w:color w:val="000000" w:themeColor="text1"/>
        </w:rPr>
      </w:pPr>
    </w:p>
    <w:p w14:paraId="4A2F6AD4" w14:textId="77777777" w:rsidR="00C46587" w:rsidRPr="0058432E" w:rsidRDefault="006A1144" w:rsidP="00982118">
      <w:pPr>
        <w:rPr>
          <w:color w:val="000000" w:themeColor="text1"/>
        </w:rPr>
      </w:pPr>
      <w:r w:rsidRPr="0058432E">
        <w:rPr>
          <w:color w:val="000000" w:themeColor="text1"/>
        </w:rPr>
        <w:t xml:space="preserve">Amsparity 40 mg, solution injectable en flacon est présenté sous forme de solution stérile de 40 mg d’adalimumab dissous dans 0,8 ml de solution. </w:t>
      </w:r>
    </w:p>
    <w:p w14:paraId="18223670" w14:textId="77777777" w:rsidR="00C46587" w:rsidRPr="0058432E" w:rsidRDefault="00C46587" w:rsidP="00982118">
      <w:pPr>
        <w:rPr>
          <w:color w:val="000000" w:themeColor="text1"/>
        </w:rPr>
      </w:pPr>
    </w:p>
    <w:p w14:paraId="738F1DFB" w14:textId="77777777" w:rsidR="00C46587" w:rsidRPr="0058432E" w:rsidRDefault="00C46587" w:rsidP="00982118">
      <w:pPr>
        <w:rPr>
          <w:color w:val="000000" w:themeColor="text1"/>
        </w:rPr>
      </w:pPr>
      <w:r w:rsidRPr="0058432E">
        <w:rPr>
          <w:color w:val="000000" w:themeColor="text1"/>
        </w:rPr>
        <w:t xml:space="preserve">Le flacon d’Amsparity est un flacon en verre contenant une solution d’adalimumab limpide, incolore à brun très clair. Chaque étui contient 2 boîtes contenant chacune 1 flacon, 1 seringue stérile vide, 1 aiguille, 1 adaptateur pour flacon et 2 tampons d’alcool. </w:t>
      </w:r>
    </w:p>
    <w:p w14:paraId="547E2855" w14:textId="77777777" w:rsidR="00C46587" w:rsidRPr="0058432E" w:rsidRDefault="00C46587" w:rsidP="00982118">
      <w:pPr>
        <w:rPr>
          <w:color w:val="000000" w:themeColor="text1"/>
        </w:rPr>
      </w:pPr>
    </w:p>
    <w:p w14:paraId="06DE325A" w14:textId="77777777" w:rsidR="00C46587" w:rsidRPr="0058432E" w:rsidRDefault="006A1144" w:rsidP="00982118">
      <w:pPr>
        <w:rPr>
          <w:color w:val="000000" w:themeColor="text1"/>
        </w:rPr>
      </w:pPr>
      <w:r w:rsidRPr="0058432E">
        <w:rPr>
          <w:color w:val="000000" w:themeColor="text1"/>
        </w:rPr>
        <w:t xml:space="preserve">Amsparity est disponible en flacon, en seringue préremplie et/ou en stylo prérempli. </w:t>
      </w:r>
    </w:p>
    <w:p w14:paraId="153E68A3" w14:textId="77777777" w:rsidR="00C46587" w:rsidRPr="0058432E" w:rsidRDefault="00C46587" w:rsidP="00982118">
      <w:pPr>
        <w:rPr>
          <w:color w:val="000000" w:themeColor="text1"/>
        </w:rPr>
      </w:pPr>
    </w:p>
    <w:p w14:paraId="1640E2B3" w14:textId="77777777" w:rsidR="00C46587" w:rsidRPr="0058432E" w:rsidRDefault="00C46587" w:rsidP="00982118">
      <w:pPr>
        <w:rPr>
          <w:b/>
          <w:color w:val="000000" w:themeColor="text1"/>
        </w:rPr>
      </w:pPr>
      <w:r w:rsidRPr="0058432E">
        <w:rPr>
          <w:b/>
          <w:color w:val="000000" w:themeColor="text1"/>
        </w:rPr>
        <w:t xml:space="preserve">Titulaire de l’Autorisation de mise sur le marché </w:t>
      </w:r>
    </w:p>
    <w:p w14:paraId="5245AA51" w14:textId="77777777" w:rsidR="00C46587" w:rsidRPr="0058432E" w:rsidRDefault="00C46587" w:rsidP="00982118">
      <w:pPr>
        <w:rPr>
          <w:color w:val="000000" w:themeColor="text1"/>
        </w:rPr>
      </w:pPr>
    </w:p>
    <w:p w14:paraId="55A3D598" w14:textId="77777777" w:rsidR="0003704A" w:rsidRPr="0058432E" w:rsidRDefault="0003704A" w:rsidP="00982118">
      <w:pPr>
        <w:rPr>
          <w:color w:val="000000" w:themeColor="text1"/>
        </w:rPr>
      </w:pPr>
      <w:r w:rsidRPr="0058432E">
        <w:rPr>
          <w:color w:val="000000" w:themeColor="text1"/>
        </w:rPr>
        <w:t>Pfizer Europe MA EEIG</w:t>
      </w:r>
    </w:p>
    <w:p w14:paraId="0945FED7"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Boulevard de la Plaine 17</w:t>
      </w:r>
    </w:p>
    <w:p w14:paraId="5D4E30AE"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1050 Bruxelles</w:t>
      </w:r>
    </w:p>
    <w:p w14:paraId="1BAE745B"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Belgique</w:t>
      </w:r>
    </w:p>
    <w:p w14:paraId="0EB2852D" w14:textId="77777777" w:rsidR="00C46587" w:rsidRPr="0058432E" w:rsidRDefault="00C46587" w:rsidP="00982118">
      <w:pPr>
        <w:rPr>
          <w:color w:val="000000" w:themeColor="text1"/>
        </w:rPr>
      </w:pPr>
    </w:p>
    <w:p w14:paraId="71ABD913" w14:textId="77777777" w:rsidR="00C46587" w:rsidRPr="0058432E" w:rsidRDefault="00C46587" w:rsidP="00982118">
      <w:pPr>
        <w:rPr>
          <w:b/>
          <w:color w:val="000000" w:themeColor="text1"/>
        </w:rPr>
      </w:pPr>
      <w:r w:rsidRPr="0058432E">
        <w:rPr>
          <w:b/>
          <w:color w:val="000000" w:themeColor="text1"/>
        </w:rPr>
        <w:t xml:space="preserve">Fabricant </w:t>
      </w:r>
    </w:p>
    <w:p w14:paraId="68B3A3EA" w14:textId="77777777" w:rsidR="00C46587" w:rsidRPr="0058432E" w:rsidRDefault="00C46587" w:rsidP="00982118">
      <w:pPr>
        <w:rPr>
          <w:color w:val="000000" w:themeColor="text1"/>
        </w:rPr>
      </w:pPr>
    </w:p>
    <w:p w14:paraId="4EA42525" w14:textId="33B2CEBA"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Pfizer Service Company BV</w:t>
      </w:r>
    </w:p>
    <w:p w14:paraId="5AF12795" w14:textId="77777777" w:rsidR="00D03468" w:rsidRPr="00B03C37" w:rsidRDefault="00D03468" w:rsidP="00D03468">
      <w:pPr>
        <w:rPr>
          <w:ins w:id="34" w:author="Author" w:date="2025-06-12T13:44:00Z" w16du:dateUtc="2025-06-12T12:44:00Z"/>
        </w:rPr>
      </w:pPr>
      <w:proofErr w:type="spellStart"/>
      <w:ins w:id="35" w:author="Author" w:date="2025-06-12T13:44:00Z" w16du:dateUtc="2025-06-12T12:44:00Z">
        <w:r w:rsidRPr="00B03C37">
          <w:t>Hermeslaan</w:t>
        </w:r>
        <w:proofErr w:type="spellEnd"/>
        <w:r w:rsidRPr="00B03C37">
          <w:t xml:space="preserve"> 11</w:t>
        </w:r>
      </w:ins>
    </w:p>
    <w:p w14:paraId="0A31CDD1" w14:textId="59C21FD0" w:rsidR="00AB5164" w:rsidRPr="0058432E" w:rsidDel="00D03468" w:rsidRDefault="00D03468" w:rsidP="00982118">
      <w:pPr>
        <w:pStyle w:val="BodyText"/>
        <w:keepNext/>
        <w:widowControl/>
        <w:kinsoku w:val="0"/>
        <w:overflowPunct w:val="0"/>
        <w:ind w:left="0"/>
        <w:rPr>
          <w:del w:id="36" w:author="Author" w:date="2025-06-12T13:44:00Z" w16du:dateUtc="2025-06-12T12:44:00Z"/>
          <w:color w:val="000000" w:themeColor="text1"/>
        </w:rPr>
      </w:pPr>
      <w:ins w:id="37" w:author="Author" w:date="2025-06-12T13:44:00Z" w16du:dateUtc="2025-06-12T12:44:00Z">
        <w:r>
          <w:rPr>
            <w:color w:val="000000" w:themeColor="text1"/>
          </w:rPr>
          <w:t xml:space="preserve">1932 </w:t>
        </w:r>
      </w:ins>
      <w:del w:id="38" w:author="Author" w:date="2025-06-12T13:44:00Z" w16du:dateUtc="2025-06-12T12:44:00Z">
        <w:r w:rsidR="00AB5164" w:rsidRPr="0058432E" w:rsidDel="00D03468">
          <w:rPr>
            <w:color w:val="000000" w:themeColor="text1"/>
          </w:rPr>
          <w:delText>Hoge Wei 10</w:delText>
        </w:r>
      </w:del>
    </w:p>
    <w:p w14:paraId="33B18871"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Zaventem</w:t>
      </w:r>
      <w:del w:id="39" w:author="Author" w:date="2025-06-12T13:44:00Z" w16du:dateUtc="2025-06-12T12:44:00Z">
        <w:r w:rsidRPr="0058432E" w:rsidDel="00D03468">
          <w:rPr>
            <w:color w:val="000000" w:themeColor="text1"/>
          </w:rPr>
          <w:delText xml:space="preserve"> 1930</w:delText>
        </w:r>
      </w:del>
    </w:p>
    <w:p w14:paraId="3CCC35C3"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Belgique</w:t>
      </w:r>
    </w:p>
    <w:p w14:paraId="01374419" w14:textId="77777777" w:rsidR="00C46587" w:rsidRPr="0058432E" w:rsidRDefault="00C46587" w:rsidP="00982118">
      <w:pPr>
        <w:rPr>
          <w:color w:val="000000" w:themeColor="text1"/>
        </w:rPr>
      </w:pPr>
    </w:p>
    <w:p w14:paraId="403C26C8" w14:textId="77777777" w:rsidR="00C46587" w:rsidRPr="0058432E" w:rsidRDefault="00C46587" w:rsidP="00982118">
      <w:pPr>
        <w:rPr>
          <w:color w:val="000000" w:themeColor="text1"/>
        </w:rPr>
      </w:pPr>
      <w:r w:rsidRPr="0058432E">
        <w:rPr>
          <w:color w:val="000000" w:themeColor="text1"/>
        </w:rPr>
        <w:t xml:space="preserve">Pour toute information complémentaire concernant ce médicament, veuillez prendre contact avec le représentant local du titulaire de l’autorisation de mise sur le marché : </w:t>
      </w:r>
    </w:p>
    <w:p w14:paraId="5EA8AD3C" w14:textId="77777777" w:rsidR="00C46587" w:rsidRPr="0058432E" w:rsidRDefault="00C46587" w:rsidP="00982118">
      <w:pPr>
        <w:rPr>
          <w:color w:val="000000" w:themeColor="text1"/>
        </w:rPr>
      </w:pPr>
    </w:p>
    <w:tbl>
      <w:tblPr>
        <w:tblW w:w="5000" w:type="pct"/>
        <w:tblCellMar>
          <w:left w:w="0" w:type="dxa"/>
          <w:right w:w="0" w:type="dxa"/>
        </w:tblCellMar>
        <w:tblLook w:val="04A0" w:firstRow="1" w:lastRow="0" w:firstColumn="1" w:lastColumn="0" w:noHBand="0" w:noVBand="1"/>
      </w:tblPr>
      <w:tblGrid>
        <w:gridCol w:w="4110"/>
        <w:gridCol w:w="4689"/>
        <w:gridCol w:w="276"/>
      </w:tblGrid>
      <w:tr w:rsidR="000207AB" w:rsidRPr="0058432E" w14:paraId="4B03FBC8" w14:textId="77777777" w:rsidTr="00053717">
        <w:trPr>
          <w:gridAfter w:val="1"/>
          <w:wAfter w:w="285" w:type="dxa"/>
          <w:cantSplit/>
        </w:trPr>
        <w:tc>
          <w:tcPr>
            <w:tcW w:w="4158" w:type="dxa"/>
            <w:tcMar>
              <w:top w:w="0" w:type="dxa"/>
              <w:left w:w="108" w:type="dxa"/>
              <w:bottom w:w="0" w:type="dxa"/>
              <w:right w:w="108" w:type="dxa"/>
            </w:tcMar>
            <w:hideMark/>
          </w:tcPr>
          <w:p w14:paraId="080AAF4A" w14:textId="77777777" w:rsidR="000207AB" w:rsidRPr="0058432E" w:rsidRDefault="000207AB" w:rsidP="00982118">
            <w:pPr>
              <w:rPr>
                <w:b/>
                <w:bCs/>
                <w:color w:val="000000" w:themeColor="text1"/>
              </w:rPr>
            </w:pPr>
            <w:r w:rsidRPr="0058432E">
              <w:rPr>
                <w:b/>
                <w:bCs/>
                <w:color w:val="000000" w:themeColor="text1"/>
              </w:rPr>
              <w:lastRenderedPageBreak/>
              <w:t>België/Belgique/Belgien</w:t>
            </w:r>
          </w:p>
          <w:p w14:paraId="1CF37138" w14:textId="77777777" w:rsidR="000207AB" w:rsidRPr="0058432E" w:rsidRDefault="000207AB" w:rsidP="00982118">
            <w:pPr>
              <w:rPr>
                <w:b/>
                <w:bCs/>
                <w:color w:val="000000" w:themeColor="text1"/>
              </w:rPr>
            </w:pPr>
            <w:r w:rsidRPr="0058432E">
              <w:rPr>
                <w:b/>
                <w:bCs/>
                <w:color w:val="000000" w:themeColor="text1"/>
              </w:rPr>
              <w:t>Luxembourg/Luxemburg</w:t>
            </w:r>
          </w:p>
          <w:p w14:paraId="424B21D3" w14:textId="77777777" w:rsidR="000207AB" w:rsidRPr="0058432E" w:rsidRDefault="000207AB" w:rsidP="00982118">
            <w:pPr>
              <w:rPr>
                <w:color w:val="000000" w:themeColor="text1"/>
              </w:rPr>
            </w:pPr>
            <w:r w:rsidRPr="0058432E">
              <w:rPr>
                <w:color w:val="000000" w:themeColor="text1"/>
              </w:rPr>
              <w:t>Pfizer NV/SA</w:t>
            </w:r>
          </w:p>
          <w:p w14:paraId="575D6322" w14:textId="76EDB6A9" w:rsidR="000207AB" w:rsidRPr="0058432E" w:rsidRDefault="000207AB" w:rsidP="00982118">
            <w:pPr>
              <w:autoSpaceDE w:val="0"/>
              <w:autoSpaceDN w:val="0"/>
              <w:rPr>
                <w:color w:val="000000" w:themeColor="text1"/>
              </w:rPr>
            </w:pPr>
            <w:r w:rsidRPr="0058432E">
              <w:rPr>
                <w:color w:val="000000" w:themeColor="text1"/>
              </w:rPr>
              <w:t>Tél/</w:t>
            </w:r>
            <w:proofErr w:type="gramStart"/>
            <w:r w:rsidRPr="0058432E">
              <w:rPr>
                <w:color w:val="000000" w:themeColor="text1"/>
              </w:rPr>
              <w:t>Tel:</w:t>
            </w:r>
            <w:proofErr w:type="gramEnd"/>
            <w:r w:rsidRPr="0058432E">
              <w:rPr>
                <w:color w:val="000000" w:themeColor="text1"/>
              </w:rPr>
              <w:t xml:space="preserve"> +32 (0)2 554 62 11</w:t>
            </w:r>
            <w:r w:rsidR="00253214" w:rsidRPr="0058432E">
              <w:rPr>
                <w:color w:val="000000" w:themeColor="text1"/>
              </w:rPr>
              <w:br/>
            </w:r>
          </w:p>
          <w:p w14:paraId="34B0F422"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03927B98" w14:textId="77777777" w:rsidR="000207AB" w:rsidRPr="0058432E" w:rsidRDefault="000207AB" w:rsidP="00982118">
            <w:pPr>
              <w:rPr>
                <w:b/>
                <w:bCs/>
                <w:color w:val="000000" w:themeColor="text1"/>
              </w:rPr>
            </w:pPr>
            <w:r w:rsidRPr="0058432E">
              <w:rPr>
                <w:b/>
                <w:bCs/>
                <w:color w:val="000000" w:themeColor="text1"/>
              </w:rPr>
              <w:t>Kύπρος</w:t>
            </w:r>
          </w:p>
          <w:p w14:paraId="259C3563" w14:textId="77777777" w:rsidR="000207AB" w:rsidRPr="0058432E" w:rsidRDefault="000207AB" w:rsidP="00982118">
            <w:pPr>
              <w:rPr>
                <w:color w:val="000000" w:themeColor="text1"/>
              </w:rPr>
            </w:pPr>
            <w:r w:rsidRPr="0058432E">
              <w:rPr>
                <w:color w:val="000000" w:themeColor="text1"/>
              </w:rPr>
              <w:t>PFIZER EΛΛAΣ A.E. (CYPRUS BRANCH)</w:t>
            </w:r>
          </w:p>
          <w:p w14:paraId="74B8CF28" w14:textId="77777777" w:rsidR="000207AB" w:rsidRPr="0058432E" w:rsidRDefault="00FE36C9" w:rsidP="00982118">
            <w:pPr>
              <w:rPr>
                <w:color w:val="000000" w:themeColor="text1"/>
              </w:rPr>
            </w:pPr>
            <w:proofErr w:type="gramStart"/>
            <w:r w:rsidRPr="0058432E">
              <w:rPr>
                <w:color w:val="000000" w:themeColor="text1"/>
              </w:rPr>
              <w:t>Τηλ:</w:t>
            </w:r>
            <w:proofErr w:type="gramEnd"/>
            <w:r w:rsidRPr="0058432E">
              <w:rPr>
                <w:color w:val="000000" w:themeColor="text1"/>
              </w:rPr>
              <w:t xml:space="preserve"> +357 22 817690</w:t>
            </w:r>
          </w:p>
          <w:p w14:paraId="70F03A93" w14:textId="77777777" w:rsidR="000207AB" w:rsidRPr="0058432E" w:rsidRDefault="000207AB" w:rsidP="00982118">
            <w:pPr>
              <w:autoSpaceDE w:val="0"/>
              <w:autoSpaceDN w:val="0"/>
              <w:rPr>
                <w:color w:val="000000" w:themeColor="text1"/>
              </w:rPr>
            </w:pPr>
          </w:p>
        </w:tc>
      </w:tr>
      <w:tr w:rsidR="00EB3DF8" w:rsidRPr="0058432E" w14:paraId="19404CDB" w14:textId="77777777" w:rsidTr="00053717">
        <w:trPr>
          <w:cantSplit/>
        </w:trPr>
        <w:tc>
          <w:tcPr>
            <w:tcW w:w="4158" w:type="dxa"/>
            <w:tcMar>
              <w:top w:w="0" w:type="dxa"/>
              <w:left w:w="108" w:type="dxa"/>
              <w:bottom w:w="0" w:type="dxa"/>
              <w:right w:w="108" w:type="dxa"/>
            </w:tcMar>
          </w:tcPr>
          <w:p w14:paraId="6D5A5C02" w14:textId="77777777" w:rsidR="00EB3DF8" w:rsidRPr="0058432E" w:rsidRDefault="00EB3DF8" w:rsidP="00982118">
            <w:pPr>
              <w:rPr>
                <w:b/>
                <w:bCs/>
                <w:color w:val="000000" w:themeColor="text1"/>
              </w:rPr>
            </w:pPr>
          </w:p>
        </w:tc>
        <w:tc>
          <w:tcPr>
            <w:tcW w:w="4788" w:type="dxa"/>
            <w:gridSpan w:val="2"/>
            <w:tcMar>
              <w:top w:w="0" w:type="dxa"/>
              <w:left w:w="108" w:type="dxa"/>
              <w:bottom w:w="0" w:type="dxa"/>
              <w:right w:w="108" w:type="dxa"/>
            </w:tcMar>
          </w:tcPr>
          <w:p w14:paraId="3E88981C" w14:textId="77777777" w:rsidR="00EB3DF8" w:rsidRPr="0058432E" w:rsidRDefault="00EB3DF8" w:rsidP="00982118">
            <w:pPr>
              <w:rPr>
                <w:b/>
                <w:bCs/>
                <w:color w:val="000000" w:themeColor="text1"/>
              </w:rPr>
            </w:pPr>
          </w:p>
        </w:tc>
      </w:tr>
      <w:tr w:rsidR="000207AB" w:rsidRPr="0058432E" w14:paraId="304737DB" w14:textId="77777777" w:rsidTr="00053717">
        <w:trPr>
          <w:gridAfter w:val="1"/>
          <w:wAfter w:w="285" w:type="dxa"/>
          <w:cantSplit/>
        </w:trPr>
        <w:tc>
          <w:tcPr>
            <w:tcW w:w="4158" w:type="dxa"/>
            <w:tcMar>
              <w:top w:w="0" w:type="dxa"/>
              <w:left w:w="108" w:type="dxa"/>
              <w:bottom w:w="0" w:type="dxa"/>
              <w:right w:w="108" w:type="dxa"/>
            </w:tcMar>
          </w:tcPr>
          <w:p w14:paraId="72DF1486" w14:textId="77777777" w:rsidR="000207AB" w:rsidRPr="001E2FDF" w:rsidRDefault="000207AB" w:rsidP="00982118">
            <w:pPr>
              <w:rPr>
                <w:b/>
                <w:bCs/>
                <w:color w:val="000000" w:themeColor="text1"/>
                <w:lang w:val="en-GB"/>
              </w:rPr>
            </w:pPr>
            <w:proofErr w:type="spellStart"/>
            <w:r w:rsidRPr="001E2FDF">
              <w:rPr>
                <w:b/>
                <w:bCs/>
                <w:color w:val="000000" w:themeColor="text1"/>
                <w:lang w:val="en-GB"/>
              </w:rPr>
              <w:t>Česká</w:t>
            </w:r>
            <w:proofErr w:type="spellEnd"/>
            <w:r w:rsidRPr="001E2FDF">
              <w:rPr>
                <w:b/>
                <w:bCs/>
                <w:color w:val="000000" w:themeColor="text1"/>
                <w:lang w:val="en-GB"/>
              </w:rPr>
              <w:t xml:space="preserve"> </w:t>
            </w:r>
            <w:proofErr w:type="spellStart"/>
            <w:r w:rsidRPr="001E2FDF">
              <w:rPr>
                <w:b/>
                <w:bCs/>
                <w:color w:val="000000" w:themeColor="text1"/>
                <w:lang w:val="en-GB"/>
              </w:rPr>
              <w:t>Republika</w:t>
            </w:r>
            <w:proofErr w:type="spellEnd"/>
          </w:p>
          <w:p w14:paraId="732355F5" w14:textId="77777777" w:rsidR="000207AB" w:rsidRPr="008444F9" w:rsidRDefault="000207AB" w:rsidP="00982118">
            <w:pPr>
              <w:rPr>
                <w:color w:val="000000" w:themeColor="text1"/>
                <w:lang w:val="en-US"/>
              </w:rPr>
            </w:pPr>
            <w:r w:rsidRPr="008444F9">
              <w:rPr>
                <w:color w:val="000000" w:themeColor="text1"/>
                <w:lang w:val="en-US"/>
              </w:rPr>
              <w:t xml:space="preserve">Pfizer, </w:t>
            </w:r>
            <w:proofErr w:type="spellStart"/>
            <w:r w:rsidRPr="008444F9">
              <w:rPr>
                <w:color w:val="000000" w:themeColor="text1"/>
                <w:lang w:val="en-US"/>
              </w:rPr>
              <w:t>spol</w:t>
            </w:r>
            <w:proofErr w:type="spellEnd"/>
            <w:r w:rsidRPr="008444F9">
              <w:rPr>
                <w:color w:val="000000" w:themeColor="text1"/>
                <w:lang w:val="en-US"/>
              </w:rPr>
              <w:t>. s r.o.</w:t>
            </w:r>
          </w:p>
          <w:p w14:paraId="2DA58CD2"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+420-283-004-111</w:t>
            </w:r>
          </w:p>
          <w:p w14:paraId="43180EA9"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0CF72FFB" w14:textId="77777777" w:rsidR="000207AB" w:rsidRPr="0058432E" w:rsidRDefault="000207AB" w:rsidP="00982118">
            <w:pPr>
              <w:rPr>
                <w:b/>
                <w:bCs/>
                <w:color w:val="000000" w:themeColor="text1"/>
              </w:rPr>
            </w:pPr>
            <w:r w:rsidRPr="0058432E">
              <w:rPr>
                <w:b/>
                <w:bCs/>
                <w:color w:val="000000" w:themeColor="text1"/>
              </w:rPr>
              <w:t>Magyarország</w:t>
            </w:r>
          </w:p>
          <w:p w14:paraId="01F867B6" w14:textId="77777777" w:rsidR="000207AB" w:rsidRPr="0058432E" w:rsidRDefault="000207AB" w:rsidP="00982118">
            <w:pPr>
              <w:rPr>
                <w:color w:val="000000" w:themeColor="text1"/>
              </w:rPr>
            </w:pPr>
            <w:r w:rsidRPr="0058432E">
              <w:rPr>
                <w:color w:val="000000" w:themeColor="text1"/>
              </w:rPr>
              <w:t>Pfizer Kft.</w:t>
            </w:r>
          </w:p>
          <w:p w14:paraId="31AF5515"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+36 1 488 3700</w:t>
            </w:r>
          </w:p>
          <w:p w14:paraId="2E5FE7AA" w14:textId="77777777" w:rsidR="000207AB" w:rsidRPr="0058432E" w:rsidRDefault="000207AB" w:rsidP="00982118">
            <w:pPr>
              <w:autoSpaceDE w:val="0"/>
              <w:autoSpaceDN w:val="0"/>
              <w:rPr>
                <w:color w:val="000000" w:themeColor="text1"/>
              </w:rPr>
            </w:pPr>
          </w:p>
        </w:tc>
      </w:tr>
      <w:tr w:rsidR="000207AB" w:rsidRPr="00B03C37" w14:paraId="27259A57" w14:textId="77777777" w:rsidTr="00053717">
        <w:trPr>
          <w:gridAfter w:val="1"/>
          <w:wAfter w:w="285" w:type="dxa"/>
          <w:cantSplit/>
        </w:trPr>
        <w:tc>
          <w:tcPr>
            <w:tcW w:w="4158" w:type="dxa"/>
            <w:tcMar>
              <w:top w:w="0" w:type="dxa"/>
              <w:left w:w="108" w:type="dxa"/>
              <w:bottom w:w="0" w:type="dxa"/>
              <w:right w:w="108" w:type="dxa"/>
            </w:tcMar>
          </w:tcPr>
          <w:p w14:paraId="373690E5" w14:textId="77777777" w:rsidR="000207AB" w:rsidRPr="0058432E" w:rsidRDefault="000207AB" w:rsidP="00982118">
            <w:pPr>
              <w:rPr>
                <w:b/>
                <w:bCs/>
                <w:color w:val="000000" w:themeColor="text1"/>
              </w:rPr>
            </w:pPr>
            <w:r w:rsidRPr="0058432E">
              <w:rPr>
                <w:b/>
                <w:bCs/>
                <w:color w:val="000000" w:themeColor="text1"/>
              </w:rPr>
              <w:t>Danmark</w:t>
            </w:r>
          </w:p>
          <w:p w14:paraId="43616DD8" w14:textId="77777777" w:rsidR="000207AB" w:rsidRPr="0058432E" w:rsidRDefault="000207AB" w:rsidP="00982118">
            <w:pPr>
              <w:rPr>
                <w:color w:val="000000" w:themeColor="text1"/>
              </w:rPr>
            </w:pPr>
            <w:r w:rsidRPr="0058432E">
              <w:rPr>
                <w:color w:val="000000" w:themeColor="text1"/>
              </w:rPr>
              <w:t>Pfizer ApS</w:t>
            </w:r>
          </w:p>
          <w:p w14:paraId="0BBFCA58" w14:textId="57394F01" w:rsidR="000207AB" w:rsidRPr="0058432E" w:rsidRDefault="000207AB" w:rsidP="00982118">
            <w:pPr>
              <w:rPr>
                <w:color w:val="000000" w:themeColor="text1"/>
              </w:rPr>
            </w:pPr>
            <w:r w:rsidRPr="0058432E">
              <w:rPr>
                <w:color w:val="000000" w:themeColor="text1"/>
              </w:rPr>
              <w:t>Tlf</w:t>
            </w:r>
            <w:proofErr w:type="gramStart"/>
            <w:r w:rsidR="00EB3DF8" w:rsidRPr="0058432E">
              <w:rPr>
                <w:color w:val="000000" w:themeColor="text1"/>
              </w:rPr>
              <w:t>.</w:t>
            </w:r>
            <w:r w:rsidRPr="0058432E">
              <w:rPr>
                <w:color w:val="000000" w:themeColor="text1"/>
              </w:rPr>
              <w:t>:</w:t>
            </w:r>
            <w:proofErr w:type="gramEnd"/>
            <w:r w:rsidRPr="0058432E">
              <w:rPr>
                <w:color w:val="000000" w:themeColor="text1"/>
              </w:rPr>
              <w:t xml:space="preserve"> +45 44 201 100</w:t>
            </w:r>
          </w:p>
          <w:p w14:paraId="57C24166"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5253BF12" w14:textId="77777777" w:rsidR="000207AB" w:rsidRPr="008444F9" w:rsidRDefault="000207AB" w:rsidP="00982118">
            <w:pPr>
              <w:rPr>
                <w:b/>
                <w:bCs/>
                <w:color w:val="000000" w:themeColor="text1"/>
                <w:lang w:val="en-US"/>
              </w:rPr>
            </w:pPr>
            <w:r w:rsidRPr="008444F9">
              <w:rPr>
                <w:b/>
                <w:bCs/>
                <w:color w:val="000000" w:themeColor="text1"/>
                <w:lang w:val="en-US"/>
              </w:rPr>
              <w:t>Malta</w:t>
            </w:r>
          </w:p>
          <w:p w14:paraId="71D5E748" w14:textId="77777777" w:rsidR="000207AB" w:rsidRPr="008444F9" w:rsidRDefault="0041203B" w:rsidP="00982118">
            <w:pPr>
              <w:rPr>
                <w:color w:val="000000" w:themeColor="text1"/>
                <w:lang w:val="en-US"/>
              </w:rPr>
            </w:pPr>
            <w:r w:rsidRPr="008444F9">
              <w:rPr>
                <w:color w:val="000000" w:themeColor="text1"/>
                <w:lang w:val="en-US"/>
              </w:rPr>
              <w:t>Vivian Corporation Ltd.</w:t>
            </w:r>
            <w:r w:rsidR="000207AB" w:rsidRPr="008444F9">
              <w:rPr>
                <w:color w:val="000000" w:themeColor="text1"/>
                <w:lang w:val="en-US"/>
              </w:rPr>
              <w:t xml:space="preserve"> </w:t>
            </w:r>
          </w:p>
          <w:p w14:paraId="3616BBE1" w14:textId="77777777" w:rsidR="000207AB" w:rsidRPr="008444F9" w:rsidRDefault="000207AB" w:rsidP="00982118">
            <w:pPr>
              <w:rPr>
                <w:color w:val="000000" w:themeColor="text1"/>
                <w:lang w:val="en-US"/>
              </w:rPr>
            </w:pPr>
            <w:r w:rsidRPr="008444F9">
              <w:rPr>
                <w:color w:val="000000" w:themeColor="text1"/>
                <w:lang w:val="en-US"/>
              </w:rPr>
              <w:t xml:space="preserve">Tel: </w:t>
            </w:r>
            <w:r w:rsidR="0041203B" w:rsidRPr="008444F9">
              <w:rPr>
                <w:color w:val="000000" w:themeColor="text1"/>
                <w:lang w:val="en-US"/>
              </w:rPr>
              <w:t>+356 21344610</w:t>
            </w:r>
          </w:p>
          <w:p w14:paraId="213270FF" w14:textId="77777777" w:rsidR="000207AB" w:rsidRPr="008444F9" w:rsidRDefault="000207AB" w:rsidP="00982118">
            <w:pPr>
              <w:autoSpaceDE w:val="0"/>
              <w:autoSpaceDN w:val="0"/>
              <w:rPr>
                <w:color w:val="000000" w:themeColor="text1"/>
                <w:lang w:val="en-US"/>
              </w:rPr>
            </w:pPr>
          </w:p>
        </w:tc>
      </w:tr>
      <w:tr w:rsidR="000207AB" w:rsidRPr="0058432E" w14:paraId="348E3243" w14:textId="77777777" w:rsidTr="00053717">
        <w:trPr>
          <w:gridAfter w:val="1"/>
          <w:wAfter w:w="285" w:type="dxa"/>
          <w:cantSplit/>
        </w:trPr>
        <w:tc>
          <w:tcPr>
            <w:tcW w:w="4158" w:type="dxa"/>
            <w:tcMar>
              <w:top w:w="0" w:type="dxa"/>
              <w:left w:w="108" w:type="dxa"/>
              <w:bottom w:w="0" w:type="dxa"/>
              <w:right w:w="108" w:type="dxa"/>
            </w:tcMar>
          </w:tcPr>
          <w:p w14:paraId="689EBBD1" w14:textId="77777777" w:rsidR="000207AB" w:rsidRPr="0058432E" w:rsidRDefault="000207AB" w:rsidP="00982118">
            <w:pPr>
              <w:rPr>
                <w:b/>
                <w:color w:val="000000" w:themeColor="text1"/>
              </w:rPr>
            </w:pPr>
            <w:proofErr w:type="spellStart"/>
            <w:r w:rsidRPr="0058432E">
              <w:rPr>
                <w:b/>
                <w:color w:val="000000" w:themeColor="text1"/>
              </w:rPr>
              <w:t>Deutschland</w:t>
            </w:r>
            <w:proofErr w:type="spellEnd"/>
          </w:p>
          <w:p w14:paraId="2C983451" w14:textId="77777777" w:rsidR="000207AB" w:rsidRPr="0058432E" w:rsidRDefault="0041203B" w:rsidP="00982118">
            <w:pPr>
              <w:keepNext/>
              <w:rPr>
                <w:color w:val="000000" w:themeColor="text1"/>
              </w:rPr>
            </w:pPr>
            <w:r w:rsidRPr="0058432E">
              <w:rPr>
                <w:color w:val="000000" w:themeColor="text1"/>
              </w:rPr>
              <w:t xml:space="preserve">PFIZER PHARMA </w:t>
            </w:r>
            <w:r w:rsidR="000207AB" w:rsidRPr="0058432E">
              <w:rPr>
                <w:color w:val="000000" w:themeColor="text1"/>
              </w:rPr>
              <w:t>GmbH</w:t>
            </w:r>
          </w:p>
          <w:p w14:paraId="661BD6C6" w14:textId="77777777" w:rsidR="000207AB" w:rsidRPr="0058432E" w:rsidRDefault="000207AB" w:rsidP="00982118">
            <w:pPr>
              <w:numPr>
                <w:ilvl w:val="12"/>
                <w:numId w:val="0"/>
              </w:numPr>
              <w:rPr>
                <w:color w:val="000000" w:themeColor="text1"/>
              </w:rPr>
            </w:pPr>
            <w:proofErr w:type="gramStart"/>
            <w:r w:rsidRPr="0058432E">
              <w:rPr>
                <w:color w:val="000000" w:themeColor="text1"/>
              </w:rPr>
              <w:t>Tel:</w:t>
            </w:r>
            <w:proofErr w:type="gramEnd"/>
            <w:r w:rsidRPr="0058432E">
              <w:rPr>
                <w:color w:val="000000" w:themeColor="text1"/>
              </w:rPr>
              <w:t xml:space="preserve"> +49 (0)</w:t>
            </w:r>
            <w:r w:rsidR="0041203B" w:rsidRPr="0058432E">
              <w:rPr>
                <w:color w:val="000000" w:themeColor="text1"/>
              </w:rPr>
              <w:t>30 550055-51000</w:t>
            </w:r>
          </w:p>
          <w:p w14:paraId="550B517B"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2E41B693" w14:textId="77777777" w:rsidR="000207AB" w:rsidRPr="0058432E" w:rsidRDefault="000207AB" w:rsidP="00982118">
            <w:pPr>
              <w:rPr>
                <w:b/>
                <w:bCs/>
                <w:color w:val="000000" w:themeColor="text1"/>
              </w:rPr>
            </w:pPr>
            <w:r w:rsidRPr="0058432E">
              <w:rPr>
                <w:b/>
                <w:bCs/>
                <w:color w:val="000000" w:themeColor="text1"/>
              </w:rPr>
              <w:t>Nederland</w:t>
            </w:r>
          </w:p>
          <w:p w14:paraId="2A05E58B" w14:textId="77777777" w:rsidR="000207AB" w:rsidRPr="0058432E" w:rsidRDefault="000207AB" w:rsidP="00982118">
            <w:pPr>
              <w:rPr>
                <w:color w:val="000000" w:themeColor="text1"/>
              </w:rPr>
            </w:pPr>
            <w:r w:rsidRPr="0058432E">
              <w:rPr>
                <w:color w:val="000000" w:themeColor="text1"/>
              </w:rPr>
              <w:t>Pfizer bv</w:t>
            </w:r>
          </w:p>
          <w:p w14:paraId="3F43CB8E"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+31 (0)10 406 43 01</w:t>
            </w:r>
          </w:p>
          <w:p w14:paraId="26E4DA0F" w14:textId="77777777" w:rsidR="000207AB" w:rsidRPr="0058432E" w:rsidRDefault="000207AB" w:rsidP="00982118">
            <w:pPr>
              <w:autoSpaceDE w:val="0"/>
              <w:autoSpaceDN w:val="0"/>
              <w:rPr>
                <w:color w:val="000000" w:themeColor="text1"/>
              </w:rPr>
            </w:pPr>
          </w:p>
        </w:tc>
      </w:tr>
      <w:tr w:rsidR="000207AB" w:rsidRPr="0058432E" w14:paraId="4DF61DEB" w14:textId="77777777" w:rsidTr="00053717">
        <w:trPr>
          <w:gridAfter w:val="1"/>
          <w:wAfter w:w="285" w:type="dxa"/>
          <w:cantSplit/>
        </w:trPr>
        <w:tc>
          <w:tcPr>
            <w:tcW w:w="4158" w:type="dxa"/>
            <w:tcMar>
              <w:top w:w="0" w:type="dxa"/>
              <w:left w:w="108" w:type="dxa"/>
              <w:bottom w:w="0" w:type="dxa"/>
              <w:right w:w="108" w:type="dxa"/>
            </w:tcMar>
          </w:tcPr>
          <w:p w14:paraId="4E2B12C0" w14:textId="77777777" w:rsidR="000207AB" w:rsidRPr="0058432E" w:rsidRDefault="000207AB" w:rsidP="00982118">
            <w:pPr>
              <w:rPr>
                <w:b/>
                <w:bCs/>
                <w:color w:val="000000" w:themeColor="text1"/>
              </w:rPr>
            </w:pPr>
            <w:r w:rsidRPr="0058432E">
              <w:rPr>
                <w:b/>
                <w:bCs/>
                <w:color w:val="000000" w:themeColor="text1"/>
              </w:rPr>
              <w:t>България</w:t>
            </w:r>
          </w:p>
          <w:p w14:paraId="657B247E" w14:textId="77777777" w:rsidR="000207AB" w:rsidRPr="0058432E" w:rsidRDefault="000207AB" w:rsidP="00982118">
            <w:pPr>
              <w:rPr>
                <w:color w:val="000000" w:themeColor="text1"/>
              </w:rPr>
            </w:pPr>
            <w:r w:rsidRPr="0058432E">
              <w:rPr>
                <w:color w:val="000000" w:themeColor="text1"/>
              </w:rPr>
              <w:t>Пфайзер Люксембург САРЛ,</w:t>
            </w:r>
          </w:p>
          <w:p w14:paraId="4033E052" w14:textId="77777777" w:rsidR="000207AB" w:rsidRPr="0058432E" w:rsidRDefault="000207AB" w:rsidP="00982118">
            <w:pPr>
              <w:rPr>
                <w:color w:val="000000" w:themeColor="text1"/>
              </w:rPr>
            </w:pPr>
            <w:r w:rsidRPr="0058432E">
              <w:rPr>
                <w:color w:val="000000" w:themeColor="text1"/>
              </w:rPr>
              <w:t>Клон България</w:t>
            </w:r>
          </w:p>
          <w:p w14:paraId="21318EDF" w14:textId="77777777" w:rsidR="000207AB" w:rsidRPr="0058432E" w:rsidRDefault="000207AB" w:rsidP="00982118">
            <w:pPr>
              <w:rPr>
                <w:color w:val="000000" w:themeColor="text1"/>
              </w:rPr>
            </w:pPr>
            <w:r w:rsidRPr="0058432E">
              <w:rPr>
                <w:color w:val="000000" w:themeColor="text1"/>
              </w:rPr>
              <w:t>Te</w:t>
            </w:r>
            <w:proofErr w:type="gramStart"/>
            <w:r w:rsidRPr="0058432E">
              <w:rPr>
                <w:color w:val="000000" w:themeColor="text1"/>
              </w:rPr>
              <w:t>л:</w:t>
            </w:r>
            <w:proofErr w:type="gramEnd"/>
            <w:r w:rsidRPr="0058432E">
              <w:rPr>
                <w:color w:val="000000" w:themeColor="text1"/>
              </w:rPr>
              <w:t xml:space="preserve"> +359 2 970 4333</w:t>
            </w:r>
          </w:p>
          <w:p w14:paraId="0542B5C4"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6B43CEE2" w14:textId="77777777" w:rsidR="000207AB" w:rsidRPr="0058432E" w:rsidRDefault="000207AB" w:rsidP="00982118">
            <w:pPr>
              <w:rPr>
                <w:b/>
                <w:bCs/>
                <w:color w:val="000000" w:themeColor="text1"/>
              </w:rPr>
            </w:pPr>
            <w:r w:rsidRPr="0058432E">
              <w:rPr>
                <w:b/>
                <w:bCs/>
                <w:color w:val="000000" w:themeColor="text1"/>
              </w:rPr>
              <w:t>Norge</w:t>
            </w:r>
          </w:p>
          <w:p w14:paraId="23649429" w14:textId="77777777" w:rsidR="000207AB" w:rsidRPr="0058432E" w:rsidRDefault="000207AB" w:rsidP="00982118">
            <w:pPr>
              <w:rPr>
                <w:color w:val="000000" w:themeColor="text1"/>
              </w:rPr>
            </w:pPr>
            <w:r w:rsidRPr="0058432E">
              <w:rPr>
                <w:color w:val="000000" w:themeColor="text1"/>
              </w:rPr>
              <w:t>Pfizer AS</w:t>
            </w:r>
          </w:p>
          <w:p w14:paraId="6494BDA3" w14:textId="77777777" w:rsidR="000207AB" w:rsidRPr="0058432E" w:rsidRDefault="000207AB" w:rsidP="00982118">
            <w:pPr>
              <w:rPr>
                <w:color w:val="000000" w:themeColor="text1"/>
              </w:rPr>
            </w:pPr>
            <w:proofErr w:type="gramStart"/>
            <w:r w:rsidRPr="0058432E">
              <w:rPr>
                <w:color w:val="000000" w:themeColor="text1"/>
              </w:rPr>
              <w:t>Tlf:</w:t>
            </w:r>
            <w:proofErr w:type="gramEnd"/>
            <w:r w:rsidRPr="0058432E">
              <w:rPr>
                <w:color w:val="000000" w:themeColor="text1"/>
              </w:rPr>
              <w:t xml:space="preserve"> +47 67 52 61 00</w:t>
            </w:r>
          </w:p>
          <w:p w14:paraId="393C00C3" w14:textId="77777777" w:rsidR="000207AB" w:rsidRPr="0058432E" w:rsidRDefault="000207AB" w:rsidP="00982118">
            <w:pPr>
              <w:autoSpaceDE w:val="0"/>
              <w:autoSpaceDN w:val="0"/>
              <w:rPr>
                <w:color w:val="000000" w:themeColor="text1"/>
              </w:rPr>
            </w:pPr>
          </w:p>
        </w:tc>
      </w:tr>
      <w:tr w:rsidR="000207AB" w:rsidRPr="0058432E" w14:paraId="6635531A" w14:textId="77777777" w:rsidTr="00053717">
        <w:trPr>
          <w:gridAfter w:val="1"/>
          <w:wAfter w:w="285" w:type="dxa"/>
          <w:cantSplit/>
        </w:trPr>
        <w:tc>
          <w:tcPr>
            <w:tcW w:w="4158" w:type="dxa"/>
            <w:tcMar>
              <w:top w:w="0" w:type="dxa"/>
              <w:left w:w="108" w:type="dxa"/>
              <w:bottom w:w="0" w:type="dxa"/>
              <w:right w:w="108" w:type="dxa"/>
            </w:tcMar>
          </w:tcPr>
          <w:p w14:paraId="75E69B7B" w14:textId="77777777" w:rsidR="000207AB" w:rsidRPr="0000463E" w:rsidRDefault="000207AB" w:rsidP="00982118">
            <w:pPr>
              <w:rPr>
                <w:b/>
                <w:bCs/>
                <w:color w:val="000000" w:themeColor="text1"/>
                <w:lang w:val="pt-PT"/>
              </w:rPr>
            </w:pPr>
            <w:r w:rsidRPr="0000463E">
              <w:rPr>
                <w:b/>
                <w:bCs/>
                <w:color w:val="000000" w:themeColor="text1"/>
                <w:lang w:val="pt-PT"/>
              </w:rPr>
              <w:t>Eesti</w:t>
            </w:r>
          </w:p>
          <w:p w14:paraId="2AE7B918" w14:textId="77777777" w:rsidR="000207AB" w:rsidRPr="0000463E" w:rsidRDefault="000207AB" w:rsidP="00982118">
            <w:pPr>
              <w:rPr>
                <w:color w:val="000000" w:themeColor="text1"/>
                <w:lang w:val="pt-PT"/>
              </w:rPr>
            </w:pPr>
            <w:r w:rsidRPr="0000463E">
              <w:rPr>
                <w:color w:val="000000" w:themeColor="text1"/>
                <w:lang w:val="pt-PT"/>
              </w:rPr>
              <w:t>Pfizer Luxembourg SARL Eesti filiaal</w:t>
            </w:r>
          </w:p>
          <w:p w14:paraId="16B4877E"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+372 666 7500</w:t>
            </w:r>
          </w:p>
          <w:p w14:paraId="26BEA1F9"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7A58A5F2" w14:textId="77777777" w:rsidR="000207AB" w:rsidRPr="008444F9" w:rsidRDefault="000207AB" w:rsidP="00982118">
            <w:pPr>
              <w:rPr>
                <w:b/>
                <w:bCs/>
                <w:color w:val="000000" w:themeColor="text1"/>
                <w:lang w:val="en-US"/>
              </w:rPr>
            </w:pPr>
            <w:r w:rsidRPr="008444F9">
              <w:rPr>
                <w:b/>
                <w:bCs/>
                <w:color w:val="000000" w:themeColor="text1"/>
                <w:lang w:val="en-US"/>
              </w:rPr>
              <w:t>Österreich</w:t>
            </w:r>
          </w:p>
          <w:p w14:paraId="35E3229C" w14:textId="77777777" w:rsidR="000207AB" w:rsidRPr="008444F9" w:rsidRDefault="000207AB" w:rsidP="00982118">
            <w:pPr>
              <w:rPr>
                <w:color w:val="000000" w:themeColor="text1"/>
                <w:lang w:val="en-US"/>
              </w:rPr>
            </w:pPr>
            <w:r w:rsidRPr="008444F9">
              <w:rPr>
                <w:color w:val="000000" w:themeColor="text1"/>
                <w:lang w:val="en-US"/>
              </w:rPr>
              <w:t>Pfizer Corporation Austria Ges.m.b.H.</w:t>
            </w:r>
          </w:p>
          <w:p w14:paraId="65B39183"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+43 (0)1 521 15-0</w:t>
            </w:r>
          </w:p>
          <w:p w14:paraId="34E23C70" w14:textId="77777777" w:rsidR="000207AB" w:rsidRPr="0058432E" w:rsidRDefault="000207AB" w:rsidP="00982118">
            <w:pPr>
              <w:autoSpaceDE w:val="0"/>
              <w:autoSpaceDN w:val="0"/>
              <w:rPr>
                <w:color w:val="000000" w:themeColor="text1"/>
              </w:rPr>
            </w:pPr>
          </w:p>
        </w:tc>
      </w:tr>
      <w:tr w:rsidR="000207AB" w:rsidRPr="0058432E" w14:paraId="5070A468" w14:textId="77777777" w:rsidTr="00053717">
        <w:trPr>
          <w:gridAfter w:val="1"/>
          <w:wAfter w:w="285" w:type="dxa"/>
          <w:cantSplit/>
        </w:trPr>
        <w:tc>
          <w:tcPr>
            <w:tcW w:w="4158" w:type="dxa"/>
            <w:tcMar>
              <w:top w:w="0" w:type="dxa"/>
              <w:left w:w="108" w:type="dxa"/>
              <w:bottom w:w="0" w:type="dxa"/>
              <w:right w:w="108" w:type="dxa"/>
            </w:tcMar>
          </w:tcPr>
          <w:p w14:paraId="26C1F20D" w14:textId="77777777" w:rsidR="000207AB" w:rsidRPr="0058432E" w:rsidRDefault="000207AB" w:rsidP="00982118">
            <w:pPr>
              <w:rPr>
                <w:b/>
                <w:bCs/>
                <w:color w:val="000000" w:themeColor="text1"/>
              </w:rPr>
            </w:pPr>
            <w:r w:rsidRPr="0058432E">
              <w:rPr>
                <w:b/>
                <w:bCs/>
                <w:color w:val="000000" w:themeColor="text1"/>
              </w:rPr>
              <w:t>Ελλάδα</w:t>
            </w:r>
          </w:p>
          <w:p w14:paraId="796F9BE2" w14:textId="77777777" w:rsidR="000207AB" w:rsidRPr="0058432E" w:rsidRDefault="000207AB" w:rsidP="00982118">
            <w:pPr>
              <w:rPr>
                <w:color w:val="000000" w:themeColor="text1"/>
              </w:rPr>
            </w:pPr>
            <w:r w:rsidRPr="0058432E">
              <w:rPr>
                <w:color w:val="000000" w:themeColor="text1"/>
              </w:rPr>
              <w:t>PFIZER EΛΛAΣ A.E.</w:t>
            </w:r>
          </w:p>
          <w:p w14:paraId="49BC3206" w14:textId="77777777" w:rsidR="000207AB" w:rsidRPr="0058432E" w:rsidRDefault="000207AB" w:rsidP="00982118">
            <w:pPr>
              <w:rPr>
                <w:color w:val="000000" w:themeColor="text1"/>
              </w:rPr>
            </w:pPr>
            <w:r w:rsidRPr="0058432E">
              <w:rPr>
                <w:color w:val="000000" w:themeColor="text1"/>
              </w:rPr>
              <w:t>Τηλ</w:t>
            </w:r>
            <w:proofErr w:type="gramStart"/>
            <w:r w:rsidRPr="0058432E">
              <w:rPr>
                <w:color w:val="000000" w:themeColor="text1"/>
              </w:rPr>
              <w:t>.:</w:t>
            </w:r>
            <w:proofErr w:type="gramEnd"/>
            <w:r w:rsidRPr="0058432E">
              <w:rPr>
                <w:color w:val="000000" w:themeColor="text1"/>
              </w:rPr>
              <w:t xml:space="preserve"> +30 210 67 85 800</w:t>
            </w:r>
          </w:p>
          <w:p w14:paraId="53D7F302"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1E9283F9" w14:textId="77777777" w:rsidR="000207AB" w:rsidRPr="0000463E" w:rsidRDefault="000207AB" w:rsidP="00982118">
            <w:pPr>
              <w:rPr>
                <w:b/>
                <w:bCs/>
                <w:color w:val="000000" w:themeColor="text1"/>
                <w:lang w:val="pt-PT"/>
              </w:rPr>
            </w:pPr>
            <w:r w:rsidRPr="0000463E">
              <w:rPr>
                <w:b/>
                <w:bCs/>
                <w:color w:val="000000" w:themeColor="text1"/>
                <w:lang w:val="pt-PT"/>
              </w:rPr>
              <w:t>Polska</w:t>
            </w:r>
          </w:p>
          <w:p w14:paraId="75DD9EAD" w14:textId="77777777" w:rsidR="000207AB" w:rsidRPr="0000463E" w:rsidRDefault="000207AB" w:rsidP="00982118">
            <w:pPr>
              <w:rPr>
                <w:color w:val="000000" w:themeColor="text1"/>
                <w:lang w:val="pt-PT"/>
              </w:rPr>
            </w:pPr>
            <w:r w:rsidRPr="0000463E">
              <w:rPr>
                <w:color w:val="000000" w:themeColor="text1"/>
                <w:lang w:val="pt-PT"/>
              </w:rPr>
              <w:t>Pfizer Polska Sp. z o.o.</w:t>
            </w:r>
          </w:p>
          <w:p w14:paraId="521D4E07" w14:textId="77777777" w:rsidR="000207AB" w:rsidRPr="0058432E" w:rsidRDefault="000207AB" w:rsidP="00982118">
            <w:pPr>
              <w:rPr>
                <w:color w:val="000000" w:themeColor="text1"/>
              </w:rPr>
            </w:pPr>
            <w:r w:rsidRPr="0058432E">
              <w:rPr>
                <w:color w:val="000000" w:themeColor="text1"/>
              </w:rPr>
              <w:t>Tel</w:t>
            </w:r>
            <w:proofErr w:type="gramStart"/>
            <w:r w:rsidRPr="0058432E">
              <w:rPr>
                <w:color w:val="000000" w:themeColor="text1"/>
              </w:rPr>
              <w:t>.:</w:t>
            </w:r>
            <w:proofErr w:type="gramEnd"/>
            <w:r w:rsidRPr="0058432E">
              <w:rPr>
                <w:color w:val="000000" w:themeColor="text1"/>
              </w:rPr>
              <w:t xml:space="preserve"> +48 22 335 61 00</w:t>
            </w:r>
          </w:p>
          <w:p w14:paraId="4947540F" w14:textId="77777777" w:rsidR="000207AB" w:rsidRPr="0058432E" w:rsidRDefault="000207AB" w:rsidP="00982118">
            <w:pPr>
              <w:autoSpaceDE w:val="0"/>
              <w:autoSpaceDN w:val="0"/>
              <w:rPr>
                <w:color w:val="000000" w:themeColor="text1"/>
              </w:rPr>
            </w:pPr>
          </w:p>
        </w:tc>
      </w:tr>
      <w:tr w:rsidR="000207AB" w:rsidRPr="008844CE" w14:paraId="38C766C2" w14:textId="77777777" w:rsidTr="00053717">
        <w:trPr>
          <w:gridAfter w:val="1"/>
          <w:wAfter w:w="285" w:type="dxa"/>
          <w:cantSplit/>
        </w:trPr>
        <w:tc>
          <w:tcPr>
            <w:tcW w:w="4158" w:type="dxa"/>
            <w:tcMar>
              <w:top w:w="0" w:type="dxa"/>
              <w:left w:w="108" w:type="dxa"/>
              <w:bottom w:w="0" w:type="dxa"/>
              <w:right w:w="108" w:type="dxa"/>
            </w:tcMar>
          </w:tcPr>
          <w:p w14:paraId="0C600546" w14:textId="77777777" w:rsidR="000207AB" w:rsidRPr="0000463E" w:rsidRDefault="000207AB" w:rsidP="00982118">
            <w:pPr>
              <w:rPr>
                <w:b/>
                <w:bCs/>
                <w:color w:val="000000" w:themeColor="text1"/>
                <w:lang w:val="pt-PT"/>
              </w:rPr>
            </w:pPr>
            <w:r w:rsidRPr="0000463E">
              <w:rPr>
                <w:b/>
                <w:bCs/>
                <w:color w:val="000000" w:themeColor="text1"/>
                <w:lang w:val="pt-PT"/>
              </w:rPr>
              <w:t>España</w:t>
            </w:r>
          </w:p>
          <w:p w14:paraId="5AB6F996" w14:textId="77777777" w:rsidR="000207AB" w:rsidRPr="0000463E" w:rsidRDefault="000207AB" w:rsidP="00982118">
            <w:pPr>
              <w:rPr>
                <w:color w:val="000000" w:themeColor="text1"/>
                <w:lang w:val="pt-PT"/>
              </w:rPr>
            </w:pPr>
            <w:r w:rsidRPr="0000463E">
              <w:rPr>
                <w:color w:val="000000" w:themeColor="text1"/>
                <w:lang w:val="pt-PT"/>
              </w:rPr>
              <w:t>Pfizer S.L.</w:t>
            </w:r>
          </w:p>
          <w:p w14:paraId="3891E14F" w14:textId="77777777" w:rsidR="000207AB" w:rsidRPr="0000463E" w:rsidRDefault="000E1BE4" w:rsidP="00982118">
            <w:pPr>
              <w:rPr>
                <w:color w:val="000000" w:themeColor="text1"/>
                <w:lang w:val="pt-PT"/>
              </w:rPr>
            </w:pPr>
            <w:r w:rsidRPr="0000463E">
              <w:rPr>
                <w:color w:val="000000" w:themeColor="text1"/>
                <w:lang w:val="pt-PT"/>
              </w:rPr>
              <w:t>Tel: +34 91 490 99 00</w:t>
            </w:r>
          </w:p>
          <w:p w14:paraId="4F7D6A2A" w14:textId="77777777" w:rsidR="000207AB" w:rsidRPr="0000463E" w:rsidRDefault="000207AB" w:rsidP="00982118">
            <w:pPr>
              <w:autoSpaceDE w:val="0"/>
              <w:autoSpaceDN w:val="0"/>
              <w:rPr>
                <w:color w:val="000000" w:themeColor="text1"/>
                <w:lang w:val="pt-PT"/>
              </w:rPr>
            </w:pPr>
          </w:p>
        </w:tc>
        <w:tc>
          <w:tcPr>
            <w:tcW w:w="4788" w:type="dxa"/>
            <w:tcMar>
              <w:top w:w="0" w:type="dxa"/>
              <w:left w:w="108" w:type="dxa"/>
              <w:bottom w:w="0" w:type="dxa"/>
              <w:right w:w="108" w:type="dxa"/>
            </w:tcMar>
          </w:tcPr>
          <w:p w14:paraId="195EBEA1" w14:textId="77777777" w:rsidR="000207AB" w:rsidRPr="0000463E" w:rsidRDefault="000207AB" w:rsidP="00982118">
            <w:pPr>
              <w:autoSpaceDE w:val="0"/>
              <w:autoSpaceDN w:val="0"/>
              <w:rPr>
                <w:b/>
                <w:color w:val="000000" w:themeColor="text1"/>
                <w:lang w:val="pt-PT"/>
              </w:rPr>
            </w:pPr>
            <w:r w:rsidRPr="0000463E">
              <w:rPr>
                <w:b/>
                <w:color w:val="000000" w:themeColor="text1"/>
                <w:lang w:val="pt-PT"/>
              </w:rPr>
              <w:t>Portugal</w:t>
            </w:r>
          </w:p>
          <w:p w14:paraId="62C3D325" w14:textId="77777777" w:rsidR="000207AB" w:rsidRPr="0000463E" w:rsidRDefault="000207AB" w:rsidP="00982118">
            <w:pPr>
              <w:autoSpaceDE w:val="0"/>
              <w:autoSpaceDN w:val="0"/>
              <w:rPr>
                <w:color w:val="000000" w:themeColor="text1"/>
                <w:lang w:val="pt-PT"/>
              </w:rPr>
            </w:pPr>
            <w:r w:rsidRPr="0000463E">
              <w:rPr>
                <w:color w:val="000000" w:themeColor="text1"/>
                <w:lang w:val="pt-PT"/>
              </w:rPr>
              <w:t>Laboratórios Pfizer, Lda.</w:t>
            </w:r>
          </w:p>
          <w:p w14:paraId="0D88162D" w14:textId="77777777" w:rsidR="000207AB" w:rsidRPr="0000463E" w:rsidRDefault="000207AB" w:rsidP="00982118">
            <w:pPr>
              <w:autoSpaceDE w:val="0"/>
              <w:autoSpaceDN w:val="0"/>
              <w:rPr>
                <w:color w:val="000000" w:themeColor="text1"/>
                <w:lang w:val="pt-PT"/>
              </w:rPr>
            </w:pPr>
            <w:r w:rsidRPr="0000463E">
              <w:rPr>
                <w:color w:val="000000" w:themeColor="text1"/>
                <w:lang w:val="pt-PT"/>
              </w:rPr>
              <w:t>Tel: +351 21 423 5500</w:t>
            </w:r>
          </w:p>
        </w:tc>
      </w:tr>
      <w:tr w:rsidR="000207AB" w:rsidRPr="0058432E" w14:paraId="0652912F" w14:textId="77777777" w:rsidTr="00053717">
        <w:trPr>
          <w:gridAfter w:val="1"/>
          <w:wAfter w:w="285" w:type="dxa"/>
          <w:cantSplit/>
        </w:trPr>
        <w:tc>
          <w:tcPr>
            <w:tcW w:w="4158" w:type="dxa"/>
            <w:tcMar>
              <w:top w:w="0" w:type="dxa"/>
              <w:left w:w="108" w:type="dxa"/>
              <w:bottom w:w="0" w:type="dxa"/>
              <w:right w:w="108" w:type="dxa"/>
            </w:tcMar>
          </w:tcPr>
          <w:p w14:paraId="54BDF2F9" w14:textId="77777777" w:rsidR="000207AB" w:rsidRPr="0058432E" w:rsidRDefault="000207AB" w:rsidP="00982118">
            <w:pPr>
              <w:rPr>
                <w:b/>
                <w:bCs/>
                <w:color w:val="000000" w:themeColor="text1"/>
              </w:rPr>
            </w:pPr>
            <w:r w:rsidRPr="0058432E">
              <w:rPr>
                <w:b/>
                <w:bCs/>
                <w:color w:val="000000" w:themeColor="text1"/>
              </w:rPr>
              <w:t>France</w:t>
            </w:r>
          </w:p>
          <w:p w14:paraId="161F13C6" w14:textId="77777777" w:rsidR="000207AB" w:rsidRPr="0058432E" w:rsidRDefault="000207AB" w:rsidP="00982118">
            <w:pPr>
              <w:rPr>
                <w:color w:val="000000" w:themeColor="text1"/>
              </w:rPr>
            </w:pPr>
            <w:r w:rsidRPr="0058432E">
              <w:rPr>
                <w:color w:val="000000" w:themeColor="text1"/>
              </w:rPr>
              <w:t xml:space="preserve">Pfizer </w:t>
            </w:r>
          </w:p>
          <w:p w14:paraId="41465A30" w14:textId="77777777" w:rsidR="000207AB" w:rsidRPr="0058432E" w:rsidRDefault="000207AB" w:rsidP="00982118">
            <w:pPr>
              <w:rPr>
                <w:color w:val="000000" w:themeColor="text1"/>
              </w:rPr>
            </w:pPr>
            <w:proofErr w:type="gramStart"/>
            <w:r w:rsidRPr="0058432E">
              <w:rPr>
                <w:color w:val="000000" w:themeColor="text1"/>
              </w:rPr>
              <w:t>Tél:</w:t>
            </w:r>
            <w:proofErr w:type="gramEnd"/>
            <w:r w:rsidRPr="0058432E">
              <w:rPr>
                <w:color w:val="000000" w:themeColor="text1"/>
              </w:rPr>
              <w:t xml:space="preserve"> +33 (0)1 58 07 34 40</w:t>
            </w:r>
          </w:p>
          <w:p w14:paraId="42FEB350" w14:textId="77777777" w:rsidR="000207AB" w:rsidRPr="0058432E" w:rsidRDefault="000207AB" w:rsidP="00982118">
            <w:pPr>
              <w:rPr>
                <w:color w:val="000000" w:themeColor="text1"/>
              </w:rPr>
            </w:pPr>
          </w:p>
        </w:tc>
        <w:tc>
          <w:tcPr>
            <w:tcW w:w="4788" w:type="dxa"/>
            <w:tcMar>
              <w:top w:w="0" w:type="dxa"/>
              <w:left w:w="108" w:type="dxa"/>
              <w:bottom w:w="0" w:type="dxa"/>
              <w:right w:w="108" w:type="dxa"/>
            </w:tcMar>
          </w:tcPr>
          <w:p w14:paraId="4031CFAA" w14:textId="77777777" w:rsidR="000207AB" w:rsidRPr="0000463E" w:rsidRDefault="000207AB" w:rsidP="00982118">
            <w:pPr>
              <w:rPr>
                <w:b/>
                <w:bCs/>
                <w:color w:val="000000" w:themeColor="text1"/>
                <w:lang w:val="pt-PT"/>
              </w:rPr>
            </w:pPr>
            <w:r w:rsidRPr="0000463E">
              <w:rPr>
                <w:b/>
                <w:bCs/>
                <w:color w:val="000000" w:themeColor="text1"/>
                <w:lang w:val="pt-PT"/>
              </w:rPr>
              <w:t>România</w:t>
            </w:r>
          </w:p>
          <w:p w14:paraId="51F89129" w14:textId="77777777" w:rsidR="000207AB" w:rsidRPr="0000463E" w:rsidRDefault="000207AB" w:rsidP="00982118">
            <w:pPr>
              <w:rPr>
                <w:color w:val="000000" w:themeColor="text1"/>
                <w:lang w:val="pt-PT"/>
              </w:rPr>
            </w:pPr>
            <w:r w:rsidRPr="0000463E">
              <w:rPr>
                <w:color w:val="000000" w:themeColor="text1"/>
                <w:lang w:val="pt-PT"/>
              </w:rPr>
              <w:t>Pfizer România S.R.L</w:t>
            </w:r>
          </w:p>
          <w:p w14:paraId="47E5BB05"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+40 (0) 21 207 28 00</w:t>
            </w:r>
          </w:p>
          <w:p w14:paraId="53448296" w14:textId="77777777" w:rsidR="000207AB" w:rsidRPr="0058432E" w:rsidRDefault="000207AB" w:rsidP="00982118">
            <w:pPr>
              <w:autoSpaceDE w:val="0"/>
              <w:autoSpaceDN w:val="0"/>
              <w:rPr>
                <w:color w:val="000000" w:themeColor="text1"/>
              </w:rPr>
            </w:pPr>
          </w:p>
        </w:tc>
      </w:tr>
      <w:tr w:rsidR="000207AB" w:rsidRPr="0058432E" w14:paraId="15315C28" w14:textId="77777777" w:rsidTr="00053717">
        <w:trPr>
          <w:gridAfter w:val="1"/>
          <w:wAfter w:w="285" w:type="dxa"/>
          <w:cantSplit/>
        </w:trPr>
        <w:tc>
          <w:tcPr>
            <w:tcW w:w="4158" w:type="dxa"/>
            <w:tcMar>
              <w:top w:w="0" w:type="dxa"/>
              <w:left w:w="108" w:type="dxa"/>
              <w:bottom w:w="0" w:type="dxa"/>
              <w:right w:w="108" w:type="dxa"/>
            </w:tcMar>
          </w:tcPr>
          <w:p w14:paraId="28985FA3" w14:textId="77777777" w:rsidR="000207AB" w:rsidRPr="0000463E" w:rsidRDefault="000207AB" w:rsidP="00982118">
            <w:pPr>
              <w:rPr>
                <w:b/>
                <w:bCs/>
                <w:color w:val="000000" w:themeColor="text1"/>
                <w:lang w:val="pt-PT"/>
              </w:rPr>
            </w:pPr>
            <w:r w:rsidRPr="0000463E">
              <w:rPr>
                <w:b/>
                <w:bCs/>
                <w:color w:val="000000" w:themeColor="text1"/>
                <w:lang w:val="pt-PT"/>
              </w:rPr>
              <w:t>Hrvatska</w:t>
            </w:r>
          </w:p>
          <w:p w14:paraId="7899C674" w14:textId="77777777" w:rsidR="000207AB" w:rsidRPr="0000463E" w:rsidRDefault="000207AB" w:rsidP="00982118">
            <w:pPr>
              <w:rPr>
                <w:color w:val="000000" w:themeColor="text1"/>
                <w:lang w:val="pt-PT"/>
              </w:rPr>
            </w:pPr>
            <w:r w:rsidRPr="0000463E">
              <w:rPr>
                <w:color w:val="000000" w:themeColor="text1"/>
                <w:lang w:val="pt-PT"/>
              </w:rPr>
              <w:t>Pfizer Croatia d.o.o.</w:t>
            </w:r>
          </w:p>
          <w:p w14:paraId="3E5F52F7"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+385 1 3908 777</w:t>
            </w:r>
          </w:p>
          <w:p w14:paraId="69FEAD43"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6A49D3E1" w14:textId="77777777" w:rsidR="000207AB" w:rsidRPr="0000463E" w:rsidRDefault="000207AB" w:rsidP="00982118">
            <w:pPr>
              <w:rPr>
                <w:b/>
                <w:bCs/>
                <w:color w:val="000000" w:themeColor="text1"/>
                <w:lang w:val="pt-PT"/>
              </w:rPr>
            </w:pPr>
            <w:r w:rsidRPr="0000463E">
              <w:rPr>
                <w:b/>
                <w:bCs/>
                <w:color w:val="000000" w:themeColor="text1"/>
                <w:lang w:val="pt-PT"/>
              </w:rPr>
              <w:t>Slovenija</w:t>
            </w:r>
          </w:p>
          <w:p w14:paraId="2D525833" w14:textId="77777777" w:rsidR="000207AB" w:rsidRPr="0000463E" w:rsidRDefault="000207AB" w:rsidP="00982118">
            <w:pPr>
              <w:rPr>
                <w:color w:val="000000" w:themeColor="text1"/>
                <w:lang w:val="pt-PT"/>
              </w:rPr>
            </w:pPr>
            <w:r w:rsidRPr="0000463E">
              <w:rPr>
                <w:color w:val="000000" w:themeColor="text1"/>
                <w:lang w:val="pt-PT"/>
              </w:rPr>
              <w:t>Pfizer Luxembourg SARL</w:t>
            </w:r>
            <w:r w:rsidRPr="0000463E">
              <w:rPr>
                <w:i/>
                <w:iCs/>
                <w:color w:val="000000" w:themeColor="text1"/>
                <w:lang w:val="pt-PT"/>
              </w:rPr>
              <w:t xml:space="preserve">, </w:t>
            </w:r>
            <w:r w:rsidRPr="0000463E">
              <w:rPr>
                <w:color w:val="000000" w:themeColor="text1"/>
                <w:lang w:val="pt-PT"/>
              </w:rPr>
              <w:t>Pfizer, podružnica</w:t>
            </w:r>
          </w:p>
          <w:p w14:paraId="4B0E60DD" w14:textId="77777777" w:rsidR="000207AB" w:rsidRPr="0000463E" w:rsidRDefault="000207AB" w:rsidP="00982118">
            <w:pPr>
              <w:rPr>
                <w:color w:val="000000" w:themeColor="text1"/>
                <w:lang w:val="pt-PT"/>
              </w:rPr>
            </w:pPr>
            <w:r w:rsidRPr="0000463E">
              <w:rPr>
                <w:color w:val="000000" w:themeColor="text1"/>
                <w:lang w:val="pt-PT"/>
              </w:rPr>
              <w:t>za svetovanje s področja farmacevtske</w:t>
            </w:r>
          </w:p>
          <w:p w14:paraId="01A6CAF1" w14:textId="77777777" w:rsidR="000207AB" w:rsidRPr="0000463E" w:rsidRDefault="000207AB" w:rsidP="00982118">
            <w:pPr>
              <w:rPr>
                <w:color w:val="000000" w:themeColor="text1"/>
                <w:lang w:val="pt-PT"/>
              </w:rPr>
            </w:pPr>
            <w:r w:rsidRPr="0000463E">
              <w:rPr>
                <w:color w:val="000000" w:themeColor="text1"/>
                <w:lang w:val="pt-PT"/>
              </w:rPr>
              <w:t>dejavnosti, Ljubljana</w:t>
            </w:r>
          </w:p>
          <w:p w14:paraId="76C42C0E"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+386 (0)1 52 11 400</w:t>
            </w:r>
          </w:p>
          <w:p w14:paraId="5EDB113E" w14:textId="77777777" w:rsidR="000207AB" w:rsidRPr="0058432E" w:rsidRDefault="000207AB" w:rsidP="00982118">
            <w:pPr>
              <w:autoSpaceDE w:val="0"/>
              <w:autoSpaceDN w:val="0"/>
              <w:rPr>
                <w:color w:val="000000" w:themeColor="text1"/>
              </w:rPr>
            </w:pPr>
          </w:p>
        </w:tc>
      </w:tr>
      <w:tr w:rsidR="000207AB" w:rsidRPr="0058432E" w14:paraId="353301DE" w14:textId="77777777" w:rsidTr="00053717">
        <w:trPr>
          <w:gridAfter w:val="1"/>
          <w:wAfter w:w="285" w:type="dxa"/>
          <w:cantSplit/>
        </w:trPr>
        <w:tc>
          <w:tcPr>
            <w:tcW w:w="4158" w:type="dxa"/>
            <w:tcMar>
              <w:top w:w="0" w:type="dxa"/>
              <w:left w:w="108" w:type="dxa"/>
              <w:bottom w:w="0" w:type="dxa"/>
              <w:right w:w="108" w:type="dxa"/>
            </w:tcMar>
          </w:tcPr>
          <w:p w14:paraId="21A91BD6" w14:textId="77777777" w:rsidR="000207AB" w:rsidRPr="008444F9" w:rsidRDefault="000207AB" w:rsidP="00982118">
            <w:pPr>
              <w:rPr>
                <w:b/>
                <w:bCs/>
                <w:color w:val="000000" w:themeColor="text1"/>
                <w:lang w:val="en-US"/>
              </w:rPr>
            </w:pPr>
            <w:r w:rsidRPr="008444F9">
              <w:rPr>
                <w:b/>
                <w:bCs/>
                <w:color w:val="000000" w:themeColor="text1"/>
                <w:lang w:val="en-US"/>
              </w:rPr>
              <w:t>Ireland</w:t>
            </w:r>
          </w:p>
          <w:p w14:paraId="6F9DA825" w14:textId="6CEDC483" w:rsidR="000207AB" w:rsidRPr="008444F9" w:rsidRDefault="000207AB" w:rsidP="00982118">
            <w:pPr>
              <w:rPr>
                <w:color w:val="000000" w:themeColor="text1"/>
                <w:lang w:val="en-US"/>
              </w:rPr>
            </w:pPr>
            <w:r w:rsidRPr="008444F9">
              <w:rPr>
                <w:color w:val="000000" w:themeColor="text1"/>
                <w:lang w:val="en-US"/>
              </w:rPr>
              <w:t>Pfizer Healthcare Ireland</w:t>
            </w:r>
            <w:ins w:id="40" w:author="Author" w:date="2025-06-12T13:56:00Z" w16du:dateUtc="2025-06-12T12:56:00Z">
              <w:r w:rsidR="00596182">
                <w:rPr>
                  <w:color w:val="000000" w:themeColor="text1"/>
                  <w:lang w:val="en-US"/>
                </w:rPr>
                <w:t xml:space="preserve"> Unlimited Company</w:t>
              </w:r>
            </w:ins>
          </w:p>
          <w:p w14:paraId="0E48979E" w14:textId="77777777" w:rsidR="000207AB" w:rsidRPr="008444F9" w:rsidRDefault="000207AB" w:rsidP="00982118">
            <w:pPr>
              <w:rPr>
                <w:color w:val="000000" w:themeColor="text1"/>
                <w:lang w:val="en-US"/>
              </w:rPr>
            </w:pPr>
            <w:r w:rsidRPr="008444F9">
              <w:rPr>
                <w:color w:val="000000" w:themeColor="text1"/>
                <w:lang w:val="en-US"/>
              </w:rPr>
              <w:t>Tel: +1800 633 363 (toll free)</w:t>
            </w:r>
          </w:p>
          <w:p w14:paraId="11ED4BC3"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+44 (0)1304 616161</w:t>
            </w:r>
          </w:p>
          <w:p w14:paraId="578036A1"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6CBCA091" w14:textId="77777777" w:rsidR="000207AB" w:rsidRPr="0000463E" w:rsidRDefault="000207AB" w:rsidP="00982118">
            <w:pPr>
              <w:rPr>
                <w:b/>
                <w:bCs/>
                <w:color w:val="000000" w:themeColor="text1"/>
                <w:lang w:val="pt-PT"/>
              </w:rPr>
            </w:pPr>
            <w:r w:rsidRPr="0000463E">
              <w:rPr>
                <w:b/>
                <w:bCs/>
                <w:color w:val="000000" w:themeColor="text1"/>
                <w:lang w:val="pt-PT"/>
              </w:rPr>
              <w:t>Slovenská Republika</w:t>
            </w:r>
          </w:p>
          <w:p w14:paraId="1B68D1F7" w14:textId="77777777" w:rsidR="000207AB" w:rsidRPr="0000463E" w:rsidRDefault="000207AB" w:rsidP="00982118">
            <w:pPr>
              <w:rPr>
                <w:color w:val="000000" w:themeColor="text1"/>
                <w:lang w:val="pt-PT"/>
              </w:rPr>
            </w:pPr>
            <w:r w:rsidRPr="0000463E">
              <w:rPr>
                <w:color w:val="000000" w:themeColor="text1"/>
                <w:lang w:val="pt-PT"/>
              </w:rPr>
              <w:t>Pfizer Luxembourg SARL, organizačná zložka</w:t>
            </w:r>
          </w:p>
          <w:p w14:paraId="1F4BAACD"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+421 2 3355 5500</w:t>
            </w:r>
          </w:p>
          <w:p w14:paraId="34E44B8C" w14:textId="77777777" w:rsidR="000207AB" w:rsidRPr="0058432E" w:rsidRDefault="000207AB" w:rsidP="00982118">
            <w:pPr>
              <w:autoSpaceDE w:val="0"/>
              <w:autoSpaceDN w:val="0"/>
              <w:rPr>
                <w:color w:val="000000" w:themeColor="text1"/>
              </w:rPr>
            </w:pPr>
          </w:p>
        </w:tc>
      </w:tr>
      <w:tr w:rsidR="000207AB" w:rsidRPr="0058432E" w14:paraId="2CDE6186" w14:textId="77777777" w:rsidTr="00053717">
        <w:trPr>
          <w:gridAfter w:val="1"/>
          <w:wAfter w:w="285" w:type="dxa"/>
          <w:cantSplit/>
        </w:trPr>
        <w:tc>
          <w:tcPr>
            <w:tcW w:w="4158" w:type="dxa"/>
            <w:tcMar>
              <w:top w:w="0" w:type="dxa"/>
              <w:left w:w="108" w:type="dxa"/>
              <w:bottom w:w="0" w:type="dxa"/>
              <w:right w:w="108" w:type="dxa"/>
            </w:tcMar>
          </w:tcPr>
          <w:p w14:paraId="00DB6A7C" w14:textId="77777777" w:rsidR="000207AB" w:rsidRPr="0058432E" w:rsidRDefault="000207AB" w:rsidP="00982118">
            <w:pPr>
              <w:keepNext/>
              <w:rPr>
                <w:b/>
                <w:bCs/>
                <w:color w:val="000000" w:themeColor="text1"/>
              </w:rPr>
            </w:pPr>
            <w:r w:rsidRPr="0058432E">
              <w:rPr>
                <w:b/>
                <w:bCs/>
                <w:color w:val="000000" w:themeColor="text1"/>
              </w:rPr>
              <w:lastRenderedPageBreak/>
              <w:t>Ísland</w:t>
            </w:r>
          </w:p>
          <w:p w14:paraId="7C90B970" w14:textId="77777777" w:rsidR="000207AB" w:rsidRPr="0058432E" w:rsidRDefault="000207AB" w:rsidP="00982118">
            <w:pPr>
              <w:keepNext/>
              <w:rPr>
                <w:color w:val="000000" w:themeColor="text1"/>
              </w:rPr>
            </w:pPr>
            <w:r w:rsidRPr="0058432E">
              <w:rPr>
                <w:color w:val="000000" w:themeColor="text1"/>
              </w:rPr>
              <w:t>Icepharma hf.</w:t>
            </w:r>
          </w:p>
          <w:p w14:paraId="5726E5D7" w14:textId="77777777" w:rsidR="000207AB" w:rsidRPr="0058432E" w:rsidRDefault="000207AB" w:rsidP="00982118">
            <w:pPr>
              <w:keepNext/>
              <w:rPr>
                <w:color w:val="000000" w:themeColor="text1"/>
              </w:rPr>
            </w:pPr>
            <w:proofErr w:type="gramStart"/>
            <w:r w:rsidRPr="0058432E">
              <w:rPr>
                <w:color w:val="000000" w:themeColor="text1"/>
              </w:rPr>
              <w:t>Tel:</w:t>
            </w:r>
            <w:proofErr w:type="gramEnd"/>
            <w:r w:rsidRPr="0058432E">
              <w:rPr>
                <w:color w:val="000000" w:themeColor="text1"/>
              </w:rPr>
              <w:t xml:space="preserve"> +354 540 8000</w:t>
            </w:r>
          </w:p>
          <w:p w14:paraId="0A4C3A8E" w14:textId="77777777" w:rsidR="000207AB" w:rsidRPr="0058432E" w:rsidRDefault="000207AB" w:rsidP="00982118">
            <w:pPr>
              <w:keepNext/>
              <w:autoSpaceDE w:val="0"/>
              <w:autoSpaceDN w:val="0"/>
              <w:rPr>
                <w:color w:val="000000" w:themeColor="text1"/>
              </w:rPr>
            </w:pPr>
          </w:p>
        </w:tc>
        <w:tc>
          <w:tcPr>
            <w:tcW w:w="4788" w:type="dxa"/>
            <w:tcMar>
              <w:top w:w="0" w:type="dxa"/>
              <w:left w:w="108" w:type="dxa"/>
              <w:bottom w:w="0" w:type="dxa"/>
              <w:right w:w="108" w:type="dxa"/>
            </w:tcMar>
          </w:tcPr>
          <w:p w14:paraId="296F1E12" w14:textId="77777777" w:rsidR="000207AB" w:rsidRPr="0058432E" w:rsidRDefault="000207AB" w:rsidP="00982118">
            <w:pPr>
              <w:keepNext/>
              <w:rPr>
                <w:b/>
                <w:bCs/>
                <w:color w:val="000000" w:themeColor="text1"/>
              </w:rPr>
            </w:pPr>
            <w:r w:rsidRPr="0058432E">
              <w:rPr>
                <w:b/>
                <w:bCs/>
                <w:color w:val="000000" w:themeColor="text1"/>
              </w:rPr>
              <w:t>Suomi/Finland</w:t>
            </w:r>
          </w:p>
          <w:p w14:paraId="26E17321" w14:textId="77777777" w:rsidR="000207AB" w:rsidRPr="0058432E" w:rsidRDefault="000207AB" w:rsidP="00982118">
            <w:pPr>
              <w:keepNext/>
              <w:rPr>
                <w:color w:val="000000" w:themeColor="text1"/>
              </w:rPr>
            </w:pPr>
            <w:r w:rsidRPr="0058432E">
              <w:rPr>
                <w:color w:val="000000" w:themeColor="text1"/>
              </w:rPr>
              <w:t>Pfizer Oy</w:t>
            </w:r>
          </w:p>
          <w:p w14:paraId="320A839E" w14:textId="77777777" w:rsidR="000207AB" w:rsidRPr="0058432E" w:rsidRDefault="000207AB" w:rsidP="00982118">
            <w:pPr>
              <w:keepNext/>
              <w:rPr>
                <w:color w:val="000000" w:themeColor="text1"/>
              </w:rPr>
            </w:pPr>
            <w:r w:rsidRPr="0058432E">
              <w:rPr>
                <w:color w:val="000000" w:themeColor="text1"/>
              </w:rPr>
              <w:t>Puh/</w:t>
            </w:r>
            <w:proofErr w:type="gramStart"/>
            <w:r w:rsidRPr="0058432E">
              <w:rPr>
                <w:color w:val="000000" w:themeColor="text1"/>
              </w:rPr>
              <w:t>Tel:</w:t>
            </w:r>
            <w:proofErr w:type="gramEnd"/>
            <w:r w:rsidRPr="0058432E">
              <w:rPr>
                <w:color w:val="000000" w:themeColor="text1"/>
              </w:rPr>
              <w:t xml:space="preserve"> +358 (0)9 430 040</w:t>
            </w:r>
          </w:p>
          <w:p w14:paraId="58681AF0" w14:textId="77777777" w:rsidR="000207AB" w:rsidRPr="0058432E" w:rsidRDefault="000207AB" w:rsidP="00982118">
            <w:pPr>
              <w:keepNext/>
              <w:autoSpaceDE w:val="0"/>
              <w:autoSpaceDN w:val="0"/>
              <w:rPr>
                <w:color w:val="000000" w:themeColor="text1"/>
              </w:rPr>
            </w:pPr>
          </w:p>
        </w:tc>
      </w:tr>
      <w:tr w:rsidR="000207AB" w:rsidRPr="0058432E" w14:paraId="46704C96" w14:textId="77777777" w:rsidTr="00053717">
        <w:trPr>
          <w:gridAfter w:val="1"/>
          <w:wAfter w:w="285" w:type="dxa"/>
          <w:cantSplit/>
        </w:trPr>
        <w:tc>
          <w:tcPr>
            <w:tcW w:w="4158" w:type="dxa"/>
            <w:tcMar>
              <w:top w:w="0" w:type="dxa"/>
              <w:left w:w="108" w:type="dxa"/>
              <w:bottom w:w="0" w:type="dxa"/>
              <w:right w:w="108" w:type="dxa"/>
            </w:tcMar>
          </w:tcPr>
          <w:p w14:paraId="6A502094" w14:textId="77777777" w:rsidR="000207AB" w:rsidRPr="0000463E" w:rsidRDefault="000207AB" w:rsidP="00982118">
            <w:pPr>
              <w:rPr>
                <w:color w:val="000000" w:themeColor="text1"/>
                <w:lang w:val="pt-PT"/>
              </w:rPr>
            </w:pPr>
            <w:r w:rsidRPr="0000463E">
              <w:rPr>
                <w:b/>
                <w:bCs/>
                <w:color w:val="000000" w:themeColor="text1"/>
                <w:lang w:val="pt-PT"/>
              </w:rPr>
              <w:t>Italia</w:t>
            </w:r>
          </w:p>
          <w:p w14:paraId="1EFEB1DF" w14:textId="77777777" w:rsidR="000207AB" w:rsidRPr="0000463E" w:rsidRDefault="000207AB" w:rsidP="00982118">
            <w:pPr>
              <w:rPr>
                <w:color w:val="000000" w:themeColor="text1"/>
                <w:lang w:val="pt-PT"/>
              </w:rPr>
            </w:pPr>
            <w:r w:rsidRPr="0000463E">
              <w:rPr>
                <w:color w:val="000000" w:themeColor="text1"/>
                <w:lang w:val="pt-PT"/>
              </w:rPr>
              <w:t xml:space="preserve">Pfizer S.r.l. </w:t>
            </w:r>
          </w:p>
          <w:p w14:paraId="2BFA8544"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+39 06 33 18 21</w:t>
            </w:r>
          </w:p>
          <w:p w14:paraId="44D73F98" w14:textId="77777777" w:rsidR="000207AB" w:rsidRPr="0058432E" w:rsidRDefault="000207AB" w:rsidP="00982118">
            <w:pPr>
              <w:autoSpaceDE w:val="0"/>
              <w:autoSpaceDN w:val="0"/>
              <w:rPr>
                <w:color w:val="000000" w:themeColor="text1"/>
              </w:rPr>
            </w:pPr>
          </w:p>
        </w:tc>
        <w:tc>
          <w:tcPr>
            <w:tcW w:w="4788" w:type="dxa"/>
            <w:tcMar>
              <w:top w:w="0" w:type="dxa"/>
              <w:left w:w="108" w:type="dxa"/>
              <w:bottom w:w="0" w:type="dxa"/>
              <w:right w:w="108" w:type="dxa"/>
            </w:tcMar>
          </w:tcPr>
          <w:p w14:paraId="10AF8569" w14:textId="77777777" w:rsidR="000207AB" w:rsidRPr="0058432E" w:rsidRDefault="000207AB" w:rsidP="00982118">
            <w:pPr>
              <w:rPr>
                <w:b/>
                <w:bCs/>
                <w:color w:val="000000" w:themeColor="text1"/>
              </w:rPr>
            </w:pPr>
            <w:r w:rsidRPr="0058432E">
              <w:rPr>
                <w:b/>
                <w:bCs/>
                <w:color w:val="000000" w:themeColor="text1"/>
              </w:rPr>
              <w:t>Sverige</w:t>
            </w:r>
          </w:p>
          <w:p w14:paraId="389DC2CB" w14:textId="77777777" w:rsidR="000207AB" w:rsidRPr="0058432E" w:rsidRDefault="000207AB" w:rsidP="00982118">
            <w:pPr>
              <w:rPr>
                <w:color w:val="000000" w:themeColor="text1"/>
              </w:rPr>
            </w:pPr>
            <w:r w:rsidRPr="0058432E">
              <w:rPr>
                <w:color w:val="000000" w:themeColor="text1"/>
              </w:rPr>
              <w:t>Pfizer AB</w:t>
            </w:r>
          </w:p>
          <w:p w14:paraId="1746C1B0" w14:textId="77777777" w:rsidR="000207AB" w:rsidRPr="0058432E" w:rsidRDefault="000207AB"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+46 (0)8 550 520 00</w:t>
            </w:r>
          </w:p>
          <w:p w14:paraId="10812B8C" w14:textId="77777777" w:rsidR="000207AB" w:rsidRPr="0058432E" w:rsidRDefault="000207AB" w:rsidP="00982118">
            <w:pPr>
              <w:autoSpaceDE w:val="0"/>
              <w:autoSpaceDN w:val="0"/>
              <w:rPr>
                <w:color w:val="000000" w:themeColor="text1"/>
              </w:rPr>
            </w:pPr>
          </w:p>
        </w:tc>
      </w:tr>
      <w:tr w:rsidR="000207AB" w:rsidRPr="0058432E" w14:paraId="537B2AEA" w14:textId="77777777" w:rsidTr="00053717">
        <w:trPr>
          <w:gridAfter w:val="1"/>
          <w:wAfter w:w="285" w:type="dxa"/>
          <w:cantSplit/>
        </w:trPr>
        <w:tc>
          <w:tcPr>
            <w:tcW w:w="4158" w:type="dxa"/>
            <w:tcMar>
              <w:top w:w="0" w:type="dxa"/>
              <w:left w:w="108" w:type="dxa"/>
              <w:bottom w:w="0" w:type="dxa"/>
              <w:right w:w="108" w:type="dxa"/>
            </w:tcMar>
          </w:tcPr>
          <w:p w14:paraId="5D36EF35" w14:textId="77777777" w:rsidR="000207AB" w:rsidRPr="0000463E" w:rsidRDefault="000207AB" w:rsidP="00982118">
            <w:pPr>
              <w:rPr>
                <w:b/>
                <w:bCs/>
                <w:color w:val="000000" w:themeColor="text1"/>
                <w:lang w:val="pt-PT"/>
              </w:rPr>
            </w:pPr>
            <w:r w:rsidRPr="0000463E">
              <w:rPr>
                <w:b/>
                <w:bCs/>
                <w:color w:val="000000" w:themeColor="text1"/>
                <w:lang w:val="pt-PT"/>
              </w:rPr>
              <w:t>Latvija</w:t>
            </w:r>
          </w:p>
          <w:p w14:paraId="1F83A07E" w14:textId="77777777" w:rsidR="000207AB" w:rsidRPr="0000463E" w:rsidRDefault="000207AB" w:rsidP="00982118">
            <w:pPr>
              <w:rPr>
                <w:color w:val="000000" w:themeColor="text1"/>
                <w:lang w:val="pt-PT"/>
              </w:rPr>
            </w:pPr>
            <w:r w:rsidRPr="0000463E">
              <w:rPr>
                <w:color w:val="000000" w:themeColor="text1"/>
                <w:lang w:val="pt-PT"/>
              </w:rPr>
              <w:t>Pfizer Luxembourg SARL filiāle Latvijā</w:t>
            </w:r>
          </w:p>
          <w:p w14:paraId="17B0CC41" w14:textId="77777777" w:rsidR="000207AB" w:rsidRPr="0058432E" w:rsidRDefault="000207AB" w:rsidP="00982118">
            <w:pPr>
              <w:rPr>
                <w:color w:val="000000" w:themeColor="text1"/>
              </w:rPr>
            </w:pPr>
            <w:r w:rsidRPr="0058432E">
              <w:rPr>
                <w:color w:val="000000" w:themeColor="text1"/>
              </w:rPr>
              <w:t>Tel. +371 67035775</w:t>
            </w:r>
          </w:p>
          <w:p w14:paraId="7498A237" w14:textId="77777777" w:rsidR="000207AB" w:rsidRPr="0058432E" w:rsidRDefault="000207AB" w:rsidP="00982118">
            <w:pPr>
              <w:autoSpaceDE w:val="0"/>
              <w:autoSpaceDN w:val="0"/>
              <w:rPr>
                <w:b/>
                <w:bCs/>
                <w:color w:val="000000" w:themeColor="text1"/>
              </w:rPr>
            </w:pPr>
          </w:p>
        </w:tc>
        <w:tc>
          <w:tcPr>
            <w:tcW w:w="4788" w:type="dxa"/>
            <w:tcMar>
              <w:top w:w="0" w:type="dxa"/>
              <w:left w:w="108" w:type="dxa"/>
              <w:bottom w:w="0" w:type="dxa"/>
              <w:right w:w="108" w:type="dxa"/>
            </w:tcMar>
          </w:tcPr>
          <w:p w14:paraId="1E94188F" w14:textId="4E877FC4" w:rsidR="000207AB" w:rsidRPr="008444F9" w:rsidDel="00596182" w:rsidRDefault="000207AB" w:rsidP="00982118">
            <w:pPr>
              <w:rPr>
                <w:del w:id="41" w:author="Author" w:date="2025-06-12T13:56:00Z" w16du:dateUtc="2025-06-12T12:56:00Z"/>
                <w:b/>
                <w:bCs/>
                <w:color w:val="000000" w:themeColor="text1"/>
                <w:lang w:val="en-US"/>
              </w:rPr>
            </w:pPr>
            <w:del w:id="42" w:author="Author" w:date="2025-06-12T13:56:00Z" w16du:dateUtc="2025-06-12T12:56:00Z">
              <w:r w:rsidRPr="008444F9" w:rsidDel="00596182">
                <w:rPr>
                  <w:b/>
                  <w:bCs/>
                  <w:color w:val="000000" w:themeColor="text1"/>
                  <w:lang w:val="en-US"/>
                </w:rPr>
                <w:delText>United Kingdom</w:delText>
              </w:r>
              <w:r w:rsidR="007E214D" w:rsidRPr="008444F9" w:rsidDel="00596182">
                <w:rPr>
                  <w:b/>
                  <w:bCs/>
                  <w:color w:val="000000" w:themeColor="text1"/>
                  <w:lang w:val="en-US"/>
                </w:rPr>
                <w:delText xml:space="preserve"> (Northern Ireland)</w:delText>
              </w:r>
            </w:del>
          </w:p>
          <w:p w14:paraId="327EF41A" w14:textId="327C2717" w:rsidR="000207AB" w:rsidRPr="008444F9" w:rsidDel="00596182" w:rsidRDefault="000207AB" w:rsidP="00982118">
            <w:pPr>
              <w:rPr>
                <w:del w:id="43" w:author="Author" w:date="2025-06-12T13:56:00Z" w16du:dateUtc="2025-06-12T12:56:00Z"/>
                <w:color w:val="000000" w:themeColor="text1"/>
                <w:lang w:val="en-US"/>
              </w:rPr>
            </w:pPr>
            <w:del w:id="44" w:author="Author" w:date="2025-06-12T13:56:00Z" w16du:dateUtc="2025-06-12T12:56:00Z">
              <w:r w:rsidRPr="008444F9" w:rsidDel="00596182">
                <w:rPr>
                  <w:color w:val="000000" w:themeColor="text1"/>
                  <w:lang w:val="en-US"/>
                </w:rPr>
                <w:delText>Pfizer Limited</w:delText>
              </w:r>
            </w:del>
          </w:p>
          <w:p w14:paraId="4B674E3B" w14:textId="3C3ADCA0" w:rsidR="000207AB" w:rsidRPr="0058432E" w:rsidDel="00596182" w:rsidRDefault="000207AB" w:rsidP="00982118">
            <w:pPr>
              <w:rPr>
                <w:del w:id="45" w:author="Author" w:date="2025-06-12T13:56:00Z" w16du:dateUtc="2025-06-12T12:56:00Z"/>
                <w:color w:val="000000" w:themeColor="text1"/>
              </w:rPr>
            </w:pPr>
            <w:del w:id="46" w:author="Author" w:date="2025-06-12T13:56:00Z" w16du:dateUtc="2025-06-12T12:56:00Z">
              <w:r w:rsidRPr="0058432E" w:rsidDel="00596182">
                <w:rPr>
                  <w:color w:val="000000" w:themeColor="text1"/>
                </w:rPr>
                <w:delText>Tel: +44 (0)1304 616161</w:delText>
              </w:r>
            </w:del>
          </w:p>
          <w:p w14:paraId="5530FD88" w14:textId="77777777" w:rsidR="000207AB" w:rsidRPr="0058432E" w:rsidRDefault="000207AB">
            <w:pPr>
              <w:rPr>
                <w:b/>
                <w:bCs/>
                <w:color w:val="000000" w:themeColor="text1"/>
              </w:rPr>
              <w:pPrChange w:id="47" w:author="Author" w:date="2025-06-12T13:56:00Z" w16du:dateUtc="2025-06-12T12:56:00Z">
                <w:pPr>
                  <w:autoSpaceDE w:val="0"/>
                  <w:autoSpaceDN w:val="0"/>
                </w:pPr>
              </w:pPrChange>
            </w:pPr>
          </w:p>
        </w:tc>
      </w:tr>
      <w:tr w:rsidR="000207AB" w:rsidRPr="0058432E" w14:paraId="625A0A00" w14:textId="77777777" w:rsidTr="00053717">
        <w:trPr>
          <w:gridAfter w:val="1"/>
          <w:wAfter w:w="285" w:type="dxa"/>
          <w:cantSplit/>
        </w:trPr>
        <w:tc>
          <w:tcPr>
            <w:tcW w:w="4158" w:type="dxa"/>
            <w:tcMar>
              <w:top w:w="0" w:type="dxa"/>
              <w:left w:w="108" w:type="dxa"/>
              <w:bottom w:w="0" w:type="dxa"/>
              <w:right w:w="108" w:type="dxa"/>
            </w:tcMar>
            <w:hideMark/>
          </w:tcPr>
          <w:p w14:paraId="372A2B0D" w14:textId="77777777" w:rsidR="000207AB" w:rsidRPr="0000463E" w:rsidRDefault="000207AB" w:rsidP="00982118">
            <w:pPr>
              <w:rPr>
                <w:b/>
                <w:bCs/>
                <w:color w:val="000000" w:themeColor="text1"/>
                <w:lang w:val="pt-PT"/>
              </w:rPr>
            </w:pPr>
            <w:r w:rsidRPr="0000463E">
              <w:rPr>
                <w:b/>
                <w:bCs/>
                <w:color w:val="000000" w:themeColor="text1"/>
                <w:lang w:val="pt-PT"/>
              </w:rPr>
              <w:t>Lietuva</w:t>
            </w:r>
          </w:p>
          <w:p w14:paraId="67C2559B" w14:textId="77777777" w:rsidR="000207AB" w:rsidRPr="0000463E" w:rsidRDefault="000207AB" w:rsidP="00982118">
            <w:pPr>
              <w:rPr>
                <w:color w:val="000000" w:themeColor="text1"/>
                <w:lang w:val="pt-PT"/>
              </w:rPr>
            </w:pPr>
            <w:r w:rsidRPr="0000463E">
              <w:rPr>
                <w:color w:val="000000" w:themeColor="text1"/>
                <w:lang w:val="pt-PT"/>
              </w:rPr>
              <w:t>Pfizer Luxembourg SARL filialas Lietuvoje</w:t>
            </w:r>
          </w:p>
          <w:p w14:paraId="255B0AE1" w14:textId="77777777" w:rsidR="000207AB" w:rsidRPr="0058432E" w:rsidRDefault="000207AB" w:rsidP="00982118">
            <w:pPr>
              <w:autoSpaceDE w:val="0"/>
              <w:autoSpaceDN w:val="0"/>
              <w:rPr>
                <w:b/>
                <w:bCs/>
                <w:color w:val="000000" w:themeColor="text1"/>
              </w:rPr>
            </w:pPr>
            <w:r w:rsidRPr="0058432E">
              <w:rPr>
                <w:color w:val="000000" w:themeColor="text1"/>
              </w:rPr>
              <w:t>Tel. +3705 2514000</w:t>
            </w:r>
          </w:p>
        </w:tc>
        <w:tc>
          <w:tcPr>
            <w:tcW w:w="4788" w:type="dxa"/>
            <w:tcMar>
              <w:top w:w="0" w:type="dxa"/>
              <w:left w:w="108" w:type="dxa"/>
              <w:bottom w:w="0" w:type="dxa"/>
              <w:right w:w="108" w:type="dxa"/>
            </w:tcMar>
          </w:tcPr>
          <w:p w14:paraId="30BD1EF9" w14:textId="77777777" w:rsidR="000207AB" w:rsidRPr="0058432E" w:rsidRDefault="000207AB" w:rsidP="00982118">
            <w:pPr>
              <w:autoSpaceDE w:val="0"/>
              <w:autoSpaceDN w:val="0"/>
              <w:rPr>
                <w:b/>
                <w:bCs/>
                <w:color w:val="000000" w:themeColor="text1"/>
              </w:rPr>
            </w:pPr>
          </w:p>
        </w:tc>
      </w:tr>
    </w:tbl>
    <w:p w14:paraId="333E9025" w14:textId="77777777" w:rsidR="000E1BE4" w:rsidRPr="0058432E" w:rsidRDefault="000E1BE4" w:rsidP="00982118">
      <w:pPr>
        <w:rPr>
          <w:b/>
          <w:color w:val="000000" w:themeColor="text1"/>
        </w:rPr>
      </w:pPr>
    </w:p>
    <w:p w14:paraId="022CB5BC" w14:textId="77777777" w:rsidR="00C46587" w:rsidRPr="0058432E" w:rsidRDefault="00C46587" w:rsidP="006D1A33">
      <w:pPr>
        <w:keepNext/>
        <w:keepLines/>
        <w:rPr>
          <w:b/>
          <w:color w:val="000000" w:themeColor="text1"/>
        </w:rPr>
      </w:pPr>
      <w:r w:rsidRPr="0058432E">
        <w:rPr>
          <w:b/>
          <w:color w:val="000000" w:themeColor="text1"/>
        </w:rPr>
        <w:t>La dernière date à laquelle cette notice a été révisée est</w:t>
      </w:r>
    </w:p>
    <w:p w14:paraId="08449C0E" w14:textId="77777777" w:rsidR="00C46587" w:rsidRPr="0058432E" w:rsidRDefault="00C46587" w:rsidP="00982118">
      <w:pPr>
        <w:rPr>
          <w:color w:val="000000" w:themeColor="text1"/>
        </w:rPr>
      </w:pPr>
    </w:p>
    <w:p w14:paraId="4B2385C0" w14:textId="490BD79B" w:rsidR="00C46587" w:rsidRPr="0058432E" w:rsidRDefault="00C46587" w:rsidP="00982118">
      <w:pPr>
        <w:rPr>
          <w:color w:val="000000" w:themeColor="text1"/>
        </w:rPr>
      </w:pPr>
      <w:r w:rsidRPr="0058432E">
        <w:rPr>
          <w:color w:val="000000" w:themeColor="text1"/>
        </w:rPr>
        <w:t xml:space="preserve">Des informations détaillées sur ce médicament sont disponibles sur le site internet de l’Agence européenne des médicaments </w:t>
      </w:r>
      <w:hyperlink r:id="rId37" w:history="1">
        <w:r w:rsidR="00B223FD" w:rsidRPr="0058432E">
          <w:rPr>
            <w:rStyle w:val="Hyperlink"/>
          </w:rPr>
          <w:t>https://www.ema.europa.eu</w:t>
        </w:r>
      </w:hyperlink>
      <w:r w:rsidRPr="0058432E">
        <w:rPr>
          <w:color w:val="000000" w:themeColor="text1"/>
        </w:rPr>
        <w:t>.</w:t>
      </w:r>
    </w:p>
    <w:p w14:paraId="2CCEFE38" w14:textId="77777777" w:rsidR="00B51C8C" w:rsidRPr="0058432E" w:rsidRDefault="00B51C8C" w:rsidP="00A53E17">
      <w:pPr>
        <w:keepNext/>
        <w:tabs>
          <w:tab w:val="left" w:pos="562"/>
        </w:tabs>
        <w:jc w:val="center"/>
        <w:rPr>
          <w:b/>
          <w:color w:val="000000" w:themeColor="text1"/>
        </w:rPr>
      </w:pPr>
      <w:r w:rsidRPr="0058432E">
        <w:rPr>
          <w:color w:val="000000" w:themeColor="text1"/>
        </w:rPr>
        <w:br w:type="page"/>
      </w:r>
      <w:bookmarkEnd w:id="33"/>
      <w:r w:rsidR="00577E68" w:rsidRPr="0058432E">
        <w:rPr>
          <w:b/>
          <w:color w:val="000000" w:themeColor="text1"/>
        </w:rPr>
        <w:lastRenderedPageBreak/>
        <w:t>INSTRUCTIONS D’UTILISATION</w:t>
      </w:r>
    </w:p>
    <w:p w14:paraId="1BFB6EFB" w14:textId="77777777" w:rsidR="00B51C8C" w:rsidRPr="0058432E" w:rsidRDefault="00B51C8C" w:rsidP="00982118">
      <w:pPr>
        <w:tabs>
          <w:tab w:val="left" w:pos="562"/>
        </w:tabs>
        <w:rPr>
          <w:b/>
          <w:bCs/>
          <w:color w:val="000000" w:themeColor="text1"/>
        </w:rPr>
      </w:pPr>
    </w:p>
    <w:p w14:paraId="17DD5559" w14:textId="77777777" w:rsidR="00A8620A" w:rsidRPr="0058432E" w:rsidRDefault="00A8620A" w:rsidP="00982118">
      <w:pPr>
        <w:autoSpaceDE w:val="0"/>
        <w:autoSpaceDN w:val="0"/>
        <w:adjustRightInd w:val="0"/>
        <w:rPr>
          <w:b/>
          <w:bCs/>
          <w:color w:val="000000" w:themeColor="text1"/>
        </w:rPr>
      </w:pPr>
      <w:r w:rsidRPr="0058432E">
        <w:rPr>
          <w:b/>
          <w:bCs/>
          <w:color w:val="000000" w:themeColor="text1"/>
        </w:rPr>
        <w:t>Instructions pour la préparation et l’injection d’Amsparity :</w:t>
      </w:r>
    </w:p>
    <w:p w14:paraId="211FF9B9" w14:textId="77777777" w:rsidR="00A8620A" w:rsidRPr="0058432E" w:rsidRDefault="00A8620A" w:rsidP="00982118">
      <w:pPr>
        <w:autoSpaceDE w:val="0"/>
        <w:autoSpaceDN w:val="0"/>
        <w:adjustRightInd w:val="0"/>
        <w:rPr>
          <w:b/>
          <w:bCs/>
          <w:color w:val="000000" w:themeColor="text1"/>
        </w:rPr>
      </w:pPr>
    </w:p>
    <w:p w14:paraId="62BBDF22" w14:textId="77777777" w:rsidR="00577E68" w:rsidRPr="0058432E" w:rsidRDefault="00A8620A" w:rsidP="00577E68">
      <w:pPr>
        <w:autoSpaceDE w:val="0"/>
        <w:autoSpaceDN w:val="0"/>
        <w:adjustRightInd w:val="0"/>
        <w:rPr>
          <w:color w:val="000000" w:themeColor="text1"/>
        </w:rPr>
      </w:pPr>
      <w:r w:rsidRPr="0058432E">
        <w:rPr>
          <w:color w:val="000000" w:themeColor="text1"/>
        </w:rPr>
        <w:t xml:space="preserve">Les instructions suivantes expliquent comment injecter Amsparity. Veuillez lire attentivement ces instructions et les suivre étape par étape. </w:t>
      </w:r>
      <w:r w:rsidR="00577E68" w:rsidRPr="0058432E">
        <w:rPr>
          <w:b/>
          <w:color w:val="000000" w:themeColor="text1"/>
        </w:rPr>
        <w:t>N'essayez pas</w:t>
      </w:r>
      <w:r w:rsidR="00577E68" w:rsidRPr="0058432E">
        <w:rPr>
          <w:color w:val="000000" w:themeColor="text1"/>
        </w:rPr>
        <w:t xml:space="preserve"> d'injecter Amsparity à votre enfant avant d'avoir lu et compris </w:t>
      </w:r>
      <w:r w:rsidR="00BF2DC8" w:rsidRPr="0058432E">
        <w:rPr>
          <w:color w:val="000000" w:themeColor="text1"/>
        </w:rPr>
        <w:t>les instructions d’utilisation</w:t>
      </w:r>
      <w:r w:rsidR="00577E68" w:rsidRPr="0058432E">
        <w:rPr>
          <w:color w:val="000000" w:themeColor="text1"/>
        </w:rPr>
        <w:t>. Si le médecin, l'</w:t>
      </w:r>
      <w:r w:rsidR="0093388F" w:rsidRPr="0058432E">
        <w:rPr>
          <w:color w:val="000000" w:themeColor="text1"/>
        </w:rPr>
        <w:t>infirmier/ère</w:t>
      </w:r>
      <w:r w:rsidR="00577E68" w:rsidRPr="0058432E">
        <w:rPr>
          <w:color w:val="000000" w:themeColor="text1"/>
        </w:rPr>
        <w:t xml:space="preserve"> ou le pharmacien de votre enfant décide que vous pouvez lui faire des injections d'Amsparity à la maison, vous devriez recevoir une formation sur la bonne façon de préparer et d'injecter Amsparity.</w:t>
      </w:r>
    </w:p>
    <w:p w14:paraId="5C6C0CA4" w14:textId="77777777" w:rsidR="00577E68" w:rsidRPr="0058432E" w:rsidRDefault="00577E68" w:rsidP="00577E68">
      <w:pPr>
        <w:autoSpaceDE w:val="0"/>
        <w:autoSpaceDN w:val="0"/>
        <w:adjustRightInd w:val="0"/>
        <w:rPr>
          <w:color w:val="000000" w:themeColor="text1"/>
        </w:rPr>
      </w:pPr>
    </w:p>
    <w:p w14:paraId="382DE1FF" w14:textId="77777777" w:rsidR="00A8620A" w:rsidRPr="0058432E" w:rsidRDefault="00577E68" w:rsidP="00577E68">
      <w:pPr>
        <w:autoSpaceDE w:val="0"/>
        <w:autoSpaceDN w:val="0"/>
        <w:adjustRightInd w:val="0"/>
        <w:rPr>
          <w:color w:val="000000" w:themeColor="text1"/>
        </w:rPr>
      </w:pPr>
      <w:r w:rsidRPr="0058432E">
        <w:rPr>
          <w:color w:val="000000" w:themeColor="text1"/>
        </w:rPr>
        <w:t>Il est également important de parler au médecin, à l'</w:t>
      </w:r>
      <w:r w:rsidR="0093388F" w:rsidRPr="0058432E">
        <w:rPr>
          <w:color w:val="000000" w:themeColor="text1"/>
        </w:rPr>
        <w:t>infirmier/ère</w:t>
      </w:r>
      <w:r w:rsidRPr="0058432E">
        <w:rPr>
          <w:color w:val="000000" w:themeColor="text1"/>
        </w:rPr>
        <w:t xml:space="preserve"> ou au pharmacien de votre enfant pour vous assurer que vous comprenez bien les instructions de dosage </w:t>
      </w:r>
      <w:r w:rsidR="001E10DE" w:rsidRPr="0058432E">
        <w:rPr>
          <w:color w:val="000000" w:themeColor="text1"/>
        </w:rPr>
        <w:t>d’</w:t>
      </w:r>
      <w:r w:rsidRPr="0058432E">
        <w:rPr>
          <w:color w:val="000000" w:themeColor="text1"/>
        </w:rPr>
        <w:t>Amsparity de votre enfant. Pour vous aider à vous rappeler quand injecter Amsparity, vous pouvez</w:t>
      </w:r>
      <w:r w:rsidR="001E10DE" w:rsidRPr="0058432E">
        <w:rPr>
          <w:color w:val="000000" w:themeColor="text1"/>
        </w:rPr>
        <w:t xml:space="preserve"> l’indiquer sur</w:t>
      </w:r>
      <w:r w:rsidRPr="0058432E">
        <w:rPr>
          <w:color w:val="000000" w:themeColor="text1"/>
        </w:rPr>
        <w:t xml:space="preserve"> votre calendrier à l'avance. Parlez au médecin, à l'</w:t>
      </w:r>
      <w:r w:rsidR="0093388F" w:rsidRPr="0058432E">
        <w:rPr>
          <w:color w:val="000000" w:themeColor="text1"/>
        </w:rPr>
        <w:t>infirmier/ère</w:t>
      </w:r>
      <w:r w:rsidRPr="0058432E">
        <w:rPr>
          <w:color w:val="000000" w:themeColor="text1"/>
        </w:rPr>
        <w:t xml:space="preserve"> ou au pharmacien de votre enfant si vous avez des questions sur la bonne façon d'injecter Amsparity.</w:t>
      </w:r>
    </w:p>
    <w:p w14:paraId="5343B520" w14:textId="77777777" w:rsidR="00577E68" w:rsidRPr="0058432E" w:rsidRDefault="00577E68" w:rsidP="00577E68">
      <w:pPr>
        <w:autoSpaceDE w:val="0"/>
        <w:autoSpaceDN w:val="0"/>
        <w:adjustRightInd w:val="0"/>
        <w:rPr>
          <w:color w:val="000000" w:themeColor="text1"/>
        </w:rPr>
      </w:pPr>
    </w:p>
    <w:p w14:paraId="67885D05" w14:textId="77777777" w:rsidR="00A8620A" w:rsidRPr="0058432E" w:rsidRDefault="00A8620A" w:rsidP="00982118">
      <w:pPr>
        <w:autoSpaceDE w:val="0"/>
        <w:autoSpaceDN w:val="0"/>
        <w:adjustRightInd w:val="0"/>
        <w:rPr>
          <w:color w:val="000000" w:themeColor="text1"/>
        </w:rPr>
      </w:pPr>
      <w:r w:rsidRPr="0058432E">
        <w:rPr>
          <w:color w:val="000000" w:themeColor="text1"/>
        </w:rPr>
        <w:t>Le non-respect des étapes décrites ci-dessous peut entraîner une contamination qui pourrait causer une infection chez votre enfant.</w:t>
      </w:r>
    </w:p>
    <w:p w14:paraId="75658532" w14:textId="77777777" w:rsidR="00A8620A" w:rsidRPr="0058432E" w:rsidRDefault="00A8620A" w:rsidP="00982118">
      <w:pPr>
        <w:autoSpaceDE w:val="0"/>
        <w:autoSpaceDN w:val="0"/>
        <w:adjustRightInd w:val="0"/>
        <w:rPr>
          <w:color w:val="000000" w:themeColor="text1"/>
        </w:rPr>
      </w:pPr>
    </w:p>
    <w:p w14:paraId="52B3BD15" w14:textId="77777777" w:rsidR="00A8620A" w:rsidRPr="0058432E" w:rsidRDefault="00A8620A" w:rsidP="00982118">
      <w:pPr>
        <w:autoSpaceDE w:val="0"/>
        <w:autoSpaceDN w:val="0"/>
        <w:adjustRightInd w:val="0"/>
        <w:rPr>
          <w:color w:val="000000" w:themeColor="text1"/>
        </w:rPr>
      </w:pPr>
      <w:r w:rsidRPr="0058432E">
        <w:rPr>
          <w:color w:val="000000" w:themeColor="text1"/>
        </w:rPr>
        <w:t>Cette solution injectable ne doit pas être mélangée avec un autre médicament dans la même seringue ou dans le même flacon.</w:t>
      </w:r>
    </w:p>
    <w:p w14:paraId="5469BA73" w14:textId="77777777" w:rsidR="00A8620A" w:rsidRPr="0058432E" w:rsidRDefault="00A8620A" w:rsidP="00982118">
      <w:pPr>
        <w:autoSpaceDE w:val="0"/>
        <w:autoSpaceDN w:val="0"/>
        <w:adjustRightInd w:val="0"/>
        <w:rPr>
          <w:color w:val="000000" w:themeColor="text1"/>
        </w:rPr>
      </w:pPr>
    </w:p>
    <w:p w14:paraId="7722B639" w14:textId="77777777" w:rsidR="00920CA5" w:rsidRPr="0058432E" w:rsidRDefault="00920CA5" w:rsidP="00982118">
      <w:pPr>
        <w:autoSpaceDE w:val="0"/>
        <w:autoSpaceDN w:val="0"/>
        <w:adjustRightInd w:val="0"/>
        <w:rPr>
          <w:color w:val="000000" w:themeColor="text1"/>
        </w:rPr>
      </w:pPr>
    </w:p>
    <w:p w14:paraId="09B5B0DB" w14:textId="77777777" w:rsidR="00A8620A" w:rsidRPr="0058432E" w:rsidRDefault="00A8620A" w:rsidP="00982118">
      <w:pPr>
        <w:pStyle w:val="ListParagraph"/>
        <w:numPr>
          <w:ilvl w:val="0"/>
          <w:numId w:val="30"/>
        </w:numPr>
        <w:autoSpaceDE w:val="0"/>
        <w:autoSpaceDN w:val="0"/>
        <w:adjustRightInd w:val="0"/>
        <w:ind w:left="540" w:hanging="540"/>
        <w:contextualSpacing/>
        <w:rPr>
          <w:color w:val="000000" w:themeColor="text1"/>
        </w:rPr>
      </w:pPr>
      <w:r w:rsidRPr="0058432E">
        <w:rPr>
          <w:b/>
          <w:bCs/>
          <w:color w:val="000000" w:themeColor="text1"/>
        </w:rPr>
        <w:t>Mise en place</w:t>
      </w:r>
    </w:p>
    <w:p w14:paraId="1A4E76AF" w14:textId="77777777" w:rsidR="00A8620A" w:rsidRPr="0058432E" w:rsidRDefault="00A8620A" w:rsidP="00982118">
      <w:pPr>
        <w:pStyle w:val="ListParagraph"/>
        <w:autoSpaceDE w:val="0"/>
        <w:autoSpaceDN w:val="0"/>
        <w:adjustRightInd w:val="0"/>
        <w:ind w:left="540"/>
        <w:rPr>
          <w:color w:val="000000" w:themeColor="text1"/>
        </w:rPr>
      </w:pPr>
    </w:p>
    <w:p w14:paraId="4F2BE918"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Vérifiez que vous connaissez la quantité (volume) exacte à administrer. Si vous ne connaissez pas la quantité, </w:t>
      </w:r>
      <w:r w:rsidRPr="0058432E">
        <w:rPr>
          <w:b/>
          <w:bCs/>
          <w:color w:val="000000" w:themeColor="text1"/>
        </w:rPr>
        <w:t>ARR</w:t>
      </w:r>
      <w:r w:rsidR="00220FD6" w:rsidRPr="0058432E">
        <w:rPr>
          <w:b/>
          <w:bCs/>
          <w:color w:val="000000" w:themeColor="text1"/>
        </w:rPr>
        <w:t>Ê</w:t>
      </w:r>
      <w:r w:rsidRPr="0058432E">
        <w:rPr>
          <w:b/>
          <w:bCs/>
          <w:color w:val="000000" w:themeColor="text1"/>
        </w:rPr>
        <w:t xml:space="preserve">TEZ </w:t>
      </w:r>
      <w:r w:rsidR="00220FD6" w:rsidRPr="0058432E">
        <w:rPr>
          <w:b/>
          <w:bCs/>
          <w:color w:val="000000" w:themeColor="text1"/>
        </w:rPr>
        <w:t>À</w:t>
      </w:r>
      <w:r w:rsidRPr="0058432E">
        <w:rPr>
          <w:b/>
          <w:bCs/>
          <w:color w:val="000000" w:themeColor="text1"/>
        </w:rPr>
        <w:t xml:space="preserve"> CETTE </w:t>
      </w:r>
      <w:r w:rsidR="00220FD6" w:rsidRPr="0058432E">
        <w:rPr>
          <w:b/>
          <w:bCs/>
          <w:color w:val="000000" w:themeColor="text1"/>
        </w:rPr>
        <w:t>É</w:t>
      </w:r>
      <w:r w:rsidRPr="0058432E">
        <w:rPr>
          <w:b/>
          <w:bCs/>
          <w:color w:val="000000" w:themeColor="text1"/>
        </w:rPr>
        <w:t xml:space="preserve">TAPE </w:t>
      </w:r>
      <w:r w:rsidRPr="0058432E">
        <w:rPr>
          <w:color w:val="000000" w:themeColor="text1"/>
        </w:rPr>
        <w:t xml:space="preserve">et </w:t>
      </w:r>
      <w:r w:rsidR="001E10DE" w:rsidRPr="0058432E">
        <w:rPr>
          <w:color w:val="000000" w:themeColor="text1"/>
        </w:rPr>
        <w:t xml:space="preserve">parlez-en </w:t>
      </w:r>
      <w:r w:rsidR="00046037" w:rsidRPr="0058432E">
        <w:rPr>
          <w:color w:val="000000" w:themeColor="text1"/>
        </w:rPr>
        <w:t>au</w:t>
      </w:r>
      <w:r w:rsidRPr="0058432E">
        <w:rPr>
          <w:color w:val="000000" w:themeColor="text1"/>
        </w:rPr>
        <w:t xml:space="preserve"> médecin</w:t>
      </w:r>
      <w:r w:rsidR="00046037" w:rsidRPr="0058432E">
        <w:rPr>
          <w:color w:val="000000" w:themeColor="text1"/>
        </w:rPr>
        <w:t>, à l’</w:t>
      </w:r>
      <w:r w:rsidR="0093388F" w:rsidRPr="0058432E">
        <w:rPr>
          <w:color w:val="000000" w:themeColor="text1"/>
        </w:rPr>
        <w:t>infirmier/ère</w:t>
      </w:r>
      <w:r w:rsidR="00046037" w:rsidRPr="0058432E">
        <w:rPr>
          <w:color w:val="000000" w:themeColor="text1"/>
        </w:rPr>
        <w:t xml:space="preserve"> ou au pharmacien</w:t>
      </w:r>
      <w:r w:rsidR="001E10DE" w:rsidRPr="0058432E">
        <w:rPr>
          <w:color w:val="000000" w:themeColor="text1"/>
        </w:rPr>
        <w:t xml:space="preserve"> de votre enfant</w:t>
      </w:r>
      <w:r w:rsidRPr="0058432E">
        <w:rPr>
          <w:color w:val="000000" w:themeColor="text1"/>
        </w:rPr>
        <w:t xml:space="preserve"> pour obtenir des instructions supplémentaires.</w:t>
      </w:r>
    </w:p>
    <w:p w14:paraId="629A2F88" w14:textId="77777777" w:rsidR="00A8620A" w:rsidRPr="0058432E" w:rsidRDefault="00A8620A" w:rsidP="00982118">
      <w:pPr>
        <w:pStyle w:val="ListParagraph"/>
        <w:autoSpaceDE w:val="0"/>
        <w:autoSpaceDN w:val="0"/>
        <w:adjustRightInd w:val="0"/>
        <w:ind w:left="540"/>
        <w:rPr>
          <w:color w:val="000000" w:themeColor="text1"/>
        </w:rPr>
      </w:pPr>
    </w:p>
    <w:p w14:paraId="501E713C"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Vous aurez besoin d’un conteneur à déchets spécial, par </w:t>
      </w:r>
      <w:r w:rsidR="001946D2" w:rsidRPr="0058432E">
        <w:rPr>
          <w:color w:val="000000" w:themeColor="text1"/>
        </w:rPr>
        <w:t>ex</w:t>
      </w:r>
      <w:r w:rsidR="00A67736" w:rsidRPr="0058432E">
        <w:rPr>
          <w:color w:val="000000" w:themeColor="text1"/>
        </w:rPr>
        <w:t>emple</w:t>
      </w:r>
      <w:r w:rsidRPr="0058432E">
        <w:rPr>
          <w:color w:val="000000" w:themeColor="text1"/>
        </w:rPr>
        <w:t xml:space="preserve"> un collecteur d’aiguilles ou un autre conteneur indiqué par </w:t>
      </w:r>
      <w:r w:rsidR="00046037" w:rsidRPr="0058432E">
        <w:rPr>
          <w:color w:val="000000" w:themeColor="text1"/>
        </w:rPr>
        <w:t>le</w:t>
      </w:r>
      <w:r w:rsidR="00411DFE" w:rsidRPr="0058432E">
        <w:rPr>
          <w:color w:val="000000" w:themeColor="text1"/>
        </w:rPr>
        <w:t xml:space="preserve"> </w:t>
      </w:r>
      <w:r w:rsidRPr="0058432E">
        <w:rPr>
          <w:color w:val="000000" w:themeColor="text1"/>
        </w:rPr>
        <w:t>médecin</w:t>
      </w:r>
      <w:r w:rsidR="00046037" w:rsidRPr="0058432E">
        <w:rPr>
          <w:color w:val="000000" w:themeColor="text1"/>
        </w:rPr>
        <w:t>, l’</w:t>
      </w:r>
      <w:r w:rsidR="0093388F" w:rsidRPr="0058432E">
        <w:rPr>
          <w:color w:val="000000" w:themeColor="text1"/>
        </w:rPr>
        <w:t>infirmier/ère</w:t>
      </w:r>
      <w:r w:rsidRPr="0058432E">
        <w:rPr>
          <w:color w:val="000000" w:themeColor="text1"/>
        </w:rPr>
        <w:t xml:space="preserve"> ou </w:t>
      </w:r>
      <w:r w:rsidR="00046037" w:rsidRPr="0058432E">
        <w:rPr>
          <w:color w:val="000000" w:themeColor="text1"/>
        </w:rPr>
        <w:t xml:space="preserve">le </w:t>
      </w:r>
      <w:r w:rsidRPr="0058432E">
        <w:rPr>
          <w:color w:val="000000" w:themeColor="text1"/>
        </w:rPr>
        <w:t>pharmacien</w:t>
      </w:r>
      <w:r w:rsidR="001E10DE" w:rsidRPr="0058432E">
        <w:rPr>
          <w:color w:val="000000" w:themeColor="text1"/>
        </w:rPr>
        <w:t xml:space="preserve"> de votre enfant</w:t>
      </w:r>
      <w:r w:rsidR="007B66B6" w:rsidRPr="0058432E">
        <w:rPr>
          <w:color w:val="000000" w:themeColor="text1"/>
        </w:rPr>
        <w:t xml:space="preserve">. </w:t>
      </w:r>
      <w:r w:rsidRPr="0058432E">
        <w:rPr>
          <w:color w:val="000000" w:themeColor="text1"/>
        </w:rPr>
        <w:t>Placez le conteneur sur votre plan de travail.</w:t>
      </w:r>
    </w:p>
    <w:p w14:paraId="3AEAFC2A" w14:textId="77777777" w:rsidR="00A8620A" w:rsidRPr="0058432E" w:rsidRDefault="00A8620A" w:rsidP="00982118">
      <w:pPr>
        <w:pStyle w:val="ListParagraph"/>
        <w:autoSpaceDE w:val="0"/>
        <w:autoSpaceDN w:val="0"/>
        <w:adjustRightInd w:val="0"/>
        <w:ind w:left="540"/>
        <w:rPr>
          <w:color w:val="000000" w:themeColor="text1"/>
        </w:rPr>
      </w:pPr>
    </w:p>
    <w:p w14:paraId="63D8AA4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Lavez vos mains soigneusement.</w:t>
      </w:r>
    </w:p>
    <w:p w14:paraId="0A094987" w14:textId="77777777" w:rsidR="00A8620A" w:rsidRPr="0058432E" w:rsidRDefault="00A8620A" w:rsidP="00982118">
      <w:pPr>
        <w:pStyle w:val="ListParagraph"/>
        <w:autoSpaceDE w:val="0"/>
        <w:autoSpaceDN w:val="0"/>
        <w:adjustRightInd w:val="0"/>
        <w:ind w:left="540"/>
        <w:rPr>
          <w:color w:val="000000" w:themeColor="text1"/>
        </w:rPr>
      </w:pPr>
    </w:p>
    <w:p w14:paraId="21566A74"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Sortez de l’étui une boîte contenant une seringue, un adaptateur pour flacon, un flacon, deux tampons d’alcool et une aiguille. Si l’étui contient une autre boîte pour une future injection, remettez-le immédiatement au réfrigérateur.</w:t>
      </w:r>
    </w:p>
    <w:p w14:paraId="0B3EB6A4" w14:textId="77777777" w:rsidR="00A8620A" w:rsidRPr="0058432E" w:rsidRDefault="00A8620A" w:rsidP="00982118">
      <w:pPr>
        <w:pStyle w:val="ListParagraph"/>
        <w:autoSpaceDE w:val="0"/>
        <w:autoSpaceDN w:val="0"/>
        <w:adjustRightInd w:val="0"/>
        <w:ind w:left="540"/>
        <w:rPr>
          <w:color w:val="000000" w:themeColor="text1"/>
        </w:rPr>
      </w:pPr>
    </w:p>
    <w:p w14:paraId="7FF1648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Vérifiez la date de péremption sur la boîte à utiliser. </w:t>
      </w:r>
      <w:r w:rsidRPr="0058432E">
        <w:rPr>
          <w:b/>
          <w:color w:val="000000" w:themeColor="text1"/>
        </w:rPr>
        <w:t>N’UTILISEZ</w:t>
      </w:r>
      <w:r w:rsidRPr="0058432E">
        <w:rPr>
          <w:color w:val="000000" w:themeColor="text1"/>
        </w:rPr>
        <w:t xml:space="preserve"> aucun élément après la date mentionnée sur la boîte.</w:t>
      </w:r>
    </w:p>
    <w:p w14:paraId="6AAA7CA9" w14:textId="77777777" w:rsidR="00A8620A" w:rsidRPr="0058432E" w:rsidRDefault="00A8620A" w:rsidP="00982118">
      <w:pPr>
        <w:pStyle w:val="ListParagraph"/>
        <w:autoSpaceDE w:val="0"/>
        <w:autoSpaceDN w:val="0"/>
        <w:adjustRightInd w:val="0"/>
        <w:ind w:left="540"/>
        <w:rPr>
          <w:color w:val="000000" w:themeColor="text1"/>
        </w:rPr>
      </w:pPr>
    </w:p>
    <w:p w14:paraId="297D55B5"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Posez le matériel suivant sur une surface propre. </w:t>
      </w:r>
      <w:r w:rsidRPr="0058432E">
        <w:rPr>
          <w:b/>
          <w:color w:val="000000" w:themeColor="text1"/>
        </w:rPr>
        <w:t>NE LES SORTEZ PAS</w:t>
      </w:r>
      <w:r w:rsidRPr="0058432E">
        <w:rPr>
          <w:color w:val="000000" w:themeColor="text1"/>
        </w:rPr>
        <w:t xml:space="preserve"> encore de leur emballage individuel.</w:t>
      </w:r>
    </w:p>
    <w:p w14:paraId="484DD353" w14:textId="77777777" w:rsidR="00A8620A" w:rsidRPr="0058432E" w:rsidRDefault="00A8620A" w:rsidP="00982118">
      <w:pPr>
        <w:pStyle w:val="ListParagraph"/>
        <w:autoSpaceDE w:val="0"/>
        <w:autoSpaceDN w:val="0"/>
        <w:adjustRightInd w:val="0"/>
        <w:ind w:left="1080"/>
        <w:rPr>
          <w:rFonts w:eastAsia="SymbolMT"/>
          <w:color w:val="000000" w:themeColor="text1"/>
        </w:rPr>
      </w:pPr>
    </w:p>
    <w:p w14:paraId="6CB0F76F" w14:textId="77777777" w:rsidR="00A8620A" w:rsidRPr="0058432E"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58432E">
        <w:rPr>
          <w:color w:val="000000" w:themeColor="text1"/>
        </w:rPr>
        <w:t>Une seringue de 1 ml (1)</w:t>
      </w:r>
    </w:p>
    <w:p w14:paraId="5C1146D2" w14:textId="77777777" w:rsidR="00A8620A" w:rsidRPr="0058432E"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58432E">
        <w:rPr>
          <w:color w:val="000000" w:themeColor="text1"/>
        </w:rPr>
        <w:t>Un adaptateur pour flacon (2)</w:t>
      </w:r>
    </w:p>
    <w:p w14:paraId="1DD6DCE7" w14:textId="77777777" w:rsidR="00A8620A" w:rsidRPr="0058432E"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58432E">
        <w:rPr>
          <w:color w:val="000000" w:themeColor="text1"/>
        </w:rPr>
        <w:t>Un flacon d’Amsparity solution injectable pour usage pédiatrique (3)</w:t>
      </w:r>
    </w:p>
    <w:p w14:paraId="56E551FF" w14:textId="77777777" w:rsidR="00A8620A" w:rsidRPr="0058432E"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58432E">
        <w:rPr>
          <w:color w:val="000000" w:themeColor="text1"/>
        </w:rPr>
        <w:t>Deux tampons d’alcool (4)</w:t>
      </w:r>
    </w:p>
    <w:p w14:paraId="368799CD" w14:textId="77777777" w:rsidR="00A8620A" w:rsidRPr="0058432E" w:rsidRDefault="00A8620A" w:rsidP="00982118">
      <w:pPr>
        <w:pStyle w:val="ListParagraph"/>
        <w:numPr>
          <w:ilvl w:val="1"/>
          <w:numId w:val="29"/>
        </w:numPr>
        <w:autoSpaceDE w:val="0"/>
        <w:autoSpaceDN w:val="0"/>
        <w:adjustRightInd w:val="0"/>
        <w:ind w:left="1080" w:hanging="540"/>
        <w:contextualSpacing/>
        <w:rPr>
          <w:rFonts w:eastAsia="SymbolMT"/>
          <w:color w:val="000000" w:themeColor="text1"/>
        </w:rPr>
      </w:pPr>
      <w:r w:rsidRPr="0058432E">
        <w:rPr>
          <w:color w:val="000000" w:themeColor="text1"/>
        </w:rPr>
        <w:t>Une aiguille (5)</w:t>
      </w:r>
    </w:p>
    <w:p w14:paraId="0B24121C" w14:textId="77777777" w:rsidR="00A8620A" w:rsidRPr="0058432E" w:rsidRDefault="00A8620A" w:rsidP="00982118">
      <w:pPr>
        <w:pStyle w:val="NoSpacing"/>
        <w:rPr>
          <w:rFonts w:ascii="Times New Roman" w:hAnsi="Times New Roman"/>
          <w:color w:val="000000" w:themeColor="text1"/>
        </w:rPr>
      </w:pPr>
    </w:p>
    <w:p w14:paraId="01D77E56" w14:textId="5CF6A773" w:rsidR="002B32EE" w:rsidRPr="0058432E" w:rsidRDefault="009D65D0" w:rsidP="00982118">
      <w:pPr>
        <w:pStyle w:val="NoSpacing"/>
        <w:jc w:val="center"/>
        <w:rPr>
          <w:rFonts w:ascii="Times New Roman" w:hAnsi="Times New Roman"/>
          <w:color w:val="000000" w:themeColor="text1"/>
        </w:rPr>
      </w:pPr>
      <w:r w:rsidRPr="0058432E">
        <w:rPr>
          <w:rFonts w:ascii="Times New Roman" w:hAnsi="Times New Roman"/>
          <w:noProof/>
          <w:color w:val="000000" w:themeColor="text1"/>
        </w:rPr>
        <w:lastRenderedPageBreak/>
        <w:drawing>
          <wp:inline distT="0" distB="0" distL="0" distR="0" wp14:anchorId="6A8EE179" wp14:editId="38137184">
            <wp:extent cx="2011680" cy="2025650"/>
            <wp:effectExtent l="0" t="0" r="0" b="0"/>
            <wp:docPr id="28" name="Image 167" descr="adi vial individual illustration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7" descr="adi vial individual illustrations-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11680" cy="2025650"/>
                    </a:xfrm>
                    <a:prstGeom prst="rect">
                      <a:avLst/>
                    </a:prstGeom>
                    <a:noFill/>
                    <a:ln>
                      <a:noFill/>
                    </a:ln>
                  </pic:spPr>
                </pic:pic>
              </a:graphicData>
            </a:graphic>
          </wp:inline>
        </w:drawing>
      </w:r>
    </w:p>
    <w:p w14:paraId="43166BA1" w14:textId="77777777" w:rsidR="00A8620A" w:rsidRPr="0058432E" w:rsidRDefault="00A8620A" w:rsidP="00982118">
      <w:pPr>
        <w:pStyle w:val="NoSpacing"/>
        <w:rPr>
          <w:rFonts w:ascii="Times New Roman" w:hAnsi="Times New Roman"/>
          <w:color w:val="000000" w:themeColor="text1"/>
        </w:rPr>
      </w:pPr>
    </w:p>
    <w:p w14:paraId="4E2BD6C8" w14:textId="77777777" w:rsidR="00A8620A" w:rsidRPr="0058432E" w:rsidRDefault="006A1144" w:rsidP="00982118">
      <w:pPr>
        <w:pStyle w:val="NoSpacing"/>
        <w:rPr>
          <w:rFonts w:ascii="Times New Roman" w:hAnsi="Times New Roman"/>
          <w:color w:val="000000" w:themeColor="text1"/>
        </w:rPr>
      </w:pPr>
      <w:r w:rsidRPr="0058432E">
        <w:rPr>
          <w:rFonts w:ascii="Times New Roman" w:hAnsi="Times New Roman"/>
          <w:color w:val="000000" w:themeColor="text1"/>
        </w:rPr>
        <w:t xml:space="preserve">Amsparity est un liquide limpide et incolore à brun très clair et exempt de flocons ou de particules. </w:t>
      </w:r>
      <w:r w:rsidRPr="0058432E">
        <w:rPr>
          <w:rFonts w:ascii="Times New Roman" w:hAnsi="Times New Roman"/>
          <w:b/>
          <w:bCs/>
          <w:color w:val="000000" w:themeColor="text1"/>
        </w:rPr>
        <w:t>N’UTILISEZ PAS</w:t>
      </w:r>
      <w:r w:rsidRPr="0058432E">
        <w:rPr>
          <w:rFonts w:ascii="Times New Roman" w:hAnsi="Times New Roman"/>
          <w:color w:val="000000" w:themeColor="text1"/>
        </w:rPr>
        <w:t xml:space="preserve"> si la solution contient des flocons ou des particules.</w:t>
      </w:r>
    </w:p>
    <w:p w14:paraId="02DB9897" w14:textId="77777777" w:rsidR="00A8620A" w:rsidRPr="0058432E" w:rsidRDefault="00A8620A" w:rsidP="00982118">
      <w:pPr>
        <w:autoSpaceDE w:val="0"/>
        <w:autoSpaceDN w:val="0"/>
        <w:adjustRightInd w:val="0"/>
        <w:rPr>
          <w:rFonts w:eastAsia="SymbolMT"/>
          <w:color w:val="000000" w:themeColor="text1"/>
        </w:rPr>
      </w:pPr>
    </w:p>
    <w:p w14:paraId="3D799BD8" w14:textId="77777777" w:rsidR="00920CA5" w:rsidRPr="0058432E" w:rsidRDefault="00920CA5" w:rsidP="00982118">
      <w:pPr>
        <w:autoSpaceDE w:val="0"/>
        <w:autoSpaceDN w:val="0"/>
        <w:adjustRightInd w:val="0"/>
        <w:rPr>
          <w:rFonts w:eastAsia="SymbolMT"/>
          <w:color w:val="000000" w:themeColor="text1"/>
        </w:rPr>
      </w:pPr>
    </w:p>
    <w:p w14:paraId="7D5C6FC7" w14:textId="77777777" w:rsidR="00A8620A" w:rsidRPr="0058432E"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58432E">
        <w:rPr>
          <w:b/>
          <w:bCs/>
          <w:color w:val="000000" w:themeColor="text1"/>
        </w:rPr>
        <w:t>Préparation de la dose d’Amsparity pour l’injection</w:t>
      </w:r>
    </w:p>
    <w:p w14:paraId="5E3932FB" w14:textId="77777777" w:rsidR="00A8620A" w:rsidRPr="0058432E" w:rsidRDefault="00A8620A" w:rsidP="00982118">
      <w:pPr>
        <w:autoSpaceDE w:val="0"/>
        <w:autoSpaceDN w:val="0"/>
        <w:adjustRightInd w:val="0"/>
        <w:ind w:left="426"/>
        <w:rPr>
          <w:rFonts w:eastAsia="SymbolMT"/>
          <w:b/>
          <w:bCs/>
          <w:color w:val="000000" w:themeColor="text1"/>
        </w:rPr>
      </w:pPr>
    </w:p>
    <w:p w14:paraId="5365B39B" w14:textId="77777777" w:rsidR="00A8620A" w:rsidRPr="0058432E" w:rsidRDefault="00A8620A" w:rsidP="00982118">
      <w:pPr>
        <w:autoSpaceDE w:val="0"/>
        <w:autoSpaceDN w:val="0"/>
        <w:adjustRightInd w:val="0"/>
        <w:ind w:left="426"/>
        <w:rPr>
          <w:rFonts w:eastAsia="SymbolMT"/>
          <w:color w:val="000000" w:themeColor="text1"/>
        </w:rPr>
      </w:pPr>
      <w:r w:rsidRPr="0058432E">
        <w:rPr>
          <w:color w:val="000000" w:themeColor="text1"/>
        </w:rPr>
        <w:t xml:space="preserve">Manipulation générale : </w:t>
      </w:r>
      <w:r w:rsidRPr="0058432E">
        <w:rPr>
          <w:b/>
          <w:bCs/>
          <w:color w:val="000000" w:themeColor="text1"/>
        </w:rPr>
        <w:t xml:space="preserve">N’ÉLIMINEZ PAS </w:t>
      </w:r>
      <w:r w:rsidRPr="0058432E">
        <w:rPr>
          <w:color w:val="000000" w:themeColor="text1"/>
        </w:rPr>
        <w:t>les éléments utilisés avant que l’injection soit terminée.</w:t>
      </w:r>
    </w:p>
    <w:p w14:paraId="7FA814C6" w14:textId="77777777" w:rsidR="00A8620A" w:rsidRPr="0058432E" w:rsidRDefault="00A8620A" w:rsidP="00982118">
      <w:pPr>
        <w:autoSpaceDE w:val="0"/>
        <w:autoSpaceDN w:val="0"/>
        <w:adjustRightInd w:val="0"/>
        <w:rPr>
          <w:rFonts w:eastAsia="SymbolMT"/>
          <w:color w:val="000000" w:themeColor="text1"/>
        </w:rPr>
      </w:pPr>
    </w:p>
    <w:p w14:paraId="6E31FD77" w14:textId="77777777" w:rsidR="00A8620A" w:rsidRPr="0058432E"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58432E">
        <w:rPr>
          <w:color w:val="000000" w:themeColor="text1"/>
        </w:rPr>
        <w:t>Préparez l’aiguille en ouvrant partiellement l’emballage à partir de l’extrémité la plus proche du raccord jaune de la seringue. L’emballage ne doit être retiré que sur la longueur suffisante pour découvrir le raccord jaune de la seringue. Posez l’emballage avec le côté transparent vers le haut.</w:t>
      </w:r>
    </w:p>
    <w:p w14:paraId="0ED5C315" w14:textId="77777777" w:rsidR="00A8620A" w:rsidRPr="0058432E" w:rsidRDefault="00A8620A" w:rsidP="00982118">
      <w:pPr>
        <w:pStyle w:val="NoSpacing"/>
        <w:ind w:left="709"/>
        <w:rPr>
          <w:rFonts w:ascii="Times New Roman" w:eastAsia="SymbolMT" w:hAnsi="Times New Roman"/>
          <w:color w:val="000000" w:themeColor="text1"/>
        </w:rPr>
      </w:pPr>
    </w:p>
    <w:p w14:paraId="39A9B20E" w14:textId="1EB8DB4D" w:rsidR="00D376F0" w:rsidRPr="0058432E" w:rsidRDefault="009D65D0" w:rsidP="00D376F0">
      <w:pPr>
        <w:pStyle w:val="NoSpacing"/>
        <w:ind w:left="709"/>
        <w:jc w:val="center"/>
        <w:rPr>
          <w:rFonts w:ascii="Times New Roman" w:eastAsia="SymbolMT" w:hAnsi="Times New Roman"/>
          <w:color w:val="000000" w:themeColor="text1"/>
        </w:rPr>
      </w:pPr>
      <w:r w:rsidRPr="0058432E">
        <w:rPr>
          <w:rFonts w:ascii="Times New Roman" w:eastAsia="SymbolMT" w:hAnsi="Times New Roman"/>
          <w:noProof/>
          <w:color w:val="000000" w:themeColor="text1"/>
        </w:rPr>
        <w:drawing>
          <wp:inline distT="0" distB="0" distL="0" distR="0" wp14:anchorId="066CBD38" wp14:editId="520180D9">
            <wp:extent cx="1962150" cy="1997710"/>
            <wp:effectExtent l="0" t="0" r="0" b="0"/>
            <wp:docPr id="29"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p>
    <w:p w14:paraId="3E208A1E" w14:textId="77777777" w:rsidR="00A8620A" w:rsidRPr="0058432E" w:rsidRDefault="00A8620A" w:rsidP="00982118">
      <w:pPr>
        <w:pStyle w:val="NoSpacing"/>
        <w:ind w:left="709"/>
        <w:jc w:val="center"/>
        <w:rPr>
          <w:rFonts w:ascii="Times New Roman" w:eastAsia="SymbolMT" w:hAnsi="Times New Roman"/>
          <w:color w:val="000000" w:themeColor="text1"/>
        </w:rPr>
      </w:pPr>
    </w:p>
    <w:p w14:paraId="015F823C" w14:textId="77777777" w:rsidR="00A8620A" w:rsidRPr="0058432E" w:rsidRDefault="00A8620A" w:rsidP="00982118">
      <w:pPr>
        <w:pStyle w:val="NoSpacing"/>
        <w:ind w:left="709"/>
        <w:jc w:val="center"/>
        <w:rPr>
          <w:rFonts w:ascii="Times New Roman" w:eastAsia="SymbolMT" w:hAnsi="Times New Roman"/>
          <w:color w:val="000000" w:themeColor="text1"/>
        </w:rPr>
      </w:pPr>
    </w:p>
    <w:p w14:paraId="4813E966" w14:textId="77777777" w:rsidR="00A8620A" w:rsidRPr="0058432E"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58432E">
        <w:rPr>
          <w:color w:val="000000" w:themeColor="text1"/>
        </w:rPr>
        <w:t>Retirez le capuchon en plastique du flacon pour voir le haut du bouchon du flacon.</w:t>
      </w:r>
    </w:p>
    <w:p w14:paraId="3EEDD156" w14:textId="77777777" w:rsidR="00A8620A" w:rsidRPr="0058432E" w:rsidRDefault="00A8620A" w:rsidP="00982118">
      <w:pPr>
        <w:pStyle w:val="NoSpacing"/>
        <w:rPr>
          <w:rFonts w:ascii="Times New Roman" w:eastAsia="SymbolMT" w:hAnsi="Times New Roman"/>
          <w:color w:val="000000" w:themeColor="text1"/>
        </w:rPr>
      </w:pPr>
    </w:p>
    <w:p w14:paraId="4484A908" w14:textId="61BD8779" w:rsidR="00F70713" w:rsidRPr="0058432E" w:rsidRDefault="009D65D0" w:rsidP="00F70713">
      <w:pPr>
        <w:pStyle w:val="NoSpacing"/>
        <w:jc w:val="center"/>
        <w:rPr>
          <w:rFonts w:ascii="Times New Roman" w:eastAsia="SymbolMT" w:hAnsi="Times New Roman"/>
          <w:color w:val="000000" w:themeColor="text1"/>
        </w:rPr>
      </w:pPr>
      <w:r w:rsidRPr="0058432E">
        <w:rPr>
          <w:rFonts w:ascii="Times New Roman" w:eastAsia="SymbolMT" w:hAnsi="Times New Roman"/>
          <w:noProof/>
          <w:color w:val="000000" w:themeColor="text1"/>
        </w:rPr>
        <w:drawing>
          <wp:inline distT="0" distB="0" distL="0" distR="0" wp14:anchorId="14A3D427" wp14:editId="53C90479">
            <wp:extent cx="1969770" cy="2011680"/>
            <wp:effectExtent l="0" t="0" r="0" b="0"/>
            <wp:docPr id="30" name="Image 169" descr="adi vial individual illustration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9" descr="adi vial individual illustrations-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9770" cy="2011680"/>
                    </a:xfrm>
                    <a:prstGeom prst="rect">
                      <a:avLst/>
                    </a:prstGeom>
                    <a:noFill/>
                    <a:ln>
                      <a:noFill/>
                    </a:ln>
                  </pic:spPr>
                </pic:pic>
              </a:graphicData>
            </a:graphic>
          </wp:inline>
        </w:drawing>
      </w:r>
    </w:p>
    <w:p w14:paraId="30557B1D" w14:textId="77777777" w:rsidR="00A8620A" w:rsidRPr="0058432E" w:rsidRDefault="00A8620A" w:rsidP="00982118">
      <w:pPr>
        <w:pStyle w:val="NoSpacing"/>
        <w:jc w:val="center"/>
        <w:rPr>
          <w:rFonts w:ascii="Times New Roman" w:eastAsia="SymbolMT" w:hAnsi="Times New Roman"/>
          <w:color w:val="000000" w:themeColor="text1"/>
        </w:rPr>
      </w:pPr>
    </w:p>
    <w:p w14:paraId="5A60CDE4" w14:textId="77777777" w:rsidR="00A8620A" w:rsidRPr="0058432E"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58432E">
        <w:rPr>
          <w:color w:val="000000" w:themeColor="text1"/>
        </w:rPr>
        <w:t xml:space="preserve">Utilisez l’un des tampons d’alcool pour nettoyer le bouchon du flacon. </w:t>
      </w:r>
      <w:r w:rsidRPr="0058432E">
        <w:rPr>
          <w:b/>
          <w:color w:val="000000" w:themeColor="text1"/>
        </w:rPr>
        <w:t xml:space="preserve">NE TOUCHEZ PAS </w:t>
      </w:r>
      <w:r w:rsidRPr="0058432E">
        <w:rPr>
          <w:color w:val="000000" w:themeColor="text1"/>
        </w:rPr>
        <w:t>le bouchon du flacon après l’avoir nettoyé avec le tampon d’alcool.</w:t>
      </w:r>
    </w:p>
    <w:p w14:paraId="4EC7932C" w14:textId="77777777" w:rsidR="00A8620A" w:rsidRPr="0058432E" w:rsidRDefault="00A8620A" w:rsidP="00982118">
      <w:pPr>
        <w:pStyle w:val="ListParagraph"/>
        <w:autoSpaceDE w:val="0"/>
        <w:autoSpaceDN w:val="0"/>
        <w:adjustRightInd w:val="0"/>
        <w:ind w:left="540"/>
        <w:rPr>
          <w:rFonts w:eastAsia="SymbolMT"/>
          <w:color w:val="000000" w:themeColor="text1"/>
        </w:rPr>
      </w:pPr>
    </w:p>
    <w:p w14:paraId="5965D5AD" w14:textId="77777777" w:rsidR="00A8620A" w:rsidRPr="0058432E" w:rsidRDefault="00A8620A" w:rsidP="00982118">
      <w:pPr>
        <w:pStyle w:val="ListParagraph"/>
        <w:numPr>
          <w:ilvl w:val="0"/>
          <w:numId w:val="29"/>
        </w:numPr>
        <w:autoSpaceDE w:val="0"/>
        <w:autoSpaceDN w:val="0"/>
        <w:adjustRightInd w:val="0"/>
        <w:ind w:left="540" w:hanging="540"/>
        <w:contextualSpacing/>
        <w:rPr>
          <w:rFonts w:eastAsia="SymbolMT"/>
          <w:color w:val="000000" w:themeColor="text1"/>
        </w:rPr>
      </w:pPr>
      <w:r w:rsidRPr="0058432E">
        <w:rPr>
          <w:color w:val="000000" w:themeColor="text1"/>
        </w:rPr>
        <w:t>Retirez l’emballage de l’adaptateur pour flacon mais ne sortez pas l’adaptateur.</w:t>
      </w:r>
    </w:p>
    <w:p w14:paraId="32C32DC2" w14:textId="77777777" w:rsidR="00A8620A" w:rsidRPr="0058432E" w:rsidRDefault="00A8620A" w:rsidP="00982118">
      <w:pPr>
        <w:autoSpaceDE w:val="0"/>
        <w:autoSpaceDN w:val="0"/>
        <w:adjustRightInd w:val="0"/>
        <w:rPr>
          <w:color w:val="000000" w:themeColor="text1"/>
        </w:rPr>
      </w:pPr>
    </w:p>
    <w:p w14:paraId="04BF3223" w14:textId="1D4D6C6B" w:rsidR="002D150D" w:rsidRPr="0058432E" w:rsidRDefault="009D65D0" w:rsidP="002D150D">
      <w:pPr>
        <w:autoSpaceDE w:val="0"/>
        <w:autoSpaceDN w:val="0"/>
        <w:adjustRightInd w:val="0"/>
        <w:jc w:val="center"/>
        <w:rPr>
          <w:color w:val="000000" w:themeColor="text1"/>
        </w:rPr>
      </w:pPr>
      <w:r w:rsidRPr="0058432E">
        <w:rPr>
          <w:noProof/>
          <w:color w:val="000000" w:themeColor="text1"/>
        </w:rPr>
        <w:drawing>
          <wp:inline distT="0" distB="0" distL="0" distR="0" wp14:anchorId="6C0EA898" wp14:editId="48AC83E9">
            <wp:extent cx="1948180" cy="1997710"/>
            <wp:effectExtent l="0" t="0" r="0" b="0"/>
            <wp:docPr id="31"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48180" cy="1997710"/>
                    </a:xfrm>
                    <a:prstGeom prst="rect">
                      <a:avLst/>
                    </a:prstGeom>
                    <a:noFill/>
                    <a:ln>
                      <a:noFill/>
                    </a:ln>
                  </pic:spPr>
                </pic:pic>
              </a:graphicData>
            </a:graphic>
          </wp:inline>
        </w:drawing>
      </w:r>
    </w:p>
    <w:p w14:paraId="35F32735" w14:textId="77777777" w:rsidR="00A8620A" w:rsidRPr="0058432E" w:rsidRDefault="00A8620A" w:rsidP="00982118">
      <w:pPr>
        <w:autoSpaceDE w:val="0"/>
        <w:autoSpaceDN w:val="0"/>
        <w:adjustRightInd w:val="0"/>
        <w:jc w:val="center"/>
        <w:rPr>
          <w:color w:val="000000" w:themeColor="text1"/>
        </w:rPr>
      </w:pPr>
    </w:p>
    <w:p w14:paraId="4C33E276"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Tenez le flacon avec le bouchon vers le haut.</w:t>
      </w:r>
    </w:p>
    <w:p w14:paraId="7D83AA45" w14:textId="77777777" w:rsidR="00A8620A" w:rsidRPr="0058432E" w:rsidRDefault="00A8620A" w:rsidP="00982118">
      <w:pPr>
        <w:pStyle w:val="ListParagraph"/>
        <w:autoSpaceDE w:val="0"/>
        <w:autoSpaceDN w:val="0"/>
        <w:adjustRightInd w:val="0"/>
        <w:ind w:left="540"/>
        <w:rPr>
          <w:color w:val="000000" w:themeColor="text1"/>
        </w:rPr>
      </w:pPr>
    </w:p>
    <w:p w14:paraId="3F281E5D"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L’adaptateur étant toujours dans son emballage transparent, fixez-le sur le bouchon du flacon en appuyant jusqu’à ce que l’adaptateur soit enclenché et en place.</w:t>
      </w:r>
    </w:p>
    <w:p w14:paraId="0121B506" w14:textId="77777777" w:rsidR="00A8620A" w:rsidRPr="0058432E" w:rsidRDefault="00A8620A" w:rsidP="00982118">
      <w:pPr>
        <w:autoSpaceDE w:val="0"/>
        <w:autoSpaceDN w:val="0"/>
        <w:adjustRightInd w:val="0"/>
        <w:rPr>
          <w:color w:val="000000" w:themeColor="text1"/>
        </w:rPr>
      </w:pPr>
    </w:p>
    <w:p w14:paraId="052A557D"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Lorsque vous êtes certain(e) que l’adaptateur est attaché au flacon, retirez l’emballage de l’adaptateur.</w:t>
      </w:r>
    </w:p>
    <w:p w14:paraId="441E59A1" w14:textId="77777777" w:rsidR="00A8620A" w:rsidRPr="0058432E" w:rsidRDefault="00A8620A" w:rsidP="00982118">
      <w:pPr>
        <w:pStyle w:val="ListParagraph"/>
        <w:autoSpaceDE w:val="0"/>
        <w:autoSpaceDN w:val="0"/>
        <w:adjustRightInd w:val="0"/>
        <w:ind w:left="540"/>
        <w:rPr>
          <w:color w:val="000000" w:themeColor="text1"/>
        </w:rPr>
      </w:pPr>
    </w:p>
    <w:p w14:paraId="5B6143D2"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Posez doucement le flacon muni de l’adaptateur sur votre plan de travail propre. Veillez à ce qu’il ne tombe pas. </w:t>
      </w:r>
      <w:r w:rsidRPr="0058432E">
        <w:rPr>
          <w:b/>
          <w:bCs/>
          <w:color w:val="000000" w:themeColor="text1"/>
        </w:rPr>
        <w:t xml:space="preserve">NE TOUCHEZ PAS </w:t>
      </w:r>
      <w:r w:rsidRPr="0058432E">
        <w:rPr>
          <w:color w:val="000000" w:themeColor="text1"/>
        </w:rPr>
        <w:t>l’adaptateur pour flacon.</w:t>
      </w:r>
    </w:p>
    <w:p w14:paraId="3D73B112" w14:textId="77777777" w:rsidR="00A8620A" w:rsidRPr="0058432E" w:rsidRDefault="00A8620A" w:rsidP="00982118">
      <w:pPr>
        <w:autoSpaceDE w:val="0"/>
        <w:autoSpaceDN w:val="0"/>
        <w:adjustRightInd w:val="0"/>
        <w:rPr>
          <w:color w:val="000000" w:themeColor="text1"/>
        </w:rPr>
      </w:pPr>
    </w:p>
    <w:p w14:paraId="1A5CDAF4" w14:textId="42FB4B0B" w:rsidR="00731144" w:rsidRPr="0058432E" w:rsidRDefault="009D65D0" w:rsidP="00B51A46">
      <w:pPr>
        <w:autoSpaceDE w:val="0"/>
        <w:autoSpaceDN w:val="0"/>
        <w:adjustRightInd w:val="0"/>
        <w:jc w:val="center"/>
        <w:rPr>
          <w:color w:val="000000" w:themeColor="text1"/>
        </w:rPr>
      </w:pPr>
      <w:r w:rsidRPr="0058432E">
        <w:rPr>
          <w:noProof/>
          <w:color w:val="000000" w:themeColor="text1"/>
        </w:rPr>
        <mc:AlternateContent>
          <mc:Choice Requires="wps">
            <w:drawing>
              <wp:anchor distT="0" distB="0" distL="114300" distR="114300" simplePos="0" relativeHeight="251651584" behindDoc="0" locked="0" layoutInCell="1" allowOverlap="1" wp14:anchorId="4B5C6A12" wp14:editId="10C3CF7B">
                <wp:simplePos x="0" y="0"/>
                <wp:positionH relativeFrom="column">
                  <wp:posOffset>2183765</wp:posOffset>
                </wp:positionH>
                <wp:positionV relativeFrom="paragraph">
                  <wp:posOffset>1481455</wp:posOffset>
                </wp:positionV>
                <wp:extent cx="457835" cy="250190"/>
                <wp:effectExtent l="0" t="0" r="0" b="0"/>
                <wp:wrapNone/>
                <wp:docPr id="173" name="Zone de texte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50190"/>
                        </a:xfrm>
                        <a:prstGeom prst="rect">
                          <a:avLst/>
                        </a:prstGeom>
                        <a:solidFill>
                          <a:srgbClr val="FFFFFF"/>
                        </a:solidFill>
                        <a:ln>
                          <a:noFill/>
                        </a:ln>
                      </wps:spPr>
                      <wps:txbx>
                        <w:txbxContent>
                          <w:p w14:paraId="474EC58F" w14:textId="77777777" w:rsidR="009A26D2" w:rsidRPr="009E6D01" w:rsidRDefault="009A26D2" w:rsidP="00731144">
                            <w:pPr>
                              <w:rPr>
                                <w:b/>
                                <w:bCs/>
                                <w:sz w:val="18"/>
                                <w:szCs w:val="18"/>
                              </w:rPr>
                            </w:pPr>
                            <w:r>
                              <w:rPr>
                                <w:b/>
                                <w:bCs/>
                                <w:sz w:val="18"/>
                                <w:szCs w:val="18"/>
                              </w:rPr>
                              <w:t>clic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C6A12" id="Zone de texte 173" o:spid="_x0000_s1081" type="#_x0000_t202" style="position:absolute;left:0;text-align:left;margin-left:171.95pt;margin-top:116.65pt;width:36.05pt;height:1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" stroked="f">
                <v:textbox>
                  <w:txbxContent>
                    <w:p w14:paraId="474EC58F" w14:textId="77777777" w:rsidR="009A26D2" w:rsidRPr="009E6D01" w:rsidRDefault="009A26D2" w:rsidP="00731144">
                      <w:pPr>
                        <w:rPr>
                          <w:b/>
                          <w:bCs/>
                          <w:sz w:val="18"/>
                          <w:szCs w:val="18"/>
                        </w:rPr>
                      </w:pPr>
                      <w:r>
                        <w:rPr>
                          <w:b/>
                          <w:bCs/>
                          <w:sz w:val="18"/>
                          <w:szCs w:val="18"/>
                        </w:rPr>
                        <w:t>clic</w:t>
                      </w:r>
                    </w:p>
                  </w:txbxContent>
                </v:textbox>
              </v:shape>
            </w:pict>
          </mc:Fallback>
        </mc:AlternateContent>
      </w:r>
      <w:r w:rsidRPr="0058432E">
        <w:rPr>
          <w:noProof/>
          <w:color w:val="000000" w:themeColor="text1"/>
        </w:rPr>
        <w:drawing>
          <wp:inline distT="0" distB="0" distL="0" distR="0" wp14:anchorId="0966B38D" wp14:editId="4BA4C7B9">
            <wp:extent cx="1955165" cy="1997710"/>
            <wp:effectExtent l="0" t="0" r="0" b="0"/>
            <wp:docPr id="3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r w:rsidRPr="0058432E">
        <w:rPr>
          <w:noProof/>
          <w:color w:val="000000" w:themeColor="text1"/>
        </w:rPr>
        <w:drawing>
          <wp:inline distT="0" distB="0" distL="0" distR="0" wp14:anchorId="4402E417" wp14:editId="75BE71F3">
            <wp:extent cx="1955165" cy="1997710"/>
            <wp:effectExtent l="0" t="0" r="0" b="0"/>
            <wp:docPr id="33"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77488D31" w14:textId="77777777" w:rsidR="00A8620A" w:rsidRPr="0058432E" w:rsidRDefault="00A8620A" w:rsidP="00982118">
      <w:pPr>
        <w:autoSpaceDE w:val="0"/>
        <w:autoSpaceDN w:val="0"/>
        <w:adjustRightInd w:val="0"/>
        <w:jc w:val="center"/>
        <w:rPr>
          <w:color w:val="000000" w:themeColor="text1"/>
        </w:rPr>
      </w:pPr>
    </w:p>
    <w:p w14:paraId="355D86BD" w14:textId="77777777" w:rsidR="00A8620A" w:rsidRPr="0058432E" w:rsidRDefault="00A8620A" w:rsidP="00982118">
      <w:pPr>
        <w:autoSpaceDE w:val="0"/>
        <w:autoSpaceDN w:val="0"/>
        <w:adjustRightInd w:val="0"/>
        <w:rPr>
          <w:color w:val="000000" w:themeColor="text1"/>
        </w:rPr>
      </w:pPr>
    </w:p>
    <w:p w14:paraId="6006D6E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Préparez la seringue en ouvrant partiellement l’emballage à partir de l’extrémité la plus proche du piston blanc.</w:t>
      </w:r>
    </w:p>
    <w:p w14:paraId="016F3862" w14:textId="77777777" w:rsidR="00A8620A" w:rsidRPr="0058432E" w:rsidRDefault="00A8620A" w:rsidP="00982118">
      <w:pPr>
        <w:pStyle w:val="ListParagraph"/>
        <w:autoSpaceDE w:val="0"/>
        <w:autoSpaceDN w:val="0"/>
        <w:adjustRightInd w:val="0"/>
        <w:ind w:left="540"/>
        <w:rPr>
          <w:color w:val="000000" w:themeColor="text1"/>
        </w:rPr>
      </w:pPr>
    </w:p>
    <w:p w14:paraId="22D2C0A0"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Ouvrez l’emballage transparent sur une longueur suffisante pour découvrir le piston blanc, mais ne sortez pas la seringue de son emballage.</w:t>
      </w:r>
    </w:p>
    <w:p w14:paraId="0A34765F" w14:textId="77777777" w:rsidR="00A8620A" w:rsidRPr="0058432E" w:rsidRDefault="00A8620A" w:rsidP="00982118">
      <w:pPr>
        <w:pStyle w:val="ListParagraph"/>
        <w:autoSpaceDE w:val="0"/>
        <w:autoSpaceDN w:val="0"/>
        <w:adjustRightInd w:val="0"/>
        <w:ind w:left="540"/>
        <w:rPr>
          <w:color w:val="000000" w:themeColor="text1"/>
        </w:rPr>
      </w:pPr>
    </w:p>
    <w:p w14:paraId="19ADDAFD"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Tenez l’emballage de la seringue et tirez </w:t>
      </w:r>
      <w:r w:rsidRPr="0058432E">
        <w:rPr>
          <w:b/>
          <w:bCs/>
          <w:color w:val="000000" w:themeColor="text1"/>
        </w:rPr>
        <w:t xml:space="preserve">LENTEMENT </w:t>
      </w:r>
      <w:r w:rsidRPr="0058432E">
        <w:rPr>
          <w:color w:val="000000" w:themeColor="text1"/>
        </w:rPr>
        <w:t xml:space="preserve">le piston blanc jusqu’à 0,1 ml au-delà de la dose prescrite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si la dose prescrite est de 0,5 ml, tirez le piston blanc jusqu’à 0,6 ml). </w:t>
      </w:r>
      <w:r w:rsidRPr="0058432E">
        <w:rPr>
          <w:b/>
          <w:bCs/>
          <w:color w:val="000000" w:themeColor="text1"/>
        </w:rPr>
        <w:t>NE TIREZ JAMAIS</w:t>
      </w:r>
      <w:r w:rsidRPr="0058432E">
        <w:rPr>
          <w:color w:val="000000" w:themeColor="text1"/>
        </w:rPr>
        <w:t xml:space="preserve"> le piston au-delà du repère 0,9 ml, quelle que soit la dose prescrite.</w:t>
      </w:r>
    </w:p>
    <w:p w14:paraId="3DB6EE25" w14:textId="77777777" w:rsidR="00A8620A" w:rsidRPr="0058432E" w:rsidRDefault="00A8620A" w:rsidP="00982118">
      <w:pPr>
        <w:pStyle w:val="ListParagraph"/>
        <w:autoSpaceDE w:val="0"/>
        <w:autoSpaceDN w:val="0"/>
        <w:adjustRightInd w:val="0"/>
        <w:ind w:left="540"/>
        <w:rPr>
          <w:color w:val="000000" w:themeColor="text1"/>
        </w:rPr>
      </w:pPr>
    </w:p>
    <w:p w14:paraId="2DDAD58D"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Vous réglerez le volume à la dose prescrite lors d’une étape ultérieure.</w:t>
      </w:r>
    </w:p>
    <w:p w14:paraId="3F3F44C2" w14:textId="77777777" w:rsidR="00A8620A" w:rsidRPr="0058432E" w:rsidRDefault="00A8620A" w:rsidP="00982118">
      <w:pPr>
        <w:pStyle w:val="ListParagraph"/>
        <w:autoSpaceDE w:val="0"/>
        <w:autoSpaceDN w:val="0"/>
        <w:adjustRightInd w:val="0"/>
        <w:ind w:left="540"/>
        <w:rPr>
          <w:color w:val="000000" w:themeColor="text1"/>
        </w:rPr>
      </w:pPr>
    </w:p>
    <w:p w14:paraId="793DABB4"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b/>
          <w:bCs/>
          <w:color w:val="000000" w:themeColor="text1"/>
        </w:rPr>
        <w:t xml:space="preserve">NE TIREZ PAS </w:t>
      </w:r>
      <w:r w:rsidRPr="0058432E">
        <w:rPr>
          <w:color w:val="000000" w:themeColor="text1"/>
        </w:rPr>
        <w:t>le piston blanc complètement hors de la seringue.</w:t>
      </w:r>
    </w:p>
    <w:p w14:paraId="4DF10171" w14:textId="77777777" w:rsidR="00A8620A" w:rsidRPr="0058432E" w:rsidRDefault="00A8620A" w:rsidP="00982118">
      <w:pPr>
        <w:autoSpaceDE w:val="0"/>
        <w:autoSpaceDN w:val="0"/>
        <w:adjustRightInd w:val="0"/>
        <w:rPr>
          <w:b/>
          <w:bCs/>
          <w:color w:val="000000" w:themeColor="text1"/>
        </w:rPr>
      </w:pPr>
    </w:p>
    <w:p w14:paraId="31D11901" w14:textId="77777777" w:rsidR="00A8620A" w:rsidRPr="0058432E" w:rsidRDefault="00A8620A" w:rsidP="00982118">
      <w:pPr>
        <w:autoSpaceDE w:val="0"/>
        <w:autoSpaceDN w:val="0"/>
        <w:adjustRightInd w:val="0"/>
        <w:rPr>
          <w:b/>
          <w:color w:val="000000" w:themeColor="text1"/>
        </w:rPr>
      </w:pPr>
      <w:r w:rsidRPr="0058432E">
        <w:rPr>
          <w:b/>
          <w:bCs/>
          <w:color w:val="000000" w:themeColor="text1"/>
        </w:rPr>
        <w:t>REMARQUE</w:t>
      </w:r>
      <w:r w:rsidRPr="0058432E">
        <w:rPr>
          <w:b/>
          <w:color w:val="000000" w:themeColor="text1"/>
        </w:rPr>
        <w:t> :</w:t>
      </w:r>
    </w:p>
    <w:p w14:paraId="3DB903BF" w14:textId="77777777" w:rsidR="00A8620A" w:rsidRPr="0058432E" w:rsidRDefault="00A8620A" w:rsidP="00982118">
      <w:pPr>
        <w:autoSpaceDE w:val="0"/>
        <w:autoSpaceDN w:val="0"/>
        <w:adjustRightInd w:val="0"/>
        <w:ind w:left="426"/>
        <w:rPr>
          <w:color w:val="000000" w:themeColor="text1"/>
        </w:rPr>
      </w:pPr>
    </w:p>
    <w:p w14:paraId="7DD17BB1" w14:textId="77777777" w:rsidR="00A8620A" w:rsidRPr="0058432E" w:rsidRDefault="00A8620A" w:rsidP="004C5128">
      <w:pPr>
        <w:autoSpaceDE w:val="0"/>
        <w:autoSpaceDN w:val="0"/>
        <w:adjustRightInd w:val="0"/>
        <w:rPr>
          <w:color w:val="000000" w:themeColor="text1"/>
        </w:rPr>
      </w:pPr>
      <w:r w:rsidRPr="0058432E">
        <w:rPr>
          <w:color w:val="000000" w:themeColor="text1"/>
        </w:rPr>
        <w:t xml:space="preserve">Si le piston blanc est complètement sorti de la seringue, éliminez la seringue et contactez </w:t>
      </w:r>
      <w:r w:rsidR="001E10DE" w:rsidRPr="0058432E">
        <w:rPr>
          <w:color w:val="000000" w:themeColor="text1"/>
        </w:rPr>
        <w:t xml:space="preserve">le pharmacien ayant délivré Amsparity à votre enfant </w:t>
      </w:r>
      <w:r w:rsidR="006A1144" w:rsidRPr="0058432E">
        <w:rPr>
          <w:color w:val="000000" w:themeColor="text1"/>
        </w:rPr>
        <w:t xml:space="preserve">pour obtenir son remplacement. </w:t>
      </w:r>
      <w:r w:rsidR="006A1144" w:rsidRPr="0058432E">
        <w:rPr>
          <w:b/>
          <w:bCs/>
          <w:color w:val="000000" w:themeColor="text1"/>
        </w:rPr>
        <w:t xml:space="preserve">N’ESSAYEZ PAS </w:t>
      </w:r>
      <w:r w:rsidR="006A1144" w:rsidRPr="0058432E">
        <w:rPr>
          <w:color w:val="000000" w:themeColor="text1"/>
        </w:rPr>
        <w:t>de réinsérer le piston blanc.</w:t>
      </w:r>
    </w:p>
    <w:p w14:paraId="6883362D" w14:textId="77777777" w:rsidR="00A8620A" w:rsidRPr="0058432E" w:rsidRDefault="00A8620A" w:rsidP="00982118">
      <w:pPr>
        <w:autoSpaceDE w:val="0"/>
        <w:autoSpaceDN w:val="0"/>
        <w:adjustRightInd w:val="0"/>
        <w:rPr>
          <w:color w:val="000000" w:themeColor="text1"/>
        </w:rPr>
      </w:pPr>
    </w:p>
    <w:p w14:paraId="0CC24660" w14:textId="4784F005" w:rsidR="00713A0D" w:rsidRPr="0058432E" w:rsidRDefault="009D65D0" w:rsidP="00713A0D">
      <w:pPr>
        <w:autoSpaceDE w:val="0"/>
        <w:autoSpaceDN w:val="0"/>
        <w:adjustRightInd w:val="0"/>
        <w:jc w:val="center"/>
        <w:rPr>
          <w:color w:val="000000" w:themeColor="text1"/>
        </w:rPr>
      </w:pPr>
      <w:r w:rsidRPr="0058432E">
        <w:rPr>
          <w:noProof/>
          <w:color w:val="000000" w:themeColor="text1"/>
        </w:rPr>
        <mc:AlternateContent>
          <mc:Choice Requires="wps">
            <w:drawing>
              <wp:anchor distT="0" distB="0" distL="114300" distR="114300" simplePos="0" relativeHeight="251652608" behindDoc="0" locked="0" layoutInCell="1" allowOverlap="1" wp14:anchorId="335E144C" wp14:editId="067B6957">
                <wp:simplePos x="0" y="0"/>
                <wp:positionH relativeFrom="column">
                  <wp:posOffset>3898900</wp:posOffset>
                </wp:positionH>
                <wp:positionV relativeFrom="paragraph">
                  <wp:posOffset>1504315</wp:posOffset>
                </wp:positionV>
                <wp:extent cx="1550670" cy="270510"/>
                <wp:effectExtent l="0" t="0" r="0" b="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270510"/>
                        </a:xfrm>
                        <a:prstGeom prst="rect">
                          <a:avLst/>
                        </a:prstGeom>
                        <a:solidFill>
                          <a:srgbClr val="FFFFFF"/>
                        </a:solidFill>
                        <a:ln w="9525">
                          <a:noFill/>
                          <a:miter lim="800000"/>
                          <a:headEnd/>
                          <a:tailEnd/>
                        </a:ln>
                      </wps:spPr>
                      <wps:txbx>
                        <w:txbxContent>
                          <w:p w14:paraId="2E3B9A7E" w14:textId="77777777" w:rsidR="009A26D2" w:rsidRDefault="009A26D2" w:rsidP="00713A0D">
                            <w:pPr>
                              <w:autoSpaceDE w:val="0"/>
                              <w:autoSpaceDN w:val="0"/>
                              <w:adjustRightInd w:val="0"/>
                            </w:pPr>
                            <w:r>
                              <w:t>Dose + 0,1 ml</w:t>
                            </w:r>
                          </w:p>
                          <w:p w14:paraId="3FA2AA17" w14:textId="77777777" w:rsidR="009A26D2" w:rsidRDefault="009A26D2" w:rsidP="00713A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E144C" id="Zone de texte 307" o:spid="_x0000_s1082" type="#_x0000_t202" style="position:absolute;left:0;text-align:left;margin-left:307pt;margin-top:118.45pt;width:122.1pt;height:21.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" stroked="f">
                <v:textbox>
                  <w:txbxContent>
                    <w:p w14:paraId="2E3B9A7E" w14:textId="77777777" w:rsidR="009A26D2" w:rsidRDefault="009A26D2" w:rsidP="00713A0D">
                      <w:pPr>
                        <w:autoSpaceDE w:val="0"/>
                        <w:autoSpaceDN w:val="0"/>
                        <w:adjustRightInd w:val="0"/>
                      </w:pPr>
                      <w:r>
                        <w:t>Dose + 0,1 ml</w:t>
                      </w:r>
                    </w:p>
                    <w:p w14:paraId="3FA2AA17" w14:textId="77777777" w:rsidR="009A26D2" w:rsidRDefault="009A26D2" w:rsidP="00713A0D"/>
                  </w:txbxContent>
                </v:textbox>
              </v:shape>
            </w:pict>
          </mc:Fallback>
        </mc:AlternateContent>
      </w:r>
      <w:r w:rsidRPr="0058432E">
        <w:rPr>
          <w:noProof/>
          <w:color w:val="000000" w:themeColor="text1"/>
        </w:rPr>
        <w:drawing>
          <wp:inline distT="0" distB="0" distL="0" distR="0" wp14:anchorId="3DF52537" wp14:editId="2F7AAEA9">
            <wp:extent cx="1962150" cy="1997710"/>
            <wp:effectExtent l="0" t="0" r="0" b="0"/>
            <wp:docPr id="3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p>
    <w:p w14:paraId="1412852E" w14:textId="77777777" w:rsidR="00A8620A" w:rsidRPr="0058432E" w:rsidRDefault="00A8620A" w:rsidP="00982118">
      <w:pPr>
        <w:autoSpaceDE w:val="0"/>
        <w:autoSpaceDN w:val="0"/>
        <w:adjustRightInd w:val="0"/>
        <w:jc w:val="center"/>
        <w:rPr>
          <w:color w:val="000000" w:themeColor="text1"/>
        </w:rPr>
      </w:pPr>
    </w:p>
    <w:p w14:paraId="258BE0F2" w14:textId="77777777" w:rsidR="00A8620A" w:rsidRPr="0058432E" w:rsidRDefault="00A8620A" w:rsidP="00982118">
      <w:pPr>
        <w:autoSpaceDE w:val="0"/>
        <w:autoSpaceDN w:val="0"/>
        <w:adjustRightInd w:val="0"/>
        <w:rPr>
          <w:color w:val="000000" w:themeColor="text1"/>
        </w:rPr>
      </w:pPr>
    </w:p>
    <w:p w14:paraId="02417657" w14:textId="77777777" w:rsidR="00A8620A" w:rsidRPr="0058432E" w:rsidRDefault="00A8620A" w:rsidP="00982118">
      <w:pPr>
        <w:pStyle w:val="ListParagraph"/>
        <w:numPr>
          <w:ilvl w:val="0"/>
          <w:numId w:val="29"/>
        </w:numPr>
        <w:autoSpaceDE w:val="0"/>
        <w:autoSpaceDN w:val="0"/>
        <w:adjustRightInd w:val="0"/>
        <w:ind w:left="540" w:hanging="540"/>
        <w:contextualSpacing/>
        <w:rPr>
          <w:b/>
          <w:bCs/>
          <w:color w:val="000000" w:themeColor="text1"/>
        </w:rPr>
      </w:pPr>
      <w:r w:rsidRPr="0058432E">
        <w:rPr>
          <w:b/>
          <w:bCs/>
          <w:color w:val="000000" w:themeColor="text1"/>
        </w:rPr>
        <w:t xml:space="preserve">N’UTILISEZ PAS </w:t>
      </w:r>
      <w:r w:rsidRPr="0058432E">
        <w:rPr>
          <w:color w:val="000000" w:themeColor="text1"/>
        </w:rPr>
        <w:t xml:space="preserve">le piston blanc pour sortir la seringue de l’emballage. Tenez la seringue au niveau de la zone graduée et sortez-la de son emballage. À aucun moment la seringue </w:t>
      </w:r>
      <w:r w:rsidRPr="0058432E">
        <w:rPr>
          <w:b/>
          <w:bCs/>
          <w:color w:val="000000" w:themeColor="text1"/>
        </w:rPr>
        <w:t xml:space="preserve">NE DOIT </w:t>
      </w:r>
      <w:r w:rsidR="00A37C6C" w:rsidRPr="0058432E">
        <w:rPr>
          <w:b/>
          <w:bCs/>
          <w:color w:val="000000" w:themeColor="text1"/>
        </w:rPr>
        <w:t>Ê</w:t>
      </w:r>
      <w:r w:rsidRPr="0058432E">
        <w:rPr>
          <w:b/>
          <w:bCs/>
          <w:color w:val="000000" w:themeColor="text1"/>
        </w:rPr>
        <w:t>TRE POSÉE</w:t>
      </w:r>
      <w:r w:rsidRPr="0058432E">
        <w:rPr>
          <w:color w:val="000000" w:themeColor="text1"/>
        </w:rPr>
        <w:t>.</w:t>
      </w:r>
    </w:p>
    <w:p w14:paraId="24659397" w14:textId="77777777" w:rsidR="00A8620A" w:rsidRPr="0058432E" w:rsidRDefault="00A8620A" w:rsidP="00982118">
      <w:pPr>
        <w:pStyle w:val="ListParagraph"/>
        <w:autoSpaceDE w:val="0"/>
        <w:autoSpaceDN w:val="0"/>
        <w:adjustRightInd w:val="0"/>
        <w:ind w:left="540"/>
        <w:rPr>
          <w:b/>
          <w:bCs/>
          <w:color w:val="000000" w:themeColor="text1"/>
        </w:rPr>
      </w:pPr>
    </w:p>
    <w:p w14:paraId="67DBD33C" w14:textId="77777777" w:rsidR="00A8620A" w:rsidRPr="0058432E" w:rsidRDefault="00A8620A" w:rsidP="00982118">
      <w:pPr>
        <w:pStyle w:val="ListParagraph"/>
        <w:numPr>
          <w:ilvl w:val="0"/>
          <w:numId w:val="29"/>
        </w:numPr>
        <w:autoSpaceDE w:val="0"/>
        <w:autoSpaceDN w:val="0"/>
        <w:adjustRightInd w:val="0"/>
        <w:ind w:left="540" w:hanging="540"/>
        <w:contextualSpacing/>
        <w:rPr>
          <w:b/>
          <w:bCs/>
          <w:color w:val="000000" w:themeColor="text1"/>
        </w:rPr>
      </w:pPr>
      <w:r w:rsidRPr="0058432E">
        <w:rPr>
          <w:color w:val="000000" w:themeColor="text1"/>
        </w:rPr>
        <w:t xml:space="preserve">En tenant fermement l’adaptateur pour flacon, insérez l’embout de la seringue dans l’adaptateur et d’une main, faites tourner la seringue dans le sens des aiguilles d’une montre jusqu’à ce qu’elle soit bien en place. </w:t>
      </w:r>
      <w:r w:rsidRPr="0058432E">
        <w:rPr>
          <w:b/>
          <w:bCs/>
          <w:color w:val="000000" w:themeColor="text1"/>
        </w:rPr>
        <w:t>NE SERREZ PAS</w:t>
      </w:r>
      <w:r w:rsidRPr="0058432E">
        <w:rPr>
          <w:color w:val="000000" w:themeColor="text1"/>
        </w:rPr>
        <w:t xml:space="preserve"> excessivement.</w:t>
      </w:r>
    </w:p>
    <w:p w14:paraId="77438B4C" w14:textId="0F9E4B4F" w:rsidR="00A8620A" w:rsidRPr="0058432E" w:rsidRDefault="009D65D0" w:rsidP="00B51A46">
      <w:pPr>
        <w:pStyle w:val="ListParagraph"/>
        <w:numPr>
          <w:ilvl w:val="0"/>
          <w:numId w:val="29"/>
        </w:numPr>
        <w:autoSpaceDE w:val="0"/>
        <w:autoSpaceDN w:val="0"/>
        <w:adjustRightInd w:val="0"/>
        <w:jc w:val="center"/>
        <w:rPr>
          <w:color w:val="000000" w:themeColor="text1"/>
        </w:rPr>
      </w:pPr>
      <w:r w:rsidRPr="0058432E">
        <w:rPr>
          <w:noProof/>
          <w:color w:val="000000" w:themeColor="text1"/>
        </w:rPr>
        <w:drawing>
          <wp:inline distT="0" distB="0" distL="0" distR="0" wp14:anchorId="00A1872D" wp14:editId="533E1451">
            <wp:extent cx="1955165" cy="1997710"/>
            <wp:effectExtent l="0" t="0" r="0" b="0"/>
            <wp:docPr id="3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7543CF07" w14:textId="77777777" w:rsidR="00A8620A" w:rsidRPr="0058432E" w:rsidRDefault="00A8620A" w:rsidP="00982118">
      <w:pPr>
        <w:autoSpaceDE w:val="0"/>
        <w:autoSpaceDN w:val="0"/>
        <w:adjustRightInd w:val="0"/>
        <w:jc w:val="center"/>
        <w:rPr>
          <w:color w:val="000000" w:themeColor="text1"/>
        </w:rPr>
      </w:pPr>
    </w:p>
    <w:p w14:paraId="456A3974"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En tenant le flacon, poussez à fond sur le piston blanc. Cette étape est importante pour obtenir la dose correcte.</w:t>
      </w:r>
    </w:p>
    <w:p w14:paraId="172ADF00" w14:textId="77777777" w:rsidR="00A8620A" w:rsidRPr="0058432E" w:rsidRDefault="00A8620A" w:rsidP="00982118">
      <w:pPr>
        <w:autoSpaceDE w:val="0"/>
        <w:autoSpaceDN w:val="0"/>
        <w:adjustRightInd w:val="0"/>
        <w:rPr>
          <w:color w:val="000000" w:themeColor="text1"/>
        </w:rPr>
      </w:pPr>
    </w:p>
    <w:p w14:paraId="62B9BDE4" w14:textId="287A4768" w:rsidR="00A8620A" w:rsidRPr="0058432E" w:rsidRDefault="009D65D0" w:rsidP="00982118">
      <w:pPr>
        <w:autoSpaceDE w:val="0"/>
        <w:autoSpaceDN w:val="0"/>
        <w:adjustRightInd w:val="0"/>
        <w:jc w:val="center"/>
        <w:rPr>
          <w:color w:val="000000" w:themeColor="text1"/>
        </w:rPr>
      </w:pPr>
      <w:r w:rsidRPr="0058432E">
        <w:rPr>
          <w:noProof/>
          <w:color w:val="000000" w:themeColor="text1"/>
        </w:rPr>
        <w:lastRenderedPageBreak/>
        <w:drawing>
          <wp:inline distT="0" distB="0" distL="0" distR="0" wp14:anchorId="4FCB74CE" wp14:editId="729064DC">
            <wp:extent cx="1955165" cy="1997710"/>
            <wp:effectExtent l="0" t="0" r="0" b="0"/>
            <wp:docPr id="3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0AB6CB31" w14:textId="77777777" w:rsidR="00A8620A" w:rsidRPr="0058432E" w:rsidRDefault="00A8620A" w:rsidP="00982118">
      <w:pPr>
        <w:autoSpaceDE w:val="0"/>
        <w:autoSpaceDN w:val="0"/>
        <w:adjustRightInd w:val="0"/>
        <w:rPr>
          <w:color w:val="000000" w:themeColor="text1"/>
        </w:rPr>
      </w:pPr>
    </w:p>
    <w:p w14:paraId="219DD7D7" w14:textId="77777777" w:rsidR="00A8620A" w:rsidRPr="0058432E" w:rsidRDefault="00A8620A" w:rsidP="00982118">
      <w:pPr>
        <w:autoSpaceDE w:val="0"/>
        <w:autoSpaceDN w:val="0"/>
        <w:adjustRightInd w:val="0"/>
        <w:rPr>
          <w:color w:val="000000" w:themeColor="text1"/>
        </w:rPr>
      </w:pPr>
    </w:p>
    <w:p w14:paraId="3F6E200F" w14:textId="77777777" w:rsidR="00A8620A" w:rsidRPr="0058432E" w:rsidRDefault="00A8620A" w:rsidP="00982118">
      <w:pPr>
        <w:pStyle w:val="ListParagraph"/>
        <w:keepNext/>
        <w:numPr>
          <w:ilvl w:val="0"/>
          <w:numId w:val="29"/>
        </w:numPr>
        <w:autoSpaceDE w:val="0"/>
        <w:autoSpaceDN w:val="0"/>
        <w:adjustRightInd w:val="0"/>
        <w:ind w:left="540" w:hanging="540"/>
        <w:contextualSpacing/>
        <w:rPr>
          <w:color w:val="000000" w:themeColor="text1"/>
        </w:rPr>
      </w:pPr>
      <w:r w:rsidRPr="0058432E">
        <w:rPr>
          <w:color w:val="000000" w:themeColor="text1"/>
        </w:rPr>
        <w:t>Tenez le piston blanc et retournez le flacon et la seringue.</w:t>
      </w:r>
    </w:p>
    <w:p w14:paraId="7ED0A7D4" w14:textId="77777777" w:rsidR="00A8620A" w:rsidRPr="0058432E" w:rsidRDefault="00A8620A" w:rsidP="00982118">
      <w:pPr>
        <w:keepNext/>
        <w:autoSpaceDE w:val="0"/>
        <w:autoSpaceDN w:val="0"/>
        <w:adjustRightInd w:val="0"/>
        <w:rPr>
          <w:color w:val="000000" w:themeColor="text1"/>
        </w:rPr>
      </w:pPr>
    </w:p>
    <w:p w14:paraId="25C35BB1" w14:textId="4BEDA40A" w:rsidR="00197620" w:rsidRPr="0058432E" w:rsidRDefault="009D65D0" w:rsidP="00197620">
      <w:pPr>
        <w:autoSpaceDE w:val="0"/>
        <w:autoSpaceDN w:val="0"/>
        <w:adjustRightInd w:val="0"/>
        <w:jc w:val="center"/>
        <w:rPr>
          <w:color w:val="000000" w:themeColor="text1"/>
        </w:rPr>
      </w:pPr>
      <w:r w:rsidRPr="0058432E">
        <w:rPr>
          <w:noProof/>
          <w:color w:val="000000" w:themeColor="text1"/>
        </w:rPr>
        <w:drawing>
          <wp:inline distT="0" distB="0" distL="0" distR="0" wp14:anchorId="4B4CEA2A" wp14:editId="54C95C7A">
            <wp:extent cx="2546350" cy="1997710"/>
            <wp:effectExtent l="0" t="0" r="0" b="0"/>
            <wp:docPr id="3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46350" cy="1997710"/>
                    </a:xfrm>
                    <a:prstGeom prst="rect">
                      <a:avLst/>
                    </a:prstGeom>
                    <a:noFill/>
                    <a:ln>
                      <a:noFill/>
                    </a:ln>
                  </pic:spPr>
                </pic:pic>
              </a:graphicData>
            </a:graphic>
          </wp:inline>
        </w:drawing>
      </w:r>
    </w:p>
    <w:p w14:paraId="52A14986" w14:textId="77777777" w:rsidR="00A8620A" w:rsidRPr="0058432E" w:rsidRDefault="00A8620A" w:rsidP="00982118">
      <w:pPr>
        <w:autoSpaceDE w:val="0"/>
        <w:autoSpaceDN w:val="0"/>
        <w:adjustRightInd w:val="0"/>
        <w:jc w:val="center"/>
        <w:rPr>
          <w:color w:val="000000" w:themeColor="text1"/>
        </w:rPr>
      </w:pPr>
    </w:p>
    <w:p w14:paraId="108E8AAD" w14:textId="77777777" w:rsidR="00A8620A" w:rsidRPr="0058432E" w:rsidRDefault="00A8620A" w:rsidP="00982118">
      <w:pPr>
        <w:autoSpaceDE w:val="0"/>
        <w:autoSpaceDN w:val="0"/>
        <w:adjustRightInd w:val="0"/>
        <w:rPr>
          <w:color w:val="000000" w:themeColor="text1"/>
        </w:rPr>
      </w:pPr>
    </w:p>
    <w:p w14:paraId="476ABF07" w14:textId="77777777" w:rsidR="00A8620A" w:rsidRPr="0058432E" w:rsidRDefault="00A8620A" w:rsidP="00982118">
      <w:pPr>
        <w:autoSpaceDE w:val="0"/>
        <w:autoSpaceDN w:val="0"/>
        <w:adjustRightInd w:val="0"/>
        <w:rPr>
          <w:color w:val="000000" w:themeColor="text1"/>
        </w:rPr>
      </w:pPr>
    </w:p>
    <w:p w14:paraId="652F4183" w14:textId="77777777" w:rsidR="00A8620A" w:rsidRPr="0058432E" w:rsidRDefault="00A8620A" w:rsidP="007C4B2C">
      <w:pPr>
        <w:pStyle w:val="ListParagraph"/>
        <w:keepNext/>
        <w:keepLines/>
        <w:numPr>
          <w:ilvl w:val="0"/>
          <w:numId w:val="29"/>
        </w:numPr>
        <w:autoSpaceDE w:val="0"/>
        <w:autoSpaceDN w:val="0"/>
        <w:adjustRightInd w:val="0"/>
        <w:ind w:left="547" w:hanging="547"/>
        <w:contextualSpacing/>
        <w:rPr>
          <w:color w:val="000000" w:themeColor="text1"/>
        </w:rPr>
      </w:pPr>
      <w:r w:rsidRPr="0058432E">
        <w:rPr>
          <w:color w:val="000000" w:themeColor="text1"/>
        </w:rPr>
        <w:t xml:space="preserve">Tirez </w:t>
      </w:r>
      <w:r w:rsidRPr="0058432E">
        <w:rPr>
          <w:b/>
          <w:color w:val="000000" w:themeColor="text1"/>
        </w:rPr>
        <w:t>LENTEMENT</w:t>
      </w:r>
      <w:r w:rsidRPr="0058432E">
        <w:rPr>
          <w:color w:val="000000" w:themeColor="text1"/>
        </w:rPr>
        <w:t xml:space="preserve"> le piston blanc jusqu’à 0,1 ml au-delà de la dose prescrite. Cela est important pour prélever la dose correcte. Vous réglerez le volume à la dose prescrite à l’étape 4, Préparation de la dose. Si, par </w:t>
      </w:r>
      <w:r w:rsidR="001946D2" w:rsidRPr="0058432E">
        <w:rPr>
          <w:color w:val="000000" w:themeColor="text1"/>
        </w:rPr>
        <w:t>ex</w:t>
      </w:r>
      <w:r w:rsidR="00A67736" w:rsidRPr="0058432E">
        <w:rPr>
          <w:color w:val="000000" w:themeColor="text1"/>
        </w:rPr>
        <w:t>emple</w:t>
      </w:r>
      <w:r w:rsidRPr="0058432E">
        <w:rPr>
          <w:color w:val="000000" w:themeColor="text1"/>
        </w:rPr>
        <w:t>, la dose prescrite est de 0,5 ml, tirez le piston blanc jusqu’à 0,6 ml. Vous verrez la solution passer du flacon à la seringue.</w:t>
      </w:r>
    </w:p>
    <w:p w14:paraId="60F133DA" w14:textId="77777777" w:rsidR="00A8620A" w:rsidRPr="0058432E" w:rsidRDefault="00A8620A" w:rsidP="007C4B2C">
      <w:pPr>
        <w:keepNext/>
        <w:keepLines/>
        <w:autoSpaceDE w:val="0"/>
        <w:autoSpaceDN w:val="0"/>
        <w:adjustRightInd w:val="0"/>
        <w:rPr>
          <w:color w:val="000000" w:themeColor="text1"/>
        </w:rPr>
      </w:pPr>
    </w:p>
    <w:p w14:paraId="205F164D" w14:textId="77777777" w:rsidR="00A8620A" w:rsidRPr="0058432E" w:rsidRDefault="00A8620A" w:rsidP="00982118">
      <w:pPr>
        <w:autoSpaceDE w:val="0"/>
        <w:autoSpaceDN w:val="0"/>
        <w:adjustRightInd w:val="0"/>
        <w:rPr>
          <w:color w:val="000000" w:themeColor="text1"/>
        </w:rPr>
      </w:pPr>
    </w:p>
    <w:p w14:paraId="7AE75538" w14:textId="2F8A313B" w:rsidR="00A8620A" w:rsidRPr="0058432E" w:rsidRDefault="009D65D0" w:rsidP="00982118">
      <w:pPr>
        <w:autoSpaceDE w:val="0"/>
        <w:autoSpaceDN w:val="0"/>
        <w:adjustRightInd w:val="0"/>
        <w:jc w:val="center"/>
        <w:rPr>
          <w:color w:val="000000" w:themeColor="text1"/>
        </w:rPr>
      </w:pPr>
      <w:r w:rsidRPr="0058432E">
        <w:rPr>
          <w:noProof/>
          <w:color w:val="000000" w:themeColor="text1"/>
        </w:rPr>
        <w:drawing>
          <wp:inline distT="0" distB="0" distL="0" distR="0" wp14:anchorId="60C01EB4" wp14:editId="7BBD7DA6">
            <wp:extent cx="1955165" cy="1997710"/>
            <wp:effectExtent l="0" t="0" r="0" b="0"/>
            <wp:docPr id="3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17BD4FF7" w14:textId="77777777" w:rsidR="00A8620A" w:rsidRPr="0058432E" w:rsidRDefault="00A8620A" w:rsidP="00982118">
      <w:pPr>
        <w:autoSpaceDE w:val="0"/>
        <w:autoSpaceDN w:val="0"/>
        <w:adjustRightInd w:val="0"/>
        <w:jc w:val="center"/>
        <w:rPr>
          <w:color w:val="000000" w:themeColor="text1"/>
        </w:rPr>
      </w:pPr>
    </w:p>
    <w:p w14:paraId="54B16BB4" w14:textId="77777777" w:rsidR="00A8620A" w:rsidRPr="0058432E" w:rsidRDefault="00A8620A" w:rsidP="00982118">
      <w:pPr>
        <w:autoSpaceDE w:val="0"/>
        <w:autoSpaceDN w:val="0"/>
        <w:adjustRightInd w:val="0"/>
        <w:rPr>
          <w:color w:val="000000" w:themeColor="text1"/>
        </w:rPr>
      </w:pPr>
    </w:p>
    <w:p w14:paraId="357DC25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Poussez à fond sur le piston blanc pour refaire passer la solution dans le flacon. </w:t>
      </w:r>
      <w:r w:rsidR="00C850AE" w:rsidRPr="0058432E">
        <w:rPr>
          <w:color w:val="000000" w:themeColor="text1"/>
        </w:rPr>
        <w:t>À</w:t>
      </w:r>
      <w:r w:rsidRPr="0058432E">
        <w:rPr>
          <w:color w:val="000000" w:themeColor="text1"/>
        </w:rPr>
        <w:t xml:space="preserve"> nouveau, tirez </w:t>
      </w:r>
      <w:r w:rsidRPr="0058432E">
        <w:rPr>
          <w:b/>
          <w:color w:val="000000" w:themeColor="text1"/>
        </w:rPr>
        <w:t>LENTEMENT</w:t>
      </w:r>
      <w:r w:rsidRPr="0058432E">
        <w:rPr>
          <w:color w:val="000000" w:themeColor="text1"/>
        </w:rPr>
        <w:t xml:space="preserve"> sur le piston blanc jusqu’à 0,1 ml au-delà de la dose prescrite, cela est important pour prélever la dose correcte et pour éviter la présence de bulles ou de couches d’air dans la solution. Vous réglerez le volume à la dose prescrite à l’étape 4, Préparation de la dose.</w:t>
      </w:r>
    </w:p>
    <w:p w14:paraId="3495574D" w14:textId="77777777" w:rsidR="00A8620A" w:rsidRPr="0058432E" w:rsidRDefault="00A8620A" w:rsidP="00982118">
      <w:pPr>
        <w:pStyle w:val="ListParagraph"/>
        <w:autoSpaceDE w:val="0"/>
        <w:autoSpaceDN w:val="0"/>
        <w:adjustRightInd w:val="0"/>
        <w:rPr>
          <w:color w:val="000000" w:themeColor="text1"/>
        </w:rPr>
      </w:pPr>
    </w:p>
    <w:p w14:paraId="6042FAB0" w14:textId="77777777" w:rsidR="00E03946" w:rsidRPr="0058432E" w:rsidRDefault="00E03946" w:rsidP="00982118">
      <w:pPr>
        <w:pStyle w:val="ListParagraph"/>
        <w:autoSpaceDE w:val="0"/>
        <w:autoSpaceDN w:val="0"/>
        <w:adjustRightInd w:val="0"/>
        <w:rPr>
          <w:color w:val="000000" w:themeColor="text1"/>
        </w:rPr>
      </w:pPr>
    </w:p>
    <w:p w14:paraId="04982A5A" w14:textId="5E12CA29" w:rsidR="00A8620A" w:rsidRPr="0058432E" w:rsidRDefault="009D65D0" w:rsidP="00982118">
      <w:pPr>
        <w:pStyle w:val="ListParagraph"/>
        <w:autoSpaceDE w:val="0"/>
        <w:autoSpaceDN w:val="0"/>
        <w:adjustRightInd w:val="0"/>
        <w:jc w:val="center"/>
        <w:rPr>
          <w:color w:val="000000" w:themeColor="text1"/>
        </w:rPr>
      </w:pPr>
      <w:r w:rsidRPr="0058432E">
        <w:rPr>
          <w:noProof/>
          <w:color w:val="000000" w:themeColor="text1"/>
        </w:rPr>
        <w:drawing>
          <wp:inline distT="0" distB="0" distL="0" distR="0" wp14:anchorId="4566CA3D" wp14:editId="72C3D6C2">
            <wp:extent cx="1955165" cy="1997710"/>
            <wp:effectExtent l="0" t="0" r="0" b="0"/>
            <wp:docPr id="3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5C9D6E33" w14:textId="77777777" w:rsidR="00A8620A" w:rsidRPr="0058432E" w:rsidRDefault="00A8620A" w:rsidP="00982118">
      <w:pPr>
        <w:pStyle w:val="ListParagraph"/>
        <w:autoSpaceDE w:val="0"/>
        <w:autoSpaceDN w:val="0"/>
        <w:adjustRightInd w:val="0"/>
        <w:jc w:val="center"/>
        <w:rPr>
          <w:color w:val="000000" w:themeColor="text1"/>
        </w:rPr>
      </w:pPr>
    </w:p>
    <w:p w14:paraId="1E997A83" w14:textId="77777777" w:rsidR="00A8620A" w:rsidRPr="0058432E" w:rsidRDefault="00A8620A" w:rsidP="00982118">
      <w:pPr>
        <w:autoSpaceDE w:val="0"/>
        <w:autoSpaceDN w:val="0"/>
        <w:adjustRightInd w:val="0"/>
        <w:rPr>
          <w:color w:val="000000" w:themeColor="text1"/>
        </w:rPr>
      </w:pPr>
    </w:p>
    <w:p w14:paraId="00FDC138"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Si vous remarquez qu’il reste des bulles ou des couches d’air dans la solution présente dans la seringue, vous pouvez répéter cette manœuvre jusqu’à 3 fois. </w:t>
      </w:r>
      <w:r w:rsidRPr="0058432E">
        <w:rPr>
          <w:b/>
          <w:color w:val="000000" w:themeColor="text1"/>
        </w:rPr>
        <w:t xml:space="preserve">N’AGITEZ PAS </w:t>
      </w:r>
      <w:r w:rsidRPr="0058432E">
        <w:rPr>
          <w:color w:val="000000" w:themeColor="text1"/>
        </w:rPr>
        <w:t>la seringue.</w:t>
      </w:r>
    </w:p>
    <w:p w14:paraId="21EA3BB7" w14:textId="77777777" w:rsidR="00A8620A" w:rsidRPr="0058432E" w:rsidRDefault="00A8620A" w:rsidP="00982118">
      <w:pPr>
        <w:autoSpaceDE w:val="0"/>
        <w:autoSpaceDN w:val="0"/>
        <w:adjustRightInd w:val="0"/>
        <w:rPr>
          <w:b/>
          <w:bCs/>
          <w:color w:val="000000" w:themeColor="text1"/>
        </w:rPr>
      </w:pPr>
    </w:p>
    <w:p w14:paraId="3201A211" w14:textId="77777777" w:rsidR="00A8620A" w:rsidRPr="0058432E" w:rsidRDefault="00A8620A" w:rsidP="00982118">
      <w:pPr>
        <w:autoSpaceDE w:val="0"/>
        <w:autoSpaceDN w:val="0"/>
        <w:adjustRightInd w:val="0"/>
        <w:rPr>
          <w:b/>
          <w:bCs/>
          <w:color w:val="000000" w:themeColor="text1"/>
        </w:rPr>
      </w:pPr>
      <w:r w:rsidRPr="0058432E">
        <w:rPr>
          <w:b/>
          <w:bCs/>
          <w:color w:val="000000" w:themeColor="text1"/>
        </w:rPr>
        <w:t>REMARQUE :</w:t>
      </w:r>
    </w:p>
    <w:p w14:paraId="03B32934" w14:textId="77777777" w:rsidR="00A8620A" w:rsidRPr="0058432E" w:rsidRDefault="00A8620A" w:rsidP="00982118">
      <w:pPr>
        <w:autoSpaceDE w:val="0"/>
        <w:autoSpaceDN w:val="0"/>
        <w:adjustRightInd w:val="0"/>
        <w:rPr>
          <w:b/>
          <w:bCs/>
          <w:color w:val="000000" w:themeColor="text1"/>
        </w:rPr>
      </w:pPr>
    </w:p>
    <w:p w14:paraId="0B406282" w14:textId="77777777" w:rsidR="00A8620A" w:rsidRPr="0058432E" w:rsidRDefault="00A8620A" w:rsidP="00982118">
      <w:pPr>
        <w:autoSpaceDE w:val="0"/>
        <w:autoSpaceDN w:val="0"/>
        <w:adjustRightInd w:val="0"/>
        <w:rPr>
          <w:color w:val="000000" w:themeColor="text1"/>
        </w:rPr>
      </w:pPr>
      <w:r w:rsidRPr="0058432E">
        <w:rPr>
          <w:color w:val="000000" w:themeColor="text1"/>
        </w:rPr>
        <w:t xml:space="preserve">Si le piston blanc est complètement sorti de la seringue, éliminez la seringue et contactez votre pharmacien pour obtenir son remplacement. </w:t>
      </w:r>
      <w:r w:rsidRPr="0058432E">
        <w:rPr>
          <w:b/>
          <w:color w:val="000000" w:themeColor="text1"/>
        </w:rPr>
        <w:t xml:space="preserve">N’ESSAYEZ PAS </w:t>
      </w:r>
      <w:r w:rsidRPr="0058432E">
        <w:rPr>
          <w:color w:val="000000" w:themeColor="text1"/>
        </w:rPr>
        <w:t>de réinsérer le piston blanc.</w:t>
      </w:r>
    </w:p>
    <w:p w14:paraId="400FD04F" w14:textId="77777777" w:rsidR="00A8620A" w:rsidRPr="0058432E" w:rsidRDefault="00A8620A" w:rsidP="00982118">
      <w:pPr>
        <w:autoSpaceDE w:val="0"/>
        <w:autoSpaceDN w:val="0"/>
        <w:adjustRightInd w:val="0"/>
        <w:rPr>
          <w:color w:val="000000" w:themeColor="text1"/>
        </w:rPr>
      </w:pPr>
    </w:p>
    <w:p w14:paraId="39B735F0"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Tout en tenant verticalement la seringue par la zone graduée, retirez l’adaptateur et le flacon en tournant l’adaptateur avec l’autre main. Veillez à retirer l’adaptateur avec le flacon de la seringue. </w:t>
      </w:r>
      <w:r w:rsidRPr="0058432E">
        <w:rPr>
          <w:b/>
          <w:color w:val="000000" w:themeColor="text1"/>
        </w:rPr>
        <w:t xml:space="preserve">NE TOUCHEZ PAS </w:t>
      </w:r>
      <w:r w:rsidRPr="0058432E">
        <w:rPr>
          <w:color w:val="000000" w:themeColor="text1"/>
        </w:rPr>
        <w:t>l’embout de la seringue.</w:t>
      </w:r>
    </w:p>
    <w:p w14:paraId="449D0211" w14:textId="77777777" w:rsidR="00A8620A" w:rsidRPr="0058432E" w:rsidRDefault="00A8620A" w:rsidP="00982118">
      <w:pPr>
        <w:autoSpaceDE w:val="0"/>
        <w:autoSpaceDN w:val="0"/>
        <w:adjustRightInd w:val="0"/>
        <w:rPr>
          <w:color w:val="000000" w:themeColor="text1"/>
        </w:rPr>
      </w:pPr>
    </w:p>
    <w:p w14:paraId="566523C3" w14:textId="7C73DBBB" w:rsidR="00687A40" w:rsidRPr="0058432E" w:rsidRDefault="009D65D0" w:rsidP="00687A40">
      <w:pPr>
        <w:autoSpaceDE w:val="0"/>
        <w:autoSpaceDN w:val="0"/>
        <w:adjustRightInd w:val="0"/>
        <w:jc w:val="center"/>
        <w:rPr>
          <w:color w:val="000000" w:themeColor="text1"/>
        </w:rPr>
      </w:pPr>
      <w:r w:rsidRPr="0058432E">
        <w:rPr>
          <w:noProof/>
          <w:color w:val="000000" w:themeColor="text1"/>
        </w:rPr>
        <w:drawing>
          <wp:inline distT="0" distB="0" distL="0" distR="0" wp14:anchorId="136960C0" wp14:editId="38DFCACD">
            <wp:extent cx="1955165" cy="1997710"/>
            <wp:effectExtent l="0" t="0" r="0" b="0"/>
            <wp:docPr id="4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55165" cy="1997710"/>
                    </a:xfrm>
                    <a:prstGeom prst="rect">
                      <a:avLst/>
                    </a:prstGeom>
                    <a:noFill/>
                    <a:ln>
                      <a:noFill/>
                    </a:ln>
                  </pic:spPr>
                </pic:pic>
              </a:graphicData>
            </a:graphic>
          </wp:inline>
        </w:drawing>
      </w:r>
    </w:p>
    <w:p w14:paraId="0119C4AA" w14:textId="77777777" w:rsidR="00E03946" w:rsidRPr="0058432E" w:rsidRDefault="00E03946" w:rsidP="00982118">
      <w:pPr>
        <w:autoSpaceDE w:val="0"/>
        <w:autoSpaceDN w:val="0"/>
        <w:adjustRightInd w:val="0"/>
        <w:rPr>
          <w:color w:val="000000" w:themeColor="text1"/>
        </w:rPr>
      </w:pPr>
    </w:p>
    <w:p w14:paraId="549A528C" w14:textId="77777777" w:rsidR="00A8620A" w:rsidRPr="0058432E" w:rsidRDefault="00A8620A" w:rsidP="00982118">
      <w:pPr>
        <w:autoSpaceDE w:val="0"/>
        <w:autoSpaceDN w:val="0"/>
        <w:adjustRightInd w:val="0"/>
        <w:jc w:val="center"/>
        <w:rPr>
          <w:color w:val="000000" w:themeColor="text1"/>
        </w:rPr>
      </w:pPr>
    </w:p>
    <w:p w14:paraId="3F5DA5D1"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Si une grosse bulle ou une couche d’air est visible près de l’embout de la seringue, poussez </w:t>
      </w:r>
      <w:r w:rsidRPr="0058432E">
        <w:rPr>
          <w:b/>
          <w:color w:val="000000" w:themeColor="text1"/>
        </w:rPr>
        <w:t>LENTEMENT</w:t>
      </w:r>
      <w:r w:rsidRPr="0058432E">
        <w:rPr>
          <w:color w:val="000000" w:themeColor="text1"/>
        </w:rPr>
        <w:t xml:space="preserve"> le piston blanc dans la seringue jusqu’à ce que le liquide commence à pénétrer dans l’embout de la seringue. </w:t>
      </w:r>
      <w:r w:rsidRPr="0058432E">
        <w:rPr>
          <w:b/>
          <w:color w:val="000000" w:themeColor="text1"/>
        </w:rPr>
        <w:t>NE POUSSEZ PAS</w:t>
      </w:r>
      <w:r w:rsidRPr="0058432E">
        <w:rPr>
          <w:color w:val="000000" w:themeColor="text1"/>
        </w:rPr>
        <w:t xml:space="preserve"> le piston blanc au-delà du repère de la dose.</w:t>
      </w:r>
    </w:p>
    <w:p w14:paraId="06AF29E2" w14:textId="77777777" w:rsidR="00A8620A" w:rsidRPr="0058432E" w:rsidRDefault="00A8620A" w:rsidP="00982118">
      <w:pPr>
        <w:pStyle w:val="ListParagraph"/>
        <w:autoSpaceDE w:val="0"/>
        <w:autoSpaceDN w:val="0"/>
        <w:adjustRightInd w:val="0"/>
        <w:ind w:left="540"/>
        <w:rPr>
          <w:color w:val="000000" w:themeColor="text1"/>
        </w:rPr>
      </w:pPr>
    </w:p>
    <w:p w14:paraId="08E6663F"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Par </w:t>
      </w:r>
      <w:r w:rsidR="001946D2" w:rsidRPr="0058432E">
        <w:rPr>
          <w:color w:val="000000" w:themeColor="text1"/>
        </w:rPr>
        <w:t>ex</w:t>
      </w:r>
      <w:r w:rsidR="00A67736" w:rsidRPr="0058432E">
        <w:rPr>
          <w:color w:val="000000" w:themeColor="text1"/>
        </w:rPr>
        <w:t>emple</w:t>
      </w:r>
      <w:r w:rsidRPr="0058432E">
        <w:rPr>
          <w:color w:val="000000" w:themeColor="text1"/>
        </w:rPr>
        <w:t xml:space="preserve">, si la dose prescrite est de 0,5 ml, </w:t>
      </w:r>
      <w:r w:rsidRPr="0058432E">
        <w:rPr>
          <w:b/>
          <w:bCs/>
          <w:color w:val="000000" w:themeColor="text1"/>
        </w:rPr>
        <w:t xml:space="preserve">NE POUSSEZ PAS </w:t>
      </w:r>
      <w:r w:rsidRPr="0058432E">
        <w:rPr>
          <w:color w:val="000000" w:themeColor="text1"/>
        </w:rPr>
        <w:t>le piston blanc au-delà du repère 0,5 ml.</w:t>
      </w:r>
    </w:p>
    <w:p w14:paraId="09ED39A2" w14:textId="77777777" w:rsidR="00A8620A" w:rsidRPr="0058432E" w:rsidRDefault="00A8620A" w:rsidP="00982118">
      <w:pPr>
        <w:pStyle w:val="ListParagraph"/>
        <w:autoSpaceDE w:val="0"/>
        <w:autoSpaceDN w:val="0"/>
        <w:adjustRightInd w:val="0"/>
        <w:ind w:left="540"/>
        <w:rPr>
          <w:color w:val="000000" w:themeColor="text1"/>
        </w:rPr>
      </w:pPr>
    </w:p>
    <w:p w14:paraId="6CC8BEE9"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Vérifiez que le volume restant dans la seringue correspond au minimum au volume de la dose prescrite. Si le volume restant est inférieur à celui de la dose prescrite, </w:t>
      </w:r>
      <w:r w:rsidRPr="0058432E">
        <w:rPr>
          <w:b/>
          <w:color w:val="000000" w:themeColor="text1"/>
        </w:rPr>
        <w:t xml:space="preserve">N’UTILISEZ PAS </w:t>
      </w:r>
      <w:r w:rsidRPr="0058432E">
        <w:rPr>
          <w:color w:val="000000" w:themeColor="text1"/>
        </w:rPr>
        <w:t xml:space="preserve">la seringue et </w:t>
      </w:r>
      <w:r w:rsidR="00267B89" w:rsidRPr="0058432E">
        <w:rPr>
          <w:color w:val="000000" w:themeColor="text1"/>
        </w:rPr>
        <w:t>parlez-en</w:t>
      </w:r>
      <w:r w:rsidRPr="0058432E">
        <w:rPr>
          <w:color w:val="000000" w:themeColor="text1"/>
        </w:rPr>
        <w:t xml:space="preserve"> </w:t>
      </w:r>
      <w:r w:rsidR="00046037" w:rsidRPr="0058432E">
        <w:rPr>
          <w:color w:val="000000" w:themeColor="text1"/>
        </w:rPr>
        <w:t>au</w:t>
      </w:r>
      <w:r w:rsidR="00411DFE" w:rsidRPr="0058432E">
        <w:rPr>
          <w:color w:val="000000" w:themeColor="text1"/>
        </w:rPr>
        <w:t xml:space="preserve"> </w:t>
      </w:r>
      <w:r w:rsidRPr="0058432E">
        <w:rPr>
          <w:color w:val="000000" w:themeColor="text1"/>
        </w:rPr>
        <w:t>médecin</w:t>
      </w:r>
      <w:r w:rsidR="00267B89" w:rsidRPr="0058432E">
        <w:rPr>
          <w:color w:val="000000" w:themeColor="text1"/>
        </w:rPr>
        <w:t>,</w:t>
      </w:r>
      <w:r w:rsidR="00046037" w:rsidRPr="0058432E">
        <w:rPr>
          <w:color w:val="000000" w:themeColor="text1"/>
        </w:rPr>
        <w:t xml:space="preserve"> à l’</w:t>
      </w:r>
      <w:r w:rsidR="0093388F" w:rsidRPr="0058432E">
        <w:rPr>
          <w:color w:val="000000" w:themeColor="text1"/>
        </w:rPr>
        <w:t xml:space="preserve">infirmier/ère </w:t>
      </w:r>
      <w:r w:rsidRPr="0058432E">
        <w:rPr>
          <w:color w:val="000000" w:themeColor="text1"/>
        </w:rPr>
        <w:t>ou</w:t>
      </w:r>
      <w:r w:rsidR="00046037" w:rsidRPr="0058432E">
        <w:rPr>
          <w:color w:val="000000" w:themeColor="text1"/>
        </w:rPr>
        <w:t xml:space="preserve"> au</w:t>
      </w:r>
      <w:r w:rsidRPr="0058432E">
        <w:rPr>
          <w:color w:val="000000" w:themeColor="text1"/>
        </w:rPr>
        <w:t xml:space="preserve"> pharmacien</w:t>
      </w:r>
      <w:r w:rsidR="00267B89" w:rsidRPr="0058432E">
        <w:rPr>
          <w:color w:val="000000" w:themeColor="text1"/>
        </w:rPr>
        <w:t xml:space="preserve"> de votre enfant</w:t>
      </w:r>
      <w:r w:rsidRPr="0058432E">
        <w:rPr>
          <w:color w:val="000000" w:themeColor="text1"/>
        </w:rPr>
        <w:t>.</w:t>
      </w:r>
    </w:p>
    <w:p w14:paraId="6C50E049" w14:textId="77777777" w:rsidR="00A8620A" w:rsidRPr="0058432E" w:rsidRDefault="00A8620A" w:rsidP="00982118">
      <w:pPr>
        <w:pStyle w:val="ListParagraph"/>
        <w:autoSpaceDE w:val="0"/>
        <w:autoSpaceDN w:val="0"/>
        <w:adjustRightInd w:val="0"/>
        <w:ind w:left="540"/>
        <w:rPr>
          <w:color w:val="000000" w:themeColor="text1"/>
        </w:rPr>
      </w:pPr>
    </w:p>
    <w:p w14:paraId="75B9433B" w14:textId="77777777" w:rsidR="00A8620A" w:rsidRPr="0058432E" w:rsidRDefault="00CD34EE"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À</w:t>
      </w:r>
      <w:r w:rsidR="00A8620A" w:rsidRPr="0058432E">
        <w:rPr>
          <w:color w:val="000000" w:themeColor="text1"/>
        </w:rPr>
        <w:t xml:space="preserve"> l’aide de votre main libre, saisissez l’emballage de l’aiguille, le raccord jaune de la seringue étant dirigé vers le bas.</w:t>
      </w:r>
    </w:p>
    <w:p w14:paraId="5F55323B" w14:textId="77777777" w:rsidR="00A8620A" w:rsidRPr="0058432E" w:rsidRDefault="00A8620A" w:rsidP="00982118">
      <w:pPr>
        <w:pStyle w:val="ListParagraph"/>
        <w:autoSpaceDE w:val="0"/>
        <w:autoSpaceDN w:val="0"/>
        <w:adjustRightInd w:val="0"/>
        <w:ind w:left="540"/>
        <w:rPr>
          <w:color w:val="000000" w:themeColor="text1"/>
        </w:rPr>
      </w:pPr>
    </w:p>
    <w:p w14:paraId="6274EEC1"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lastRenderedPageBreak/>
        <w:t>En tenant la seringue verticalement, insérez l’embout de la seringue dans le raccord jaune et faites tourner la seringue dans le sens indiqué par la flèche sur l’illustration jusqu’à ce qu’elle soit en place. L’aiguille est maintenant fixée à la seringue.</w:t>
      </w:r>
    </w:p>
    <w:p w14:paraId="3AF83C7A" w14:textId="477C8DCD" w:rsidR="005965A8" w:rsidRPr="0058432E" w:rsidRDefault="009D65D0" w:rsidP="005965A8">
      <w:pPr>
        <w:autoSpaceDE w:val="0"/>
        <w:autoSpaceDN w:val="0"/>
        <w:adjustRightInd w:val="0"/>
        <w:jc w:val="center"/>
        <w:rPr>
          <w:color w:val="000000" w:themeColor="text1"/>
        </w:rPr>
      </w:pPr>
      <w:r w:rsidRPr="0058432E">
        <w:rPr>
          <w:noProof/>
          <w:color w:val="000000" w:themeColor="text1"/>
        </w:rPr>
        <w:drawing>
          <wp:inline distT="0" distB="0" distL="0" distR="0" wp14:anchorId="4CB17061" wp14:editId="2A9C4129">
            <wp:extent cx="1962150" cy="1997710"/>
            <wp:effectExtent l="0" t="0" r="0" b="0"/>
            <wp:docPr id="4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p>
    <w:p w14:paraId="6034F068" w14:textId="77777777" w:rsidR="00A8620A" w:rsidRPr="0058432E" w:rsidRDefault="00A8620A" w:rsidP="00982118">
      <w:pPr>
        <w:autoSpaceDE w:val="0"/>
        <w:autoSpaceDN w:val="0"/>
        <w:adjustRightInd w:val="0"/>
        <w:jc w:val="center"/>
        <w:rPr>
          <w:color w:val="000000" w:themeColor="text1"/>
        </w:rPr>
      </w:pPr>
    </w:p>
    <w:p w14:paraId="69F7A8AF"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Retirez l’emballage de l’aiguille, mais </w:t>
      </w:r>
      <w:r w:rsidRPr="0058432E">
        <w:rPr>
          <w:b/>
          <w:color w:val="000000" w:themeColor="text1"/>
        </w:rPr>
        <w:t xml:space="preserve">NE RETIREZ PAS </w:t>
      </w:r>
      <w:r w:rsidRPr="0058432E">
        <w:rPr>
          <w:color w:val="000000" w:themeColor="text1"/>
        </w:rPr>
        <w:t>le capuchon transparent de l’aiguille.</w:t>
      </w:r>
    </w:p>
    <w:p w14:paraId="5D0F38C9" w14:textId="77777777" w:rsidR="00A8620A" w:rsidRPr="0058432E" w:rsidRDefault="00A8620A" w:rsidP="00982118">
      <w:pPr>
        <w:pStyle w:val="ListParagraph"/>
        <w:autoSpaceDE w:val="0"/>
        <w:autoSpaceDN w:val="0"/>
        <w:adjustRightInd w:val="0"/>
        <w:ind w:left="540"/>
        <w:rPr>
          <w:color w:val="000000" w:themeColor="text1"/>
        </w:rPr>
      </w:pPr>
    </w:p>
    <w:p w14:paraId="2C02507C"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Placez la seringue sur votre plan de travail propre. Continuez immédiatement avec la préparation du site d’injection et de la dose.</w:t>
      </w:r>
    </w:p>
    <w:p w14:paraId="6FD67A3D" w14:textId="77777777" w:rsidR="00A8620A" w:rsidRPr="0058432E" w:rsidRDefault="00A8620A" w:rsidP="00982118">
      <w:pPr>
        <w:autoSpaceDE w:val="0"/>
        <w:autoSpaceDN w:val="0"/>
        <w:adjustRightInd w:val="0"/>
        <w:rPr>
          <w:color w:val="000000" w:themeColor="text1"/>
        </w:rPr>
      </w:pPr>
    </w:p>
    <w:p w14:paraId="121C6428" w14:textId="77777777" w:rsidR="00920CA5" w:rsidRPr="0058432E" w:rsidRDefault="00920CA5" w:rsidP="00982118">
      <w:pPr>
        <w:autoSpaceDE w:val="0"/>
        <w:autoSpaceDN w:val="0"/>
        <w:adjustRightInd w:val="0"/>
        <w:rPr>
          <w:color w:val="000000" w:themeColor="text1"/>
        </w:rPr>
      </w:pPr>
    </w:p>
    <w:p w14:paraId="663B1EE2" w14:textId="77777777" w:rsidR="00A8620A" w:rsidRPr="0058432E"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58432E">
        <w:rPr>
          <w:b/>
          <w:bCs/>
          <w:color w:val="000000" w:themeColor="text1"/>
        </w:rPr>
        <w:t>Choix et préparation du site d’injection</w:t>
      </w:r>
    </w:p>
    <w:p w14:paraId="051CA177" w14:textId="77777777" w:rsidR="00A8620A" w:rsidRPr="0058432E" w:rsidRDefault="00A8620A" w:rsidP="00982118">
      <w:pPr>
        <w:autoSpaceDE w:val="0"/>
        <w:autoSpaceDN w:val="0"/>
        <w:adjustRightInd w:val="0"/>
        <w:rPr>
          <w:b/>
          <w:bCs/>
          <w:color w:val="000000" w:themeColor="text1"/>
        </w:rPr>
      </w:pPr>
    </w:p>
    <w:p w14:paraId="366B1225"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Choisissez un endroit sur la cuisse ou l’abdomen. </w:t>
      </w:r>
      <w:r w:rsidRPr="0058432E">
        <w:rPr>
          <w:b/>
          <w:color w:val="000000" w:themeColor="text1"/>
        </w:rPr>
        <w:t>N’UTILISEZ PAS</w:t>
      </w:r>
      <w:r w:rsidRPr="0058432E">
        <w:rPr>
          <w:color w:val="000000" w:themeColor="text1"/>
        </w:rPr>
        <w:t xml:space="preserve"> le même site que celui utilisé pour l’injection précédente.</w:t>
      </w:r>
    </w:p>
    <w:p w14:paraId="44A3ECF5" w14:textId="77777777" w:rsidR="00A8620A" w:rsidRPr="0058432E" w:rsidRDefault="00A8620A" w:rsidP="00982118">
      <w:pPr>
        <w:pStyle w:val="ListParagraph"/>
        <w:autoSpaceDE w:val="0"/>
        <w:autoSpaceDN w:val="0"/>
        <w:adjustRightInd w:val="0"/>
        <w:ind w:left="540"/>
        <w:rPr>
          <w:color w:val="000000" w:themeColor="text1"/>
        </w:rPr>
      </w:pPr>
    </w:p>
    <w:p w14:paraId="5FC652D6"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Le nouveau site d’injection doit être à une distance d’au moins 3 cm du site de l’injection précédente.</w:t>
      </w:r>
    </w:p>
    <w:p w14:paraId="5664C1CB" w14:textId="6B3A3001" w:rsidR="00267B89" w:rsidRPr="0058432E" w:rsidRDefault="009D65D0" w:rsidP="00267B89">
      <w:pPr>
        <w:numPr>
          <w:ilvl w:val="0"/>
          <w:numId w:val="29"/>
        </w:numPr>
        <w:autoSpaceDE w:val="0"/>
        <w:autoSpaceDN w:val="0"/>
        <w:adjustRightInd w:val="0"/>
        <w:jc w:val="center"/>
        <w:rPr>
          <w:color w:val="000000" w:themeColor="text1"/>
        </w:rPr>
      </w:pPr>
      <w:r w:rsidRPr="0058432E">
        <w:rPr>
          <w:noProof/>
          <w:color w:val="000000" w:themeColor="text1"/>
        </w:rPr>
        <mc:AlternateContent>
          <mc:Choice Requires="wps">
            <w:drawing>
              <wp:anchor distT="0" distB="0" distL="114300" distR="114300" simplePos="0" relativeHeight="251691520" behindDoc="0" locked="0" layoutInCell="1" allowOverlap="1" wp14:anchorId="3B3D86B2" wp14:editId="15B210C6">
                <wp:simplePos x="0" y="0"/>
                <wp:positionH relativeFrom="column">
                  <wp:posOffset>3548380</wp:posOffset>
                </wp:positionH>
                <wp:positionV relativeFrom="paragraph">
                  <wp:posOffset>1475740</wp:posOffset>
                </wp:positionV>
                <wp:extent cx="1722755" cy="521335"/>
                <wp:effectExtent l="0" t="0" r="0" b="0"/>
                <wp:wrapNone/>
                <wp:docPr id="184" name="Zone de texte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40F15548" w14:textId="77777777" w:rsidR="009A26D2" w:rsidRPr="00706E15" w:rsidRDefault="009A26D2" w:rsidP="007B66B6">
                            <w:pPr>
                              <w:rPr>
                                <w:b/>
                                <w:bCs/>
                                <w:color w:val="C45911"/>
                                <w:szCs w:val="18"/>
                              </w:rPr>
                            </w:pPr>
                            <w:r w:rsidRPr="00706E15">
                              <w:rPr>
                                <w:b/>
                                <w:bCs/>
                                <w:color w:val="C45911"/>
                                <w:szCs w:val="18"/>
                              </w:rPr>
                              <w:t>Cuisses</w:t>
                            </w:r>
                          </w:p>
                          <w:p w14:paraId="05618E24" w14:textId="77777777" w:rsidR="009A26D2" w:rsidRPr="00706E15" w:rsidRDefault="009A26D2" w:rsidP="007B66B6">
                            <w:pPr>
                              <w:rPr>
                                <w:szCs w:val="18"/>
                              </w:rPr>
                            </w:pPr>
                            <w:r w:rsidRPr="00706E15">
                              <w:rPr>
                                <w:szCs w:val="18"/>
                              </w:rPr>
                              <w:t>Sur le haut de la cuisse</w:t>
                            </w:r>
                          </w:p>
                          <w:p w14:paraId="0A96AC89" w14:textId="77777777" w:rsidR="009A26D2" w:rsidRPr="009E6D01" w:rsidRDefault="009A26D2" w:rsidP="007B66B6">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D86B2" id="Zone de texte 184" o:spid="_x0000_s1083" type="#_x0000_t202" style="position:absolute;left:0;text-align:left;margin-left:279.4pt;margin-top:116.2pt;width:135.65pt;height:41.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" stroked="f">
                <v:textbox>
                  <w:txbxContent>
                    <w:p w14:paraId="40F15548" w14:textId="77777777" w:rsidR="009A26D2" w:rsidRPr="00706E15" w:rsidRDefault="009A26D2" w:rsidP="007B66B6">
                      <w:pPr>
                        <w:rPr>
                          <w:b/>
                          <w:bCs/>
                          <w:color w:val="C45911"/>
                          <w:szCs w:val="18"/>
                        </w:rPr>
                      </w:pPr>
                      <w:r w:rsidRPr="00706E15">
                        <w:rPr>
                          <w:b/>
                          <w:bCs/>
                          <w:color w:val="C45911"/>
                          <w:szCs w:val="18"/>
                        </w:rPr>
                        <w:t>Cuisses</w:t>
                      </w:r>
                    </w:p>
                    <w:p w14:paraId="05618E24" w14:textId="77777777" w:rsidR="009A26D2" w:rsidRPr="00706E15" w:rsidRDefault="009A26D2" w:rsidP="007B66B6">
                      <w:pPr>
                        <w:rPr>
                          <w:szCs w:val="18"/>
                        </w:rPr>
                      </w:pPr>
                      <w:r w:rsidRPr="00706E15">
                        <w:rPr>
                          <w:szCs w:val="18"/>
                        </w:rPr>
                        <w:t>Sur le haut de la cuisse</w:t>
                      </w:r>
                    </w:p>
                    <w:p w14:paraId="0A96AC89" w14:textId="77777777" w:rsidR="009A26D2" w:rsidRPr="009E6D01" w:rsidRDefault="009A26D2" w:rsidP="007B66B6">
                      <w:pPr>
                        <w:rPr>
                          <w:sz w:val="18"/>
                          <w:szCs w:val="18"/>
                        </w:rPr>
                      </w:pPr>
                    </w:p>
                  </w:txbxContent>
                </v:textbox>
              </v:shape>
            </w:pict>
          </mc:Fallback>
        </mc:AlternateContent>
      </w:r>
      <w:r w:rsidRPr="0058432E">
        <w:rPr>
          <w:noProof/>
          <w:color w:val="000000" w:themeColor="text1"/>
        </w:rPr>
        <mc:AlternateContent>
          <mc:Choice Requires="wps">
            <w:drawing>
              <wp:anchor distT="0" distB="0" distL="114300" distR="114300" simplePos="0" relativeHeight="251690496" behindDoc="0" locked="0" layoutInCell="1" allowOverlap="1" wp14:anchorId="42652166" wp14:editId="30C26E4B">
                <wp:simplePos x="0" y="0"/>
                <wp:positionH relativeFrom="column">
                  <wp:posOffset>3548380</wp:posOffset>
                </wp:positionH>
                <wp:positionV relativeFrom="paragraph">
                  <wp:posOffset>311150</wp:posOffset>
                </wp:positionV>
                <wp:extent cx="1722755" cy="765810"/>
                <wp:effectExtent l="0" t="0" r="0" b="0"/>
                <wp:wrapNone/>
                <wp:docPr id="183" name="Zone de texte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765810"/>
                        </a:xfrm>
                        <a:prstGeom prst="rect">
                          <a:avLst/>
                        </a:prstGeom>
                        <a:solidFill>
                          <a:srgbClr val="FFFFFF"/>
                        </a:solidFill>
                        <a:ln>
                          <a:noFill/>
                        </a:ln>
                      </wps:spPr>
                      <wps:txbx>
                        <w:txbxContent>
                          <w:p w14:paraId="45874551" w14:textId="77777777" w:rsidR="009A26D2" w:rsidRPr="00706E15" w:rsidRDefault="009A26D2" w:rsidP="007B66B6">
                            <w:pPr>
                              <w:rPr>
                                <w:b/>
                                <w:bCs/>
                                <w:color w:val="C45911"/>
                                <w:szCs w:val="18"/>
                              </w:rPr>
                            </w:pPr>
                            <w:r w:rsidRPr="00706E15">
                              <w:rPr>
                                <w:b/>
                                <w:bCs/>
                                <w:color w:val="C45911"/>
                                <w:szCs w:val="18"/>
                              </w:rPr>
                              <w:t>Abdomen</w:t>
                            </w:r>
                          </w:p>
                          <w:p w14:paraId="717B1EE5" w14:textId="77777777" w:rsidR="009A26D2" w:rsidRPr="00706E15" w:rsidRDefault="009A26D2" w:rsidP="007B66B6">
                            <w:pPr>
                              <w:rPr>
                                <w:szCs w:val="18"/>
                              </w:rPr>
                            </w:pPr>
                            <w:r w:rsidRPr="00706E15">
                              <w:rPr>
                                <w:szCs w:val="18"/>
                              </w:rPr>
                              <w:t>À au moins 5 cm du nombril</w:t>
                            </w:r>
                            <w:r>
                              <w:rPr>
                                <w:szCs w:val="18"/>
                              </w:rPr>
                              <w:t xml:space="preserve"> </w:t>
                            </w:r>
                            <w:r w:rsidRPr="00706E15">
                              <w:rPr>
                                <w:szCs w:val="18"/>
                              </w:rPr>
                              <w:t>de votre enfant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52166" id="Zone de texte 183" o:spid="_x0000_s1084" type="#_x0000_t202" style="position:absolute;left:0;text-align:left;margin-left:279.4pt;margin-top:24.5pt;width:135.65pt;height:60.3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" stroked="f">
                <v:textbox>
                  <w:txbxContent>
                    <w:p w14:paraId="45874551" w14:textId="77777777" w:rsidR="009A26D2" w:rsidRPr="00706E15" w:rsidRDefault="009A26D2" w:rsidP="007B66B6">
                      <w:pPr>
                        <w:rPr>
                          <w:b/>
                          <w:bCs/>
                          <w:color w:val="C45911"/>
                          <w:szCs w:val="18"/>
                        </w:rPr>
                      </w:pPr>
                      <w:r w:rsidRPr="00706E15">
                        <w:rPr>
                          <w:b/>
                          <w:bCs/>
                          <w:color w:val="C45911"/>
                          <w:szCs w:val="18"/>
                        </w:rPr>
                        <w:t>Abdomen</w:t>
                      </w:r>
                    </w:p>
                    <w:p w14:paraId="717B1EE5" w14:textId="77777777" w:rsidR="009A26D2" w:rsidRPr="00706E15" w:rsidRDefault="009A26D2" w:rsidP="007B66B6">
                      <w:pPr>
                        <w:rPr>
                          <w:szCs w:val="18"/>
                        </w:rPr>
                      </w:pPr>
                      <w:r w:rsidRPr="00706E15">
                        <w:rPr>
                          <w:szCs w:val="18"/>
                        </w:rPr>
                        <w:t>À au moins 5 cm du nombril</w:t>
                      </w:r>
                      <w:r>
                        <w:rPr>
                          <w:szCs w:val="18"/>
                        </w:rPr>
                        <w:t xml:space="preserve"> </w:t>
                      </w:r>
                      <w:r w:rsidRPr="00706E15">
                        <w:rPr>
                          <w:szCs w:val="18"/>
                        </w:rPr>
                        <w:t>de votre enfant</w:t>
                      </w:r>
                    </w:p>
                  </w:txbxContent>
                </v:textbox>
              </v:shape>
            </w:pict>
          </mc:Fallback>
        </mc:AlternateContent>
      </w:r>
      <w:r w:rsidRPr="0058432E">
        <w:rPr>
          <w:noProof/>
          <w:color w:val="000000" w:themeColor="text1"/>
        </w:rPr>
        <w:drawing>
          <wp:inline distT="0" distB="0" distL="0" distR="0" wp14:anchorId="4E310FC8" wp14:editId="2CADA34B">
            <wp:extent cx="4825365" cy="2306955"/>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25365" cy="2306955"/>
                    </a:xfrm>
                    <a:prstGeom prst="rect">
                      <a:avLst/>
                    </a:prstGeom>
                    <a:noFill/>
                    <a:ln>
                      <a:noFill/>
                    </a:ln>
                  </pic:spPr>
                </pic:pic>
              </a:graphicData>
            </a:graphic>
          </wp:inline>
        </w:drawing>
      </w:r>
    </w:p>
    <w:p w14:paraId="726B71B8" w14:textId="77777777" w:rsidR="00A8620A" w:rsidRPr="0058432E" w:rsidRDefault="00A8620A" w:rsidP="00982118">
      <w:pPr>
        <w:autoSpaceDE w:val="0"/>
        <w:autoSpaceDN w:val="0"/>
        <w:adjustRightInd w:val="0"/>
        <w:jc w:val="center"/>
        <w:rPr>
          <w:color w:val="000000" w:themeColor="text1"/>
        </w:rPr>
      </w:pPr>
    </w:p>
    <w:p w14:paraId="1EF68C0B" w14:textId="77777777" w:rsidR="00A8620A" w:rsidRPr="0058432E" w:rsidRDefault="00A8620A" w:rsidP="00982118">
      <w:pPr>
        <w:autoSpaceDE w:val="0"/>
        <w:autoSpaceDN w:val="0"/>
        <w:adjustRightInd w:val="0"/>
        <w:jc w:val="center"/>
        <w:rPr>
          <w:color w:val="000000" w:themeColor="text1"/>
        </w:rPr>
      </w:pPr>
    </w:p>
    <w:p w14:paraId="7367408F" w14:textId="77777777" w:rsidR="00A8620A" w:rsidRPr="0058432E" w:rsidRDefault="00A8620A" w:rsidP="00982118">
      <w:pPr>
        <w:autoSpaceDE w:val="0"/>
        <w:autoSpaceDN w:val="0"/>
        <w:adjustRightInd w:val="0"/>
        <w:rPr>
          <w:color w:val="000000" w:themeColor="text1"/>
        </w:rPr>
      </w:pPr>
    </w:p>
    <w:p w14:paraId="5B24A17D"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b/>
          <w:color w:val="000000" w:themeColor="text1"/>
        </w:rPr>
        <w:t>N’INJECTEZ PAS</w:t>
      </w:r>
      <w:r w:rsidRPr="0058432E">
        <w:rPr>
          <w:color w:val="000000" w:themeColor="text1"/>
        </w:rPr>
        <w:t xml:space="preserve"> à un endroit où la peau est rouge, contusionnée ou indurée. Cela pourrait indiquer la présence d’une infection et vous devez donc</w:t>
      </w:r>
      <w:r w:rsidR="00267B89" w:rsidRPr="0058432E">
        <w:rPr>
          <w:color w:val="000000" w:themeColor="text1"/>
        </w:rPr>
        <w:t xml:space="preserve"> en parler</w:t>
      </w:r>
      <w:r w:rsidRPr="0058432E">
        <w:rPr>
          <w:color w:val="000000" w:themeColor="text1"/>
        </w:rPr>
        <w:t xml:space="preserve"> </w:t>
      </w:r>
      <w:r w:rsidR="00046037" w:rsidRPr="0058432E">
        <w:rPr>
          <w:color w:val="000000" w:themeColor="text1"/>
        </w:rPr>
        <w:t>au</w:t>
      </w:r>
      <w:r w:rsidR="00411DFE" w:rsidRPr="0058432E">
        <w:rPr>
          <w:color w:val="000000" w:themeColor="text1"/>
        </w:rPr>
        <w:t xml:space="preserve"> </w:t>
      </w:r>
      <w:r w:rsidRPr="0058432E">
        <w:rPr>
          <w:color w:val="000000" w:themeColor="text1"/>
        </w:rPr>
        <w:t>médecin</w:t>
      </w:r>
      <w:r w:rsidR="00046037" w:rsidRPr="0058432E">
        <w:rPr>
          <w:color w:val="000000" w:themeColor="text1"/>
        </w:rPr>
        <w:t xml:space="preserve"> de votre enfant</w:t>
      </w:r>
      <w:r w:rsidRPr="0058432E">
        <w:rPr>
          <w:color w:val="000000" w:themeColor="text1"/>
        </w:rPr>
        <w:t>.</w:t>
      </w:r>
    </w:p>
    <w:p w14:paraId="275415D9" w14:textId="77777777" w:rsidR="007E4EAC" w:rsidRPr="0058432E" w:rsidRDefault="007E4EAC" w:rsidP="00982118">
      <w:pPr>
        <w:pStyle w:val="ListParagraph"/>
        <w:autoSpaceDE w:val="0"/>
        <w:autoSpaceDN w:val="0"/>
        <w:adjustRightInd w:val="0"/>
        <w:ind w:left="540"/>
        <w:contextualSpacing/>
        <w:rPr>
          <w:color w:val="000000" w:themeColor="text1"/>
        </w:rPr>
      </w:pPr>
    </w:p>
    <w:p w14:paraId="5FD6ECB6" w14:textId="77777777" w:rsidR="007E4EAC" w:rsidRPr="0058432E" w:rsidRDefault="007E4EAC" w:rsidP="00982118">
      <w:pPr>
        <w:pStyle w:val="ListParagraph"/>
        <w:numPr>
          <w:ilvl w:val="1"/>
          <w:numId w:val="29"/>
        </w:numPr>
        <w:autoSpaceDE w:val="0"/>
        <w:autoSpaceDN w:val="0"/>
        <w:adjustRightInd w:val="0"/>
        <w:contextualSpacing/>
        <w:rPr>
          <w:color w:val="000000" w:themeColor="text1"/>
        </w:rPr>
      </w:pPr>
      <w:r w:rsidRPr="0058432E">
        <w:rPr>
          <w:color w:val="000000" w:themeColor="text1"/>
        </w:rPr>
        <w:t>Si votre enfant souffre de psoriasis, n’injectez pas directement dans des plaques ou lésions cutanées en relief, épaisses, rouges ou squameuses.</w:t>
      </w:r>
    </w:p>
    <w:p w14:paraId="5343FBE0" w14:textId="77777777" w:rsidR="007E4EAC" w:rsidRPr="0058432E" w:rsidRDefault="007E4EAC" w:rsidP="00982118">
      <w:pPr>
        <w:pStyle w:val="ListParagraph"/>
        <w:autoSpaceDE w:val="0"/>
        <w:autoSpaceDN w:val="0"/>
        <w:adjustRightInd w:val="0"/>
        <w:ind w:left="540"/>
        <w:contextualSpacing/>
        <w:rPr>
          <w:color w:val="000000" w:themeColor="text1"/>
        </w:rPr>
      </w:pPr>
    </w:p>
    <w:p w14:paraId="7222A095"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Pour diminuer le risque d’infection, nettoyez le site d’injection avec l’autre tampon d’alcool. </w:t>
      </w:r>
      <w:r w:rsidRPr="0058432E">
        <w:rPr>
          <w:b/>
          <w:bCs/>
          <w:color w:val="000000" w:themeColor="text1"/>
        </w:rPr>
        <w:t xml:space="preserve">NE TOUCHEZ PLUS </w:t>
      </w:r>
      <w:r w:rsidRPr="0058432E">
        <w:rPr>
          <w:color w:val="000000" w:themeColor="text1"/>
        </w:rPr>
        <w:t>cet endroit avant l’injection.</w:t>
      </w:r>
    </w:p>
    <w:p w14:paraId="357756A9" w14:textId="77777777" w:rsidR="00A8620A" w:rsidRPr="0058432E" w:rsidRDefault="00A8620A" w:rsidP="00982118">
      <w:pPr>
        <w:autoSpaceDE w:val="0"/>
        <w:autoSpaceDN w:val="0"/>
        <w:adjustRightInd w:val="0"/>
        <w:rPr>
          <w:b/>
          <w:bCs/>
          <w:color w:val="000000" w:themeColor="text1"/>
        </w:rPr>
      </w:pPr>
    </w:p>
    <w:p w14:paraId="3E4465D7" w14:textId="77777777" w:rsidR="00920CA5" w:rsidRPr="0058432E" w:rsidRDefault="00920CA5" w:rsidP="00982118">
      <w:pPr>
        <w:autoSpaceDE w:val="0"/>
        <w:autoSpaceDN w:val="0"/>
        <w:adjustRightInd w:val="0"/>
        <w:rPr>
          <w:b/>
          <w:bCs/>
          <w:color w:val="000000" w:themeColor="text1"/>
        </w:rPr>
      </w:pPr>
    </w:p>
    <w:p w14:paraId="6103B7C7" w14:textId="77777777" w:rsidR="00A8620A" w:rsidRPr="0058432E" w:rsidRDefault="00A8620A" w:rsidP="00982118">
      <w:pPr>
        <w:pStyle w:val="ListParagraph"/>
        <w:numPr>
          <w:ilvl w:val="0"/>
          <w:numId w:val="30"/>
        </w:numPr>
        <w:autoSpaceDE w:val="0"/>
        <w:autoSpaceDN w:val="0"/>
        <w:adjustRightInd w:val="0"/>
        <w:ind w:left="540" w:hanging="540"/>
        <w:contextualSpacing/>
        <w:rPr>
          <w:b/>
          <w:bCs/>
          <w:color w:val="000000" w:themeColor="text1"/>
        </w:rPr>
      </w:pPr>
      <w:r w:rsidRPr="0058432E">
        <w:rPr>
          <w:b/>
          <w:bCs/>
          <w:color w:val="000000" w:themeColor="text1"/>
        </w:rPr>
        <w:t>Préparation de la dose</w:t>
      </w:r>
    </w:p>
    <w:p w14:paraId="66AE42DA" w14:textId="77777777" w:rsidR="00A8620A" w:rsidRPr="0058432E" w:rsidRDefault="00A8620A" w:rsidP="00982118">
      <w:pPr>
        <w:autoSpaceDE w:val="0"/>
        <w:autoSpaceDN w:val="0"/>
        <w:adjustRightInd w:val="0"/>
        <w:rPr>
          <w:b/>
          <w:bCs/>
          <w:color w:val="000000" w:themeColor="text1"/>
        </w:rPr>
      </w:pPr>
    </w:p>
    <w:p w14:paraId="4647A52C"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Tenez la seringue avec l’aiguille vers le haut.</w:t>
      </w:r>
    </w:p>
    <w:p w14:paraId="45986C1D" w14:textId="77777777" w:rsidR="00A8620A" w:rsidRPr="0058432E" w:rsidRDefault="00A8620A" w:rsidP="00982118">
      <w:pPr>
        <w:pStyle w:val="ListParagraph"/>
        <w:autoSpaceDE w:val="0"/>
        <w:autoSpaceDN w:val="0"/>
        <w:adjustRightInd w:val="0"/>
        <w:rPr>
          <w:color w:val="000000" w:themeColor="text1"/>
        </w:rPr>
      </w:pPr>
    </w:p>
    <w:p w14:paraId="03787A4B"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Avec l’autre main, faites glisser le protège-aiguille rose vers la seringue.</w:t>
      </w:r>
    </w:p>
    <w:p w14:paraId="3FF835FC" w14:textId="77777777" w:rsidR="00A8620A" w:rsidRPr="0058432E" w:rsidRDefault="00A8620A" w:rsidP="00982118">
      <w:pPr>
        <w:pStyle w:val="ListParagraph"/>
        <w:rPr>
          <w:color w:val="000000" w:themeColor="text1"/>
        </w:rPr>
      </w:pPr>
    </w:p>
    <w:p w14:paraId="303BDADE" w14:textId="77777777" w:rsidR="00A8620A" w:rsidRPr="0058432E" w:rsidRDefault="00A8620A" w:rsidP="00982118">
      <w:pPr>
        <w:autoSpaceDE w:val="0"/>
        <w:autoSpaceDN w:val="0"/>
        <w:adjustRightInd w:val="0"/>
        <w:rPr>
          <w:color w:val="000000" w:themeColor="text1"/>
        </w:rPr>
      </w:pPr>
    </w:p>
    <w:p w14:paraId="034833B8" w14:textId="12A0DF3C" w:rsidR="00A8620A" w:rsidRPr="0058432E" w:rsidRDefault="009D65D0" w:rsidP="00982118">
      <w:pPr>
        <w:autoSpaceDE w:val="0"/>
        <w:autoSpaceDN w:val="0"/>
        <w:adjustRightInd w:val="0"/>
        <w:jc w:val="center"/>
        <w:rPr>
          <w:color w:val="000000" w:themeColor="text1"/>
        </w:rPr>
      </w:pPr>
      <w:r w:rsidRPr="0058432E">
        <w:rPr>
          <w:noProof/>
          <w:color w:val="000000" w:themeColor="text1"/>
        </w:rPr>
        <w:drawing>
          <wp:inline distT="0" distB="0" distL="0" distR="0" wp14:anchorId="4B373DA1" wp14:editId="37CEC679">
            <wp:extent cx="1927225" cy="2011680"/>
            <wp:effectExtent l="0" t="0" r="0" b="0"/>
            <wp:docPr id="43"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27225" cy="2011680"/>
                    </a:xfrm>
                    <a:prstGeom prst="rect">
                      <a:avLst/>
                    </a:prstGeom>
                    <a:noFill/>
                    <a:ln>
                      <a:noFill/>
                    </a:ln>
                  </pic:spPr>
                </pic:pic>
              </a:graphicData>
            </a:graphic>
          </wp:inline>
        </w:drawing>
      </w:r>
    </w:p>
    <w:p w14:paraId="03F4CEBF" w14:textId="77777777" w:rsidR="00A8620A" w:rsidRPr="0058432E" w:rsidRDefault="00A8620A" w:rsidP="00982118">
      <w:pPr>
        <w:autoSpaceDE w:val="0"/>
        <w:autoSpaceDN w:val="0"/>
        <w:adjustRightInd w:val="0"/>
        <w:jc w:val="center"/>
        <w:rPr>
          <w:color w:val="000000" w:themeColor="text1"/>
        </w:rPr>
      </w:pPr>
    </w:p>
    <w:p w14:paraId="61AC3201" w14:textId="77777777" w:rsidR="00A8620A" w:rsidRPr="0058432E" w:rsidRDefault="00A8620A" w:rsidP="00982118">
      <w:pPr>
        <w:autoSpaceDE w:val="0"/>
        <w:autoSpaceDN w:val="0"/>
        <w:adjustRightInd w:val="0"/>
        <w:rPr>
          <w:color w:val="000000" w:themeColor="text1"/>
        </w:rPr>
      </w:pPr>
    </w:p>
    <w:p w14:paraId="26073F2D" w14:textId="77777777" w:rsidR="00A8620A" w:rsidRPr="0058432E" w:rsidRDefault="00A8620A" w:rsidP="00982118">
      <w:pPr>
        <w:pStyle w:val="ListParagraph"/>
        <w:keepNext/>
        <w:numPr>
          <w:ilvl w:val="0"/>
          <w:numId w:val="29"/>
        </w:numPr>
        <w:autoSpaceDE w:val="0"/>
        <w:autoSpaceDN w:val="0"/>
        <w:adjustRightInd w:val="0"/>
        <w:ind w:left="547" w:hanging="547"/>
        <w:contextualSpacing/>
        <w:rPr>
          <w:color w:val="000000" w:themeColor="text1"/>
        </w:rPr>
      </w:pPr>
      <w:r w:rsidRPr="0058432E">
        <w:rPr>
          <w:color w:val="000000" w:themeColor="text1"/>
        </w:rPr>
        <w:t>Retirez le capuchon transparent de l’aiguille en le tirant avec l’autre main.</w:t>
      </w:r>
    </w:p>
    <w:p w14:paraId="7F0F5E56" w14:textId="77777777" w:rsidR="00A8620A" w:rsidRPr="0058432E" w:rsidRDefault="00A8620A" w:rsidP="00982118">
      <w:pPr>
        <w:keepNext/>
        <w:autoSpaceDE w:val="0"/>
        <w:autoSpaceDN w:val="0"/>
        <w:adjustRightInd w:val="0"/>
        <w:rPr>
          <w:color w:val="000000" w:themeColor="text1"/>
        </w:rPr>
      </w:pPr>
    </w:p>
    <w:p w14:paraId="0BA303E7" w14:textId="11BEDBE1" w:rsidR="00A8620A" w:rsidRPr="0058432E" w:rsidRDefault="009D65D0" w:rsidP="00982118">
      <w:pPr>
        <w:autoSpaceDE w:val="0"/>
        <w:autoSpaceDN w:val="0"/>
        <w:adjustRightInd w:val="0"/>
        <w:jc w:val="center"/>
        <w:rPr>
          <w:color w:val="000000" w:themeColor="text1"/>
        </w:rPr>
      </w:pPr>
      <w:r w:rsidRPr="0058432E">
        <w:rPr>
          <w:noProof/>
          <w:color w:val="000000" w:themeColor="text1"/>
        </w:rPr>
        <w:drawing>
          <wp:inline distT="0" distB="0" distL="0" distR="0" wp14:anchorId="21441864" wp14:editId="4EB85C6F">
            <wp:extent cx="1962150" cy="1997710"/>
            <wp:effectExtent l="0" t="0" r="0" b="0"/>
            <wp:docPr id="44"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p>
    <w:p w14:paraId="07D975BC" w14:textId="77777777" w:rsidR="00A8620A" w:rsidRPr="0058432E" w:rsidRDefault="00A8620A" w:rsidP="00982118">
      <w:pPr>
        <w:autoSpaceDE w:val="0"/>
        <w:autoSpaceDN w:val="0"/>
        <w:adjustRightInd w:val="0"/>
        <w:rPr>
          <w:color w:val="000000" w:themeColor="text1"/>
        </w:rPr>
      </w:pPr>
    </w:p>
    <w:p w14:paraId="3C866558"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L’aiguille est propre.</w:t>
      </w:r>
    </w:p>
    <w:p w14:paraId="0AEAB5B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b/>
          <w:bCs/>
          <w:color w:val="000000" w:themeColor="text1"/>
        </w:rPr>
        <w:t xml:space="preserve">NE TOUCHEZ PAS </w:t>
      </w:r>
      <w:r w:rsidRPr="0058432E">
        <w:rPr>
          <w:color w:val="000000" w:themeColor="text1"/>
        </w:rPr>
        <w:t>l’aiguille.</w:t>
      </w:r>
    </w:p>
    <w:p w14:paraId="6949F1AA"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b/>
          <w:bCs/>
          <w:color w:val="000000" w:themeColor="text1"/>
        </w:rPr>
        <w:t xml:space="preserve">NE POSEZ PAS </w:t>
      </w:r>
      <w:r w:rsidRPr="0058432E">
        <w:rPr>
          <w:color w:val="000000" w:themeColor="text1"/>
        </w:rPr>
        <w:t>la seringue après avoir retiré le capuchon transparent de l’aiguille.</w:t>
      </w:r>
    </w:p>
    <w:p w14:paraId="54C8EBD6"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b/>
          <w:bCs/>
          <w:color w:val="000000" w:themeColor="text1"/>
        </w:rPr>
        <w:t xml:space="preserve">N’ESSAYEZ PAS </w:t>
      </w:r>
      <w:r w:rsidRPr="0058432E">
        <w:rPr>
          <w:color w:val="000000" w:themeColor="text1"/>
        </w:rPr>
        <w:t>de replacer le capuchon transparent sur l’aiguille.</w:t>
      </w:r>
    </w:p>
    <w:p w14:paraId="3B0C4BDB"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Tenez la seringue à la hauteur des yeux avec l’aiguille vers le haut pour voir nettement le volume. Faites attention à ne pas faire gicler le liquide dans vos yeux.</w:t>
      </w:r>
    </w:p>
    <w:p w14:paraId="61C6E59A"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Vérifiez à nouveau le volume de médicament prescrit.</w:t>
      </w:r>
    </w:p>
    <w:p w14:paraId="26632501"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Poussez doucement le piston blanc dans la seringue jusqu’à ce que la seringue contienne le volume prescrit de solution. La solution en excès peut sortir de l’aiguille lorsque le piston blanc est poussé. </w:t>
      </w:r>
      <w:r w:rsidRPr="0058432E">
        <w:rPr>
          <w:b/>
          <w:bCs/>
          <w:color w:val="000000" w:themeColor="text1"/>
        </w:rPr>
        <w:t>N’ESSUYEZ PAS</w:t>
      </w:r>
      <w:r w:rsidRPr="0058432E">
        <w:rPr>
          <w:color w:val="000000" w:themeColor="text1"/>
        </w:rPr>
        <w:t xml:space="preserve"> l’aiguille ou la seringue.</w:t>
      </w:r>
    </w:p>
    <w:p w14:paraId="448F6BF5" w14:textId="77777777" w:rsidR="00A8620A" w:rsidRPr="0058432E" w:rsidRDefault="00A8620A" w:rsidP="00982118">
      <w:pPr>
        <w:autoSpaceDE w:val="0"/>
        <w:autoSpaceDN w:val="0"/>
        <w:adjustRightInd w:val="0"/>
        <w:rPr>
          <w:b/>
          <w:bCs/>
          <w:color w:val="000000" w:themeColor="text1"/>
        </w:rPr>
      </w:pPr>
    </w:p>
    <w:p w14:paraId="4D2D729D" w14:textId="77777777" w:rsidR="00920CA5" w:rsidRPr="0058432E" w:rsidRDefault="00920CA5" w:rsidP="00982118">
      <w:pPr>
        <w:autoSpaceDE w:val="0"/>
        <w:autoSpaceDN w:val="0"/>
        <w:adjustRightInd w:val="0"/>
        <w:rPr>
          <w:b/>
          <w:bCs/>
          <w:color w:val="000000" w:themeColor="text1"/>
        </w:rPr>
      </w:pPr>
    </w:p>
    <w:p w14:paraId="6392DE5B" w14:textId="77777777" w:rsidR="00A8620A" w:rsidRPr="0058432E" w:rsidRDefault="00A8620A" w:rsidP="00982118">
      <w:pPr>
        <w:pStyle w:val="ListParagraph"/>
        <w:numPr>
          <w:ilvl w:val="0"/>
          <w:numId w:val="30"/>
        </w:numPr>
        <w:autoSpaceDE w:val="0"/>
        <w:autoSpaceDN w:val="0"/>
        <w:adjustRightInd w:val="0"/>
        <w:ind w:left="567" w:hanging="567"/>
        <w:contextualSpacing/>
        <w:rPr>
          <w:b/>
          <w:bCs/>
          <w:color w:val="000000" w:themeColor="text1"/>
        </w:rPr>
      </w:pPr>
      <w:r w:rsidRPr="0058432E">
        <w:rPr>
          <w:b/>
          <w:bCs/>
          <w:color w:val="000000" w:themeColor="text1"/>
        </w:rPr>
        <w:t>Injection d’Amsparity</w:t>
      </w:r>
    </w:p>
    <w:p w14:paraId="1469236D" w14:textId="77777777" w:rsidR="00A8620A" w:rsidRPr="0058432E" w:rsidRDefault="00A8620A" w:rsidP="00982118">
      <w:pPr>
        <w:autoSpaceDE w:val="0"/>
        <w:autoSpaceDN w:val="0"/>
        <w:adjustRightInd w:val="0"/>
        <w:rPr>
          <w:b/>
          <w:bCs/>
          <w:color w:val="000000" w:themeColor="text1"/>
        </w:rPr>
      </w:pPr>
    </w:p>
    <w:p w14:paraId="2080C253"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Avec votre main libre, pincez doucement la peau désinfectée et maintenez fermement le pli en tirant vers le haut.</w:t>
      </w:r>
    </w:p>
    <w:p w14:paraId="06ABA6B3"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Avec l’autre main, tenez la seringue à 45° par rapport à la peau.</w:t>
      </w:r>
    </w:p>
    <w:p w14:paraId="0226CB84"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D’un mouvement rapide, poussez toute l’aiguille dans la peau.</w:t>
      </w:r>
    </w:p>
    <w:p w14:paraId="255A3A0E"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lastRenderedPageBreak/>
        <w:t>Relâchez la peau.</w:t>
      </w:r>
    </w:p>
    <w:p w14:paraId="11720049"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En appliquant une pression lente et constante, poussez le piston blanc pour injecter le médicament jusqu’à ce que la seringue soit vide.</w:t>
      </w:r>
    </w:p>
    <w:p w14:paraId="5D81A8CA"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Quand la seringue est vide, retirez l’aiguille de la peau, en veillant à respecter le même angle d’inclinaison qu’au moment de l’introduction.</w:t>
      </w:r>
    </w:p>
    <w:p w14:paraId="52353708" w14:textId="77777777" w:rsidR="007E4EAC" w:rsidRPr="0058432E" w:rsidRDefault="007E4EAC"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Vérifiez que </w:t>
      </w:r>
      <w:r w:rsidR="00803F8F" w:rsidRPr="0058432E">
        <w:rPr>
          <w:color w:val="000000" w:themeColor="text1"/>
        </w:rPr>
        <w:t>le</w:t>
      </w:r>
      <w:r w:rsidRPr="0058432E">
        <w:rPr>
          <w:color w:val="000000" w:themeColor="text1"/>
        </w:rPr>
        <w:t xml:space="preserve"> médicament</w:t>
      </w:r>
      <w:r w:rsidR="00803F8F" w:rsidRPr="0058432E">
        <w:rPr>
          <w:color w:val="000000" w:themeColor="text1"/>
        </w:rPr>
        <w:t xml:space="preserve"> de votre enfant</w:t>
      </w:r>
      <w:r w:rsidRPr="0058432E">
        <w:rPr>
          <w:color w:val="000000" w:themeColor="text1"/>
        </w:rPr>
        <w:t xml:space="preserve"> s’est complètement vidé de </w:t>
      </w:r>
      <w:r w:rsidR="00C03A90" w:rsidRPr="0058432E">
        <w:rPr>
          <w:color w:val="000000" w:themeColor="text1"/>
        </w:rPr>
        <w:t>l</w:t>
      </w:r>
      <w:r w:rsidRPr="0058432E">
        <w:rPr>
          <w:color w:val="000000" w:themeColor="text1"/>
        </w:rPr>
        <w:t>a seringue préremplie.</w:t>
      </w:r>
    </w:p>
    <w:p w14:paraId="5E8D0C17" w14:textId="77777777" w:rsidR="00A8620A" w:rsidRPr="0058432E" w:rsidRDefault="00A8620A" w:rsidP="00982118">
      <w:pPr>
        <w:autoSpaceDE w:val="0"/>
        <w:autoSpaceDN w:val="0"/>
        <w:adjustRightInd w:val="0"/>
        <w:jc w:val="center"/>
        <w:rPr>
          <w:color w:val="000000" w:themeColor="text1"/>
        </w:rPr>
      </w:pPr>
    </w:p>
    <w:p w14:paraId="6415B48E" w14:textId="77777777" w:rsidR="00A8620A" w:rsidRPr="0058432E" w:rsidRDefault="00A8620A" w:rsidP="00982118">
      <w:pPr>
        <w:autoSpaceDE w:val="0"/>
        <w:autoSpaceDN w:val="0"/>
        <w:adjustRightInd w:val="0"/>
        <w:jc w:val="center"/>
        <w:rPr>
          <w:color w:val="000000" w:themeColor="text1"/>
        </w:rPr>
      </w:pPr>
    </w:p>
    <w:p w14:paraId="2FBCA280" w14:textId="553DBFD0" w:rsidR="00A8620A" w:rsidRPr="0058432E" w:rsidRDefault="009D65D0" w:rsidP="00982118">
      <w:pPr>
        <w:autoSpaceDE w:val="0"/>
        <w:autoSpaceDN w:val="0"/>
        <w:adjustRightInd w:val="0"/>
        <w:jc w:val="center"/>
        <w:rPr>
          <w:color w:val="000000" w:themeColor="text1"/>
        </w:rPr>
      </w:pPr>
      <w:r w:rsidRPr="0058432E">
        <w:rPr>
          <w:noProof/>
          <w:color w:val="000000" w:themeColor="text1"/>
        </w:rPr>
        <w:drawing>
          <wp:inline distT="0" distB="0" distL="0" distR="0" wp14:anchorId="4C687212" wp14:editId="78C5BF03">
            <wp:extent cx="1948180" cy="1997710"/>
            <wp:effectExtent l="0" t="0" r="0" b="0"/>
            <wp:docPr id="45"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48180" cy="1997710"/>
                    </a:xfrm>
                    <a:prstGeom prst="rect">
                      <a:avLst/>
                    </a:prstGeom>
                    <a:noFill/>
                    <a:ln>
                      <a:noFill/>
                    </a:ln>
                  </pic:spPr>
                </pic:pic>
              </a:graphicData>
            </a:graphic>
          </wp:inline>
        </w:drawing>
      </w:r>
    </w:p>
    <w:p w14:paraId="72B2C617" w14:textId="77777777" w:rsidR="00A8620A" w:rsidRPr="0058432E" w:rsidRDefault="00A8620A" w:rsidP="00982118">
      <w:pPr>
        <w:autoSpaceDE w:val="0"/>
        <w:autoSpaceDN w:val="0"/>
        <w:adjustRightInd w:val="0"/>
        <w:jc w:val="center"/>
        <w:rPr>
          <w:color w:val="000000" w:themeColor="text1"/>
        </w:rPr>
      </w:pPr>
    </w:p>
    <w:p w14:paraId="4F664608" w14:textId="77777777" w:rsidR="00A8620A" w:rsidRPr="0058432E" w:rsidRDefault="00A8620A" w:rsidP="00982118">
      <w:pPr>
        <w:autoSpaceDE w:val="0"/>
        <w:autoSpaceDN w:val="0"/>
        <w:adjustRightInd w:val="0"/>
        <w:rPr>
          <w:color w:val="000000" w:themeColor="text1"/>
        </w:rPr>
      </w:pPr>
    </w:p>
    <w:p w14:paraId="21998D7B"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Faites glisser doucement le protège-aiguille rose sur l’aiguille jusqu’à ce qu’il soit enclenché et en place et posez la seringue avec l’aiguille sur le plan de travail. </w:t>
      </w:r>
      <w:r w:rsidRPr="0058432E">
        <w:rPr>
          <w:b/>
          <w:color w:val="000000" w:themeColor="text1"/>
        </w:rPr>
        <w:t>NE REMETTEZ PAS</w:t>
      </w:r>
      <w:r w:rsidRPr="0058432E">
        <w:rPr>
          <w:color w:val="000000" w:themeColor="text1"/>
        </w:rPr>
        <w:t xml:space="preserve"> le capuchon transparent sur l’aiguille.</w:t>
      </w:r>
    </w:p>
    <w:p w14:paraId="1AD562BB" w14:textId="77777777" w:rsidR="00A8620A" w:rsidRPr="0058432E" w:rsidRDefault="00A8620A" w:rsidP="00982118">
      <w:pPr>
        <w:autoSpaceDE w:val="0"/>
        <w:autoSpaceDN w:val="0"/>
        <w:adjustRightInd w:val="0"/>
        <w:rPr>
          <w:color w:val="000000" w:themeColor="text1"/>
        </w:rPr>
      </w:pPr>
    </w:p>
    <w:p w14:paraId="07395882" w14:textId="3678E1C5" w:rsidR="00A8620A" w:rsidRPr="0058432E" w:rsidRDefault="009D65D0" w:rsidP="00982118">
      <w:pPr>
        <w:autoSpaceDE w:val="0"/>
        <w:autoSpaceDN w:val="0"/>
        <w:adjustRightInd w:val="0"/>
        <w:jc w:val="center"/>
        <w:rPr>
          <w:color w:val="000000" w:themeColor="text1"/>
        </w:rPr>
      </w:pPr>
      <w:r w:rsidRPr="0058432E">
        <w:rPr>
          <w:noProof/>
          <w:color w:val="000000" w:themeColor="text1"/>
        </w:rPr>
        <w:drawing>
          <wp:inline distT="0" distB="0" distL="0" distR="0" wp14:anchorId="5DECE9CA" wp14:editId="6CD15A0F">
            <wp:extent cx="1962150" cy="1997710"/>
            <wp:effectExtent l="0" t="0" r="0" b="0"/>
            <wp:docPr id="46"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r w:rsidRPr="0058432E">
        <w:rPr>
          <w:noProof/>
          <w:color w:val="000000" w:themeColor="text1"/>
        </w:rPr>
        <w:drawing>
          <wp:inline distT="0" distB="0" distL="0" distR="0" wp14:anchorId="64D1CEA3" wp14:editId="3AE97800">
            <wp:extent cx="1962150" cy="1997710"/>
            <wp:effectExtent l="0" t="0" r="0" b="0"/>
            <wp:docPr id="47"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62150" cy="1997710"/>
                    </a:xfrm>
                    <a:prstGeom prst="rect">
                      <a:avLst/>
                    </a:prstGeom>
                    <a:noFill/>
                    <a:ln>
                      <a:noFill/>
                    </a:ln>
                  </pic:spPr>
                </pic:pic>
              </a:graphicData>
            </a:graphic>
          </wp:inline>
        </w:drawing>
      </w:r>
    </w:p>
    <w:p w14:paraId="3E052C06" w14:textId="77777777" w:rsidR="00A8620A" w:rsidRPr="0058432E" w:rsidRDefault="00A8620A" w:rsidP="00982118">
      <w:pPr>
        <w:autoSpaceDE w:val="0"/>
        <w:autoSpaceDN w:val="0"/>
        <w:adjustRightInd w:val="0"/>
        <w:jc w:val="center"/>
        <w:rPr>
          <w:color w:val="000000" w:themeColor="text1"/>
        </w:rPr>
      </w:pPr>
    </w:p>
    <w:p w14:paraId="6776AFE1" w14:textId="77777777" w:rsidR="00A8620A" w:rsidRPr="0058432E" w:rsidRDefault="00A8620A" w:rsidP="00982118">
      <w:pPr>
        <w:autoSpaceDE w:val="0"/>
        <w:autoSpaceDN w:val="0"/>
        <w:adjustRightInd w:val="0"/>
        <w:rPr>
          <w:color w:val="000000" w:themeColor="text1"/>
        </w:rPr>
      </w:pPr>
    </w:p>
    <w:p w14:paraId="4F463270"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Comprimez le site d’injection pendant 10 secondes à l’aide d’une compresse. Un léger saignement peut apparaître. </w:t>
      </w:r>
      <w:r w:rsidRPr="0058432E">
        <w:rPr>
          <w:b/>
          <w:color w:val="000000" w:themeColor="text1"/>
        </w:rPr>
        <w:t>NE FROTTEZ PAS</w:t>
      </w:r>
      <w:r w:rsidRPr="0058432E">
        <w:rPr>
          <w:color w:val="000000" w:themeColor="text1"/>
        </w:rPr>
        <w:t xml:space="preserve"> le site d’injection. Utilisez un pansement adhésif si vous le désirez.</w:t>
      </w:r>
    </w:p>
    <w:p w14:paraId="5309DB83" w14:textId="77777777" w:rsidR="00A8620A" w:rsidRPr="0058432E" w:rsidRDefault="00A8620A" w:rsidP="00982118">
      <w:pPr>
        <w:autoSpaceDE w:val="0"/>
        <w:autoSpaceDN w:val="0"/>
        <w:adjustRightInd w:val="0"/>
        <w:rPr>
          <w:color w:val="000000" w:themeColor="text1"/>
        </w:rPr>
      </w:pPr>
    </w:p>
    <w:p w14:paraId="3C370EDA" w14:textId="77777777" w:rsidR="00920CA5" w:rsidRPr="0058432E" w:rsidRDefault="00920CA5" w:rsidP="00982118">
      <w:pPr>
        <w:autoSpaceDE w:val="0"/>
        <w:autoSpaceDN w:val="0"/>
        <w:adjustRightInd w:val="0"/>
        <w:rPr>
          <w:color w:val="000000" w:themeColor="text1"/>
        </w:rPr>
      </w:pPr>
    </w:p>
    <w:p w14:paraId="27418801" w14:textId="77777777" w:rsidR="00A8620A" w:rsidRPr="0058432E" w:rsidRDefault="00A8620A" w:rsidP="00982118">
      <w:pPr>
        <w:pStyle w:val="ListParagraph"/>
        <w:numPr>
          <w:ilvl w:val="0"/>
          <w:numId w:val="30"/>
        </w:numPr>
        <w:autoSpaceDE w:val="0"/>
        <w:autoSpaceDN w:val="0"/>
        <w:adjustRightInd w:val="0"/>
        <w:ind w:left="567" w:hanging="567"/>
        <w:contextualSpacing/>
        <w:rPr>
          <w:b/>
          <w:bCs/>
          <w:color w:val="000000" w:themeColor="text1"/>
        </w:rPr>
      </w:pPr>
      <w:r w:rsidRPr="0058432E">
        <w:rPr>
          <w:b/>
          <w:bCs/>
          <w:color w:val="000000" w:themeColor="text1"/>
        </w:rPr>
        <w:t>Élimination du matériel</w:t>
      </w:r>
    </w:p>
    <w:p w14:paraId="180B5ACB" w14:textId="77777777" w:rsidR="00A8620A" w:rsidRPr="0058432E" w:rsidRDefault="00A8620A" w:rsidP="00982118">
      <w:pPr>
        <w:autoSpaceDE w:val="0"/>
        <w:autoSpaceDN w:val="0"/>
        <w:adjustRightInd w:val="0"/>
        <w:rPr>
          <w:b/>
          <w:bCs/>
          <w:color w:val="000000" w:themeColor="text1"/>
        </w:rPr>
      </w:pPr>
    </w:p>
    <w:p w14:paraId="06A6DBB7"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 xml:space="preserve">Vous aurez besoin d’un conteneur à déchets spécial, par </w:t>
      </w:r>
      <w:r w:rsidR="001946D2" w:rsidRPr="0058432E">
        <w:rPr>
          <w:color w:val="000000" w:themeColor="text1"/>
        </w:rPr>
        <w:t>ex</w:t>
      </w:r>
      <w:r w:rsidR="00A67736" w:rsidRPr="0058432E">
        <w:rPr>
          <w:color w:val="000000" w:themeColor="text1"/>
        </w:rPr>
        <w:t>emple</w:t>
      </w:r>
      <w:r w:rsidRPr="0058432E">
        <w:rPr>
          <w:color w:val="000000" w:themeColor="text1"/>
        </w:rPr>
        <w:t xml:space="preserve"> un collecteur d’aiguilles ou un autre conteneur indiqué par </w:t>
      </w:r>
      <w:r w:rsidR="00C03A90" w:rsidRPr="0058432E">
        <w:rPr>
          <w:color w:val="000000" w:themeColor="text1"/>
        </w:rPr>
        <w:t>le</w:t>
      </w:r>
      <w:r w:rsidRPr="0058432E">
        <w:rPr>
          <w:color w:val="000000" w:themeColor="text1"/>
        </w:rPr>
        <w:t xml:space="preserve"> médecin</w:t>
      </w:r>
      <w:r w:rsidR="00C03A90" w:rsidRPr="0058432E">
        <w:rPr>
          <w:color w:val="000000" w:themeColor="text1"/>
        </w:rPr>
        <w:t>, l’</w:t>
      </w:r>
      <w:r w:rsidR="0093388F" w:rsidRPr="0058432E">
        <w:rPr>
          <w:color w:val="000000" w:themeColor="text1"/>
        </w:rPr>
        <w:t>infirmier/ère</w:t>
      </w:r>
      <w:r w:rsidRPr="0058432E">
        <w:rPr>
          <w:color w:val="000000" w:themeColor="text1"/>
        </w:rPr>
        <w:t xml:space="preserve"> ou </w:t>
      </w:r>
      <w:r w:rsidR="00C03A90" w:rsidRPr="0058432E">
        <w:rPr>
          <w:color w:val="000000" w:themeColor="text1"/>
        </w:rPr>
        <w:t xml:space="preserve">le </w:t>
      </w:r>
      <w:r w:rsidRPr="0058432E">
        <w:rPr>
          <w:color w:val="000000" w:themeColor="text1"/>
        </w:rPr>
        <w:t>pharmacien</w:t>
      </w:r>
      <w:r w:rsidR="00267B89" w:rsidRPr="0058432E">
        <w:rPr>
          <w:color w:val="000000" w:themeColor="text1"/>
        </w:rPr>
        <w:t xml:space="preserve"> de votre enfant</w:t>
      </w:r>
      <w:r w:rsidRPr="0058432E">
        <w:rPr>
          <w:color w:val="000000" w:themeColor="text1"/>
        </w:rPr>
        <w:t>.</w:t>
      </w:r>
    </w:p>
    <w:p w14:paraId="4A47B746"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Mettez la seringue avec l’aiguille, le flacon et l’adaptateur pour flacon dans un conteneur à déchets spécial. NE JETEZ PAS ces éléments avec les ordures ménagères.</w:t>
      </w:r>
    </w:p>
    <w:p w14:paraId="3C4ED052"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La seringue, l’aiguille, le flacon et l’adaptateur pour flacon NE DOIVENT JAMAIS être réutilisés.</w:t>
      </w:r>
    </w:p>
    <w:p w14:paraId="369AB61A" w14:textId="77777777" w:rsidR="00A8620A" w:rsidRPr="0058432E" w:rsidRDefault="00A8620A" w:rsidP="00982118">
      <w:pPr>
        <w:pStyle w:val="ListParagraph"/>
        <w:numPr>
          <w:ilvl w:val="0"/>
          <w:numId w:val="29"/>
        </w:numPr>
        <w:autoSpaceDE w:val="0"/>
        <w:autoSpaceDN w:val="0"/>
        <w:adjustRightInd w:val="0"/>
        <w:ind w:left="540" w:hanging="540"/>
        <w:contextualSpacing/>
        <w:rPr>
          <w:color w:val="000000" w:themeColor="text1"/>
        </w:rPr>
      </w:pPr>
      <w:r w:rsidRPr="0058432E">
        <w:rPr>
          <w:color w:val="000000" w:themeColor="text1"/>
        </w:rPr>
        <w:t>Tenez toujours ce conteneur spécial hors de la vue et de la portée des enfants.</w:t>
      </w:r>
    </w:p>
    <w:p w14:paraId="6848D4E4" w14:textId="77777777" w:rsidR="00A8620A" w:rsidRPr="0058432E" w:rsidRDefault="00A8620A" w:rsidP="00295341">
      <w:pPr>
        <w:pStyle w:val="ListParagraph"/>
        <w:numPr>
          <w:ilvl w:val="0"/>
          <w:numId w:val="29"/>
        </w:numPr>
        <w:tabs>
          <w:tab w:val="left" w:pos="562"/>
        </w:tabs>
        <w:autoSpaceDE w:val="0"/>
        <w:autoSpaceDN w:val="0"/>
        <w:adjustRightInd w:val="0"/>
        <w:ind w:left="540" w:hanging="540"/>
        <w:contextualSpacing/>
        <w:rPr>
          <w:b/>
          <w:bCs/>
          <w:color w:val="000000" w:themeColor="text1"/>
        </w:rPr>
      </w:pPr>
      <w:r w:rsidRPr="0058432E">
        <w:rPr>
          <w:color w:val="000000" w:themeColor="text1"/>
        </w:rPr>
        <w:t>Tous les autres éléments utilisés peuvent être jetés avec les ordures ménagères</w:t>
      </w:r>
      <w:r w:rsidR="00267B89" w:rsidRPr="0058432E">
        <w:rPr>
          <w:color w:val="000000" w:themeColor="text1"/>
        </w:rPr>
        <w:t>.</w:t>
      </w:r>
    </w:p>
    <w:p w14:paraId="4D1C19AD" w14:textId="77777777" w:rsidR="00920CA5" w:rsidRPr="0058432E" w:rsidRDefault="00C46587" w:rsidP="00920CA5">
      <w:pPr>
        <w:jc w:val="center"/>
        <w:rPr>
          <w:b/>
          <w:color w:val="000000" w:themeColor="text1"/>
        </w:rPr>
      </w:pPr>
      <w:r w:rsidRPr="0058432E">
        <w:rPr>
          <w:color w:val="000000" w:themeColor="text1"/>
        </w:rPr>
        <w:br w:type="page"/>
      </w:r>
      <w:r w:rsidR="00920CA5" w:rsidRPr="0058432E">
        <w:rPr>
          <w:b/>
          <w:color w:val="000000" w:themeColor="text1"/>
        </w:rPr>
        <w:lastRenderedPageBreak/>
        <w:t>Notice : Information du patient</w:t>
      </w:r>
    </w:p>
    <w:p w14:paraId="4A11DC70" w14:textId="77777777" w:rsidR="00C46587" w:rsidRPr="0058432E" w:rsidRDefault="00C46587" w:rsidP="00982118">
      <w:pPr>
        <w:jc w:val="center"/>
        <w:rPr>
          <w:b/>
          <w:color w:val="000000" w:themeColor="text1"/>
        </w:rPr>
      </w:pPr>
    </w:p>
    <w:p w14:paraId="2A427F51" w14:textId="77777777" w:rsidR="00C46587" w:rsidRPr="0058432E" w:rsidRDefault="006A1144" w:rsidP="00982118">
      <w:pPr>
        <w:jc w:val="center"/>
        <w:rPr>
          <w:b/>
          <w:color w:val="000000" w:themeColor="text1"/>
        </w:rPr>
      </w:pPr>
      <w:r w:rsidRPr="0058432E">
        <w:rPr>
          <w:b/>
          <w:color w:val="000000" w:themeColor="text1"/>
        </w:rPr>
        <w:t>Amsparity 40 mg, solution injectable en seringue préremplie</w:t>
      </w:r>
    </w:p>
    <w:p w14:paraId="541B1CF8" w14:textId="77777777" w:rsidR="00C46587" w:rsidRPr="0058432E" w:rsidRDefault="002564DA" w:rsidP="00982118">
      <w:pPr>
        <w:jc w:val="center"/>
        <w:rPr>
          <w:color w:val="000000" w:themeColor="text1"/>
        </w:rPr>
      </w:pPr>
      <w:r w:rsidRPr="0058432E">
        <w:rPr>
          <w:color w:val="000000" w:themeColor="text1"/>
        </w:rPr>
        <w:t>A</w:t>
      </w:r>
      <w:r w:rsidR="00C46587" w:rsidRPr="0058432E">
        <w:rPr>
          <w:color w:val="000000" w:themeColor="text1"/>
        </w:rPr>
        <w:t>dalimumab</w:t>
      </w:r>
    </w:p>
    <w:p w14:paraId="2F332811" w14:textId="77777777" w:rsidR="002564DA" w:rsidRPr="0058432E" w:rsidRDefault="002564DA" w:rsidP="00A53E17">
      <w:pPr>
        <w:rPr>
          <w:color w:val="000000" w:themeColor="text1"/>
        </w:rPr>
      </w:pPr>
    </w:p>
    <w:p w14:paraId="5894E313" w14:textId="0FE762E2" w:rsidR="002564DA" w:rsidRPr="0058432E" w:rsidRDefault="009D65D0" w:rsidP="00982118">
      <w:pPr>
        <w:jc w:val="center"/>
        <w:rPr>
          <w:color w:val="000000" w:themeColor="text1"/>
        </w:rPr>
      </w:pPr>
      <w:r w:rsidRPr="0058432E">
        <w:rPr>
          <w:noProof/>
          <w:color w:val="000000" w:themeColor="text1"/>
        </w:rPr>
        <w:drawing>
          <wp:inline distT="0" distB="0" distL="0" distR="0" wp14:anchorId="5FF11E67" wp14:editId="33D51084">
            <wp:extent cx="4030345" cy="121666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30345" cy="1216660"/>
                    </a:xfrm>
                    <a:prstGeom prst="rect">
                      <a:avLst/>
                    </a:prstGeom>
                    <a:noFill/>
                    <a:ln>
                      <a:noFill/>
                    </a:ln>
                  </pic:spPr>
                </pic:pic>
              </a:graphicData>
            </a:graphic>
          </wp:inline>
        </w:drawing>
      </w:r>
    </w:p>
    <w:p w14:paraId="62D83401" w14:textId="77777777" w:rsidR="00C46587" w:rsidRPr="0058432E" w:rsidRDefault="00C46587" w:rsidP="00982118">
      <w:pPr>
        <w:rPr>
          <w:color w:val="000000" w:themeColor="text1"/>
        </w:rPr>
      </w:pPr>
    </w:p>
    <w:p w14:paraId="66CF4413" w14:textId="77777777" w:rsidR="00934A4A" w:rsidRPr="0058432E" w:rsidRDefault="00934A4A" w:rsidP="00982118">
      <w:pPr>
        <w:rPr>
          <w:color w:val="000000" w:themeColor="text1"/>
        </w:rPr>
      </w:pPr>
    </w:p>
    <w:p w14:paraId="38736817" w14:textId="77777777" w:rsidR="00C46587" w:rsidRPr="0058432E" w:rsidRDefault="00C46587" w:rsidP="00982118">
      <w:pPr>
        <w:rPr>
          <w:b/>
          <w:color w:val="000000" w:themeColor="text1"/>
        </w:rPr>
      </w:pPr>
      <w:r w:rsidRPr="0058432E">
        <w:rPr>
          <w:b/>
          <w:color w:val="000000" w:themeColor="text1"/>
        </w:rPr>
        <w:t xml:space="preserve">Veuillez lire attentivement cette notice avant d’utiliser ce médicament car elle contient des informations importantes pour vous. </w:t>
      </w:r>
    </w:p>
    <w:p w14:paraId="3E6D165E"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Gardez cette notice. Vous pourriez avoir besoin de la relire. </w:t>
      </w:r>
    </w:p>
    <w:p w14:paraId="79FFF015"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Votre médecin vous remettra également une </w:t>
      </w:r>
      <w:r w:rsidR="0045425F" w:rsidRPr="0058432E">
        <w:rPr>
          <w:color w:val="000000" w:themeColor="text1"/>
        </w:rPr>
        <w:t>carte de rappel patient</w:t>
      </w:r>
      <w:r w:rsidRPr="0058432E">
        <w:rPr>
          <w:color w:val="000000" w:themeColor="text1"/>
        </w:rPr>
        <w:t xml:space="preserve"> qui comporte d’importantes informations sur la </w:t>
      </w:r>
      <w:r w:rsidR="00B42EC9" w:rsidRPr="0058432E">
        <w:rPr>
          <w:color w:val="000000" w:themeColor="text1"/>
        </w:rPr>
        <w:t>tolérance</w:t>
      </w:r>
      <w:r w:rsidR="00D45EE7" w:rsidRPr="0058432E">
        <w:rPr>
          <w:color w:val="000000" w:themeColor="text1"/>
        </w:rPr>
        <w:t xml:space="preserve"> </w:t>
      </w:r>
      <w:r w:rsidRPr="0058432E">
        <w:rPr>
          <w:color w:val="000000" w:themeColor="text1"/>
        </w:rPr>
        <w:t xml:space="preserve">que vous devez connaître avant que l’on vous administre Amsparity et pendant le traitement. Conservez cette </w:t>
      </w:r>
      <w:r w:rsidR="0045425F" w:rsidRPr="0058432E">
        <w:rPr>
          <w:color w:val="000000" w:themeColor="text1"/>
        </w:rPr>
        <w:t>carte de rappel patient</w:t>
      </w:r>
      <w:r w:rsidRPr="0058432E">
        <w:rPr>
          <w:color w:val="000000" w:themeColor="text1"/>
        </w:rPr>
        <w:t xml:space="preserve"> avec vous. </w:t>
      </w:r>
    </w:p>
    <w:p w14:paraId="6AAA50F5" w14:textId="77777777" w:rsidR="00C46587" w:rsidRPr="0058432E" w:rsidRDefault="00C46587" w:rsidP="00982118">
      <w:pPr>
        <w:numPr>
          <w:ilvl w:val="0"/>
          <w:numId w:val="4"/>
        </w:numPr>
        <w:ind w:left="562" w:hanging="562"/>
        <w:rPr>
          <w:color w:val="000000" w:themeColor="text1"/>
        </w:rPr>
      </w:pPr>
      <w:r w:rsidRPr="0058432E">
        <w:rPr>
          <w:color w:val="000000" w:themeColor="text1"/>
        </w:rPr>
        <w:t>Si vous avez d’autres questions, interrogez votre médecin ou pharmacien.</w:t>
      </w:r>
    </w:p>
    <w:p w14:paraId="22F0C69C" w14:textId="77777777" w:rsidR="00C46587" w:rsidRPr="0058432E" w:rsidRDefault="00C46587" w:rsidP="00982118">
      <w:pPr>
        <w:numPr>
          <w:ilvl w:val="0"/>
          <w:numId w:val="4"/>
        </w:numPr>
        <w:ind w:left="562" w:hanging="562"/>
        <w:rPr>
          <w:color w:val="000000" w:themeColor="text1"/>
        </w:rPr>
      </w:pPr>
      <w:r w:rsidRPr="0058432E">
        <w:rPr>
          <w:color w:val="000000" w:themeColor="text1"/>
        </w:rPr>
        <w:t>Ce médicament vous a été personnellement prescrit. Ne le donnez pas à d’autres personnes. Il pourrait leur être nocif, même si les signes de leur maladie sont identiques aux vôtres.</w:t>
      </w:r>
    </w:p>
    <w:p w14:paraId="0A000EF7"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Si vous ressentez un quelconque effet indésirable, parlez-en à votre médecin ou votre pharmacien. Ceci s’applique aussi à tout effet indésirable qui ne serait pas mentionné dans cette notice (voir rubrique 4). </w:t>
      </w:r>
    </w:p>
    <w:p w14:paraId="3F4AC75D" w14:textId="77777777" w:rsidR="00C46587" w:rsidRPr="0058432E" w:rsidRDefault="00C46587" w:rsidP="00982118">
      <w:pPr>
        <w:rPr>
          <w:color w:val="000000" w:themeColor="text1"/>
        </w:rPr>
      </w:pPr>
    </w:p>
    <w:p w14:paraId="32CF0604" w14:textId="77777777" w:rsidR="00C46587" w:rsidRPr="0058432E" w:rsidRDefault="00C46587" w:rsidP="00982118">
      <w:pPr>
        <w:rPr>
          <w:b/>
          <w:color w:val="000000" w:themeColor="text1"/>
        </w:rPr>
      </w:pPr>
      <w:r w:rsidRPr="0058432E">
        <w:rPr>
          <w:b/>
          <w:color w:val="000000" w:themeColor="text1"/>
        </w:rPr>
        <w:t>Que contient cette notice ?</w:t>
      </w:r>
    </w:p>
    <w:p w14:paraId="4B268904" w14:textId="77777777" w:rsidR="00C46587" w:rsidRPr="0058432E" w:rsidRDefault="00C46587" w:rsidP="00982118">
      <w:pPr>
        <w:tabs>
          <w:tab w:val="left" w:pos="562"/>
        </w:tabs>
        <w:rPr>
          <w:color w:val="000000" w:themeColor="text1"/>
        </w:rPr>
      </w:pPr>
      <w:r w:rsidRPr="0058432E">
        <w:rPr>
          <w:color w:val="000000" w:themeColor="text1"/>
        </w:rPr>
        <w:t>1.</w:t>
      </w:r>
      <w:r w:rsidRPr="0058432E">
        <w:rPr>
          <w:color w:val="000000" w:themeColor="text1"/>
        </w:rPr>
        <w:tab/>
        <w:t xml:space="preserve">Qu’est-ce qu’Amsparity et dans quels cas est-il utilisé </w:t>
      </w:r>
    </w:p>
    <w:p w14:paraId="206335D2" w14:textId="77777777" w:rsidR="00C46587" w:rsidRPr="0058432E" w:rsidRDefault="00C46587" w:rsidP="00982118">
      <w:pPr>
        <w:tabs>
          <w:tab w:val="left" w:pos="562"/>
        </w:tabs>
        <w:rPr>
          <w:color w:val="000000" w:themeColor="text1"/>
        </w:rPr>
      </w:pPr>
      <w:r w:rsidRPr="0058432E">
        <w:rPr>
          <w:color w:val="000000" w:themeColor="text1"/>
        </w:rPr>
        <w:t>2.</w:t>
      </w:r>
      <w:r w:rsidRPr="0058432E">
        <w:rPr>
          <w:color w:val="000000" w:themeColor="text1"/>
        </w:rPr>
        <w:tab/>
        <w:t xml:space="preserve">Quelles sont les informations à connaître avant d’utiliser Amsparity </w:t>
      </w:r>
    </w:p>
    <w:p w14:paraId="19148B30" w14:textId="77777777" w:rsidR="00C46587" w:rsidRPr="0058432E" w:rsidRDefault="00C46587" w:rsidP="00982118">
      <w:pPr>
        <w:tabs>
          <w:tab w:val="left" w:pos="562"/>
        </w:tabs>
        <w:rPr>
          <w:color w:val="000000" w:themeColor="text1"/>
        </w:rPr>
      </w:pPr>
      <w:r w:rsidRPr="0058432E">
        <w:rPr>
          <w:color w:val="000000" w:themeColor="text1"/>
        </w:rPr>
        <w:t>3.</w:t>
      </w:r>
      <w:r w:rsidRPr="0058432E">
        <w:rPr>
          <w:color w:val="000000" w:themeColor="text1"/>
        </w:rPr>
        <w:tab/>
        <w:t xml:space="preserve">Comment utiliser Amsparity </w:t>
      </w:r>
    </w:p>
    <w:p w14:paraId="442C785E" w14:textId="77777777" w:rsidR="00C46587" w:rsidRPr="0058432E" w:rsidRDefault="00C46587" w:rsidP="00982118">
      <w:pPr>
        <w:tabs>
          <w:tab w:val="left" w:pos="562"/>
        </w:tabs>
        <w:rPr>
          <w:color w:val="000000" w:themeColor="text1"/>
        </w:rPr>
      </w:pPr>
      <w:r w:rsidRPr="0058432E">
        <w:rPr>
          <w:color w:val="000000" w:themeColor="text1"/>
        </w:rPr>
        <w:t>4.</w:t>
      </w:r>
      <w:r w:rsidRPr="0058432E">
        <w:rPr>
          <w:color w:val="000000" w:themeColor="text1"/>
        </w:rPr>
        <w:tab/>
        <w:t xml:space="preserve">Quels sont les effets indésirables éventuels ? </w:t>
      </w:r>
    </w:p>
    <w:p w14:paraId="7912965F" w14:textId="77777777" w:rsidR="00C46587" w:rsidRPr="0058432E" w:rsidRDefault="00C46587" w:rsidP="00982118">
      <w:pPr>
        <w:tabs>
          <w:tab w:val="left" w:pos="562"/>
        </w:tabs>
        <w:rPr>
          <w:color w:val="000000" w:themeColor="text1"/>
        </w:rPr>
      </w:pPr>
      <w:r w:rsidRPr="0058432E">
        <w:rPr>
          <w:color w:val="000000" w:themeColor="text1"/>
        </w:rPr>
        <w:t>5.</w:t>
      </w:r>
      <w:r w:rsidRPr="0058432E">
        <w:rPr>
          <w:color w:val="000000" w:themeColor="text1"/>
        </w:rPr>
        <w:tab/>
        <w:t xml:space="preserve">Comment conserver Amsparity </w:t>
      </w:r>
    </w:p>
    <w:p w14:paraId="591FADC0" w14:textId="77777777" w:rsidR="00B85F8D" w:rsidRPr="0058432E" w:rsidRDefault="00C46587" w:rsidP="00982118">
      <w:pPr>
        <w:tabs>
          <w:tab w:val="left" w:pos="562"/>
        </w:tabs>
        <w:rPr>
          <w:color w:val="000000" w:themeColor="text1"/>
        </w:rPr>
      </w:pPr>
      <w:r w:rsidRPr="0058432E">
        <w:rPr>
          <w:color w:val="000000" w:themeColor="text1"/>
        </w:rPr>
        <w:t>6.</w:t>
      </w:r>
      <w:r w:rsidRPr="0058432E">
        <w:rPr>
          <w:color w:val="000000" w:themeColor="text1"/>
        </w:rPr>
        <w:tab/>
        <w:t>Contenu de l’emballage et autres informations</w:t>
      </w:r>
    </w:p>
    <w:p w14:paraId="2F5986AD" w14:textId="77777777" w:rsidR="00C46587" w:rsidRPr="0058432E" w:rsidRDefault="00C46587" w:rsidP="00982118">
      <w:pPr>
        <w:rPr>
          <w:color w:val="000000" w:themeColor="text1"/>
        </w:rPr>
      </w:pPr>
    </w:p>
    <w:p w14:paraId="18907237" w14:textId="77777777" w:rsidR="00C46587" w:rsidRPr="0058432E" w:rsidRDefault="00C46587" w:rsidP="00982118">
      <w:pPr>
        <w:rPr>
          <w:color w:val="000000" w:themeColor="text1"/>
        </w:rPr>
      </w:pPr>
    </w:p>
    <w:p w14:paraId="787A79E0" w14:textId="77777777" w:rsidR="00C46587" w:rsidRPr="0058432E" w:rsidRDefault="00C46587" w:rsidP="00982118">
      <w:pPr>
        <w:tabs>
          <w:tab w:val="left" w:pos="562"/>
        </w:tabs>
        <w:rPr>
          <w:b/>
          <w:color w:val="000000" w:themeColor="text1"/>
        </w:rPr>
      </w:pPr>
      <w:r w:rsidRPr="0058432E">
        <w:rPr>
          <w:b/>
          <w:color w:val="000000" w:themeColor="text1"/>
        </w:rPr>
        <w:t>1.</w:t>
      </w:r>
      <w:r w:rsidRPr="0058432E">
        <w:rPr>
          <w:b/>
          <w:color w:val="000000" w:themeColor="text1"/>
        </w:rPr>
        <w:tab/>
        <w:t xml:space="preserve">Qu’est-ce qu’Amsparity et dans quels cas est-il utilisé </w:t>
      </w:r>
    </w:p>
    <w:p w14:paraId="0DA274AC" w14:textId="77777777" w:rsidR="00C46587" w:rsidRPr="0058432E" w:rsidRDefault="00C46587" w:rsidP="00982118">
      <w:pPr>
        <w:rPr>
          <w:color w:val="000000" w:themeColor="text1"/>
        </w:rPr>
      </w:pPr>
    </w:p>
    <w:p w14:paraId="2C62AC59" w14:textId="77777777" w:rsidR="00640D64" w:rsidRPr="0058432E" w:rsidRDefault="006A1144" w:rsidP="00982118">
      <w:pPr>
        <w:rPr>
          <w:color w:val="000000" w:themeColor="text1"/>
        </w:rPr>
      </w:pPr>
      <w:r w:rsidRPr="0058432E">
        <w:rPr>
          <w:color w:val="000000" w:themeColor="text1"/>
        </w:rPr>
        <w:t>Amsparity contient la substance active adalimumab, un médicament qui agit sur le système immunitaire (défense) de votre organisme.</w:t>
      </w:r>
    </w:p>
    <w:p w14:paraId="607A9F35" w14:textId="77777777" w:rsidR="00640D64" w:rsidRPr="0058432E" w:rsidRDefault="00640D64" w:rsidP="00982118">
      <w:pPr>
        <w:rPr>
          <w:color w:val="000000" w:themeColor="text1"/>
        </w:rPr>
      </w:pPr>
    </w:p>
    <w:p w14:paraId="5B3A9C07" w14:textId="77777777" w:rsidR="00640D64" w:rsidRPr="0058432E" w:rsidRDefault="006A1144" w:rsidP="00982118">
      <w:pPr>
        <w:rPr>
          <w:color w:val="000000" w:themeColor="text1"/>
        </w:rPr>
      </w:pPr>
      <w:r w:rsidRPr="0058432E">
        <w:rPr>
          <w:color w:val="000000" w:themeColor="text1"/>
        </w:rPr>
        <w:t>Amsparity est destiné au traitement des maladies inflammatoires décrites ci-dessous :</w:t>
      </w:r>
    </w:p>
    <w:p w14:paraId="7280A855"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polyarthrite</w:t>
      </w:r>
      <w:proofErr w:type="gramEnd"/>
      <w:r w:rsidRPr="0058432E">
        <w:rPr>
          <w:color w:val="000000" w:themeColor="text1"/>
        </w:rPr>
        <w:t xml:space="preserve"> rhumatoïde, </w:t>
      </w:r>
    </w:p>
    <w:p w14:paraId="4CC6C561"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juvénile idiopathique polyarticulaire, </w:t>
      </w:r>
    </w:p>
    <w:p w14:paraId="008F07DD" w14:textId="77777777" w:rsidR="00640D64" w:rsidRPr="0058432E" w:rsidRDefault="00792D7D" w:rsidP="00982118">
      <w:pPr>
        <w:numPr>
          <w:ilvl w:val="0"/>
          <w:numId w:val="19"/>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liée à l’enthésite chez l’enfant et l’adolescent, </w:t>
      </w:r>
    </w:p>
    <w:p w14:paraId="0A2D52CD"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spondylarthrite</w:t>
      </w:r>
      <w:proofErr w:type="gramEnd"/>
      <w:r w:rsidRPr="0058432E">
        <w:rPr>
          <w:color w:val="000000" w:themeColor="text1"/>
        </w:rPr>
        <w:t xml:space="preserve"> ankylosante, </w:t>
      </w:r>
    </w:p>
    <w:p w14:paraId="07CE27B8"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spondyl</w:t>
      </w:r>
      <w:r w:rsidR="009D048D" w:rsidRPr="0058432E">
        <w:rPr>
          <w:color w:val="000000" w:themeColor="text1"/>
        </w:rPr>
        <w:t>o</w:t>
      </w:r>
      <w:r w:rsidRPr="0058432E">
        <w:rPr>
          <w:color w:val="000000" w:themeColor="text1"/>
        </w:rPr>
        <w:t>arthrite</w:t>
      </w:r>
      <w:proofErr w:type="gramEnd"/>
      <w:r w:rsidRPr="0058432E">
        <w:rPr>
          <w:color w:val="000000" w:themeColor="text1"/>
        </w:rPr>
        <w:t xml:space="preserve"> axiale sans signes radiographiques de spondylarthrite ankylosante, </w:t>
      </w:r>
    </w:p>
    <w:p w14:paraId="0AD66107"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rhumatisme</w:t>
      </w:r>
      <w:proofErr w:type="gramEnd"/>
      <w:r w:rsidRPr="0058432E">
        <w:rPr>
          <w:color w:val="000000" w:themeColor="text1"/>
        </w:rPr>
        <w:t xml:space="preserve"> psoriasique, </w:t>
      </w:r>
    </w:p>
    <w:p w14:paraId="5D54F496"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psoriasis</w:t>
      </w:r>
      <w:proofErr w:type="gramEnd"/>
      <w:r w:rsidRPr="0058432E">
        <w:rPr>
          <w:color w:val="000000" w:themeColor="text1"/>
        </w:rPr>
        <w:t xml:space="preserve">, </w:t>
      </w:r>
    </w:p>
    <w:p w14:paraId="1F38190A"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hidrosadénite</w:t>
      </w:r>
      <w:proofErr w:type="gramEnd"/>
      <w:r w:rsidRPr="0058432E">
        <w:rPr>
          <w:color w:val="000000" w:themeColor="text1"/>
        </w:rPr>
        <w:t xml:space="preserve"> suppurée, </w:t>
      </w:r>
    </w:p>
    <w:p w14:paraId="46255E10"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maladie</w:t>
      </w:r>
      <w:proofErr w:type="gramEnd"/>
      <w:r w:rsidRPr="0058432E">
        <w:rPr>
          <w:color w:val="000000" w:themeColor="text1"/>
        </w:rPr>
        <w:t xml:space="preserve"> de Crohn, </w:t>
      </w:r>
    </w:p>
    <w:p w14:paraId="229665F4" w14:textId="77777777" w:rsidR="00640D64" w:rsidRPr="0058432E" w:rsidRDefault="00C73765" w:rsidP="00982118">
      <w:pPr>
        <w:numPr>
          <w:ilvl w:val="0"/>
          <w:numId w:val="19"/>
        </w:numPr>
        <w:ind w:left="360"/>
        <w:rPr>
          <w:color w:val="000000" w:themeColor="text1"/>
        </w:rPr>
      </w:pPr>
      <w:proofErr w:type="gramStart"/>
      <w:r w:rsidRPr="0058432E">
        <w:rPr>
          <w:color w:val="000000" w:themeColor="text1"/>
        </w:rPr>
        <w:t>rectocolite</w:t>
      </w:r>
      <w:proofErr w:type="gramEnd"/>
      <w:r w:rsidRPr="0058432E">
        <w:rPr>
          <w:color w:val="000000" w:themeColor="text1"/>
        </w:rPr>
        <w:t xml:space="preserve"> hémorragique et </w:t>
      </w:r>
    </w:p>
    <w:p w14:paraId="7ED208D2" w14:textId="77777777" w:rsidR="00F30344" w:rsidRPr="0058432E" w:rsidRDefault="00C73765" w:rsidP="00982118">
      <w:pPr>
        <w:numPr>
          <w:ilvl w:val="0"/>
          <w:numId w:val="19"/>
        </w:numPr>
        <w:ind w:left="360"/>
        <w:rPr>
          <w:color w:val="000000" w:themeColor="text1"/>
        </w:rPr>
      </w:pPr>
      <w:proofErr w:type="gramStart"/>
      <w:r w:rsidRPr="0058432E">
        <w:rPr>
          <w:color w:val="000000" w:themeColor="text1"/>
        </w:rPr>
        <w:t>uvéite</w:t>
      </w:r>
      <w:proofErr w:type="gramEnd"/>
      <w:r w:rsidRPr="0058432E">
        <w:rPr>
          <w:color w:val="000000" w:themeColor="text1"/>
        </w:rPr>
        <w:t xml:space="preserve"> non infectieuse. </w:t>
      </w:r>
    </w:p>
    <w:p w14:paraId="5AA94F8E" w14:textId="77777777" w:rsidR="00F30344" w:rsidRPr="0058432E" w:rsidRDefault="00F30344" w:rsidP="00982118">
      <w:pPr>
        <w:rPr>
          <w:color w:val="000000" w:themeColor="text1"/>
        </w:rPr>
      </w:pPr>
    </w:p>
    <w:p w14:paraId="2C5DF0C0" w14:textId="77777777" w:rsidR="00F30344" w:rsidRPr="0058432E" w:rsidRDefault="00C46587" w:rsidP="00982118">
      <w:pPr>
        <w:rPr>
          <w:color w:val="000000" w:themeColor="text1"/>
        </w:rPr>
      </w:pPr>
      <w:r w:rsidRPr="0058432E">
        <w:rPr>
          <w:color w:val="000000" w:themeColor="text1"/>
        </w:rPr>
        <w:t xml:space="preserve">Le principe actif dans Amsparity, l’adalimumab, est un anticorps monoclonal. Les anticorps monoclonaux sont des protéines qui se lient à une cible spécifique dans l’organisme. </w:t>
      </w:r>
    </w:p>
    <w:p w14:paraId="2AE9BA63" w14:textId="77777777" w:rsidR="00F30344" w:rsidRPr="0058432E" w:rsidRDefault="00F30344" w:rsidP="00982118">
      <w:pPr>
        <w:rPr>
          <w:color w:val="000000" w:themeColor="text1"/>
        </w:rPr>
      </w:pPr>
    </w:p>
    <w:p w14:paraId="63A02A20" w14:textId="77777777" w:rsidR="00C46587" w:rsidRPr="0058432E" w:rsidRDefault="0089352E" w:rsidP="00982118">
      <w:pPr>
        <w:rPr>
          <w:color w:val="000000" w:themeColor="text1"/>
        </w:rPr>
      </w:pPr>
      <w:r w:rsidRPr="0058432E">
        <w:rPr>
          <w:color w:val="000000" w:themeColor="text1"/>
        </w:rPr>
        <w:t xml:space="preserve">La cible de l’adalimumab est une autre protéine appelée facteur de nécrose tumorale (TNFα) qui est impliquée dans le système immunitaire (défense) et est présente à des taux augmentés dans les maladies inflammatoires mentionnées ci-dessus. En se liant au TNFα, Amsparity </w:t>
      </w:r>
      <w:r w:rsidR="000B307D" w:rsidRPr="0058432E">
        <w:rPr>
          <w:color w:val="000000" w:themeColor="text1"/>
        </w:rPr>
        <w:t xml:space="preserve">bloque cette action et </w:t>
      </w:r>
      <w:r w:rsidRPr="0058432E">
        <w:rPr>
          <w:color w:val="000000" w:themeColor="text1"/>
        </w:rPr>
        <w:t xml:space="preserve">diminue le processus inflammatoire dans ces maladies. </w:t>
      </w:r>
    </w:p>
    <w:p w14:paraId="127CF661" w14:textId="77777777" w:rsidR="005F7C27" w:rsidRPr="0058432E" w:rsidRDefault="005F7C27" w:rsidP="00982118">
      <w:pPr>
        <w:rPr>
          <w:color w:val="000000" w:themeColor="text1"/>
        </w:rPr>
      </w:pPr>
    </w:p>
    <w:p w14:paraId="5F04982A" w14:textId="77777777" w:rsidR="00C46587" w:rsidRPr="0058432E" w:rsidRDefault="00C46587" w:rsidP="00982118">
      <w:pPr>
        <w:keepNext/>
        <w:rPr>
          <w:color w:val="000000" w:themeColor="text1"/>
          <w:u w:val="single"/>
        </w:rPr>
      </w:pPr>
      <w:r w:rsidRPr="0058432E">
        <w:rPr>
          <w:color w:val="000000" w:themeColor="text1"/>
          <w:u w:val="single"/>
        </w:rPr>
        <w:t xml:space="preserve">Polyarthrite rhumatoïde </w:t>
      </w:r>
    </w:p>
    <w:p w14:paraId="4E4E748D" w14:textId="77777777" w:rsidR="00C46587" w:rsidRPr="0058432E" w:rsidRDefault="00C46587" w:rsidP="00982118">
      <w:pPr>
        <w:keepNext/>
        <w:rPr>
          <w:color w:val="000000" w:themeColor="text1"/>
        </w:rPr>
      </w:pPr>
    </w:p>
    <w:p w14:paraId="32DA1147" w14:textId="77777777" w:rsidR="00C46587" w:rsidRPr="0058432E" w:rsidRDefault="00C46587" w:rsidP="00982118">
      <w:pPr>
        <w:rPr>
          <w:color w:val="000000" w:themeColor="text1"/>
        </w:rPr>
      </w:pPr>
      <w:r w:rsidRPr="0058432E">
        <w:rPr>
          <w:color w:val="000000" w:themeColor="text1"/>
        </w:rPr>
        <w:t xml:space="preserve">La polyarthrite rhumatoïde est une maladie inflammatoire des articulations. </w:t>
      </w:r>
    </w:p>
    <w:p w14:paraId="72D59247" w14:textId="77777777" w:rsidR="00C46587" w:rsidRPr="0058432E" w:rsidRDefault="00C46587" w:rsidP="00982118">
      <w:pPr>
        <w:rPr>
          <w:color w:val="000000" w:themeColor="text1"/>
        </w:rPr>
      </w:pPr>
    </w:p>
    <w:p w14:paraId="0659A48F" w14:textId="77777777" w:rsidR="00C46587" w:rsidRPr="0058432E" w:rsidRDefault="006A1144" w:rsidP="00982118">
      <w:pPr>
        <w:rPr>
          <w:color w:val="000000" w:themeColor="text1"/>
        </w:rPr>
      </w:pPr>
      <w:r w:rsidRPr="0058432E">
        <w:rPr>
          <w:color w:val="000000" w:themeColor="text1"/>
        </w:rPr>
        <w:t xml:space="preserve">Amsparity est utilisé pour traiter la polyarthrite rhumatoïde chez l’adulte. Si vous avez une polyarthrite rhumatoïde active modérée à sévère, on pourra d’abord vous prescrire des </w:t>
      </w:r>
      <w:r w:rsidR="007D7099" w:rsidRPr="0058432E">
        <w:rPr>
          <w:color w:val="000000" w:themeColor="text1"/>
        </w:rPr>
        <w:t>antirhumatismaux</w:t>
      </w:r>
      <w:r w:rsidRPr="0058432E">
        <w:rPr>
          <w:color w:val="000000" w:themeColor="text1"/>
        </w:rPr>
        <w:t xml:space="preserve"> </w:t>
      </w:r>
      <w:r w:rsidR="007D7099" w:rsidRPr="0058432E">
        <w:rPr>
          <w:color w:val="000000" w:themeColor="text1"/>
        </w:rPr>
        <w:t xml:space="preserve">modificateurs de la maladie </w:t>
      </w:r>
      <w:r w:rsidRPr="0058432E">
        <w:rPr>
          <w:color w:val="000000" w:themeColor="text1"/>
        </w:rPr>
        <w:t xml:space="preserve">tels que du méthotrexate. Si ces </w:t>
      </w:r>
      <w:r w:rsidR="007D7099" w:rsidRPr="0058432E">
        <w:rPr>
          <w:color w:val="000000" w:themeColor="text1"/>
        </w:rPr>
        <w:t xml:space="preserve">médicaments </w:t>
      </w:r>
      <w:r w:rsidRPr="0058432E">
        <w:rPr>
          <w:color w:val="000000" w:themeColor="text1"/>
        </w:rPr>
        <w:t xml:space="preserve">ne fonctionnent pas assez bien, on vous prescrira Amsparity pour traiter votre polyarthrite rhumatoïde. </w:t>
      </w:r>
    </w:p>
    <w:p w14:paraId="380AB1AE" w14:textId="77777777" w:rsidR="00C46587" w:rsidRPr="0058432E" w:rsidRDefault="00C46587" w:rsidP="00982118">
      <w:pPr>
        <w:rPr>
          <w:color w:val="000000" w:themeColor="text1"/>
        </w:rPr>
      </w:pPr>
    </w:p>
    <w:p w14:paraId="0D4F2EBD" w14:textId="77777777" w:rsidR="00C46587" w:rsidRPr="0058432E" w:rsidRDefault="006A1144" w:rsidP="00982118">
      <w:pPr>
        <w:rPr>
          <w:color w:val="000000" w:themeColor="text1"/>
        </w:rPr>
      </w:pPr>
      <w:r w:rsidRPr="0058432E">
        <w:rPr>
          <w:color w:val="000000" w:themeColor="text1"/>
        </w:rPr>
        <w:t xml:space="preserve">Amsparity peut aussi être utilisé pour traiter la polyarthrite sévère, active et évolutive non traitée préalablement par le méthotrexate. </w:t>
      </w:r>
    </w:p>
    <w:p w14:paraId="31C0C9ED" w14:textId="77777777" w:rsidR="00C46587" w:rsidRPr="0058432E" w:rsidRDefault="00C46587" w:rsidP="00982118">
      <w:pPr>
        <w:rPr>
          <w:color w:val="000000" w:themeColor="text1"/>
        </w:rPr>
      </w:pPr>
    </w:p>
    <w:p w14:paraId="4C0F4497" w14:textId="77777777" w:rsidR="00C46587" w:rsidRPr="0058432E" w:rsidRDefault="006A1144" w:rsidP="00982118">
      <w:pPr>
        <w:rPr>
          <w:color w:val="000000" w:themeColor="text1"/>
        </w:rPr>
      </w:pPr>
      <w:r w:rsidRPr="0058432E">
        <w:rPr>
          <w:color w:val="000000" w:themeColor="text1"/>
        </w:rPr>
        <w:t xml:space="preserve">Amsparity peut ralentir les altérations du cartilage et de l’os des articulations dues à la maladie et améliorer les capacités fonctionnelles. </w:t>
      </w:r>
    </w:p>
    <w:p w14:paraId="00C7373E" w14:textId="77777777" w:rsidR="00C46587" w:rsidRPr="0058432E" w:rsidRDefault="00C46587" w:rsidP="00982118">
      <w:pPr>
        <w:rPr>
          <w:color w:val="000000" w:themeColor="text1"/>
        </w:rPr>
      </w:pPr>
    </w:p>
    <w:p w14:paraId="759EE597" w14:textId="77777777" w:rsidR="00C46587" w:rsidRPr="0058432E" w:rsidRDefault="00C46587" w:rsidP="00982118">
      <w:pPr>
        <w:rPr>
          <w:color w:val="000000" w:themeColor="text1"/>
        </w:rPr>
      </w:pPr>
      <w:r w:rsidRPr="0058432E">
        <w:rPr>
          <w:color w:val="000000" w:themeColor="text1"/>
        </w:rPr>
        <w:t xml:space="preserve">Habituellement, Amsparity est utilisé avec le méthotrexate. Si votre médecin décide que le méthotrexate est inapproprié, Amsparity peut être donné seul. </w:t>
      </w:r>
    </w:p>
    <w:p w14:paraId="6BDAC82B" w14:textId="77777777" w:rsidR="00C46587" w:rsidRPr="0058432E" w:rsidRDefault="00C46587" w:rsidP="00982118">
      <w:pPr>
        <w:rPr>
          <w:color w:val="000000" w:themeColor="text1"/>
        </w:rPr>
      </w:pPr>
    </w:p>
    <w:p w14:paraId="433DF7CE" w14:textId="77777777" w:rsidR="00C46587" w:rsidRPr="0058432E" w:rsidRDefault="00C46587" w:rsidP="00982118">
      <w:pPr>
        <w:rPr>
          <w:color w:val="000000" w:themeColor="text1"/>
        </w:rPr>
      </w:pPr>
      <w:r w:rsidRPr="0058432E">
        <w:rPr>
          <w:color w:val="000000" w:themeColor="text1"/>
          <w:u w:val="single"/>
        </w:rPr>
        <w:t xml:space="preserve">Arthrite juvénile idiopathique polyarticulaire </w:t>
      </w:r>
    </w:p>
    <w:p w14:paraId="3B58801D" w14:textId="77777777" w:rsidR="00FC32E1" w:rsidRPr="0058432E" w:rsidRDefault="00FC32E1" w:rsidP="00982118">
      <w:pPr>
        <w:rPr>
          <w:color w:val="000000" w:themeColor="text1"/>
        </w:rPr>
      </w:pPr>
    </w:p>
    <w:p w14:paraId="4D37B00D" w14:textId="77777777" w:rsidR="00C46587" w:rsidRPr="0058432E" w:rsidRDefault="00C46587" w:rsidP="00982118">
      <w:pPr>
        <w:rPr>
          <w:color w:val="000000" w:themeColor="text1"/>
        </w:rPr>
      </w:pPr>
      <w:r w:rsidRPr="0058432E">
        <w:rPr>
          <w:color w:val="000000" w:themeColor="text1"/>
        </w:rPr>
        <w:t xml:space="preserve">L’arthrite juvénile idiopathique polyarticulaire </w:t>
      </w:r>
      <w:r w:rsidR="00C22058" w:rsidRPr="0058432E">
        <w:rPr>
          <w:color w:val="000000" w:themeColor="text1"/>
        </w:rPr>
        <w:t>est une</w:t>
      </w:r>
      <w:r w:rsidR="00411DFE" w:rsidRPr="0058432E">
        <w:rPr>
          <w:color w:val="000000" w:themeColor="text1"/>
        </w:rPr>
        <w:t xml:space="preserve"> </w:t>
      </w:r>
      <w:r w:rsidR="001D4E35" w:rsidRPr="0058432E">
        <w:rPr>
          <w:color w:val="000000" w:themeColor="text1"/>
        </w:rPr>
        <w:t>maladie inflammatoire</w:t>
      </w:r>
      <w:r w:rsidRPr="0058432E">
        <w:rPr>
          <w:color w:val="000000" w:themeColor="text1"/>
        </w:rPr>
        <w:t xml:space="preserve"> des articulations qui </w:t>
      </w:r>
      <w:r w:rsidR="009C4465" w:rsidRPr="0058432E">
        <w:rPr>
          <w:color w:val="000000" w:themeColor="text1"/>
        </w:rPr>
        <w:t>apparaît</w:t>
      </w:r>
      <w:r w:rsidRPr="0058432E">
        <w:rPr>
          <w:color w:val="000000" w:themeColor="text1"/>
        </w:rPr>
        <w:t xml:space="preserve"> habituellement d’abord dans l’enfance. </w:t>
      </w:r>
    </w:p>
    <w:p w14:paraId="6C69C28E" w14:textId="77777777" w:rsidR="00C46587" w:rsidRPr="0058432E" w:rsidRDefault="00C46587" w:rsidP="00982118">
      <w:pPr>
        <w:rPr>
          <w:color w:val="000000" w:themeColor="text1"/>
        </w:rPr>
      </w:pPr>
    </w:p>
    <w:p w14:paraId="3059A7A4" w14:textId="77777777" w:rsidR="00DE5791" w:rsidRPr="0058432E" w:rsidRDefault="006A1144" w:rsidP="00034455">
      <w:pPr>
        <w:rPr>
          <w:color w:val="000000" w:themeColor="text1"/>
        </w:rPr>
      </w:pPr>
      <w:r w:rsidRPr="0058432E">
        <w:rPr>
          <w:color w:val="000000" w:themeColor="text1"/>
        </w:rPr>
        <w:t xml:space="preserve">Amsparity est utilisé pour traiter l’arthrite juvénile idiopathique polyarticulaire chez </w:t>
      </w:r>
      <w:r w:rsidR="00D970FF" w:rsidRPr="0058432E">
        <w:rPr>
          <w:color w:val="000000" w:themeColor="text1"/>
        </w:rPr>
        <w:t xml:space="preserve">les enfants </w:t>
      </w:r>
      <w:r w:rsidRPr="0058432E">
        <w:rPr>
          <w:color w:val="000000" w:themeColor="text1"/>
        </w:rPr>
        <w:t>et l</w:t>
      </w:r>
      <w:r w:rsidR="00D970FF" w:rsidRPr="0058432E">
        <w:rPr>
          <w:color w:val="000000" w:themeColor="text1"/>
        </w:rPr>
        <w:t xml:space="preserve">es </w:t>
      </w:r>
      <w:r w:rsidRPr="0058432E">
        <w:rPr>
          <w:color w:val="000000" w:themeColor="text1"/>
        </w:rPr>
        <w:t>adolescent</w:t>
      </w:r>
      <w:r w:rsidR="00D970FF" w:rsidRPr="0058432E">
        <w:rPr>
          <w:color w:val="000000" w:themeColor="text1"/>
        </w:rPr>
        <w:t>s</w:t>
      </w:r>
      <w:r w:rsidRPr="0058432E">
        <w:rPr>
          <w:color w:val="000000" w:themeColor="text1"/>
        </w:rPr>
        <w:t xml:space="preserve"> </w:t>
      </w:r>
      <w:r w:rsidR="007D7099" w:rsidRPr="0058432E">
        <w:rPr>
          <w:color w:val="000000" w:themeColor="text1"/>
        </w:rPr>
        <w:t>âgé</w:t>
      </w:r>
      <w:r w:rsidR="00D970FF" w:rsidRPr="0058432E">
        <w:rPr>
          <w:color w:val="000000" w:themeColor="text1"/>
        </w:rPr>
        <w:t>s</w:t>
      </w:r>
      <w:r w:rsidR="007D7099" w:rsidRPr="0058432E">
        <w:rPr>
          <w:color w:val="000000" w:themeColor="text1"/>
        </w:rPr>
        <w:t xml:space="preserve"> </w:t>
      </w:r>
      <w:r w:rsidRPr="0058432E">
        <w:rPr>
          <w:color w:val="000000" w:themeColor="text1"/>
        </w:rPr>
        <w:t>de 2 à 17</w:t>
      </w:r>
      <w:r w:rsidR="00E82F97" w:rsidRPr="0058432E">
        <w:rPr>
          <w:color w:val="000000" w:themeColor="text1"/>
        </w:rPr>
        <w:t xml:space="preserve"> ans.</w:t>
      </w:r>
      <w:r w:rsidRPr="0058432E">
        <w:rPr>
          <w:color w:val="000000" w:themeColor="text1"/>
        </w:rPr>
        <w:t xml:space="preserve"> On pourra d’abord prescrire aux patients des médicaments de fond tels que du méthotrexate. Si ces </w:t>
      </w:r>
      <w:r w:rsidR="007D7099" w:rsidRPr="0058432E">
        <w:rPr>
          <w:color w:val="000000" w:themeColor="text1"/>
        </w:rPr>
        <w:t xml:space="preserve">médicaments </w:t>
      </w:r>
      <w:r w:rsidRPr="0058432E">
        <w:rPr>
          <w:color w:val="000000" w:themeColor="text1"/>
        </w:rPr>
        <w:t>ne fonctionnent pas assez bien, les patients peuvent recevoir Amsparity pour traiter leur arthrite juvénile idiopathique polyarticulaire.</w:t>
      </w:r>
    </w:p>
    <w:p w14:paraId="7A810156" w14:textId="77777777" w:rsidR="00FC32E1" w:rsidRPr="0058432E" w:rsidRDefault="00FC32E1" w:rsidP="00034455">
      <w:pPr>
        <w:rPr>
          <w:color w:val="000000" w:themeColor="text1"/>
          <w:u w:val="single"/>
        </w:rPr>
      </w:pPr>
    </w:p>
    <w:p w14:paraId="421D3A60" w14:textId="77777777" w:rsidR="00034455" w:rsidRPr="0058432E" w:rsidRDefault="00034455" w:rsidP="00034455">
      <w:pPr>
        <w:rPr>
          <w:color w:val="000000" w:themeColor="text1"/>
          <w:u w:val="single"/>
        </w:rPr>
      </w:pPr>
      <w:r w:rsidRPr="0058432E">
        <w:rPr>
          <w:color w:val="000000" w:themeColor="text1"/>
          <w:u w:val="single"/>
        </w:rPr>
        <w:t xml:space="preserve">Arthrite liée à l'enthésite </w:t>
      </w:r>
      <w:r w:rsidR="00DE5791" w:rsidRPr="0058432E">
        <w:rPr>
          <w:color w:val="000000" w:themeColor="text1"/>
          <w:u w:val="single"/>
        </w:rPr>
        <w:t>chez l’enfant et l’adolescent</w:t>
      </w:r>
    </w:p>
    <w:p w14:paraId="765551B5" w14:textId="77777777" w:rsidR="00034455" w:rsidRPr="0058432E" w:rsidRDefault="00034455" w:rsidP="00034455">
      <w:pPr>
        <w:rPr>
          <w:color w:val="000000" w:themeColor="text1"/>
        </w:rPr>
      </w:pPr>
    </w:p>
    <w:p w14:paraId="422C8EFB" w14:textId="77777777" w:rsidR="00034455" w:rsidRPr="0058432E" w:rsidRDefault="00034455" w:rsidP="00034455">
      <w:pPr>
        <w:rPr>
          <w:color w:val="000000" w:themeColor="text1"/>
        </w:rPr>
      </w:pPr>
      <w:r w:rsidRPr="0058432E">
        <w:rPr>
          <w:color w:val="000000" w:themeColor="text1"/>
        </w:rPr>
        <w:t>L’arthrite liée à l’enthésite pédiatrique est une maladie inflammatoire des articulations et des points d’attache entre les tendons et les os.</w:t>
      </w:r>
    </w:p>
    <w:p w14:paraId="42760155" w14:textId="77777777" w:rsidR="00034455" w:rsidRPr="0058432E" w:rsidRDefault="00034455" w:rsidP="00034455">
      <w:pPr>
        <w:rPr>
          <w:color w:val="000000" w:themeColor="text1"/>
        </w:rPr>
      </w:pPr>
    </w:p>
    <w:p w14:paraId="441E0507" w14:textId="77777777" w:rsidR="00C46587" w:rsidRPr="0058432E" w:rsidRDefault="00034455" w:rsidP="00034455">
      <w:pPr>
        <w:rPr>
          <w:color w:val="000000" w:themeColor="text1"/>
        </w:rPr>
      </w:pPr>
      <w:r w:rsidRPr="0058432E">
        <w:rPr>
          <w:color w:val="000000" w:themeColor="text1"/>
        </w:rPr>
        <w:t xml:space="preserve">Amsparity est utilisé pour traiter l’arthrite liée à l’enthésite chez les </w:t>
      </w:r>
      <w:r w:rsidR="00D970FF" w:rsidRPr="0058432E">
        <w:rPr>
          <w:color w:val="000000" w:themeColor="text1"/>
        </w:rPr>
        <w:t>enfants et les adolescents âgés</w:t>
      </w:r>
      <w:r w:rsidRPr="0058432E">
        <w:rPr>
          <w:color w:val="000000" w:themeColor="text1"/>
        </w:rPr>
        <w:t xml:space="preserve"> de 6 à 17 ans. </w:t>
      </w:r>
      <w:r w:rsidR="00D970FF" w:rsidRPr="0058432E">
        <w:rPr>
          <w:color w:val="000000" w:themeColor="text1"/>
        </w:rPr>
        <w:t xml:space="preserve">Les patients </w:t>
      </w:r>
      <w:r w:rsidRPr="0058432E">
        <w:rPr>
          <w:color w:val="000000" w:themeColor="text1"/>
        </w:rPr>
        <w:t>peu</w:t>
      </w:r>
      <w:r w:rsidR="00D970FF" w:rsidRPr="0058432E">
        <w:rPr>
          <w:color w:val="000000" w:themeColor="text1"/>
        </w:rPr>
        <w:t>ven</w:t>
      </w:r>
      <w:r w:rsidRPr="0058432E">
        <w:rPr>
          <w:color w:val="000000" w:themeColor="text1"/>
        </w:rPr>
        <w:t xml:space="preserve">t d’abord recevoir d’autres traitements de fond tels que du méthotrexate. Si ces </w:t>
      </w:r>
      <w:r w:rsidR="00D970FF" w:rsidRPr="0058432E">
        <w:rPr>
          <w:color w:val="000000" w:themeColor="text1"/>
        </w:rPr>
        <w:t>médicaments</w:t>
      </w:r>
      <w:r w:rsidRPr="0058432E">
        <w:rPr>
          <w:color w:val="000000" w:themeColor="text1"/>
        </w:rPr>
        <w:t xml:space="preserve"> ne fonctionnent pas assez bien, </w:t>
      </w:r>
      <w:r w:rsidR="00D970FF" w:rsidRPr="0058432E">
        <w:rPr>
          <w:color w:val="000000" w:themeColor="text1"/>
        </w:rPr>
        <w:t>les patients</w:t>
      </w:r>
      <w:r w:rsidRPr="0058432E">
        <w:rPr>
          <w:color w:val="000000" w:themeColor="text1"/>
        </w:rPr>
        <w:t xml:space="preserve"> peu</w:t>
      </w:r>
      <w:r w:rsidR="00D970FF" w:rsidRPr="0058432E">
        <w:rPr>
          <w:color w:val="000000" w:themeColor="text1"/>
        </w:rPr>
        <w:t>ven</w:t>
      </w:r>
      <w:r w:rsidRPr="0058432E">
        <w:rPr>
          <w:color w:val="000000" w:themeColor="text1"/>
        </w:rPr>
        <w:t xml:space="preserve">t recevoir Amsparity pour traiter </w:t>
      </w:r>
      <w:r w:rsidR="00D970FF" w:rsidRPr="0058432E">
        <w:rPr>
          <w:color w:val="000000" w:themeColor="text1"/>
        </w:rPr>
        <w:t>leur</w:t>
      </w:r>
      <w:r w:rsidRPr="0058432E">
        <w:rPr>
          <w:color w:val="000000" w:themeColor="text1"/>
        </w:rPr>
        <w:t xml:space="preserve"> arthrite liée à l’enthésite</w:t>
      </w:r>
      <w:r w:rsidR="00FC32E1" w:rsidRPr="0058432E">
        <w:rPr>
          <w:color w:val="000000" w:themeColor="text1"/>
        </w:rPr>
        <w:t>.</w:t>
      </w:r>
    </w:p>
    <w:p w14:paraId="4EB3ADA4" w14:textId="77777777" w:rsidR="00034455" w:rsidRPr="0058432E" w:rsidRDefault="00034455" w:rsidP="00034455">
      <w:pPr>
        <w:rPr>
          <w:color w:val="000000" w:themeColor="text1"/>
        </w:rPr>
      </w:pPr>
    </w:p>
    <w:p w14:paraId="5E194D16" w14:textId="77777777" w:rsidR="00C46587" w:rsidRPr="0058432E" w:rsidRDefault="00C46587" w:rsidP="00982118">
      <w:pPr>
        <w:rPr>
          <w:color w:val="000000" w:themeColor="text1"/>
          <w:u w:val="single"/>
        </w:rPr>
      </w:pPr>
      <w:r w:rsidRPr="0058432E">
        <w:rPr>
          <w:color w:val="000000" w:themeColor="text1"/>
          <w:u w:val="single"/>
        </w:rPr>
        <w:t>Spondylarthrite ankylosante et spondyl</w:t>
      </w:r>
      <w:r w:rsidR="009D048D" w:rsidRPr="0058432E">
        <w:rPr>
          <w:color w:val="000000" w:themeColor="text1"/>
          <w:u w:val="single"/>
        </w:rPr>
        <w:t>o</w:t>
      </w:r>
      <w:r w:rsidRPr="0058432E">
        <w:rPr>
          <w:color w:val="000000" w:themeColor="text1"/>
          <w:u w:val="single"/>
        </w:rPr>
        <w:t xml:space="preserve">arthrite axiale sans signes radiographiques de spondylarthrite ankylosante </w:t>
      </w:r>
    </w:p>
    <w:p w14:paraId="0BAF1D09" w14:textId="77777777" w:rsidR="00C46587" w:rsidRPr="0058432E" w:rsidRDefault="00C46587" w:rsidP="00982118">
      <w:pPr>
        <w:rPr>
          <w:color w:val="000000" w:themeColor="text1"/>
        </w:rPr>
      </w:pPr>
    </w:p>
    <w:p w14:paraId="57F9A627" w14:textId="77777777" w:rsidR="00C46587" w:rsidRPr="0058432E" w:rsidRDefault="00C46587" w:rsidP="00982118">
      <w:pPr>
        <w:rPr>
          <w:color w:val="000000" w:themeColor="text1"/>
        </w:rPr>
      </w:pPr>
      <w:r w:rsidRPr="0058432E">
        <w:rPr>
          <w:color w:val="000000" w:themeColor="text1"/>
        </w:rPr>
        <w:t>La spondylarthrite ankylosante et la spondyl</w:t>
      </w:r>
      <w:r w:rsidR="009D048D" w:rsidRPr="0058432E">
        <w:rPr>
          <w:color w:val="000000" w:themeColor="text1"/>
        </w:rPr>
        <w:t>o</w:t>
      </w:r>
      <w:r w:rsidRPr="0058432E">
        <w:rPr>
          <w:color w:val="000000" w:themeColor="text1"/>
        </w:rPr>
        <w:t xml:space="preserve">arthrite axiale sans signes radiographiques de spondylarthrite ankylosante sont des maladies inflammatoires de la colonne vertébrale. </w:t>
      </w:r>
    </w:p>
    <w:p w14:paraId="1F6815BD" w14:textId="77777777" w:rsidR="00C46587" w:rsidRPr="0058432E" w:rsidRDefault="00C46587" w:rsidP="00982118">
      <w:pPr>
        <w:rPr>
          <w:color w:val="000000" w:themeColor="text1"/>
        </w:rPr>
      </w:pPr>
    </w:p>
    <w:p w14:paraId="7716B8E4" w14:textId="77777777" w:rsidR="00C46587" w:rsidRPr="0058432E" w:rsidRDefault="00FA79CB" w:rsidP="00982118">
      <w:pPr>
        <w:rPr>
          <w:color w:val="000000" w:themeColor="text1"/>
        </w:rPr>
      </w:pPr>
      <w:r w:rsidRPr="0058432E">
        <w:rPr>
          <w:color w:val="000000" w:themeColor="text1"/>
        </w:rPr>
        <w:t>Amsparity est utilisé chez les adultes pour traiter ces maladies. Si vous avez une spondylarthrite ankylosante ou une spondyl</w:t>
      </w:r>
      <w:r w:rsidR="009D048D" w:rsidRPr="0058432E">
        <w:rPr>
          <w:color w:val="000000" w:themeColor="text1"/>
        </w:rPr>
        <w:t>o</w:t>
      </w:r>
      <w:r w:rsidRPr="0058432E">
        <w:rPr>
          <w:color w:val="000000" w:themeColor="text1"/>
        </w:rPr>
        <w:t xml:space="preserve">arthrite axiale sans signes radiographiques de spondylarthrite ankylosante, on vous prescrira d’abord d’autres médicaments. Si ces </w:t>
      </w:r>
      <w:r w:rsidR="00CB6495" w:rsidRPr="0058432E">
        <w:rPr>
          <w:color w:val="000000" w:themeColor="text1"/>
        </w:rPr>
        <w:t xml:space="preserve">médicaments </w:t>
      </w:r>
      <w:r w:rsidRPr="0058432E">
        <w:rPr>
          <w:color w:val="000000" w:themeColor="text1"/>
        </w:rPr>
        <w:t xml:space="preserve">ne fonctionnent pas assez bien, vous pourrez recevoir Amsparity pour réduire les signes et symptômes de votre maladie. </w:t>
      </w:r>
    </w:p>
    <w:p w14:paraId="3DBFFCBD" w14:textId="77777777" w:rsidR="00C46587" w:rsidRPr="0058432E" w:rsidRDefault="00C46587" w:rsidP="00982118">
      <w:pPr>
        <w:rPr>
          <w:color w:val="000000" w:themeColor="text1"/>
        </w:rPr>
      </w:pPr>
    </w:p>
    <w:p w14:paraId="094FA685" w14:textId="77777777" w:rsidR="00C46587" w:rsidRPr="0058432E" w:rsidRDefault="00C46587" w:rsidP="00982118">
      <w:pPr>
        <w:rPr>
          <w:color w:val="000000" w:themeColor="text1"/>
          <w:u w:val="single"/>
        </w:rPr>
      </w:pPr>
      <w:r w:rsidRPr="0058432E">
        <w:rPr>
          <w:color w:val="000000" w:themeColor="text1"/>
          <w:u w:val="single"/>
        </w:rPr>
        <w:t xml:space="preserve">Rhumatisme psoriasique </w:t>
      </w:r>
    </w:p>
    <w:p w14:paraId="4FB3F736" w14:textId="77777777" w:rsidR="00C46587" w:rsidRPr="0058432E" w:rsidRDefault="00C46587" w:rsidP="00982118">
      <w:pPr>
        <w:rPr>
          <w:color w:val="000000" w:themeColor="text1"/>
        </w:rPr>
      </w:pPr>
    </w:p>
    <w:p w14:paraId="461FA39D" w14:textId="77777777" w:rsidR="00C46587" w:rsidRPr="0058432E" w:rsidRDefault="00C46587" w:rsidP="00982118">
      <w:pPr>
        <w:rPr>
          <w:color w:val="000000" w:themeColor="text1"/>
        </w:rPr>
      </w:pPr>
      <w:r w:rsidRPr="0058432E">
        <w:rPr>
          <w:color w:val="000000" w:themeColor="text1"/>
        </w:rPr>
        <w:lastRenderedPageBreak/>
        <w:t xml:space="preserve">Le rhumatisme psoriasique est une inflammation des articulations associée au psoriasis. </w:t>
      </w:r>
    </w:p>
    <w:p w14:paraId="46D4A570" w14:textId="77777777" w:rsidR="00C46587" w:rsidRPr="0058432E" w:rsidRDefault="00C46587" w:rsidP="00982118">
      <w:pPr>
        <w:rPr>
          <w:color w:val="000000" w:themeColor="text1"/>
        </w:rPr>
      </w:pPr>
    </w:p>
    <w:p w14:paraId="66DB86A3" w14:textId="77777777" w:rsidR="00C46587" w:rsidRPr="0058432E" w:rsidRDefault="006A1144" w:rsidP="00982118">
      <w:pPr>
        <w:rPr>
          <w:color w:val="000000" w:themeColor="text1"/>
        </w:rPr>
      </w:pPr>
      <w:r w:rsidRPr="0058432E">
        <w:rPr>
          <w:color w:val="000000" w:themeColor="text1"/>
        </w:rPr>
        <w:t xml:space="preserve">Amsparity est utilisé pour traiter le rhumatisme psoriasique chez l’adulte. Amsparity peut ralentir les altérations du cartilage et de l’os des articulations dues à la maladie et améliorer les capacités fonctionnelles. </w:t>
      </w:r>
    </w:p>
    <w:p w14:paraId="0EC909F6" w14:textId="77777777" w:rsidR="00C46587" w:rsidRPr="0058432E" w:rsidRDefault="00C46587" w:rsidP="00982118">
      <w:pPr>
        <w:rPr>
          <w:color w:val="000000" w:themeColor="text1"/>
        </w:rPr>
      </w:pPr>
    </w:p>
    <w:p w14:paraId="518FE7AD" w14:textId="77777777" w:rsidR="00C46587" w:rsidRPr="0058432E" w:rsidRDefault="00C46587" w:rsidP="00982118">
      <w:pPr>
        <w:keepNext/>
        <w:rPr>
          <w:color w:val="000000" w:themeColor="text1"/>
          <w:u w:val="single"/>
        </w:rPr>
      </w:pPr>
      <w:r w:rsidRPr="0058432E">
        <w:rPr>
          <w:color w:val="000000" w:themeColor="text1"/>
          <w:u w:val="single"/>
        </w:rPr>
        <w:t xml:space="preserve">Psoriasis en plaques chez l’adulte et l’enfant </w:t>
      </w:r>
    </w:p>
    <w:p w14:paraId="18B7B25D" w14:textId="77777777" w:rsidR="00C46587" w:rsidRPr="0058432E" w:rsidRDefault="00C46587" w:rsidP="00982118">
      <w:pPr>
        <w:keepNext/>
        <w:rPr>
          <w:color w:val="000000" w:themeColor="text1"/>
        </w:rPr>
      </w:pPr>
    </w:p>
    <w:p w14:paraId="5A425D72" w14:textId="77777777" w:rsidR="00C46587" w:rsidRPr="0058432E" w:rsidRDefault="00C46587" w:rsidP="00982118">
      <w:pPr>
        <w:keepNext/>
        <w:rPr>
          <w:color w:val="000000" w:themeColor="text1"/>
        </w:rPr>
      </w:pPr>
      <w:r w:rsidRPr="0058432E">
        <w:rPr>
          <w:color w:val="000000" w:themeColor="text1"/>
        </w:rPr>
        <w:t>Le psoriasis en plaques est une maladie de peau inflammatoire qui provoque la formation de plaques squameuses rouges croûteuses couvertes d</w:t>
      </w:r>
      <w:r w:rsidR="00FC32E1" w:rsidRPr="0058432E">
        <w:rPr>
          <w:color w:val="000000" w:themeColor="text1"/>
        </w:rPr>
        <w:t>’</w:t>
      </w:r>
      <w:r w:rsidR="003B1D2A" w:rsidRPr="0058432E">
        <w:rPr>
          <w:color w:val="000000" w:themeColor="text1"/>
        </w:rPr>
        <w:t>écailles</w:t>
      </w:r>
      <w:r w:rsidRPr="0058432E">
        <w:rPr>
          <w:color w:val="000000" w:themeColor="text1"/>
        </w:rPr>
        <w:t xml:space="preserve"> argentées. Le psoriasis en plaques peut aussi toucher les ongles, entrainant leur effritement, leur épaississement et leur décollement du lit de l’ongle, ce qui peut être douloureux. On pense que le psoriasis est causé par un dérèglement du système immunitaire de l’organisme qui entraîne une augmentation de la production de cellules cutanées. </w:t>
      </w:r>
    </w:p>
    <w:p w14:paraId="3F07B914" w14:textId="77777777" w:rsidR="00C46587" w:rsidRPr="0058432E" w:rsidRDefault="00C46587" w:rsidP="00982118">
      <w:pPr>
        <w:rPr>
          <w:color w:val="000000" w:themeColor="text1"/>
        </w:rPr>
      </w:pPr>
    </w:p>
    <w:p w14:paraId="265405DD" w14:textId="77777777" w:rsidR="00C46587" w:rsidRPr="0058432E" w:rsidRDefault="006A1144" w:rsidP="00982118">
      <w:pPr>
        <w:rPr>
          <w:color w:val="000000" w:themeColor="text1"/>
        </w:rPr>
      </w:pPr>
      <w:r w:rsidRPr="0058432E">
        <w:rPr>
          <w:color w:val="000000" w:themeColor="text1"/>
        </w:rPr>
        <w:t xml:space="preserve">Amsparity est utilisé pour traiter le psoriasis en plaques modéré à sévère chez l’adulte. Amsparity est également utilisé pour traiter le psoriasis en plaques sévère chez les enfants et adolescents âgés de 4 à 17 ans pour lesquels un traitement topique et les photothérapies n’ont pas été assez efficaces ou ne sont pas adaptés. </w:t>
      </w:r>
    </w:p>
    <w:p w14:paraId="0071C1B6" w14:textId="77777777" w:rsidR="00C46587" w:rsidRPr="0058432E" w:rsidRDefault="00C46587" w:rsidP="00982118">
      <w:pPr>
        <w:rPr>
          <w:color w:val="000000" w:themeColor="text1"/>
        </w:rPr>
      </w:pPr>
    </w:p>
    <w:p w14:paraId="27210F1A" w14:textId="77777777" w:rsidR="008E27D6" w:rsidRPr="0058432E" w:rsidRDefault="008E27D6" w:rsidP="00982118">
      <w:pPr>
        <w:keepNext/>
        <w:rPr>
          <w:color w:val="000000" w:themeColor="text1"/>
          <w:u w:val="single"/>
        </w:rPr>
      </w:pPr>
      <w:r w:rsidRPr="0058432E">
        <w:rPr>
          <w:color w:val="000000" w:themeColor="text1"/>
          <w:u w:val="single"/>
        </w:rPr>
        <w:t xml:space="preserve">Hidrosadénite suppurée chez l’adulte et l’adolescent </w:t>
      </w:r>
    </w:p>
    <w:p w14:paraId="3A4D23D3" w14:textId="77777777" w:rsidR="008E27D6" w:rsidRPr="0058432E" w:rsidRDefault="008E27D6" w:rsidP="00982118">
      <w:pPr>
        <w:keepNext/>
        <w:rPr>
          <w:color w:val="000000" w:themeColor="text1"/>
        </w:rPr>
      </w:pPr>
    </w:p>
    <w:p w14:paraId="3C6430A7" w14:textId="77777777" w:rsidR="008E27D6" w:rsidRPr="0058432E" w:rsidRDefault="008E27D6" w:rsidP="00982118">
      <w:pPr>
        <w:rPr>
          <w:color w:val="000000" w:themeColor="text1"/>
        </w:rPr>
      </w:pPr>
      <w:r w:rsidRPr="0058432E">
        <w:rPr>
          <w:color w:val="000000" w:themeColor="text1"/>
        </w:rPr>
        <w:t>L’hidrosadénite suppurée (également appelée maladie de Verneuil</w:t>
      </w:r>
      <w:r w:rsidR="00DF2180" w:rsidRPr="0058432E">
        <w:rPr>
          <w:color w:val="000000" w:themeColor="text1"/>
        </w:rPr>
        <w:t>, acné inverse</w:t>
      </w:r>
      <w:r w:rsidRPr="0058432E">
        <w:rPr>
          <w:color w:val="000000" w:themeColor="text1"/>
        </w:rPr>
        <w:t>) est une maladie inflammatoire</w:t>
      </w:r>
      <w:r w:rsidR="00B42EC9" w:rsidRPr="0058432E">
        <w:rPr>
          <w:color w:val="000000" w:themeColor="text1"/>
        </w:rPr>
        <w:t xml:space="preserve"> chronique</w:t>
      </w:r>
      <w:r w:rsidRPr="0058432E">
        <w:rPr>
          <w:color w:val="000000" w:themeColor="text1"/>
        </w:rPr>
        <w:t xml:space="preserve"> de la peau, souvent douloureuse. Les symptômes peuvent inclure des nodules sensibles (bosses) et des abcès (furoncles) avec éventuellement écoulement de pus. Elle touche le plus souvent des zones spécifiques de la peau, telles que les plis sous les seins, les aisselles, l’intérieur des cuisses, l’aine et les fesses. Des cicatrices peuvent également apparaître sur les zones concernées. </w:t>
      </w:r>
    </w:p>
    <w:p w14:paraId="6AAB547A" w14:textId="77777777" w:rsidR="008E27D6" w:rsidRPr="0058432E" w:rsidRDefault="008E27D6" w:rsidP="00982118">
      <w:pPr>
        <w:rPr>
          <w:color w:val="000000" w:themeColor="text1"/>
        </w:rPr>
      </w:pPr>
    </w:p>
    <w:p w14:paraId="49D4B60B" w14:textId="77777777" w:rsidR="008E27D6" w:rsidRPr="0058432E" w:rsidRDefault="006A1144" w:rsidP="00982118">
      <w:pPr>
        <w:rPr>
          <w:color w:val="000000" w:themeColor="text1"/>
        </w:rPr>
      </w:pPr>
      <w:r w:rsidRPr="0058432E">
        <w:rPr>
          <w:color w:val="000000" w:themeColor="text1"/>
        </w:rPr>
        <w:t xml:space="preserve">Amsparity est utilisé pour traiter l’hidrosadénite suppurée chez l’adulte et l’adolescent à partir de 12 ans. Amsparity peut réduire le nombre de nodules et d’abcès que vous avez, et la douleur souvent associée à la maladie. D’autres médicaments pourront d’abord vous être prescrits. Si ces médicaments ne fonctionnent pas assez bien, Amsparity vous sera prescrit. </w:t>
      </w:r>
    </w:p>
    <w:p w14:paraId="0058A927" w14:textId="77777777" w:rsidR="008E27D6" w:rsidRPr="0058432E" w:rsidRDefault="008E27D6" w:rsidP="00982118">
      <w:pPr>
        <w:rPr>
          <w:color w:val="000000" w:themeColor="text1"/>
        </w:rPr>
      </w:pPr>
    </w:p>
    <w:p w14:paraId="645DF8E2" w14:textId="77777777" w:rsidR="008E27D6" w:rsidRPr="0058432E" w:rsidRDefault="008E27D6" w:rsidP="00982118">
      <w:pPr>
        <w:rPr>
          <w:color w:val="000000" w:themeColor="text1"/>
          <w:u w:val="single"/>
        </w:rPr>
      </w:pPr>
      <w:r w:rsidRPr="0058432E">
        <w:rPr>
          <w:color w:val="000000" w:themeColor="text1"/>
          <w:u w:val="single"/>
        </w:rPr>
        <w:t xml:space="preserve">Maladie de Crohn chez l’adulte et l’enfant </w:t>
      </w:r>
    </w:p>
    <w:p w14:paraId="0421ED65" w14:textId="77777777" w:rsidR="008E27D6" w:rsidRPr="0058432E" w:rsidRDefault="008E27D6" w:rsidP="00982118">
      <w:pPr>
        <w:rPr>
          <w:color w:val="000000" w:themeColor="text1"/>
        </w:rPr>
      </w:pPr>
    </w:p>
    <w:p w14:paraId="249CDDC9" w14:textId="77777777" w:rsidR="008E27D6" w:rsidRPr="0058432E" w:rsidRDefault="008E27D6" w:rsidP="00982118">
      <w:pPr>
        <w:rPr>
          <w:color w:val="000000" w:themeColor="text1"/>
        </w:rPr>
      </w:pPr>
      <w:r w:rsidRPr="0058432E">
        <w:rPr>
          <w:color w:val="000000" w:themeColor="text1"/>
        </w:rPr>
        <w:t xml:space="preserve">La maladie de Crohn est une maladie inflammatoire de l’intestin. </w:t>
      </w:r>
    </w:p>
    <w:p w14:paraId="30F5344C" w14:textId="77777777" w:rsidR="008E27D6" w:rsidRPr="0058432E" w:rsidRDefault="008E27D6" w:rsidP="00982118">
      <w:pPr>
        <w:rPr>
          <w:color w:val="000000" w:themeColor="text1"/>
        </w:rPr>
      </w:pPr>
    </w:p>
    <w:p w14:paraId="49E41E00" w14:textId="77777777" w:rsidR="00764B9A" w:rsidRPr="0058432E" w:rsidRDefault="006A1144" w:rsidP="00982118">
      <w:pPr>
        <w:rPr>
          <w:color w:val="000000" w:themeColor="text1"/>
        </w:rPr>
      </w:pPr>
      <w:r w:rsidRPr="0058432E">
        <w:rPr>
          <w:color w:val="000000" w:themeColor="text1"/>
        </w:rPr>
        <w:t xml:space="preserve">Amsparity est utilisé pour traiter la maladie de Crohn chez l’adulte et l’enfant de 6 à 17 ans. </w:t>
      </w:r>
    </w:p>
    <w:p w14:paraId="4F5FD066" w14:textId="77777777" w:rsidR="00764B9A" w:rsidRPr="0058432E" w:rsidRDefault="00764B9A" w:rsidP="00982118">
      <w:pPr>
        <w:rPr>
          <w:color w:val="000000" w:themeColor="text1"/>
        </w:rPr>
      </w:pPr>
    </w:p>
    <w:p w14:paraId="29CAB033" w14:textId="77777777" w:rsidR="008E27D6" w:rsidRPr="0058432E" w:rsidRDefault="008E27D6" w:rsidP="00982118">
      <w:pPr>
        <w:rPr>
          <w:color w:val="000000" w:themeColor="text1"/>
        </w:rPr>
      </w:pPr>
      <w:r w:rsidRPr="0058432E">
        <w:rPr>
          <w:color w:val="000000" w:themeColor="text1"/>
        </w:rPr>
        <w:t xml:space="preserve">Si vous êtes atteint de la maladie de Crohn, on vous prescrira d’abord d’autres médicaments. Si votre réponse à ces traitements n’est pas assez bonne, on vous prescrira Amsparity afin d’atténuer les signes et symptômes de votre maladie de Crohn. </w:t>
      </w:r>
    </w:p>
    <w:p w14:paraId="5FD65184" w14:textId="77777777" w:rsidR="008E27D6" w:rsidRPr="0058432E" w:rsidRDefault="008E27D6" w:rsidP="00982118">
      <w:pPr>
        <w:rPr>
          <w:color w:val="000000" w:themeColor="text1"/>
        </w:rPr>
      </w:pPr>
    </w:p>
    <w:p w14:paraId="3C022F9C" w14:textId="77777777" w:rsidR="008E27D6" w:rsidRPr="0058432E" w:rsidRDefault="008E27D6" w:rsidP="00982118">
      <w:pPr>
        <w:rPr>
          <w:color w:val="000000" w:themeColor="text1"/>
        </w:rPr>
      </w:pPr>
      <w:r w:rsidRPr="0058432E">
        <w:rPr>
          <w:color w:val="000000" w:themeColor="text1"/>
          <w:u w:val="single"/>
        </w:rPr>
        <w:t>Rectocolite hémorragique</w:t>
      </w:r>
      <w:r w:rsidR="00031465" w:rsidRPr="0058432E">
        <w:rPr>
          <w:color w:val="000000" w:themeColor="text1"/>
          <w:u w:val="single"/>
        </w:rPr>
        <w:t xml:space="preserve"> chez l’adulte et l’enfant</w:t>
      </w:r>
      <w:r w:rsidRPr="0058432E">
        <w:rPr>
          <w:color w:val="000000" w:themeColor="text1"/>
        </w:rPr>
        <w:t xml:space="preserve"> </w:t>
      </w:r>
    </w:p>
    <w:p w14:paraId="3AE95AC6" w14:textId="77777777" w:rsidR="008E27D6" w:rsidRPr="0058432E" w:rsidRDefault="008E27D6" w:rsidP="00982118">
      <w:pPr>
        <w:rPr>
          <w:color w:val="000000" w:themeColor="text1"/>
        </w:rPr>
      </w:pPr>
    </w:p>
    <w:p w14:paraId="254C355F" w14:textId="77777777" w:rsidR="00F30344" w:rsidRPr="0058432E" w:rsidRDefault="008E27D6" w:rsidP="00982118">
      <w:pPr>
        <w:rPr>
          <w:color w:val="000000" w:themeColor="text1"/>
        </w:rPr>
      </w:pPr>
      <w:r w:rsidRPr="0058432E">
        <w:rPr>
          <w:color w:val="000000" w:themeColor="text1"/>
        </w:rPr>
        <w:t xml:space="preserve">La rectocolite hémorragique est une maladie inflammatoire </w:t>
      </w:r>
      <w:r w:rsidR="00031465" w:rsidRPr="0058432E">
        <w:rPr>
          <w:color w:val="000000" w:themeColor="text1"/>
        </w:rPr>
        <w:t xml:space="preserve">du gros </w:t>
      </w:r>
      <w:r w:rsidRPr="0058432E">
        <w:rPr>
          <w:color w:val="000000" w:themeColor="text1"/>
        </w:rPr>
        <w:t xml:space="preserve">intestin. </w:t>
      </w:r>
    </w:p>
    <w:p w14:paraId="77A85660" w14:textId="77777777" w:rsidR="00F30344" w:rsidRPr="0058432E" w:rsidRDefault="00F30344" w:rsidP="00982118">
      <w:pPr>
        <w:rPr>
          <w:color w:val="000000" w:themeColor="text1"/>
        </w:rPr>
      </w:pPr>
    </w:p>
    <w:p w14:paraId="10068B0D" w14:textId="77777777" w:rsidR="008E27D6" w:rsidRPr="0058432E" w:rsidRDefault="006A1144" w:rsidP="00982118">
      <w:pPr>
        <w:rPr>
          <w:color w:val="000000" w:themeColor="text1"/>
        </w:rPr>
      </w:pPr>
      <w:r w:rsidRPr="0058432E">
        <w:rPr>
          <w:color w:val="000000" w:themeColor="text1"/>
        </w:rPr>
        <w:t xml:space="preserve">Amsparity est utilisé pour traiter la rectocolite hémorragique </w:t>
      </w:r>
      <w:r w:rsidR="00031465" w:rsidRPr="0058432E">
        <w:rPr>
          <w:color w:val="000000" w:themeColor="text1"/>
        </w:rPr>
        <w:t xml:space="preserve">modérée à sévère </w:t>
      </w:r>
      <w:r w:rsidRPr="0058432E">
        <w:rPr>
          <w:color w:val="000000" w:themeColor="text1"/>
        </w:rPr>
        <w:t>chez l</w:t>
      </w:r>
      <w:r w:rsidR="00031465" w:rsidRPr="0058432E">
        <w:rPr>
          <w:color w:val="000000" w:themeColor="text1"/>
        </w:rPr>
        <w:t xml:space="preserve">es </w:t>
      </w:r>
      <w:r w:rsidRPr="0058432E">
        <w:rPr>
          <w:color w:val="000000" w:themeColor="text1"/>
        </w:rPr>
        <w:t>adulte</w:t>
      </w:r>
      <w:r w:rsidR="00031465" w:rsidRPr="0058432E">
        <w:rPr>
          <w:color w:val="000000" w:themeColor="text1"/>
        </w:rPr>
        <w:t>s et les enfants âgés de 6 à 17 ans</w:t>
      </w:r>
      <w:r w:rsidRPr="0058432E">
        <w:rPr>
          <w:color w:val="000000" w:themeColor="text1"/>
        </w:rPr>
        <w:t xml:space="preserve">. Si vous souffrez de rectocolite hémorragique, on </w:t>
      </w:r>
      <w:r w:rsidR="00031465" w:rsidRPr="0058432E">
        <w:rPr>
          <w:color w:val="000000" w:themeColor="text1"/>
        </w:rPr>
        <w:t xml:space="preserve">pourra </w:t>
      </w:r>
      <w:r w:rsidRPr="0058432E">
        <w:rPr>
          <w:color w:val="000000" w:themeColor="text1"/>
        </w:rPr>
        <w:t xml:space="preserve">vous </w:t>
      </w:r>
      <w:r w:rsidR="00031465" w:rsidRPr="0058432E">
        <w:rPr>
          <w:color w:val="000000" w:themeColor="text1"/>
        </w:rPr>
        <w:t xml:space="preserve">prescrire </w:t>
      </w:r>
      <w:r w:rsidRPr="0058432E">
        <w:rPr>
          <w:color w:val="000000" w:themeColor="text1"/>
        </w:rPr>
        <w:t xml:space="preserve">d’abord d’autres médicaments. Si ces </w:t>
      </w:r>
      <w:r w:rsidR="00AB4F4F" w:rsidRPr="0058432E">
        <w:rPr>
          <w:color w:val="000000" w:themeColor="text1"/>
        </w:rPr>
        <w:t xml:space="preserve">médicaments </w:t>
      </w:r>
      <w:r w:rsidRPr="0058432E">
        <w:rPr>
          <w:color w:val="000000" w:themeColor="text1"/>
        </w:rPr>
        <w:t xml:space="preserve">ne fonctionnent pas assez bien, vous pourrez recevoir Amsparity pour réduire les signes et symptômes de votre maladie. </w:t>
      </w:r>
    </w:p>
    <w:p w14:paraId="66113408" w14:textId="77777777" w:rsidR="00C46587" w:rsidRPr="0058432E" w:rsidRDefault="00C46587" w:rsidP="00982118">
      <w:pPr>
        <w:rPr>
          <w:color w:val="000000" w:themeColor="text1"/>
        </w:rPr>
      </w:pPr>
    </w:p>
    <w:p w14:paraId="3D060D98" w14:textId="77777777" w:rsidR="00C46587" w:rsidRPr="0058432E" w:rsidRDefault="00C46587" w:rsidP="006B001C">
      <w:pPr>
        <w:keepNext/>
        <w:rPr>
          <w:color w:val="000000" w:themeColor="text1"/>
          <w:u w:val="single"/>
        </w:rPr>
      </w:pPr>
      <w:r w:rsidRPr="0058432E">
        <w:rPr>
          <w:color w:val="000000" w:themeColor="text1"/>
          <w:u w:val="single"/>
        </w:rPr>
        <w:t>Uvéite non infectieuse chez l’adulte et l’enfant</w:t>
      </w:r>
    </w:p>
    <w:p w14:paraId="2C444F45" w14:textId="77777777" w:rsidR="00C46587" w:rsidRPr="0058432E" w:rsidRDefault="00C46587" w:rsidP="006B001C">
      <w:pPr>
        <w:keepNext/>
        <w:rPr>
          <w:color w:val="000000" w:themeColor="text1"/>
        </w:rPr>
      </w:pPr>
    </w:p>
    <w:p w14:paraId="53A1D5BE" w14:textId="77777777" w:rsidR="00C46587" w:rsidRPr="0058432E" w:rsidRDefault="00C46587" w:rsidP="00982118">
      <w:pPr>
        <w:rPr>
          <w:color w:val="000000" w:themeColor="text1"/>
        </w:rPr>
      </w:pPr>
      <w:r w:rsidRPr="0058432E">
        <w:rPr>
          <w:color w:val="000000" w:themeColor="text1"/>
        </w:rPr>
        <w:t xml:space="preserve">L’uvéite non infectieuse est une maladie inflammatoire </w:t>
      </w:r>
      <w:r w:rsidR="00AB4F4F" w:rsidRPr="0058432E">
        <w:rPr>
          <w:color w:val="000000" w:themeColor="text1"/>
        </w:rPr>
        <w:t>touchant</w:t>
      </w:r>
      <w:r w:rsidRPr="0058432E">
        <w:rPr>
          <w:color w:val="000000" w:themeColor="text1"/>
        </w:rPr>
        <w:t xml:space="preserve"> certaines parties de l’œil. Cette inflammation peut entraîner une baisse de la vision et/ou la présence de particules flottant dans l’œil (points noirs ou filaments qui se déplacent dans le champ de vision). Amsparity agit en réduisant cette inflammation.</w:t>
      </w:r>
    </w:p>
    <w:p w14:paraId="0291C566" w14:textId="77777777" w:rsidR="00C46587" w:rsidRPr="0058432E" w:rsidRDefault="00C46587" w:rsidP="00982118">
      <w:pPr>
        <w:rPr>
          <w:color w:val="000000" w:themeColor="text1"/>
        </w:rPr>
      </w:pPr>
    </w:p>
    <w:p w14:paraId="2D4E98B2" w14:textId="77777777" w:rsidR="004E421D" w:rsidRPr="0058432E" w:rsidRDefault="006A1144" w:rsidP="00982118">
      <w:pPr>
        <w:rPr>
          <w:color w:val="000000" w:themeColor="text1"/>
        </w:rPr>
      </w:pPr>
      <w:r w:rsidRPr="0058432E">
        <w:rPr>
          <w:color w:val="000000" w:themeColor="text1"/>
        </w:rPr>
        <w:t>Amsparity est utilisé pour traiter :</w:t>
      </w:r>
    </w:p>
    <w:p w14:paraId="3B44B8D0" w14:textId="77777777" w:rsidR="004E421D" w:rsidRPr="0058432E" w:rsidRDefault="002A7141"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les</w:t>
      </w:r>
      <w:proofErr w:type="gramEnd"/>
      <w:r w:rsidRPr="0058432E">
        <w:rPr>
          <w:color w:val="000000" w:themeColor="text1"/>
        </w:rPr>
        <w:t xml:space="preserve"> adultes atteints d’uvéite non infectieuse présentant une inflammation de la partie arrière de l’œil ;</w:t>
      </w:r>
    </w:p>
    <w:p w14:paraId="5672CD5E" w14:textId="77777777" w:rsidR="004E421D" w:rsidRPr="0058432E" w:rsidRDefault="002A7141"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les</w:t>
      </w:r>
      <w:proofErr w:type="gramEnd"/>
      <w:r w:rsidRPr="0058432E">
        <w:rPr>
          <w:color w:val="000000" w:themeColor="text1"/>
        </w:rPr>
        <w:t xml:space="preserve"> enfants à partir de 2 ans atteints d’uvéite chronique non infectieuse présentant une inflammation de la partie avant de l’œil. </w:t>
      </w:r>
    </w:p>
    <w:p w14:paraId="0D3D65C5" w14:textId="77777777" w:rsidR="004E421D" w:rsidRPr="0058432E" w:rsidRDefault="004E421D" w:rsidP="00982118">
      <w:pPr>
        <w:rPr>
          <w:color w:val="000000" w:themeColor="text1"/>
        </w:rPr>
      </w:pPr>
    </w:p>
    <w:p w14:paraId="0775E926" w14:textId="77777777" w:rsidR="00130A4B" w:rsidRPr="0058432E" w:rsidRDefault="00130A4B" w:rsidP="00982118">
      <w:pPr>
        <w:pStyle w:val="BodyText"/>
        <w:widowControl/>
        <w:kinsoku w:val="0"/>
        <w:overflowPunct w:val="0"/>
        <w:ind w:left="0" w:right="354"/>
        <w:rPr>
          <w:color w:val="000000" w:themeColor="text1"/>
        </w:rPr>
      </w:pPr>
      <w:r w:rsidRPr="0058432E">
        <w:rPr>
          <w:color w:val="000000" w:themeColor="text1"/>
        </w:rPr>
        <w:t xml:space="preserve">D’autres médicaments pourront d’abord vous être prescrits. Si ces </w:t>
      </w:r>
      <w:r w:rsidR="00F0042C" w:rsidRPr="0058432E">
        <w:rPr>
          <w:color w:val="000000" w:themeColor="text1"/>
        </w:rPr>
        <w:t xml:space="preserve">médicaments </w:t>
      </w:r>
      <w:r w:rsidRPr="0058432E">
        <w:rPr>
          <w:color w:val="000000" w:themeColor="text1"/>
        </w:rPr>
        <w:t>ne fonctionnent pas assez bien, vous pourrez recevoir Amsparity pour réduire les signes et symptômes de votre maladie.</w:t>
      </w:r>
    </w:p>
    <w:p w14:paraId="517DFB38" w14:textId="77777777" w:rsidR="00C46587" w:rsidRPr="0058432E" w:rsidRDefault="00C46587" w:rsidP="00982118">
      <w:pPr>
        <w:rPr>
          <w:color w:val="000000" w:themeColor="text1"/>
        </w:rPr>
      </w:pPr>
    </w:p>
    <w:p w14:paraId="691B77D2" w14:textId="77777777" w:rsidR="00C46587" w:rsidRPr="0058432E" w:rsidRDefault="00C46587" w:rsidP="00982118">
      <w:pPr>
        <w:rPr>
          <w:color w:val="000000" w:themeColor="text1"/>
        </w:rPr>
      </w:pPr>
    </w:p>
    <w:p w14:paraId="5DD0A361" w14:textId="77777777" w:rsidR="00C46587" w:rsidRPr="0058432E" w:rsidRDefault="00C46587" w:rsidP="00982118">
      <w:pPr>
        <w:tabs>
          <w:tab w:val="left" w:pos="562"/>
        </w:tabs>
        <w:rPr>
          <w:b/>
          <w:color w:val="000000" w:themeColor="text1"/>
        </w:rPr>
      </w:pPr>
      <w:r w:rsidRPr="0058432E">
        <w:rPr>
          <w:b/>
          <w:color w:val="000000" w:themeColor="text1"/>
        </w:rPr>
        <w:t>2.</w:t>
      </w:r>
      <w:r w:rsidRPr="0058432E">
        <w:rPr>
          <w:b/>
          <w:color w:val="000000" w:themeColor="text1"/>
        </w:rPr>
        <w:tab/>
        <w:t xml:space="preserve">Quelles sont les informations à connaître avant d’utiliser Amsparity </w:t>
      </w:r>
    </w:p>
    <w:p w14:paraId="2818B641" w14:textId="77777777" w:rsidR="00C46587" w:rsidRPr="0058432E" w:rsidRDefault="00C46587" w:rsidP="00982118">
      <w:pPr>
        <w:rPr>
          <w:color w:val="000000" w:themeColor="text1"/>
        </w:rPr>
      </w:pPr>
    </w:p>
    <w:p w14:paraId="5714924F" w14:textId="77777777" w:rsidR="00C46587" w:rsidRPr="0058432E" w:rsidRDefault="00C46587" w:rsidP="00982118">
      <w:pPr>
        <w:rPr>
          <w:b/>
          <w:color w:val="000000" w:themeColor="text1"/>
        </w:rPr>
      </w:pPr>
      <w:r w:rsidRPr="0058432E">
        <w:rPr>
          <w:b/>
          <w:color w:val="000000" w:themeColor="text1"/>
        </w:rPr>
        <w:t>N’utilisez jamais Amsparity</w:t>
      </w:r>
    </w:p>
    <w:p w14:paraId="4B3DD177" w14:textId="77777777" w:rsidR="00C46587" w:rsidRPr="0058432E" w:rsidRDefault="00C46587" w:rsidP="00982118">
      <w:pPr>
        <w:rPr>
          <w:color w:val="000000" w:themeColor="text1"/>
        </w:rPr>
      </w:pPr>
    </w:p>
    <w:p w14:paraId="1D99AA3C" w14:textId="77777777" w:rsidR="00C46587" w:rsidRPr="0058432E"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êtes allergique à l’adalimumab ou à l’un des autres composants contenus dans ce médicament (mentionnés dans la rubrique 6). </w:t>
      </w:r>
    </w:p>
    <w:p w14:paraId="2B2477C5" w14:textId="77777777" w:rsidR="00C46587" w:rsidRPr="0058432E" w:rsidRDefault="00C46587" w:rsidP="00764B9A">
      <w:pPr>
        <w:pStyle w:val="BodyText"/>
        <w:widowControl/>
        <w:kinsoku w:val="0"/>
        <w:overflowPunct w:val="0"/>
        <w:autoSpaceDE w:val="0"/>
        <w:autoSpaceDN w:val="0"/>
        <w:adjustRightInd w:val="0"/>
        <w:ind w:left="562"/>
        <w:rPr>
          <w:color w:val="000000" w:themeColor="text1"/>
        </w:rPr>
      </w:pPr>
    </w:p>
    <w:p w14:paraId="31138E58" w14:textId="77777777" w:rsidR="00C46587" w:rsidRPr="0058432E"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présentez une infection grave, y compris une tuberculose active, un</w:t>
      </w:r>
      <w:r w:rsidR="00C564BD" w:rsidRPr="0058432E">
        <w:rPr>
          <w:color w:val="000000" w:themeColor="text1"/>
        </w:rPr>
        <w:t>e</w:t>
      </w:r>
      <w:r w:rsidRPr="0058432E">
        <w:rPr>
          <w:color w:val="000000" w:themeColor="text1"/>
        </w:rPr>
        <w:t xml:space="preserve"> </w:t>
      </w:r>
      <w:r w:rsidR="00C564BD" w:rsidRPr="0058432E">
        <w:rPr>
          <w:color w:val="000000" w:themeColor="text1"/>
        </w:rPr>
        <w:t>septicémie</w:t>
      </w:r>
      <w:r w:rsidRPr="0058432E">
        <w:rPr>
          <w:color w:val="000000" w:themeColor="text1"/>
        </w:rPr>
        <w:t xml:space="preserve"> (empoisonnement du sang) ou des infections opportunistes (infections inhabituelles associées à un système immunitaire affaibli). Il est important de signaler à votre médecin si vous présentez des symptômes d’infections,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de la fièvre, des plaies, une sensation de fatigue, des problèmes dentaire</w:t>
      </w:r>
      <w:r w:rsidR="004D18F6" w:rsidRPr="0058432E">
        <w:rPr>
          <w:color w:val="000000" w:themeColor="text1"/>
        </w:rPr>
        <w:t>s</w:t>
      </w:r>
      <w:r w:rsidRPr="0058432E">
        <w:rPr>
          <w:color w:val="000000" w:themeColor="text1"/>
        </w:rPr>
        <w:t xml:space="preserve"> (voir « Avertissements et précautions »). </w:t>
      </w:r>
    </w:p>
    <w:p w14:paraId="56488E46" w14:textId="77777777" w:rsidR="00C46587" w:rsidRPr="0058432E" w:rsidRDefault="00C46587" w:rsidP="00764B9A">
      <w:pPr>
        <w:pStyle w:val="BodyText"/>
        <w:widowControl/>
        <w:kinsoku w:val="0"/>
        <w:overflowPunct w:val="0"/>
        <w:autoSpaceDE w:val="0"/>
        <w:autoSpaceDN w:val="0"/>
        <w:adjustRightInd w:val="0"/>
        <w:ind w:left="562"/>
        <w:rPr>
          <w:color w:val="000000" w:themeColor="text1"/>
        </w:rPr>
      </w:pPr>
    </w:p>
    <w:p w14:paraId="3886F822" w14:textId="77777777" w:rsidR="00C46587" w:rsidRPr="0058432E" w:rsidRDefault="004D18B5"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souffrez d’insuffisance cardiaque modérée ou sévère. Il est important d’informer votre médecin si vous avez eu ou si vous avez des problèmes cardiaques graves (voir « Avertissements et précautions »). </w:t>
      </w:r>
    </w:p>
    <w:p w14:paraId="2CEA0EFD" w14:textId="77777777" w:rsidR="00C46587" w:rsidRPr="0058432E" w:rsidRDefault="00C46587" w:rsidP="00982118">
      <w:pPr>
        <w:rPr>
          <w:color w:val="000000" w:themeColor="text1"/>
        </w:rPr>
      </w:pPr>
    </w:p>
    <w:p w14:paraId="2A4DC333" w14:textId="77777777" w:rsidR="00C46587" w:rsidRPr="0058432E" w:rsidRDefault="00C46587" w:rsidP="00982118">
      <w:pPr>
        <w:rPr>
          <w:b/>
          <w:color w:val="000000" w:themeColor="text1"/>
        </w:rPr>
      </w:pPr>
      <w:r w:rsidRPr="0058432E">
        <w:rPr>
          <w:b/>
          <w:color w:val="000000" w:themeColor="text1"/>
        </w:rPr>
        <w:t xml:space="preserve">Avertissements et précautions </w:t>
      </w:r>
    </w:p>
    <w:p w14:paraId="0446335A" w14:textId="77777777" w:rsidR="00C46587" w:rsidRPr="0058432E" w:rsidRDefault="00C46587" w:rsidP="00982118">
      <w:pPr>
        <w:rPr>
          <w:color w:val="000000" w:themeColor="text1"/>
        </w:rPr>
      </w:pPr>
    </w:p>
    <w:p w14:paraId="142CC38A" w14:textId="77777777" w:rsidR="005123EE" w:rsidRPr="0058432E" w:rsidRDefault="00DD3836" w:rsidP="00982118">
      <w:pPr>
        <w:rPr>
          <w:color w:val="000000" w:themeColor="text1"/>
        </w:rPr>
      </w:pPr>
      <w:r w:rsidRPr="0058432E">
        <w:rPr>
          <w:color w:val="000000" w:themeColor="text1"/>
        </w:rPr>
        <w:t>Adressez-vous à votre médecin ou pharmacien avant d’utiliser Amsparity.</w:t>
      </w:r>
    </w:p>
    <w:p w14:paraId="14562F52" w14:textId="77777777" w:rsidR="005123EE" w:rsidRPr="0058432E" w:rsidRDefault="005123EE" w:rsidP="00982118">
      <w:pPr>
        <w:rPr>
          <w:color w:val="000000" w:themeColor="text1"/>
        </w:rPr>
      </w:pPr>
    </w:p>
    <w:p w14:paraId="49621A61" w14:textId="77777777" w:rsidR="005123EE" w:rsidRPr="0058432E" w:rsidRDefault="005123EE" w:rsidP="00764B9A">
      <w:pPr>
        <w:pStyle w:val="BodyText"/>
        <w:widowControl/>
        <w:tabs>
          <w:tab w:val="left" w:pos="720"/>
        </w:tabs>
        <w:ind w:left="0" w:right="-3"/>
        <w:rPr>
          <w:color w:val="000000" w:themeColor="text1"/>
        </w:rPr>
      </w:pPr>
      <w:r w:rsidRPr="0058432E">
        <w:rPr>
          <w:color w:val="000000" w:themeColor="text1"/>
        </w:rPr>
        <w:t>Il est primordial que vous et votre médecin conserviez le nom de marque et le numéro de lot de votre médicament.</w:t>
      </w:r>
    </w:p>
    <w:p w14:paraId="539AE0EA" w14:textId="77777777" w:rsidR="00C46587" w:rsidRPr="0058432E" w:rsidRDefault="00C46587" w:rsidP="00982118">
      <w:pPr>
        <w:rPr>
          <w:color w:val="000000" w:themeColor="text1"/>
        </w:rPr>
      </w:pPr>
    </w:p>
    <w:p w14:paraId="77B35D80" w14:textId="77777777" w:rsidR="009178B8" w:rsidRPr="0058432E" w:rsidRDefault="009178B8" w:rsidP="00982118">
      <w:pPr>
        <w:rPr>
          <w:color w:val="000000" w:themeColor="text1"/>
          <w:u w:val="single"/>
        </w:rPr>
      </w:pPr>
      <w:r w:rsidRPr="0058432E">
        <w:rPr>
          <w:color w:val="000000" w:themeColor="text1"/>
          <w:u w:val="single"/>
        </w:rPr>
        <w:t>Réactions allergiques</w:t>
      </w:r>
    </w:p>
    <w:p w14:paraId="3716F84D" w14:textId="77777777" w:rsidR="009178B8" w:rsidRPr="0058432E" w:rsidRDefault="009178B8" w:rsidP="00982118">
      <w:pPr>
        <w:rPr>
          <w:color w:val="000000" w:themeColor="text1"/>
        </w:rPr>
      </w:pPr>
    </w:p>
    <w:p w14:paraId="0740851B" w14:textId="77777777" w:rsidR="00C46587" w:rsidRPr="0058432E" w:rsidRDefault="00C46587"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vous avez des réactions allergiques avec des symptômes tels qu’oppression dans la poitrine, respiration sifflante, sensations vertigineuses, gonflement ou éruption cutanée, arrêtez les injections d’Amsparity et contactez votre médecin immédiatement car, dans de rares cas, ces réactions peuvent menacer le pronostic vital. </w:t>
      </w:r>
    </w:p>
    <w:p w14:paraId="513F1C32" w14:textId="77777777" w:rsidR="00C46587" w:rsidRPr="0058432E" w:rsidRDefault="00C46587" w:rsidP="00982118">
      <w:pPr>
        <w:rPr>
          <w:color w:val="000000" w:themeColor="text1"/>
        </w:rPr>
      </w:pPr>
    </w:p>
    <w:p w14:paraId="7D299DA0" w14:textId="77777777" w:rsidR="00460745" w:rsidRPr="0058432E" w:rsidRDefault="00460745" w:rsidP="00982118">
      <w:pPr>
        <w:rPr>
          <w:color w:val="000000" w:themeColor="text1"/>
          <w:u w:val="single"/>
        </w:rPr>
      </w:pPr>
      <w:r w:rsidRPr="0058432E">
        <w:rPr>
          <w:color w:val="000000" w:themeColor="text1"/>
          <w:u w:val="single"/>
        </w:rPr>
        <w:t>Infections</w:t>
      </w:r>
    </w:p>
    <w:p w14:paraId="4090FFCE" w14:textId="77777777" w:rsidR="00460745" w:rsidRPr="0058432E" w:rsidRDefault="00460745" w:rsidP="00982118">
      <w:pPr>
        <w:rPr>
          <w:color w:val="000000" w:themeColor="text1"/>
        </w:rPr>
      </w:pPr>
    </w:p>
    <w:p w14:paraId="15B26545" w14:textId="77777777" w:rsidR="00C46587"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vous avez une infection, y compris une infection de longue durée ou une infection sur une partie du corps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ulcère de jambe), consultez votre médecin avant de commencer Amsparity. En cas de doute, veuillez contacter votre médecin. </w:t>
      </w:r>
    </w:p>
    <w:p w14:paraId="77E3BCF6" w14:textId="77777777" w:rsidR="00C46587" w:rsidRPr="0058432E" w:rsidRDefault="00C46587" w:rsidP="000B37DD">
      <w:pPr>
        <w:pStyle w:val="BodyText"/>
        <w:widowControl/>
        <w:kinsoku w:val="0"/>
        <w:overflowPunct w:val="0"/>
        <w:autoSpaceDE w:val="0"/>
        <w:autoSpaceDN w:val="0"/>
        <w:adjustRightInd w:val="0"/>
        <w:ind w:left="0"/>
        <w:rPr>
          <w:color w:val="000000" w:themeColor="text1"/>
        </w:rPr>
      </w:pPr>
    </w:p>
    <w:p w14:paraId="76D532B5" w14:textId="77777777" w:rsidR="00C46587"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Vous pouvez développer plus facilement des infections au cours du traitement par Amsparity. Ce risque peut augmenter si vous avez des problèmes au niveau des poumons. Ces infections peuvent être graves et </w:t>
      </w:r>
      <w:r w:rsidR="00F0042C" w:rsidRPr="0058432E">
        <w:rPr>
          <w:color w:val="000000" w:themeColor="text1"/>
        </w:rPr>
        <w:t xml:space="preserve">inclure </w:t>
      </w:r>
      <w:r w:rsidRPr="0058432E">
        <w:rPr>
          <w:color w:val="000000" w:themeColor="text1"/>
        </w:rPr>
        <w:t xml:space="preserve">tuberculose, infections causées par des virus, des champignons, des parasites ou des bactéries, ou autres infections opportunistes (agents infectieux inhabituels) et </w:t>
      </w:r>
      <w:r w:rsidR="00C564BD" w:rsidRPr="0058432E">
        <w:rPr>
          <w:color w:val="000000" w:themeColor="text1"/>
        </w:rPr>
        <w:t>septicémie</w:t>
      </w:r>
      <w:r w:rsidRPr="0058432E">
        <w:rPr>
          <w:color w:val="000000" w:themeColor="text1"/>
        </w:rPr>
        <w:t xml:space="preserve"> (empoisonnement du sang). Dans de rares cas, ces infections peuvent menacer </w:t>
      </w:r>
      <w:r w:rsidR="00F0042C" w:rsidRPr="0058432E">
        <w:rPr>
          <w:color w:val="000000" w:themeColor="text1"/>
        </w:rPr>
        <w:t>le pronostic vital</w:t>
      </w:r>
      <w:r w:rsidRPr="0058432E">
        <w:rPr>
          <w:color w:val="000000" w:themeColor="text1"/>
        </w:rPr>
        <w:t xml:space="preserve">. Il est important de prévenir votre médecin si vous avez des symptômes tels que de la fièvre, si vous avez des plaies, si vous vous sentez fatigué ou si vous avez des problèmes dentaires. Votre médecin peut recommander d’arrêter temporairement Amsparity. </w:t>
      </w:r>
    </w:p>
    <w:p w14:paraId="6C074801" w14:textId="77777777" w:rsidR="00C46587" w:rsidRPr="0058432E" w:rsidRDefault="00C46587" w:rsidP="00982118">
      <w:pPr>
        <w:rPr>
          <w:color w:val="000000" w:themeColor="text1"/>
        </w:rPr>
      </w:pPr>
    </w:p>
    <w:p w14:paraId="6E62511C" w14:textId="77777777" w:rsidR="00F52CD4" w:rsidRPr="0058432E" w:rsidRDefault="00F52CD4" w:rsidP="007C4B2C">
      <w:pPr>
        <w:keepNext/>
        <w:rPr>
          <w:color w:val="000000" w:themeColor="text1"/>
          <w:u w:val="single"/>
        </w:rPr>
      </w:pPr>
      <w:r w:rsidRPr="0058432E">
        <w:rPr>
          <w:color w:val="000000" w:themeColor="text1"/>
          <w:u w:val="single"/>
        </w:rPr>
        <w:t>Tuberculose (TB)</w:t>
      </w:r>
    </w:p>
    <w:p w14:paraId="4CCE9E06" w14:textId="77777777" w:rsidR="00F52CD4" w:rsidRPr="0058432E" w:rsidRDefault="00F52CD4" w:rsidP="007C4B2C">
      <w:pPr>
        <w:keepNext/>
        <w:rPr>
          <w:color w:val="000000" w:themeColor="text1"/>
          <w:u w:val="single"/>
        </w:rPr>
      </w:pPr>
    </w:p>
    <w:p w14:paraId="2D9139F3" w14:textId="77777777" w:rsidR="00AA4681" w:rsidRPr="0058432E" w:rsidRDefault="00C46587" w:rsidP="007C4B2C">
      <w:pPr>
        <w:keepNext/>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Comme des cas de tuberculose ont été rapportés chez des patients traités </w:t>
      </w:r>
      <w:r w:rsidR="008E7545" w:rsidRPr="0058432E">
        <w:rPr>
          <w:color w:val="000000" w:themeColor="text1"/>
        </w:rPr>
        <w:t>par adalimumab</w:t>
      </w:r>
      <w:r w:rsidRPr="0058432E">
        <w:rPr>
          <w:color w:val="000000" w:themeColor="text1"/>
        </w:rPr>
        <w:t xml:space="preserve">, votre médecin recherchera tout signe ou symptôme de tuberculose avant de débuter le traitement par Amsparity. Ceci comprendra une évaluation médicale approfondie incluant vos antécédents médicaux et </w:t>
      </w:r>
      <w:r w:rsidR="00F0042C" w:rsidRPr="0058432E">
        <w:rPr>
          <w:color w:val="000000" w:themeColor="text1"/>
        </w:rPr>
        <w:t xml:space="preserve">des </w:t>
      </w:r>
      <w:r w:rsidRPr="0058432E">
        <w:rPr>
          <w:color w:val="000000" w:themeColor="text1"/>
        </w:rPr>
        <w:t xml:space="preserve">examens de dépistage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radiographie pulmonaire et test tuberculinique). La réalisation et les résultats de ces tests devront être enregistrés sur votre </w:t>
      </w:r>
      <w:r w:rsidR="0045425F" w:rsidRPr="0058432E">
        <w:rPr>
          <w:color w:val="000000" w:themeColor="text1"/>
        </w:rPr>
        <w:t>carte de rappel patient</w:t>
      </w:r>
      <w:r w:rsidRPr="0058432E">
        <w:rPr>
          <w:color w:val="000000" w:themeColor="text1"/>
        </w:rPr>
        <w:t xml:space="preserve">. </w:t>
      </w:r>
    </w:p>
    <w:p w14:paraId="3768FD17" w14:textId="77777777" w:rsidR="00AA4681" w:rsidRPr="0058432E" w:rsidRDefault="00AA4681" w:rsidP="00AA4681">
      <w:pPr>
        <w:kinsoku w:val="0"/>
        <w:overflowPunct w:val="0"/>
        <w:autoSpaceDE w:val="0"/>
        <w:autoSpaceDN w:val="0"/>
        <w:adjustRightInd w:val="0"/>
        <w:rPr>
          <w:color w:val="000000" w:themeColor="text1"/>
        </w:rPr>
      </w:pPr>
    </w:p>
    <w:p w14:paraId="51C21EB7" w14:textId="77777777" w:rsidR="00AA4681"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Il est très important de dire à votre médecin si vous avez déjà contracté la tuberculose ou si vous avez été en contact étroit avec quelqu’un qui a eu la tuberculose. </w:t>
      </w:r>
    </w:p>
    <w:p w14:paraId="1F2137A3" w14:textId="77777777" w:rsidR="00AA4681" w:rsidRPr="0058432E" w:rsidRDefault="00AA4681" w:rsidP="00AA4681">
      <w:pPr>
        <w:kinsoku w:val="0"/>
        <w:overflowPunct w:val="0"/>
        <w:autoSpaceDE w:val="0"/>
        <w:autoSpaceDN w:val="0"/>
        <w:adjustRightInd w:val="0"/>
        <w:rPr>
          <w:color w:val="000000" w:themeColor="text1"/>
        </w:rPr>
      </w:pPr>
    </w:p>
    <w:p w14:paraId="586023EE" w14:textId="77777777" w:rsidR="00AA4681"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Une tuberculose peut se développer pendant le traitement, même si vous avez reçu un traitement préventif de la tuberculose. </w:t>
      </w:r>
    </w:p>
    <w:p w14:paraId="7B4F58BE" w14:textId="77777777" w:rsidR="00AA4681" w:rsidRPr="0058432E" w:rsidRDefault="00AA4681" w:rsidP="00AA4681">
      <w:pPr>
        <w:kinsoku w:val="0"/>
        <w:overflowPunct w:val="0"/>
        <w:autoSpaceDE w:val="0"/>
        <w:autoSpaceDN w:val="0"/>
        <w:adjustRightInd w:val="0"/>
        <w:rPr>
          <w:color w:val="000000" w:themeColor="text1"/>
        </w:rPr>
      </w:pPr>
    </w:p>
    <w:p w14:paraId="2E0C77D2" w14:textId="77777777" w:rsidR="00C46587"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Si des symptômes de tuberculose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toux qui ne part pas, perte de poids, manque d’énergie, légère fièvre) ou si d’autres infections apparaissent durant ou après le traitement, prévenez votre médecin immédiatement. </w:t>
      </w:r>
    </w:p>
    <w:p w14:paraId="2F5D8470" w14:textId="77777777" w:rsidR="00C46587" w:rsidRPr="0058432E" w:rsidRDefault="00C46587" w:rsidP="00982118">
      <w:pPr>
        <w:rPr>
          <w:color w:val="000000" w:themeColor="text1"/>
        </w:rPr>
      </w:pPr>
    </w:p>
    <w:p w14:paraId="31AE8BAA" w14:textId="77777777" w:rsidR="00F52CD4" w:rsidRPr="0058432E" w:rsidRDefault="00F52CD4" w:rsidP="00982118">
      <w:pPr>
        <w:rPr>
          <w:color w:val="000000" w:themeColor="text1"/>
          <w:u w:val="single"/>
        </w:rPr>
      </w:pPr>
      <w:r w:rsidRPr="0058432E">
        <w:rPr>
          <w:color w:val="000000" w:themeColor="text1"/>
          <w:u w:val="single"/>
        </w:rPr>
        <w:t>Voyage/infection récurrente</w:t>
      </w:r>
    </w:p>
    <w:p w14:paraId="1030BD78" w14:textId="77777777" w:rsidR="00F52CD4" w:rsidRPr="0058432E" w:rsidRDefault="00F52CD4" w:rsidP="00982118">
      <w:pPr>
        <w:rPr>
          <w:color w:val="000000" w:themeColor="text1"/>
        </w:rPr>
      </w:pPr>
    </w:p>
    <w:p w14:paraId="38E16DB9" w14:textId="77777777" w:rsidR="00C46587" w:rsidRPr="0058432E" w:rsidRDefault="00F52CD4" w:rsidP="00AA4681">
      <w:pPr>
        <w:numPr>
          <w:ilvl w:val="0"/>
          <w:numId w:val="5"/>
        </w:numPr>
        <w:ind w:left="562" w:hanging="562"/>
        <w:rPr>
          <w:color w:val="000000" w:themeColor="text1"/>
        </w:rPr>
      </w:pPr>
      <w:r w:rsidRPr="0058432E">
        <w:rPr>
          <w:color w:val="000000" w:themeColor="text1"/>
        </w:rPr>
        <w:t xml:space="preserve">Avertissez votre médecin si vous </w:t>
      </w:r>
      <w:r w:rsidR="00F0042C" w:rsidRPr="0058432E">
        <w:rPr>
          <w:color w:val="000000" w:themeColor="text1"/>
        </w:rPr>
        <w:t xml:space="preserve">avez </w:t>
      </w:r>
      <w:r w:rsidRPr="0058432E">
        <w:rPr>
          <w:color w:val="000000" w:themeColor="text1"/>
        </w:rPr>
        <w:t>habit</w:t>
      </w:r>
      <w:r w:rsidR="00F0042C" w:rsidRPr="0058432E">
        <w:rPr>
          <w:color w:val="000000" w:themeColor="text1"/>
        </w:rPr>
        <w:t>é</w:t>
      </w:r>
      <w:r w:rsidRPr="0058432E">
        <w:rPr>
          <w:color w:val="000000" w:themeColor="text1"/>
        </w:rPr>
        <w:t xml:space="preserve"> ou voyag</w:t>
      </w:r>
      <w:r w:rsidR="00F0042C" w:rsidRPr="0058432E">
        <w:rPr>
          <w:color w:val="000000" w:themeColor="text1"/>
        </w:rPr>
        <w:t>é</w:t>
      </w:r>
      <w:r w:rsidRPr="0058432E">
        <w:rPr>
          <w:color w:val="000000" w:themeColor="text1"/>
        </w:rPr>
        <w:t xml:space="preserve"> dans des régions où les infections fongiques telles qu’histoplasmose, coccidioïdomycose ou blastomycose sont endémiques (détectées). </w:t>
      </w:r>
    </w:p>
    <w:p w14:paraId="3B3B36D6" w14:textId="77777777" w:rsidR="00C46587" w:rsidRPr="0058432E" w:rsidRDefault="00C46587" w:rsidP="00AA4681">
      <w:pPr>
        <w:ind w:left="562" w:hanging="562"/>
        <w:rPr>
          <w:color w:val="000000" w:themeColor="text1"/>
        </w:rPr>
      </w:pPr>
    </w:p>
    <w:p w14:paraId="69B38768" w14:textId="77777777" w:rsidR="00C46587" w:rsidRPr="0058432E" w:rsidRDefault="000C69A6" w:rsidP="00AA4681">
      <w:pPr>
        <w:numPr>
          <w:ilvl w:val="0"/>
          <w:numId w:val="5"/>
        </w:numPr>
        <w:ind w:left="562" w:hanging="562"/>
        <w:rPr>
          <w:color w:val="000000" w:themeColor="text1"/>
        </w:rPr>
      </w:pPr>
      <w:r w:rsidRPr="0058432E">
        <w:rPr>
          <w:color w:val="000000" w:themeColor="text1"/>
        </w:rPr>
        <w:t xml:space="preserve">Informez votre médecin si vous avez des infections qui reviennent ou d’autres problèmes de santé qui augmentent le risque d’infection. </w:t>
      </w:r>
    </w:p>
    <w:p w14:paraId="275E8E8E" w14:textId="77777777" w:rsidR="00C46587" w:rsidRPr="0058432E" w:rsidRDefault="00C46587" w:rsidP="00AA4681">
      <w:pPr>
        <w:ind w:left="562" w:hanging="562"/>
        <w:rPr>
          <w:color w:val="000000" w:themeColor="text1"/>
        </w:rPr>
      </w:pPr>
    </w:p>
    <w:p w14:paraId="718F9508" w14:textId="77777777" w:rsidR="0075367E" w:rsidRPr="0058432E" w:rsidRDefault="0075367E" w:rsidP="00AA4681">
      <w:pPr>
        <w:pStyle w:val="BodyText"/>
        <w:widowControl/>
        <w:numPr>
          <w:ilvl w:val="1"/>
          <w:numId w:val="22"/>
        </w:numPr>
        <w:ind w:left="562" w:hanging="562"/>
        <w:rPr>
          <w:color w:val="000000" w:themeColor="text1"/>
        </w:rPr>
      </w:pPr>
      <w:r w:rsidRPr="0058432E">
        <w:rPr>
          <w:color w:val="000000" w:themeColor="text1"/>
        </w:rPr>
        <w:t>Vous devez apporter une attention particulière aux signes d’infection lorsque vous êtes traité par Amsparity. Il est important de signaler à votre médecin si vous avez des signes d’infection tels que de la fièvre, des plaies, une sensation de fatigue ou des problèmes dentaires.</w:t>
      </w:r>
    </w:p>
    <w:p w14:paraId="2C553DA2" w14:textId="77777777" w:rsidR="0075367E" w:rsidRPr="0058432E" w:rsidRDefault="0075367E" w:rsidP="00AA4681">
      <w:pPr>
        <w:ind w:left="562" w:hanging="562"/>
        <w:rPr>
          <w:color w:val="000000" w:themeColor="text1"/>
        </w:rPr>
      </w:pPr>
    </w:p>
    <w:p w14:paraId="5D2A2EB7" w14:textId="77777777" w:rsidR="000C69A6" w:rsidRPr="0058432E" w:rsidRDefault="000C69A6" w:rsidP="00982118">
      <w:pPr>
        <w:keepNext/>
        <w:rPr>
          <w:color w:val="000000" w:themeColor="text1"/>
          <w:u w:val="single"/>
        </w:rPr>
      </w:pPr>
      <w:r w:rsidRPr="0058432E">
        <w:rPr>
          <w:color w:val="000000" w:themeColor="text1"/>
          <w:u w:val="single"/>
        </w:rPr>
        <w:t>Virus de l’hépatite B</w:t>
      </w:r>
    </w:p>
    <w:p w14:paraId="364F0B88" w14:textId="77777777" w:rsidR="000C69A6" w:rsidRPr="0058432E" w:rsidRDefault="000C69A6" w:rsidP="00982118">
      <w:pPr>
        <w:keepNext/>
        <w:rPr>
          <w:color w:val="000000" w:themeColor="text1"/>
        </w:rPr>
      </w:pPr>
    </w:p>
    <w:p w14:paraId="117A2D36" w14:textId="77777777" w:rsidR="00C46587" w:rsidRPr="0058432E" w:rsidRDefault="000C69A6" w:rsidP="00AA4681">
      <w:pPr>
        <w:numPr>
          <w:ilvl w:val="0"/>
          <w:numId w:val="5"/>
        </w:numPr>
        <w:ind w:left="562" w:hanging="562"/>
        <w:rPr>
          <w:color w:val="000000" w:themeColor="text1"/>
        </w:rPr>
      </w:pPr>
      <w:r w:rsidRPr="0058432E">
        <w:rPr>
          <w:color w:val="000000" w:themeColor="text1"/>
        </w:rPr>
        <w:t xml:space="preserve">Informez votre médecin si vous êtes porteur du virus de l’hépatite B (VHB), si vous avez une infection active par le VHB ou si vous pensez pouvoir avoir un risque d’attraper le VHB. Votre médecin devra effectuer un dépistage du VHB. L’adalimumab peut réactiver l’infection par le VHB chez les personnes porteuses de ce virus. Dans de rares cas, particulièrement si vous prenez d’autres médicaments qui diminuent le système immunitaire, une réactivation de l’infection par le VHB peut </w:t>
      </w:r>
      <w:r w:rsidR="0035281B" w:rsidRPr="0058432E">
        <w:rPr>
          <w:color w:val="000000" w:themeColor="text1"/>
        </w:rPr>
        <w:t>menacer le pronostic vital</w:t>
      </w:r>
      <w:r w:rsidRPr="0058432E">
        <w:rPr>
          <w:color w:val="000000" w:themeColor="text1"/>
        </w:rPr>
        <w:t xml:space="preserve">. </w:t>
      </w:r>
    </w:p>
    <w:p w14:paraId="17252B10" w14:textId="77777777" w:rsidR="00C46587" w:rsidRPr="0058432E" w:rsidRDefault="00C46587" w:rsidP="00982118">
      <w:pPr>
        <w:rPr>
          <w:color w:val="000000" w:themeColor="text1"/>
        </w:rPr>
      </w:pPr>
    </w:p>
    <w:p w14:paraId="07F1D25E" w14:textId="77777777" w:rsidR="000C69A6" w:rsidRPr="0058432E" w:rsidRDefault="000C69A6" w:rsidP="00982118">
      <w:pPr>
        <w:keepNext/>
        <w:rPr>
          <w:color w:val="000000" w:themeColor="text1"/>
          <w:u w:val="single"/>
        </w:rPr>
      </w:pPr>
      <w:r w:rsidRPr="0058432E">
        <w:rPr>
          <w:color w:val="000000" w:themeColor="text1"/>
          <w:u w:val="single"/>
        </w:rPr>
        <w:t>Au-delà de 65 ans</w:t>
      </w:r>
    </w:p>
    <w:p w14:paraId="6320138C" w14:textId="77777777" w:rsidR="000C69A6" w:rsidRPr="0058432E" w:rsidRDefault="000C69A6" w:rsidP="00982118">
      <w:pPr>
        <w:keepNext/>
        <w:rPr>
          <w:color w:val="000000" w:themeColor="text1"/>
        </w:rPr>
      </w:pPr>
    </w:p>
    <w:p w14:paraId="609AD2ED"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avez plus de 65 ans, vous pouvez être plus sensible aux infections pendant le traitement par Amsparity. Vous et votre médecin devez apporter une attention particulière aux signes d’infection lorsque vous êtes traité par Amsparity. Il est important de signaler à votre médecin si vous avez des signes d’infection tels que de la fièvre, des plaies, une sensation de fatigue ou des problèmes dentaires. </w:t>
      </w:r>
    </w:p>
    <w:p w14:paraId="2E9AAB9C" w14:textId="77777777" w:rsidR="00C46587" w:rsidRPr="0058432E" w:rsidRDefault="00C46587" w:rsidP="00982118">
      <w:pPr>
        <w:rPr>
          <w:color w:val="000000" w:themeColor="text1"/>
        </w:rPr>
      </w:pPr>
    </w:p>
    <w:p w14:paraId="7EB64D85" w14:textId="77777777" w:rsidR="000C69A6" w:rsidRPr="0058432E" w:rsidRDefault="004A637C" w:rsidP="00920CA5">
      <w:pPr>
        <w:keepNext/>
        <w:keepLines/>
        <w:rPr>
          <w:color w:val="000000" w:themeColor="text1"/>
          <w:u w:val="single"/>
        </w:rPr>
      </w:pPr>
      <w:r w:rsidRPr="0058432E">
        <w:rPr>
          <w:color w:val="000000" w:themeColor="text1"/>
          <w:u w:val="single"/>
        </w:rPr>
        <w:t>Intervention c</w:t>
      </w:r>
      <w:r w:rsidR="000C69A6" w:rsidRPr="0058432E">
        <w:rPr>
          <w:color w:val="000000" w:themeColor="text1"/>
          <w:u w:val="single"/>
        </w:rPr>
        <w:t>hirurgi</w:t>
      </w:r>
      <w:r w:rsidRPr="0058432E">
        <w:rPr>
          <w:color w:val="000000" w:themeColor="text1"/>
          <w:u w:val="single"/>
        </w:rPr>
        <w:t>cal</w:t>
      </w:r>
      <w:r w:rsidR="000C69A6" w:rsidRPr="0058432E">
        <w:rPr>
          <w:color w:val="000000" w:themeColor="text1"/>
          <w:u w:val="single"/>
        </w:rPr>
        <w:t>e ou dentaire</w:t>
      </w:r>
    </w:p>
    <w:p w14:paraId="32C8DCF4" w14:textId="77777777" w:rsidR="000C69A6" w:rsidRPr="0058432E" w:rsidRDefault="000C69A6" w:rsidP="00920CA5">
      <w:pPr>
        <w:keepNext/>
        <w:keepLines/>
        <w:rPr>
          <w:color w:val="000000" w:themeColor="text1"/>
        </w:rPr>
      </w:pPr>
    </w:p>
    <w:p w14:paraId="5ED15D5F"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devez </w:t>
      </w:r>
      <w:r w:rsidR="004A637C" w:rsidRPr="0058432E">
        <w:rPr>
          <w:color w:val="000000" w:themeColor="text1"/>
        </w:rPr>
        <w:t xml:space="preserve">subir </w:t>
      </w:r>
      <w:r w:rsidRPr="0058432E">
        <w:rPr>
          <w:color w:val="000000" w:themeColor="text1"/>
        </w:rPr>
        <w:t xml:space="preserve">une intervention chirurgicale ou dentaire, informez votre médecin que vous êtes traité par Amsparity. Votre médecin peut recommander d’arrêter temporairement Amsparity. </w:t>
      </w:r>
    </w:p>
    <w:p w14:paraId="20F7F276" w14:textId="77777777" w:rsidR="00C46587" w:rsidRPr="0058432E" w:rsidRDefault="00C46587" w:rsidP="00982118">
      <w:pPr>
        <w:rPr>
          <w:color w:val="000000" w:themeColor="text1"/>
        </w:rPr>
      </w:pPr>
    </w:p>
    <w:p w14:paraId="631D5063" w14:textId="77777777" w:rsidR="00785DA4" w:rsidRPr="0058432E" w:rsidRDefault="00785DA4" w:rsidP="00982118">
      <w:pPr>
        <w:keepNext/>
        <w:rPr>
          <w:color w:val="000000" w:themeColor="text1"/>
          <w:u w:val="single"/>
        </w:rPr>
      </w:pPr>
      <w:r w:rsidRPr="0058432E">
        <w:rPr>
          <w:color w:val="000000" w:themeColor="text1"/>
          <w:u w:val="single"/>
        </w:rPr>
        <w:lastRenderedPageBreak/>
        <w:t>Maladie démyélinisante</w:t>
      </w:r>
    </w:p>
    <w:p w14:paraId="76A1D6A7" w14:textId="77777777" w:rsidR="00785DA4" w:rsidRPr="0058432E" w:rsidRDefault="00785DA4" w:rsidP="00982118">
      <w:pPr>
        <w:rPr>
          <w:color w:val="000000" w:themeColor="text1"/>
        </w:rPr>
      </w:pPr>
    </w:p>
    <w:p w14:paraId="39B4CC10"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avez ou développez une maladie démyélinisante (maladie qui affecte la gaine </w:t>
      </w:r>
      <w:r w:rsidR="004A637C" w:rsidRPr="0058432E">
        <w:rPr>
          <w:color w:val="000000" w:themeColor="text1"/>
        </w:rPr>
        <w:t xml:space="preserve">isolante </w:t>
      </w:r>
      <w:r w:rsidRPr="0058432E">
        <w:rPr>
          <w:color w:val="000000" w:themeColor="text1"/>
        </w:rPr>
        <w:t xml:space="preserve">entourant les nerfs, telle que la sclérose en plaques), votre médecin évaluera si vous devez recevoir Amsparity ou continuer de recevoir Amsparity. Informez immédiatement votre médecin si vous présentez des symptômes tels que des modifications de votre vision, une faiblesse dans les bras ou les jambes, ou un engourdissement ou des fourmillements dans une partie de votre corps. </w:t>
      </w:r>
    </w:p>
    <w:p w14:paraId="68056457" w14:textId="77777777" w:rsidR="00C46587" w:rsidRPr="0058432E" w:rsidRDefault="00C46587" w:rsidP="00982118">
      <w:pPr>
        <w:rPr>
          <w:color w:val="000000" w:themeColor="text1"/>
        </w:rPr>
      </w:pPr>
    </w:p>
    <w:p w14:paraId="31E75857" w14:textId="77777777" w:rsidR="00761638" w:rsidRPr="0058432E" w:rsidRDefault="00761638" w:rsidP="00982118">
      <w:pPr>
        <w:keepNext/>
        <w:rPr>
          <w:color w:val="000000" w:themeColor="text1"/>
          <w:u w:val="single"/>
        </w:rPr>
      </w:pPr>
      <w:r w:rsidRPr="0058432E">
        <w:rPr>
          <w:color w:val="000000" w:themeColor="text1"/>
          <w:u w:val="single"/>
        </w:rPr>
        <w:t>Vaccin</w:t>
      </w:r>
      <w:r w:rsidR="00034455" w:rsidRPr="0058432E">
        <w:rPr>
          <w:color w:val="000000" w:themeColor="text1"/>
          <w:u w:val="single"/>
        </w:rPr>
        <w:t>ation</w:t>
      </w:r>
    </w:p>
    <w:p w14:paraId="1334C951" w14:textId="77777777" w:rsidR="00761638" w:rsidRPr="0058432E" w:rsidRDefault="00761638" w:rsidP="00982118">
      <w:pPr>
        <w:rPr>
          <w:color w:val="000000" w:themeColor="text1"/>
        </w:rPr>
      </w:pPr>
    </w:p>
    <w:p w14:paraId="6B1BD561"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Certains vaccins contiennent des formes vivantes mais affaiblies de bactéries ou de virus pathogènes qui peuvent </w:t>
      </w:r>
      <w:r w:rsidR="00B42EC9" w:rsidRPr="0058432E">
        <w:rPr>
          <w:color w:val="000000" w:themeColor="text1"/>
        </w:rPr>
        <w:t>entraîner</w:t>
      </w:r>
      <w:r w:rsidRPr="0058432E">
        <w:rPr>
          <w:color w:val="000000" w:themeColor="text1"/>
        </w:rPr>
        <w:t xml:space="preserve"> des infections et ne doivent pas être administrés pendant le traitement par Amsparity. Vérifiez avec votre médecin avant toute vaccination. Il est recommandé, si possible, que les enfants aient reçu les vaccinations prévues pour leur âge avant le début du traitement par Amsparity. Si vous recevez Amsparity alors que vous êtes enceinte, votre enfant peut présenter un risque plus élevé d’avoir une infection pendant environ cinq mois après la dernière dose reçue pendant la grossesse. Il est important de dire aux médecins de votre bébé et aux autres professionnels de santé que vous avez reçu Amsparity pendant votre grossesse ; ils pourront ainsi décider quand votre bébé devra recevoir ses vaccins. </w:t>
      </w:r>
    </w:p>
    <w:p w14:paraId="25D5E9D8" w14:textId="77777777" w:rsidR="005F7C27" w:rsidRPr="0058432E" w:rsidRDefault="005F7C27" w:rsidP="00982118">
      <w:pPr>
        <w:rPr>
          <w:color w:val="000000" w:themeColor="text1"/>
        </w:rPr>
      </w:pPr>
    </w:p>
    <w:p w14:paraId="1A78C3D6" w14:textId="77777777" w:rsidR="002B5B8F" w:rsidRPr="0058432E" w:rsidRDefault="002B5B8F" w:rsidP="00982118">
      <w:pPr>
        <w:keepNext/>
        <w:rPr>
          <w:color w:val="000000" w:themeColor="text1"/>
          <w:u w:val="single"/>
        </w:rPr>
      </w:pPr>
      <w:r w:rsidRPr="0058432E">
        <w:rPr>
          <w:color w:val="000000" w:themeColor="text1"/>
          <w:u w:val="single"/>
        </w:rPr>
        <w:t>Troubles cardiaques</w:t>
      </w:r>
    </w:p>
    <w:p w14:paraId="25FD9D58" w14:textId="77777777" w:rsidR="002B5B8F" w:rsidRPr="0058432E" w:rsidRDefault="002B5B8F" w:rsidP="00982118">
      <w:pPr>
        <w:rPr>
          <w:color w:val="000000" w:themeColor="text1"/>
        </w:rPr>
      </w:pPr>
    </w:p>
    <w:p w14:paraId="0D8A0014" w14:textId="77777777" w:rsidR="00C46587" w:rsidRPr="0058432E" w:rsidRDefault="002B5B8F" w:rsidP="00AA4681">
      <w:pPr>
        <w:numPr>
          <w:ilvl w:val="0"/>
          <w:numId w:val="5"/>
        </w:numPr>
        <w:ind w:left="562" w:hanging="562"/>
        <w:rPr>
          <w:color w:val="000000" w:themeColor="text1"/>
        </w:rPr>
      </w:pPr>
      <w:r w:rsidRPr="0058432E">
        <w:rPr>
          <w:color w:val="000000" w:themeColor="text1"/>
        </w:rPr>
        <w:t xml:space="preserve">Il est important d’informer votre médecin si vous avez ou si vous avez eu des problèmes cardiaques graves. Si vous avez une insuffisance cardiaque légère et que vous êtes traité par Amsparity, l’état de votre insuffisance cardiaque doit être étroitement surveillé par votre médecin. Si vous développez de nouveaux symptômes ou si ceux de votre insuffisance cardiaque s’aggravent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BF7BFC" w:rsidRPr="0058432E">
        <w:rPr>
          <w:color w:val="000000" w:themeColor="text1"/>
        </w:rPr>
        <w:t>essoufflement</w:t>
      </w:r>
      <w:r w:rsidRPr="0058432E">
        <w:rPr>
          <w:color w:val="000000" w:themeColor="text1"/>
        </w:rPr>
        <w:t xml:space="preserve"> ou gonflement des pieds), vous devez contacter immédiatement votre médecin. </w:t>
      </w:r>
    </w:p>
    <w:p w14:paraId="0231C135" w14:textId="77777777" w:rsidR="002B5B8F" w:rsidRPr="0058432E" w:rsidRDefault="002B5B8F" w:rsidP="00982118">
      <w:pPr>
        <w:rPr>
          <w:color w:val="000000" w:themeColor="text1"/>
        </w:rPr>
      </w:pPr>
    </w:p>
    <w:p w14:paraId="49CDBBBC" w14:textId="77777777" w:rsidR="002B5B8F" w:rsidRPr="0058432E" w:rsidRDefault="002B5B8F" w:rsidP="00982118">
      <w:pPr>
        <w:keepNext/>
        <w:rPr>
          <w:color w:val="000000" w:themeColor="text1"/>
          <w:u w:val="single"/>
        </w:rPr>
      </w:pPr>
      <w:r w:rsidRPr="0058432E">
        <w:rPr>
          <w:color w:val="000000" w:themeColor="text1"/>
          <w:u w:val="single"/>
        </w:rPr>
        <w:t xml:space="preserve">Fièvre, </w:t>
      </w:r>
      <w:r w:rsidR="008F1A68" w:rsidRPr="0058432E">
        <w:rPr>
          <w:color w:val="000000" w:themeColor="text1"/>
          <w:u w:val="single"/>
        </w:rPr>
        <w:t>contusions</w:t>
      </w:r>
      <w:r w:rsidRPr="0058432E">
        <w:rPr>
          <w:color w:val="000000" w:themeColor="text1"/>
          <w:u w:val="single"/>
        </w:rPr>
        <w:t>, saignement ou aspect pâle</w:t>
      </w:r>
    </w:p>
    <w:p w14:paraId="74A7FEF3" w14:textId="77777777" w:rsidR="002B5B8F" w:rsidRPr="0058432E" w:rsidRDefault="002B5B8F" w:rsidP="00982118">
      <w:pPr>
        <w:rPr>
          <w:color w:val="000000" w:themeColor="text1"/>
        </w:rPr>
      </w:pPr>
    </w:p>
    <w:p w14:paraId="6BECB772"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Chez certains patients, l’organisme peut ne pas parvenir à fabriquer assez de </w:t>
      </w:r>
      <w:r w:rsidR="00FB440E" w:rsidRPr="0058432E">
        <w:rPr>
          <w:color w:val="000000" w:themeColor="text1"/>
        </w:rPr>
        <w:t>globules</w:t>
      </w:r>
      <w:r w:rsidRPr="0058432E">
        <w:rPr>
          <w:color w:val="000000" w:themeColor="text1"/>
        </w:rPr>
        <w:t xml:space="preserve"> sanguins qui aident votre organisme à lutter contre les infections ou à arrêter les hémorragies. Si vous avez une fièvre qui ne disparaît pas, si vous avez des contusions ou saignez très facilement, ou si vous présentez une pâleur, contactez tout de suite votre médecin. Votre médecin pourrait décider d’arrêter le traitement. </w:t>
      </w:r>
    </w:p>
    <w:p w14:paraId="73468453" w14:textId="77777777" w:rsidR="00C46587" w:rsidRPr="0058432E" w:rsidRDefault="00C46587" w:rsidP="00982118">
      <w:pPr>
        <w:rPr>
          <w:color w:val="000000" w:themeColor="text1"/>
        </w:rPr>
      </w:pPr>
    </w:p>
    <w:p w14:paraId="734F645A" w14:textId="77777777" w:rsidR="00BF72C5" w:rsidRPr="0058432E" w:rsidRDefault="00BF72C5" w:rsidP="00982118">
      <w:pPr>
        <w:keepNext/>
        <w:rPr>
          <w:color w:val="000000" w:themeColor="text1"/>
          <w:u w:val="single"/>
        </w:rPr>
      </w:pPr>
      <w:r w:rsidRPr="0058432E">
        <w:rPr>
          <w:color w:val="000000" w:themeColor="text1"/>
          <w:u w:val="single"/>
        </w:rPr>
        <w:t>Cancer</w:t>
      </w:r>
    </w:p>
    <w:p w14:paraId="47C9C8CE" w14:textId="77777777" w:rsidR="00BF72C5" w:rsidRPr="0058432E" w:rsidRDefault="00BF72C5" w:rsidP="00982118">
      <w:pPr>
        <w:rPr>
          <w:color w:val="000000" w:themeColor="text1"/>
        </w:rPr>
      </w:pPr>
    </w:p>
    <w:p w14:paraId="23296745" w14:textId="77777777" w:rsidR="00B51885" w:rsidRPr="0058432E" w:rsidRDefault="00C46587" w:rsidP="00AA4681">
      <w:pPr>
        <w:numPr>
          <w:ilvl w:val="0"/>
          <w:numId w:val="5"/>
        </w:numPr>
        <w:ind w:left="562" w:hanging="562"/>
        <w:rPr>
          <w:color w:val="000000" w:themeColor="text1"/>
        </w:rPr>
      </w:pPr>
      <w:r w:rsidRPr="0058432E">
        <w:rPr>
          <w:color w:val="000000" w:themeColor="text1"/>
        </w:rPr>
        <w:t xml:space="preserve">Il y a eu de très rares cas de certains types de cancers chez des enfants et des adultes traités par adalimumab ou par d’autres anti-TNFα. Les sujets avec une polyarthrite rhumatoïde plus grave et qui ont développé la maladie depuis longtemps </w:t>
      </w:r>
      <w:r w:rsidR="004A637C" w:rsidRPr="0058432E">
        <w:rPr>
          <w:color w:val="000000" w:themeColor="text1"/>
        </w:rPr>
        <w:t xml:space="preserve">peuvent avoir </w:t>
      </w:r>
      <w:r w:rsidRPr="0058432E">
        <w:rPr>
          <w:color w:val="000000" w:themeColor="text1"/>
        </w:rPr>
        <w:t xml:space="preserve">un risque plus élevé que la moyenne de développer un lymphome et une leucémie (cancers qui touchent les </w:t>
      </w:r>
      <w:r w:rsidR="00FB440E" w:rsidRPr="0058432E">
        <w:rPr>
          <w:color w:val="000000" w:themeColor="text1"/>
        </w:rPr>
        <w:t>globules</w:t>
      </w:r>
      <w:r w:rsidRPr="0058432E">
        <w:rPr>
          <w:color w:val="000000" w:themeColor="text1"/>
        </w:rPr>
        <w:t xml:space="preserve"> sanguins et la moelle osseuse). Si vous prenez Amsparity, le risque d’avoir un lymphome, une leucémie ou d’autres cancers peut augmenter. Dans de rares cas, une forme rare et sévère de lymphome a été observée chez des patients prenant l’adalimumab. Certains de ces patients étaient également traités par les médicaments azathioprine ou mercaptopurine. Indiquez à votre médecin si vous prenez de l’azathioprine ou de la mercaptopurine avec Amsparity.</w:t>
      </w:r>
    </w:p>
    <w:p w14:paraId="066B9325" w14:textId="77777777" w:rsidR="002254B3" w:rsidRPr="0058432E" w:rsidRDefault="00C46587" w:rsidP="00AA4681">
      <w:pPr>
        <w:ind w:left="562" w:hanging="562"/>
        <w:rPr>
          <w:color w:val="000000" w:themeColor="text1"/>
        </w:rPr>
      </w:pPr>
      <w:r w:rsidRPr="0058432E">
        <w:rPr>
          <w:color w:val="000000" w:themeColor="text1"/>
        </w:rPr>
        <w:t xml:space="preserve"> </w:t>
      </w:r>
    </w:p>
    <w:p w14:paraId="67F89415" w14:textId="77777777" w:rsidR="00C46587" w:rsidRPr="0058432E" w:rsidRDefault="002254B3" w:rsidP="00AA4681">
      <w:pPr>
        <w:numPr>
          <w:ilvl w:val="0"/>
          <w:numId w:val="5"/>
        </w:numPr>
        <w:ind w:left="562" w:hanging="562"/>
        <w:rPr>
          <w:color w:val="000000" w:themeColor="text1"/>
        </w:rPr>
      </w:pPr>
      <w:r w:rsidRPr="0058432E">
        <w:rPr>
          <w:color w:val="000000" w:themeColor="text1"/>
        </w:rPr>
        <w:t xml:space="preserve">De plus, des cas de cancers de la peau </w:t>
      </w:r>
      <w:proofErr w:type="gramStart"/>
      <w:r w:rsidRPr="0058432E">
        <w:rPr>
          <w:color w:val="000000" w:themeColor="text1"/>
        </w:rPr>
        <w:t>non mélanomes</w:t>
      </w:r>
      <w:proofErr w:type="gramEnd"/>
      <w:r w:rsidRPr="0058432E">
        <w:rPr>
          <w:color w:val="000000" w:themeColor="text1"/>
        </w:rPr>
        <w:t xml:space="preserve"> ont été observés chez des patients prenant de l’adalimumab. Si de nouvelles zones de peau lésée apparaissent pendant ou après le traitement ou si des marques existantes ou des zones lésées changent d’apparence, dites-le à votre médecin. </w:t>
      </w:r>
    </w:p>
    <w:p w14:paraId="4655D8D3" w14:textId="77777777" w:rsidR="00C46587" w:rsidRPr="0058432E" w:rsidRDefault="00C46587" w:rsidP="00AA4681">
      <w:pPr>
        <w:ind w:left="562" w:hanging="562"/>
        <w:rPr>
          <w:color w:val="000000" w:themeColor="text1"/>
        </w:rPr>
      </w:pPr>
    </w:p>
    <w:p w14:paraId="666BDF68"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Des cas de cancers autres que des lymphomes ont été signalés chez des patients </w:t>
      </w:r>
      <w:r w:rsidR="00D546C9" w:rsidRPr="0058432E">
        <w:rPr>
          <w:color w:val="000000" w:themeColor="text1"/>
        </w:rPr>
        <w:t>atteints</w:t>
      </w:r>
      <w:r w:rsidRPr="0058432E">
        <w:rPr>
          <w:color w:val="000000" w:themeColor="text1"/>
        </w:rPr>
        <w:t xml:space="preserve"> d’une maladie pulmonaire spécifique appelée broncho-pneumopathie chronique obstructive (BPCO) et </w:t>
      </w:r>
      <w:r w:rsidRPr="0058432E">
        <w:rPr>
          <w:color w:val="000000" w:themeColor="text1"/>
        </w:rPr>
        <w:lastRenderedPageBreak/>
        <w:t>traité</w:t>
      </w:r>
      <w:r w:rsidR="00061DED" w:rsidRPr="0058432E">
        <w:rPr>
          <w:color w:val="000000" w:themeColor="text1"/>
        </w:rPr>
        <w:t>e</w:t>
      </w:r>
      <w:r w:rsidRPr="0058432E">
        <w:rPr>
          <w:color w:val="000000" w:themeColor="text1"/>
        </w:rPr>
        <w:t xml:space="preserve"> par un autre anti-TNFα. Si vous souffrez de BPCO ou êtes un gros fumeur, vous devriez discuter avec votre médecin si un traitement par un anti-TNFα est adapté pour vous. </w:t>
      </w:r>
    </w:p>
    <w:p w14:paraId="536680EE" w14:textId="77777777" w:rsidR="00F30344" w:rsidRPr="0058432E" w:rsidRDefault="00F30344" w:rsidP="00AA4681">
      <w:pPr>
        <w:ind w:left="562" w:hanging="562"/>
        <w:rPr>
          <w:color w:val="000000" w:themeColor="text1"/>
        </w:rPr>
      </w:pPr>
    </w:p>
    <w:p w14:paraId="1E6D16BC" w14:textId="77777777" w:rsidR="006D4658" w:rsidRPr="0058432E" w:rsidRDefault="006D4658" w:rsidP="00982118">
      <w:pPr>
        <w:pStyle w:val="BodyText"/>
        <w:widowControl/>
        <w:kinsoku w:val="0"/>
        <w:overflowPunct w:val="0"/>
        <w:ind w:left="110"/>
        <w:rPr>
          <w:color w:val="000000" w:themeColor="text1"/>
        </w:rPr>
      </w:pPr>
      <w:r w:rsidRPr="0058432E">
        <w:rPr>
          <w:color w:val="000000" w:themeColor="text1"/>
          <w:u w:val="single"/>
        </w:rPr>
        <w:t>Maladie auto-immune</w:t>
      </w:r>
    </w:p>
    <w:p w14:paraId="5A0DEFD4" w14:textId="77777777" w:rsidR="006D4658" w:rsidRPr="0058432E" w:rsidRDefault="006D4658" w:rsidP="00982118">
      <w:pPr>
        <w:rPr>
          <w:color w:val="000000" w:themeColor="text1"/>
        </w:rPr>
      </w:pPr>
    </w:p>
    <w:p w14:paraId="63B6876F" w14:textId="77777777" w:rsidR="00F30344" w:rsidRPr="0058432E" w:rsidRDefault="00F30344" w:rsidP="00AA4681">
      <w:pPr>
        <w:numPr>
          <w:ilvl w:val="0"/>
          <w:numId w:val="5"/>
        </w:numPr>
        <w:ind w:left="562" w:hanging="562"/>
        <w:rPr>
          <w:color w:val="000000" w:themeColor="text1"/>
        </w:rPr>
      </w:pPr>
      <w:r w:rsidRPr="0058432E">
        <w:rPr>
          <w:color w:val="000000" w:themeColor="text1"/>
        </w:rPr>
        <w:t>Dans de rares cas, le traitement par Amsparity peut entrainer un syndrome de type lupus. Contactez votre médecin si des symptômes tels qu</w:t>
      </w:r>
      <w:r w:rsidR="00061DED" w:rsidRPr="0058432E">
        <w:rPr>
          <w:color w:val="000000" w:themeColor="text1"/>
        </w:rPr>
        <w:t>’</w:t>
      </w:r>
      <w:r w:rsidR="00BF7BFC" w:rsidRPr="0058432E">
        <w:rPr>
          <w:color w:val="000000" w:themeColor="text1"/>
        </w:rPr>
        <w:t xml:space="preserve">éruption cutanée </w:t>
      </w:r>
      <w:r w:rsidRPr="0058432E">
        <w:rPr>
          <w:color w:val="000000" w:themeColor="text1"/>
        </w:rPr>
        <w:t>persistant</w:t>
      </w:r>
      <w:r w:rsidR="00061DED" w:rsidRPr="0058432E">
        <w:rPr>
          <w:color w:val="000000" w:themeColor="text1"/>
        </w:rPr>
        <w:t>e,</w:t>
      </w:r>
      <w:r w:rsidRPr="0058432E">
        <w:rPr>
          <w:color w:val="000000" w:themeColor="text1"/>
        </w:rPr>
        <w:t xml:space="preserve"> inexpliqué</w:t>
      </w:r>
      <w:r w:rsidR="00061DED" w:rsidRPr="0058432E">
        <w:rPr>
          <w:color w:val="000000" w:themeColor="text1"/>
        </w:rPr>
        <w:t>e</w:t>
      </w:r>
      <w:r w:rsidRPr="0058432E">
        <w:rPr>
          <w:color w:val="000000" w:themeColor="text1"/>
        </w:rPr>
        <w:t>, fièvre, douleur articulaire ou fatigue surviennent.</w:t>
      </w:r>
    </w:p>
    <w:p w14:paraId="6C768AFB" w14:textId="77777777" w:rsidR="00C46587" w:rsidRPr="0058432E" w:rsidRDefault="00C46587" w:rsidP="00982118">
      <w:pPr>
        <w:rPr>
          <w:color w:val="000000" w:themeColor="text1"/>
        </w:rPr>
      </w:pPr>
    </w:p>
    <w:p w14:paraId="1ABEC156" w14:textId="77777777" w:rsidR="00C46587" w:rsidRPr="0058432E" w:rsidRDefault="00C46587" w:rsidP="00982118">
      <w:pPr>
        <w:rPr>
          <w:b/>
          <w:color w:val="000000" w:themeColor="text1"/>
        </w:rPr>
      </w:pPr>
      <w:r w:rsidRPr="0058432E">
        <w:rPr>
          <w:b/>
          <w:color w:val="000000" w:themeColor="text1"/>
        </w:rPr>
        <w:t xml:space="preserve">Autres médicaments et Amsparity </w:t>
      </w:r>
    </w:p>
    <w:p w14:paraId="230BC75A" w14:textId="77777777" w:rsidR="00C46587" w:rsidRPr="0058432E" w:rsidRDefault="00C46587" w:rsidP="00982118">
      <w:pPr>
        <w:rPr>
          <w:color w:val="000000" w:themeColor="text1"/>
        </w:rPr>
      </w:pPr>
    </w:p>
    <w:p w14:paraId="15EB89A3" w14:textId="77777777" w:rsidR="00C46587" w:rsidRPr="0058432E" w:rsidRDefault="00C46587" w:rsidP="00982118">
      <w:pPr>
        <w:rPr>
          <w:color w:val="000000" w:themeColor="text1"/>
        </w:rPr>
      </w:pPr>
      <w:r w:rsidRPr="0058432E">
        <w:rPr>
          <w:color w:val="000000" w:themeColor="text1"/>
        </w:rPr>
        <w:t xml:space="preserve">Informez votre médecin ou pharmacien si vous prenez, avez récemment pris ou pourriez prendre tout autre médicament. </w:t>
      </w:r>
    </w:p>
    <w:p w14:paraId="080BDFB3" w14:textId="77777777" w:rsidR="00C46587" w:rsidRPr="0058432E" w:rsidRDefault="00C46587" w:rsidP="00982118">
      <w:pPr>
        <w:rPr>
          <w:color w:val="000000" w:themeColor="text1"/>
        </w:rPr>
      </w:pPr>
    </w:p>
    <w:p w14:paraId="4A919352" w14:textId="77777777" w:rsidR="00C46587" w:rsidRPr="0058432E" w:rsidRDefault="006A1144" w:rsidP="00982118">
      <w:pPr>
        <w:rPr>
          <w:color w:val="000000" w:themeColor="text1"/>
        </w:rPr>
      </w:pPr>
      <w:r w:rsidRPr="0058432E">
        <w:rPr>
          <w:color w:val="000000" w:themeColor="text1"/>
        </w:rPr>
        <w:t xml:space="preserve">Amsparity peut être pris en association avec le méthotrexate ou certains traitements de fond </w:t>
      </w:r>
      <w:r w:rsidR="00E86A8F" w:rsidRPr="0058432E">
        <w:rPr>
          <w:color w:val="000000" w:themeColor="text1"/>
        </w:rPr>
        <w:t xml:space="preserve">antirhumatismaux </w:t>
      </w:r>
      <w:r w:rsidRPr="0058432E">
        <w:rPr>
          <w:color w:val="000000" w:themeColor="text1"/>
        </w:rPr>
        <w:t xml:space="preserve">(par </w:t>
      </w:r>
      <w:r w:rsidR="001946D2" w:rsidRPr="0058432E">
        <w:rPr>
          <w:color w:val="000000" w:themeColor="text1"/>
        </w:rPr>
        <w:t>ex</w:t>
      </w:r>
      <w:r w:rsidR="00A67736" w:rsidRPr="0058432E">
        <w:rPr>
          <w:color w:val="000000" w:themeColor="text1"/>
        </w:rPr>
        <w:t>emple</w:t>
      </w:r>
      <w:r w:rsidRPr="0058432E">
        <w:rPr>
          <w:color w:val="000000" w:themeColor="text1"/>
        </w:rPr>
        <w:t>, sulfasalazine, hydroxychloroquine, léflunomide et préparations injectables à base de sels d’or), corticoïdes ou médicaments contre la douleur</w:t>
      </w:r>
      <w:r w:rsidR="00061DED" w:rsidRPr="0058432E">
        <w:rPr>
          <w:color w:val="000000" w:themeColor="text1"/>
        </w:rPr>
        <w:t>,</w:t>
      </w:r>
      <w:r w:rsidRPr="0058432E">
        <w:rPr>
          <w:color w:val="000000" w:themeColor="text1"/>
        </w:rPr>
        <w:t xml:space="preserve"> y compris les anti-inflammatoires non stéroïdiens (AINS). </w:t>
      </w:r>
    </w:p>
    <w:p w14:paraId="4DCD7A98" w14:textId="77777777" w:rsidR="00C46587" w:rsidRPr="0058432E" w:rsidRDefault="00C46587" w:rsidP="00982118">
      <w:pPr>
        <w:rPr>
          <w:color w:val="000000" w:themeColor="text1"/>
        </w:rPr>
      </w:pPr>
    </w:p>
    <w:p w14:paraId="5EE4EFD6" w14:textId="77777777" w:rsidR="00C46587" w:rsidRPr="0058432E" w:rsidRDefault="00C46587" w:rsidP="00982118">
      <w:pPr>
        <w:rPr>
          <w:color w:val="000000" w:themeColor="text1"/>
        </w:rPr>
      </w:pPr>
      <w:r w:rsidRPr="0058432E">
        <w:rPr>
          <w:color w:val="000000" w:themeColor="text1"/>
        </w:rPr>
        <w:t xml:space="preserve">Vous ne devriez pas prendre Amsparity en association avec des médicaments contenant les substances actives anakinra ou abatacept en raison du risque accru d’infection grave. L’association de l’adalimumab et d’autres </w:t>
      </w:r>
      <w:r w:rsidR="00533435" w:rsidRPr="0058432E">
        <w:rPr>
          <w:color w:val="000000" w:themeColor="text1"/>
        </w:rPr>
        <w:t>antagoniste</w:t>
      </w:r>
      <w:r w:rsidR="00061DED" w:rsidRPr="0058432E">
        <w:rPr>
          <w:color w:val="000000" w:themeColor="text1"/>
        </w:rPr>
        <w:t>s</w:t>
      </w:r>
      <w:r w:rsidR="00533435" w:rsidRPr="0058432E">
        <w:rPr>
          <w:color w:val="000000" w:themeColor="text1"/>
        </w:rPr>
        <w:t xml:space="preserve"> du TNF</w:t>
      </w:r>
      <w:r w:rsidR="00061DED" w:rsidRPr="0058432E">
        <w:rPr>
          <w:color w:val="000000" w:themeColor="text1"/>
        </w:rPr>
        <w:t xml:space="preserve"> </w:t>
      </w:r>
      <w:r w:rsidRPr="0058432E">
        <w:rPr>
          <w:color w:val="000000" w:themeColor="text1"/>
        </w:rPr>
        <w:t xml:space="preserve">avec l’anakinra ou l’abatacept n’est pas recommandée en raison de l’augmentation possible du risque d’infections, y compris d’infections graves, et d’autres interactions pharmacologiques potentielles. Si vous vous posez des questions, consultez votre médecin. </w:t>
      </w:r>
    </w:p>
    <w:p w14:paraId="0FD1BDAF" w14:textId="77777777" w:rsidR="00C46587" w:rsidRPr="0058432E" w:rsidRDefault="00C46587" w:rsidP="00982118">
      <w:pPr>
        <w:rPr>
          <w:color w:val="000000" w:themeColor="text1"/>
        </w:rPr>
      </w:pPr>
    </w:p>
    <w:p w14:paraId="7C66AD59" w14:textId="77777777" w:rsidR="00C46587" w:rsidRPr="0058432E" w:rsidRDefault="00C46587" w:rsidP="00982118">
      <w:pPr>
        <w:keepNext/>
        <w:rPr>
          <w:b/>
          <w:color w:val="000000" w:themeColor="text1"/>
        </w:rPr>
      </w:pPr>
      <w:r w:rsidRPr="0058432E">
        <w:rPr>
          <w:b/>
          <w:color w:val="000000" w:themeColor="text1"/>
        </w:rPr>
        <w:t xml:space="preserve">Grossesse et allaitement </w:t>
      </w:r>
    </w:p>
    <w:p w14:paraId="0A153A2E" w14:textId="77777777" w:rsidR="00C46587" w:rsidRPr="0058432E" w:rsidRDefault="00C46587" w:rsidP="00982118">
      <w:pPr>
        <w:keepNext/>
        <w:rPr>
          <w:color w:val="000000" w:themeColor="text1"/>
        </w:rPr>
      </w:pPr>
    </w:p>
    <w:p w14:paraId="6B659A26" w14:textId="77777777" w:rsidR="005F6129" w:rsidRPr="0058432E" w:rsidRDefault="005F6129" w:rsidP="00D44D72">
      <w:pPr>
        <w:keepNext/>
        <w:autoSpaceDE w:val="0"/>
        <w:autoSpaceDN w:val="0"/>
        <w:adjustRightInd w:val="0"/>
        <w:rPr>
          <w:color w:val="000000" w:themeColor="text1"/>
        </w:rPr>
      </w:pPr>
      <w:r w:rsidRPr="0058432E">
        <w:rPr>
          <w:color w:val="000000" w:themeColor="text1"/>
        </w:rPr>
        <w:t>Vous devez envisager l’utilisation d’une contraception efficace pour éviter toute grossesse et poursuivre son utilisation pendant au moins 5 mois après l’arrêt du traitement par Amsparity.</w:t>
      </w:r>
    </w:p>
    <w:p w14:paraId="33D7A0C9" w14:textId="77777777" w:rsidR="0065728E" w:rsidRPr="0058432E" w:rsidRDefault="0065728E" w:rsidP="00D44D72">
      <w:pPr>
        <w:keepNext/>
        <w:autoSpaceDE w:val="0"/>
        <w:autoSpaceDN w:val="0"/>
        <w:adjustRightInd w:val="0"/>
        <w:rPr>
          <w:color w:val="000000" w:themeColor="text1"/>
        </w:rPr>
      </w:pPr>
    </w:p>
    <w:p w14:paraId="724017F5" w14:textId="77777777" w:rsidR="005F6129" w:rsidRPr="0058432E" w:rsidRDefault="005F6129" w:rsidP="00D44D72">
      <w:pPr>
        <w:autoSpaceDE w:val="0"/>
        <w:autoSpaceDN w:val="0"/>
        <w:adjustRightInd w:val="0"/>
        <w:rPr>
          <w:color w:val="000000" w:themeColor="text1"/>
        </w:rPr>
      </w:pPr>
      <w:r w:rsidRPr="0058432E">
        <w:rPr>
          <w:color w:val="000000" w:themeColor="text1"/>
        </w:rPr>
        <w:t>Si vous êtes enceinte, si vous pensez être enceinte ou planifiez une grossesse, demandez conseil à votre médecin avant de prendre ce médicament.</w:t>
      </w:r>
    </w:p>
    <w:p w14:paraId="1FE40326" w14:textId="77777777" w:rsidR="00EB0424" w:rsidRPr="0058432E" w:rsidRDefault="00EB0424" w:rsidP="00D44D72">
      <w:pPr>
        <w:autoSpaceDE w:val="0"/>
        <w:autoSpaceDN w:val="0"/>
        <w:adjustRightInd w:val="0"/>
        <w:rPr>
          <w:color w:val="000000" w:themeColor="text1"/>
        </w:rPr>
      </w:pPr>
    </w:p>
    <w:p w14:paraId="09598713" w14:textId="77777777" w:rsidR="005F6129" w:rsidRPr="0058432E" w:rsidRDefault="006A1144" w:rsidP="00D44D72">
      <w:pPr>
        <w:autoSpaceDE w:val="0"/>
        <w:autoSpaceDN w:val="0"/>
        <w:adjustRightInd w:val="0"/>
        <w:rPr>
          <w:color w:val="000000" w:themeColor="text1"/>
        </w:rPr>
      </w:pPr>
      <w:r w:rsidRPr="0058432E">
        <w:rPr>
          <w:color w:val="000000" w:themeColor="text1"/>
        </w:rPr>
        <w:t>Amsparity doit être utilisé pendant la grossesse seulement si nécessaire.</w:t>
      </w:r>
    </w:p>
    <w:p w14:paraId="4A9F9534" w14:textId="77777777" w:rsidR="0065728E" w:rsidRPr="0058432E" w:rsidRDefault="0065728E" w:rsidP="00D44D72">
      <w:pPr>
        <w:autoSpaceDE w:val="0"/>
        <w:autoSpaceDN w:val="0"/>
        <w:adjustRightInd w:val="0"/>
        <w:rPr>
          <w:color w:val="000000" w:themeColor="text1"/>
        </w:rPr>
      </w:pPr>
    </w:p>
    <w:p w14:paraId="672BD9A9" w14:textId="77777777" w:rsidR="005F6129" w:rsidRPr="0058432E" w:rsidRDefault="005F6129" w:rsidP="00D44D72">
      <w:pPr>
        <w:autoSpaceDE w:val="0"/>
        <w:autoSpaceDN w:val="0"/>
        <w:adjustRightInd w:val="0"/>
        <w:rPr>
          <w:color w:val="000000" w:themeColor="text1"/>
        </w:rPr>
      </w:pPr>
      <w:r w:rsidRPr="0058432E">
        <w:rPr>
          <w:color w:val="000000" w:themeColor="text1"/>
        </w:rPr>
        <w:t>D’après une étude sur la grossesse, il n’existait pas de risque plus élevé d’anomalies congénitales lorsque la mère avait reçu de l’adalimumab pendant la grossesse par rapport aux mères ayant la même maladie et n’ayant pas reçu d’adalimumab pendant la grossesse.</w:t>
      </w:r>
    </w:p>
    <w:p w14:paraId="184A0635" w14:textId="77777777" w:rsidR="0065728E" w:rsidRPr="0058432E" w:rsidRDefault="0065728E" w:rsidP="00D44D72">
      <w:pPr>
        <w:autoSpaceDE w:val="0"/>
        <w:autoSpaceDN w:val="0"/>
        <w:adjustRightInd w:val="0"/>
        <w:rPr>
          <w:color w:val="000000" w:themeColor="text1"/>
        </w:rPr>
      </w:pPr>
    </w:p>
    <w:p w14:paraId="6ADCE29D" w14:textId="77777777" w:rsidR="005F6129" w:rsidRPr="0058432E" w:rsidRDefault="006A1144" w:rsidP="00D44D72">
      <w:pPr>
        <w:autoSpaceDE w:val="0"/>
        <w:autoSpaceDN w:val="0"/>
        <w:adjustRightInd w:val="0"/>
        <w:rPr>
          <w:color w:val="000000" w:themeColor="text1"/>
        </w:rPr>
      </w:pPr>
      <w:r w:rsidRPr="0058432E">
        <w:rPr>
          <w:color w:val="000000" w:themeColor="text1"/>
        </w:rPr>
        <w:t>Amsparity peut être utilisé pendant l’allaitement.</w:t>
      </w:r>
    </w:p>
    <w:p w14:paraId="36EE8630" w14:textId="77777777" w:rsidR="0065728E" w:rsidRPr="0058432E" w:rsidRDefault="0065728E" w:rsidP="00D44D72">
      <w:pPr>
        <w:autoSpaceDE w:val="0"/>
        <w:autoSpaceDN w:val="0"/>
        <w:adjustRightInd w:val="0"/>
        <w:rPr>
          <w:color w:val="000000" w:themeColor="text1"/>
        </w:rPr>
      </w:pPr>
    </w:p>
    <w:p w14:paraId="779EC1AA" w14:textId="77777777" w:rsidR="005F6129" w:rsidRPr="0058432E" w:rsidRDefault="005F6129" w:rsidP="00D44D72">
      <w:pPr>
        <w:autoSpaceDE w:val="0"/>
        <w:autoSpaceDN w:val="0"/>
        <w:adjustRightInd w:val="0"/>
        <w:rPr>
          <w:color w:val="000000" w:themeColor="text1"/>
        </w:rPr>
      </w:pPr>
      <w:r w:rsidRPr="0058432E">
        <w:rPr>
          <w:color w:val="000000" w:themeColor="text1"/>
        </w:rPr>
        <w:t xml:space="preserve">Si vous recevez Amsparity pendant votre grossesse, votre bébé peut présenter un risque plus élevé d’avoir une infection. Il est important de prévenir les médecins de votre bébé ainsi que les autres professionnels de santé que vous avez </w:t>
      </w:r>
      <w:proofErr w:type="gramStart"/>
      <w:r w:rsidRPr="0058432E">
        <w:rPr>
          <w:color w:val="000000" w:themeColor="text1"/>
        </w:rPr>
        <w:t>reçu</w:t>
      </w:r>
      <w:proofErr w:type="gramEnd"/>
      <w:r w:rsidRPr="0058432E">
        <w:rPr>
          <w:color w:val="000000" w:themeColor="text1"/>
        </w:rPr>
        <w:t xml:space="preserve"> Amsparity pendant votre grossesse et ceci, avant que votre bébé ne reçoive ses vaccins. Pour plus d’informations concernant les vaccins, voir rubrique « Avertissements et précautions ».</w:t>
      </w:r>
    </w:p>
    <w:p w14:paraId="20789BFC" w14:textId="77777777" w:rsidR="00C46587" w:rsidRPr="0058432E" w:rsidRDefault="00C46587" w:rsidP="00982118">
      <w:pPr>
        <w:rPr>
          <w:color w:val="000000" w:themeColor="text1"/>
        </w:rPr>
      </w:pPr>
    </w:p>
    <w:p w14:paraId="4E04C486" w14:textId="77777777" w:rsidR="00C46587" w:rsidRPr="0058432E" w:rsidRDefault="00C46587" w:rsidP="00920CA5">
      <w:pPr>
        <w:keepNext/>
        <w:keepLines/>
        <w:rPr>
          <w:b/>
          <w:color w:val="000000" w:themeColor="text1"/>
        </w:rPr>
      </w:pPr>
      <w:r w:rsidRPr="0058432E">
        <w:rPr>
          <w:b/>
          <w:color w:val="000000" w:themeColor="text1"/>
        </w:rPr>
        <w:t xml:space="preserve">Conduite de véhicules et utilisation de machines </w:t>
      </w:r>
    </w:p>
    <w:p w14:paraId="27F42871" w14:textId="77777777" w:rsidR="00C46587" w:rsidRPr="0058432E" w:rsidRDefault="00C46587" w:rsidP="00920CA5">
      <w:pPr>
        <w:keepNext/>
        <w:keepLines/>
        <w:rPr>
          <w:color w:val="000000" w:themeColor="text1"/>
        </w:rPr>
      </w:pPr>
    </w:p>
    <w:p w14:paraId="5CC02FC5" w14:textId="77777777" w:rsidR="00C46587" w:rsidRPr="0058432E" w:rsidRDefault="006A1144" w:rsidP="00982118">
      <w:pPr>
        <w:rPr>
          <w:color w:val="000000" w:themeColor="text1"/>
        </w:rPr>
      </w:pPr>
      <w:r w:rsidRPr="0058432E">
        <w:rPr>
          <w:color w:val="000000" w:themeColor="text1"/>
        </w:rPr>
        <w:t xml:space="preserve">Amsparity peut </w:t>
      </w:r>
      <w:proofErr w:type="gramStart"/>
      <w:r w:rsidRPr="0058432E">
        <w:rPr>
          <w:color w:val="000000" w:themeColor="text1"/>
        </w:rPr>
        <w:t>avoir</w:t>
      </w:r>
      <w:proofErr w:type="gramEnd"/>
      <w:r w:rsidRPr="0058432E">
        <w:rPr>
          <w:color w:val="000000" w:themeColor="text1"/>
        </w:rPr>
        <w:t xml:space="preserve"> un</w:t>
      </w:r>
      <w:r w:rsidR="00061DED" w:rsidRPr="0058432E">
        <w:rPr>
          <w:color w:val="000000" w:themeColor="text1"/>
        </w:rPr>
        <w:t>e</w:t>
      </w:r>
      <w:r w:rsidRPr="0058432E">
        <w:rPr>
          <w:color w:val="000000" w:themeColor="text1"/>
        </w:rPr>
        <w:t xml:space="preserve"> </w:t>
      </w:r>
      <w:r w:rsidR="00061DED" w:rsidRPr="0058432E">
        <w:rPr>
          <w:color w:val="000000" w:themeColor="text1"/>
        </w:rPr>
        <w:t>influence mineure</w:t>
      </w:r>
      <w:r w:rsidRPr="0058432E">
        <w:rPr>
          <w:color w:val="000000" w:themeColor="text1"/>
        </w:rPr>
        <w:t xml:space="preserve"> sur votre aptitude à conduire, à faire du vélo ou à utiliser des machines. Des sensations d’étourdissement (vertiges) et des troubles de la vision peuvent survenir après l’injection d’Amsparity. </w:t>
      </w:r>
    </w:p>
    <w:p w14:paraId="53F585A9" w14:textId="77777777" w:rsidR="00C46587" w:rsidRPr="0058432E" w:rsidRDefault="00C46587" w:rsidP="00982118">
      <w:pPr>
        <w:rPr>
          <w:color w:val="000000" w:themeColor="text1"/>
        </w:rPr>
      </w:pPr>
    </w:p>
    <w:p w14:paraId="353D37AF" w14:textId="77777777" w:rsidR="00253214" w:rsidRPr="0058432E" w:rsidRDefault="00253214" w:rsidP="00046CB5">
      <w:pPr>
        <w:keepNext/>
        <w:rPr>
          <w:b/>
          <w:color w:val="000000" w:themeColor="text1"/>
        </w:rPr>
      </w:pPr>
      <w:r w:rsidRPr="0058432E">
        <w:rPr>
          <w:b/>
          <w:color w:val="000000" w:themeColor="text1"/>
        </w:rPr>
        <w:lastRenderedPageBreak/>
        <w:t>Amsparity contient du polysorbate 80</w:t>
      </w:r>
    </w:p>
    <w:p w14:paraId="088E1443" w14:textId="77777777" w:rsidR="00253214" w:rsidRPr="0058432E" w:rsidRDefault="00253214" w:rsidP="00046CB5">
      <w:pPr>
        <w:keepNext/>
        <w:rPr>
          <w:bCs/>
          <w:color w:val="000000" w:themeColor="text1"/>
        </w:rPr>
      </w:pPr>
    </w:p>
    <w:p w14:paraId="4DAC0017" w14:textId="05CB6D21" w:rsidR="00253214" w:rsidRPr="0058432E" w:rsidRDefault="00253214" w:rsidP="00046CB5">
      <w:pPr>
        <w:keepNext/>
        <w:rPr>
          <w:color w:val="000000" w:themeColor="text1"/>
        </w:rPr>
      </w:pPr>
      <w:r w:rsidRPr="0058432E">
        <w:rPr>
          <w:color w:val="000000" w:themeColor="text1"/>
        </w:rPr>
        <w:t xml:space="preserve">Ce médicament contient 0,16 mg de polysorbate 80 </w:t>
      </w:r>
      <w:r w:rsidR="00046CB5" w:rsidRPr="0058432E">
        <w:rPr>
          <w:color w:val="000000" w:themeColor="text1"/>
        </w:rPr>
        <w:t xml:space="preserve">par </w:t>
      </w:r>
      <w:r w:rsidRPr="0058432E">
        <w:rPr>
          <w:color w:val="000000" w:themeColor="text1"/>
        </w:rPr>
        <w:t>seringue préremplie unidose de 0,8 ml, équiva</w:t>
      </w:r>
      <w:r w:rsidR="00046CB5" w:rsidRPr="0058432E">
        <w:rPr>
          <w:color w:val="000000" w:themeColor="text1"/>
        </w:rPr>
        <w:t>lant</w:t>
      </w:r>
      <w:r w:rsidRPr="0058432E">
        <w:rPr>
          <w:color w:val="000000" w:themeColor="text1"/>
        </w:rPr>
        <w:t xml:space="preserve"> à 0,2 mg/ml de polysorbate 80. Les polysorbates peuvent provoquer des réactions allergiques. Informez votre médecin si </w:t>
      </w:r>
      <w:r w:rsidR="00046CB5" w:rsidRPr="0058432E">
        <w:rPr>
          <w:color w:val="000000" w:themeColor="text1"/>
        </w:rPr>
        <w:t xml:space="preserve">vous avez </w:t>
      </w:r>
      <w:r w:rsidRPr="0058432E">
        <w:rPr>
          <w:color w:val="000000" w:themeColor="text1"/>
        </w:rPr>
        <w:t>déjà présenté une allergie.</w:t>
      </w:r>
    </w:p>
    <w:p w14:paraId="75FAB36F" w14:textId="77777777" w:rsidR="00253214" w:rsidRPr="0058432E" w:rsidRDefault="00253214" w:rsidP="00982118">
      <w:pPr>
        <w:rPr>
          <w:color w:val="000000" w:themeColor="text1"/>
        </w:rPr>
      </w:pPr>
    </w:p>
    <w:p w14:paraId="0D159038" w14:textId="77777777" w:rsidR="00F30344" w:rsidRPr="0058432E" w:rsidRDefault="006A1144" w:rsidP="00982118">
      <w:pPr>
        <w:rPr>
          <w:b/>
          <w:color w:val="000000" w:themeColor="text1"/>
        </w:rPr>
      </w:pPr>
      <w:r w:rsidRPr="0058432E">
        <w:rPr>
          <w:b/>
          <w:color w:val="000000" w:themeColor="text1"/>
        </w:rPr>
        <w:t>Amsparity contient du sodium</w:t>
      </w:r>
    </w:p>
    <w:p w14:paraId="0F4A766F" w14:textId="77777777" w:rsidR="00F30344" w:rsidRPr="0058432E" w:rsidRDefault="00F30344" w:rsidP="00982118">
      <w:pPr>
        <w:rPr>
          <w:color w:val="000000" w:themeColor="text1"/>
        </w:rPr>
      </w:pPr>
    </w:p>
    <w:p w14:paraId="36AE3BBE" w14:textId="77777777" w:rsidR="00F30344" w:rsidRPr="0058432E" w:rsidRDefault="00F30344" w:rsidP="00982118">
      <w:pPr>
        <w:rPr>
          <w:color w:val="000000" w:themeColor="text1"/>
        </w:rPr>
      </w:pPr>
      <w:r w:rsidRPr="0058432E">
        <w:rPr>
          <w:color w:val="000000" w:themeColor="text1"/>
        </w:rPr>
        <w:t>Ce médicament contient moins de 1 mmol (23 mg) de sodium par dose de 0,8 ml, c.-à-d. qu’il est essentiellement « sans sodium ».</w:t>
      </w:r>
    </w:p>
    <w:p w14:paraId="5536C36F" w14:textId="77777777" w:rsidR="00C46587" w:rsidRPr="0058432E" w:rsidRDefault="00C46587" w:rsidP="00982118">
      <w:pPr>
        <w:rPr>
          <w:color w:val="000000" w:themeColor="text1"/>
        </w:rPr>
      </w:pPr>
    </w:p>
    <w:p w14:paraId="30F46A3E" w14:textId="77777777" w:rsidR="001D274E" w:rsidRPr="0058432E" w:rsidRDefault="001D274E" w:rsidP="00982118">
      <w:pPr>
        <w:rPr>
          <w:color w:val="000000" w:themeColor="text1"/>
        </w:rPr>
      </w:pPr>
    </w:p>
    <w:p w14:paraId="2B9C9C19" w14:textId="77777777" w:rsidR="00C46587" w:rsidRPr="0058432E" w:rsidRDefault="00C46587" w:rsidP="00982118">
      <w:pPr>
        <w:tabs>
          <w:tab w:val="left" w:pos="562"/>
        </w:tabs>
        <w:rPr>
          <w:b/>
          <w:color w:val="000000" w:themeColor="text1"/>
        </w:rPr>
      </w:pPr>
      <w:r w:rsidRPr="0058432E">
        <w:rPr>
          <w:b/>
          <w:color w:val="000000" w:themeColor="text1"/>
        </w:rPr>
        <w:t>3.</w:t>
      </w:r>
      <w:r w:rsidRPr="0058432E">
        <w:rPr>
          <w:b/>
          <w:color w:val="000000" w:themeColor="text1"/>
        </w:rPr>
        <w:tab/>
        <w:t xml:space="preserve">Comment utiliser Amsparity </w:t>
      </w:r>
    </w:p>
    <w:p w14:paraId="321D412D" w14:textId="77777777" w:rsidR="00C46587" w:rsidRPr="0058432E" w:rsidRDefault="00C46587" w:rsidP="00982118">
      <w:pPr>
        <w:rPr>
          <w:color w:val="000000" w:themeColor="text1"/>
        </w:rPr>
      </w:pPr>
    </w:p>
    <w:p w14:paraId="275A29E0" w14:textId="77777777" w:rsidR="00C46587" w:rsidRPr="0058432E" w:rsidRDefault="00C46587" w:rsidP="00982118">
      <w:pPr>
        <w:rPr>
          <w:color w:val="000000" w:themeColor="text1"/>
        </w:rPr>
      </w:pPr>
      <w:r w:rsidRPr="0058432E">
        <w:rPr>
          <w:color w:val="000000" w:themeColor="text1"/>
        </w:rPr>
        <w:t>Veillez à toujours utiliser ce médicament en suivant exactement les indications de votre médecin ou pharmacien. Vérifiez auprès de votre médecin ou pharmacien en cas de doute. Votre médecin pourra vous prescrire un autre dosage d’Amsparity si vous avez besoin d’une dose différente.</w:t>
      </w:r>
    </w:p>
    <w:p w14:paraId="490537A3" w14:textId="77777777" w:rsidR="00D971F2" w:rsidRPr="0058432E" w:rsidRDefault="00D971F2" w:rsidP="00982118">
      <w:pPr>
        <w:rPr>
          <w:color w:val="000000" w:themeColor="text1"/>
        </w:rPr>
      </w:pPr>
    </w:p>
    <w:p w14:paraId="68344A12" w14:textId="77777777" w:rsidR="00C46587" w:rsidRPr="0058432E" w:rsidRDefault="00D971F2" w:rsidP="00982118">
      <w:pPr>
        <w:rPr>
          <w:color w:val="000000" w:themeColor="text1"/>
        </w:rPr>
      </w:pPr>
      <w:r w:rsidRPr="0058432E">
        <w:rPr>
          <w:color w:val="000000" w:themeColor="text1"/>
        </w:rPr>
        <w:t>Amsparity est injecté sous la peau (voie sous-cutanée).</w:t>
      </w:r>
    </w:p>
    <w:p w14:paraId="390A76EC" w14:textId="77777777" w:rsidR="00D971F2" w:rsidRPr="0058432E" w:rsidRDefault="00D971F2" w:rsidP="00982118">
      <w:pPr>
        <w:rPr>
          <w:color w:val="000000" w:themeColor="text1"/>
        </w:rPr>
      </w:pPr>
    </w:p>
    <w:p w14:paraId="6181022A" w14:textId="77777777" w:rsidR="00C46587" w:rsidRPr="0058432E" w:rsidRDefault="00C46587" w:rsidP="00982118">
      <w:pPr>
        <w:rPr>
          <w:color w:val="000000" w:themeColor="text1"/>
          <w:u w:val="single"/>
        </w:rPr>
      </w:pPr>
      <w:r w:rsidRPr="0058432E">
        <w:rPr>
          <w:color w:val="000000" w:themeColor="text1"/>
          <w:u w:val="single"/>
        </w:rPr>
        <w:t>Adultes atteints de polyarthrite rhumatoïde, de rhumatisme psoriasique, de spondylarthrite ankylosante ou de spondyl</w:t>
      </w:r>
      <w:r w:rsidR="009D048D" w:rsidRPr="0058432E">
        <w:rPr>
          <w:color w:val="000000" w:themeColor="text1"/>
          <w:u w:val="single"/>
        </w:rPr>
        <w:t>o</w:t>
      </w:r>
      <w:r w:rsidRPr="0058432E">
        <w:rPr>
          <w:color w:val="000000" w:themeColor="text1"/>
          <w:u w:val="single"/>
        </w:rPr>
        <w:t>arthrite axiale sans signes radiographiques de spondylarthrite ankylosante</w:t>
      </w:r>
    </w:p>
    <w:p w14:paraId="2D3CFB92" w14:textId="77777777" w:rsidR="00C46587" w:rsidRPr="0058432E" w:rsidRDefault="00C46587" w:rsidP="00982118">
      <w:pPr>
        <w:rPr>
          <w:color w:val="000000" w:themeColor="text1"/>
        </w:rPr>
      </w:pPr>
    </w:p>
    <w:p w14:paraId="178BE29D" w14:textId="77777777" w:rsidR="00C46587" w:rsidRPr="0058432E" w:rsidRDefault="00C46587" w:rsidP="00982118">
      <w:pPr>
        <w:rPr>
          <w:color w:val="000000" w:themeColor="text1"/>
        </w:rPr>
      </w:pPr>
      <w:r w:rsidRPr="0058432E">
        <w:rPr>
          <w:color w:val="000000" w:themeColor="text1"/>
        </w:rPr>
        <w:t xml:space="preserve">La </w:t>
      </w:r>
      <w:r w:rsidR="00534BF6" w:rsidRPr="0058432E">
        <w:rPr>
          <w:color w:val="000000" w:themeColor="text1"/>
        </w:rPr>
        <w:t xml:space="preserve">posologie habituelle </w:t>
      </w:r>
      <w:r w:rsidRPr="0058432E">
        <w:rPr>
          <w:color w:val="000000" w:themeColor="text1"/>
        </w:rPr>
        <w:t>pour les adultes présentant une polyarthrite rhumatoïde, une spondylarthrite ankylosante, une spondyl</w:t>
      </w:r>
      <w:r w:rsidR="009D048D" w:rsidRPr="0058432E">
        <w:rPr>
          <w:color w:val="000000" w:themeColor="text1"/>
        </w:rPr>
        <w:t>o</w:t>
      </w:r>
      <w:r w:rsidRPr="0058432E">
        <w:rPr>
          <w:color w:val="000000" w:themeColor="text1"/>
        </w:rPr>
        <w:t xml:space="preserve">arthrite axiale sans signes radiographiques de spondylarthrite ankylosante et pour les patients atteints de rhumatisme psoriasique est de 40 mg d’adalimumab, </w:t>
      </w:r>
      <w:r w:rsidR="001B430D" w:rsidRPr="0058432E">
        <w:rPr>
          <w:color w:val="000000" w:themeColor="text1"/>
        </w:rPr>
        <w:t>toutes les deux semaines</w:t>
      </w:r>
      <w:r w:rsidRPr="0058432E">
        <w:rPr>
          <w:color w:val="000000" w:themeColor="text1"/>
        </w:rPr>
        <w:t xml:space="preserve"> en dose unique. </w:t>
      </w:r>
    </w:p>
    <w:p w14:paraId="6C815AF4" w14:textId="77777777" w:rsidR="00C46587" w:rsidRPr="0058432E" w:rsidRDefault="00C46587" w:rsidP="00982118">
      <w:pPr>
        <w:rPr>
          <w:color w:val="000000" w:themeColor="text1"/>
        </w:rPr>
      </w:pPr>
    </w:p>
    <w:p w14:paraId="398B2C24" w14:textId="77777777" w:rsidR="00C46587" w:rsidRPr="0058432E" w:rsidRDefault="00C46587" w:rsidP="00982118">
      <w:pPr>
        <w:rPr>
          <w:color w:val="000000" w:themeColor="text1"/>
        </w:rPr>
      </w:pPr>
      <w:r w:rsidRPr="0058432E">
        <w:rPr>
          <w:color w:val="000000" w:themeColor="text1"/>
        </w:rPr>
        <w:t xml:space="preserve">Dans la polyarthrite rhumatoïde, le traitement par méthotrexate est poursuivi avec celui par Amsparity. Si votre médecin juge que le méthotrexate est inapproprié, Amsparity peut être donné seul. </w:t>
      </w:r>
    </w:p>
    <w:p w14:paraId="2B293154" w14:textId="77777777" w:rsidR="00C46587" w:rsidRPr="0058432E" w:rsidRDefault="00C46587" w:rsidP="00982118">
      <w:pPr>
        <w:rPr>
          <w:color w:val="000000" w:themeColor="text1"/>
        </w:rPr>
      </w:pPr>
    </w:p>
    <w:p w14:paraId="66562B98" w14:textId="77777777" w:rsidR="00C46587" w:rsidRPr="0058432E" w:rsidRDefault="00C46587" w:rsidP="00982118">
      <w:pPr>
        <w:rPr>
          <w:color w:val="000000" w:themeColor="text1"/>
        </w:rPr>
      </w:pPr>
      <w:r w:rsidRPr="0058432E">
        <w:rPr>
          <w:color w:val="000000" w:themeColor="text1"/>
        </w:rPr>
        <w:t xml:space="preserve">Si vous avez une polyarthrite rhumatoïde et ne recevez pas de méthotrexate avec votre traitement par Amsparity, votre médecin peut décider de vous prescrire 40 mg d’adalimumab toutes les semaines ou 80 mg toutes les deux semaines. </w:t>
      </w:r>
    </w:p>
    <w:p w14:paraId="12D35C62" w14:textId="77777777" w:rsidR="00C46587" w:rsidRPr="0058432E" w:rsidRDefault="00C46587" w:rsidP="00982118">
      <w:pPr>
        <w:rPr>
          <w:color w:val="000000" w:themeColor="text1"/>
        </w:rPr>
      </w:pPr>
    </w:p>
    <w:p w14:paraId="518BE03C" w14:textId="77777777" w:rsidR="00C46587" w:rsidRPr="0058432E" w:rsidRDefault="00C46587" w:rsidP="00982118">
      <w:pPr>
        <w:keepNext/>
        <w:rPr>
          <w:color w:val="000000" w:themeColor="text1"/>
          <w:u w:val="single"/>
        </w:rPr>
      </w:pPr>
      <w:r w:rsidRPr="0058432E">
        <w:rPr>
          <w:color w:val="000000" w:themeColor="text1"/>
          <w:u w:val="single"/>
        </w:rPr>
        <w:t xml:space="preserve">Enfants, adolescents et adultes atteints d’arthrite juvénile idiopathique polyarticulaire </w:t>
      </w:r>
    </w:p>
    <w:p w14:paraId="7E264652" w14:textId="77777777" w:rsidR="00C46587" w:rsidRPr="0058432E" w:rsidRDefault="00C46587" w:rsidP="00982118">
      <w:pPr>
        <w:keepNext/>
        <w:rPr>
          <w:color w:val="000000" w:themeColor="text1"/>
        </w:rPr>
      </w:pPr>
    </w:p>
    <w:p w14:paraId="1D64A08B" w14:textId="77777777" w:rsidR="00E810EF" w:rsidRPr="0058432E" w:rsidRDefault="00E810EF" w:rsidP="00982118">
      <w:pPr>
        <w:keepNext/>
        <w:rPr>
          <w:i/>
          <w:color w:val="000000" w:themeColor="text1"/>
        </w:rPr>
      </w:pPr>
      <w:r w:rsidRPr="0058432E">
        <w:rPr>
          <w:i/>
          <w:color w:val="000000" w:themeColor="text1"/>
        </w:rPr>
        <w:t>Enfants et adolescents à partir de 2 ans et pesant 10 kg à moins de 30 kg</w:t>
      </w:r>
    </w:p>
    <w:p w14:paraId="386FA593" w14:textId="77777777" w:rsidR="00E810EF" w:rsidRPr="0058432E" w:rsidRDefault="00E810EF" w:rsidP="00982118">
      <w:pPr>
        <w:keepNext/>
        <w:rPr>
          <w:color w:val="000000" w:themeColor="text1"/>
        </w:rPr>
      </w:pPr>
    </w:p>
    <w:p w14:paraId="2E2FD145" w14:textId="77777777" w:rsidR="00C46587" w:rsidRPr="0058432E" w:rsidRDefault="00C46587"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 xml:space="preserve">. </w:t>
      </w:r>
    </w:p>
    <w:p w14:paraId="7B7C07E0" w14:textId="77777777" w:rsidR="00C46587" w:rsidRPr="0058432E" w:rsidRDefault="00C46587" w:rsidP="00982118">
      <w:pPr>
        <w:rPr>
          <w:color w:val="000000" w:themeColor="text1"/>
        </w:rPr>
      </w:pPr>
    </w:p>
    <w:p w14:paraId="604704F9" w14:textId="77777777" w:rsidR="00E810EF" w:rsidRPr="0058432E" w:rsidRDefault="00E810EF" w:rsidP="00982118">
      <w:pPr>
        <w:rPr>
          <w:i/>
          <w:color w:val="000000" w:themeColor="text1"/>
        </w:rPr>
      </w:pPr>
      <w:r w:rsidRPr="0058432E">
        <w:rPr>
          <w:i/>
          <w:color w:val="000000" w:themeColor="text1"/>
        </w:rPr>
        <w:t>Enfants, adolescents, et adultes à partir de 2 ans et pesant 30 kg et plus</w:t>
      </w:r>
    </w:p>
    <w:p w14:paraId="1F96B42D" w14:textId="77777777" w:rsidR="00E810EF" w:rsidRPr="0058432E" w:rsidRDefault="00E810EF" w:rsidP="00982118">
      <w:pPr>
        <w:rPr>
          <w:color w:val="000000" w:themeColor="text1"/>
        </w:rPr>
      </w:pPr>
    </w:p>
    <w:p w14:paraId="738AF584" w14:textId="77777777" w:rsidR="00C46587" w:rsidRPr="0058432E" w:rsidRDefault="00C46587" w:rsidP="00982118">
      <w:pPr>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34F9BA9F" w14:textId="77777777" w:rsidR="00C46587" w:rsidRPr="0058432E" w:rsidRDefault="00C46587" w:rsidP="00982118">
      <w:pPr>
        <w:rPr>
          <w:color w:val="000000" w:themeColor="text1"/>
        </w:rPr>
      </w:pPr>
    </w:p>
    <w:p w14:paraId="6B792E5D" w14:textId="77777777" w:rsidR="00C46587" w:rsidRPr="0058432E" w:rsidRDefault="00C46587" w:rsidP="00982118">
      <w:pPr>
        <w:rPr>
          <w:color w:val="000000" w:themeColor="text1"/>
          <w:u w:val="single"/>
        </w:rPr>
      </w:pPr>
      <w:r w:rsidRPr="0058432E">
        <w:rPr>
          <w:color w:val="000000" w:themeColor="text1"/>
          <w:u w:val="single"/>
        </w:rPr>
        <w:t xml:space="preserve">Enfants, adolescents et adultes atteints d’arthrite liée à l’enthésite </w:t>
      </w:r>
    </w:p>
    <w:p w14:paraId="22F4A65D" w14:textId="77777777" w:rsidR="00C46587" w:rsidRPr="0058432E" w:rsidRDefault="00C46587" w:rsidP="00982118">
      <w:pPr>
        <w:rPr>
          <w:color w:val="000000" w:themeColor="text1"/>
        </w:rPr>
      </w:pPr>
    </w:p>
    <w:p w14:paraId="1E9F0BF0" w14:textId="77777777" w:rsidR="00E810EF" w:rsidRPr="0058432E" w:rsidRDefault="00E810EF" w:rsidP="00982118">
      <w:pPr>
        <w:rPr>
          <w:i/>
          <w:color w:val="000000" w:themeColor="text1"/>
        </w:rPr>
      </w:pPr>
      <w:r w:rsidRPr="0058432E">
        <w:rPr>
          <w:i/>
          <w:color w:val="000000" w:themeColor="text1"/>
        </w:rPr>
        <w:t>Enfants et adolescents à partir de 6 ans et pesant 15 kg à moins de 30 kg</w:t>
      </w:r>
    </w:p>
    <w:p w14:paraId="5699BAF8" w14:textId="77777777" w:rsidR="00E810EF" w:rsidRPr="0058432E" w:rsidRDefault="00E810EF" w:rsidP="00982118">
      <w:pPr>
        <w:rPr>
          <w:color w:val="000000" w:themeColor="text1"/>
        </w:rPr>
      </w:pPr>
    </w:p>
    <w:p w14:paraId="62A6B28E" w14:textId="77777777" w:rsidR="00E810EF" w:rsidRPr="0058432E" w:rsidRDefault="00E810EF"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w:t>
      </w:r>
    </w:p>
    <w:p w14:paraId="301CD218" w14:textId="77777777" w:rsidR="00E810EF" w:rsidRPr="0058432E" w:rsidRDefault="00E810EF" w:rsidP="00982118">
      <w:pPr>
        <w:rPr>
          <w:color w:val="000000" w:themeColor="text1"/>
        </w:rPr>
      </w:pPr>
    </w:p>
    <w:p w14:paraId="5CB4BAC2" w14:textId="77777777" w:rsidR="00E810EF" w:rsidRPr="0058432E" w:rsidRDefault="00E810EF" w:rsidP="00982118">
      <w:pPr>
        <w:rPr>
          <w:i/>
          <w:color w:val="000000" w:themeColor="text1"/>
        </w:rPr>
      </w:pPr>
      <w:r w:rsidRPr="0058432E">
        <w:rPr>
          <w:i/>
          <w:color w:val="000000" w:themeColor="text1"/>
        </w:rPr>
        <w:t>Enfants, adolescents, et adultes à partir de 6 ans et pesant 30 kg et plus</w:t>
      </w:r>
    </w:p>
    <w:p w14:paraId="1C6D8EBA" w14:textId="77777777" w:rsidR="00E810EF" w:rsidRPr="0058432E" w:rsidRDefault="00E810EF" w:rsidP="00982118">
      <w:pPr>
        <w:rPr>
          <w:color w:val="000000" w:themeColor="text1"/>
        </w:rPr>
      </w:pPr>
    </w:p>
    <w:p w14:paraId="32093EC7" w14:textId="77777777" w:rsidR="00C46587" w:rsidRPr="0058432E" w:rsidRDefault="00C46587" w:rsidP="00982118">
      <w:pPr>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27BA1D87" w14:textId="77777777" w:rsidR="00C46587" w:rsidRPr="0058432E" w:rsidRDefault="00C46587" w:rsidP="00982118">
      <w:pPr>
        <w:rPr>
          <w:color w:val="000000" w:themeColor="text1"/>
        </w:rPr>
      </w:pPr>
    </w:p>
    <w:p w14:paraId="2A0B9797" w14:textId="77777777" w:rsidR="00C46587" w:rsidRPr="0058432E" w:rsidRDefault="00C46587" w:rsidP="006B001C">
      <w:pPr>
        <w:keepNext/>
        <w:rPr>
          <w:color w:val="000000" w:themeColor="text1"/>
          <w:u w:val="single"/>
        </w:rPr>
      </w:pPr>
      <w:r w:rsidRPr="0058432E">
        <w:rPr>
          <w:color w:val="000000" w:themeColor="text1"/>
          <w:u w:val="single"/>
        </w:rPr>
        <w:lastRenderedPageBreak/>
        <w:t>Adultes atteints de psoriasis</w:t>
      </w:r>
    </w:p>
    <w:p w14:paraId="19C343A4" w14:textId="77777777" w:rsidR="00C46587" w:rsidRPr="0058432E" w:rsidRDefault="00C46587" w:rsidP="006B001C">
      <w:pPr>
        <w:keepNext/>
        <w:rPr>
          <w:color w:val="000000" w:themeColor="text1"/>
        </w:rPr>
      </w:pPr>
    </w:p>
    <w:p w14:paraId="73069E80" w14:textId="77777777" w:rsidR="00C46587" w:rsidRPr="0058432E" w:rsidRDefault="00C46587" w:rsidP="00982118">
      <w:pPr>
        <w:rPr>
          <w:color w:val="000000" w:themeColor="text1"/>
        </w:rPr>
      </w:pPr>
      <w:r w:rsidRPr="0058432E">
        <w:rPr>
          <w:color w:val="000000" w:themeColor="text1"/>
        </w:rPr>
        <w:t xml:space="preserve">La posologie habituelle chez l’adulte atteint de psoriasis est une dose initiale de 80 mg (administrée sous forme de deux injections de 40 mg sur un jour), suivie de 40 mg administrés </w:t>
      </w:r>
      <w:r w:rsidR="001B430D" w:rsidRPr="0058432E">
        <w:rPr>
          <w:color w:val="000000" w:themeColor="text1"/>
        </w:rPr>
        <w:t>toutes les deux semaines</w:t>
      </w:r>
      <w:r w:rsidRPr="0058432E">
        <w:rPr>
          <w:color w:val="000000" w:themeColor="text1"/>
        </w:rPr>
        <w:t xml:space="preserve"> en commençant une semaine après la dose initiale. Vous devez continuer le traitement par Amsparity aussi longtemps que vous l’a indiqué votre médecin. Si cette dose ne fonctionne pas assez bien, votre médecin pourra augmenter la posologie à 40 mg toutes les semaines ou à 80 mg toutes les deux semaines. </w:t>
      </w:r>
    </w:p>
    <w:p w14:paraId="5FFB8FFB" w14:textId="77777777" w:rsidR="00C46587" w:rsidRPr="0058432E" w:rsidRDefault="00C46587" w:rsidP="00982118">
      <w:pPr>
        <w:rPr>
          <w:color w:val="000000" w:themeColor="text1"/>
        </w:rPr>
      </w:pPr>
    </w:p>
    <w:p w14:paraId="50CF7736" w14:textId="77777777" w:rsidR="00C46587" w:rsidRPr="0058432E" w:rsidRDefault="00C46587" w:rsidP="00982118">
      <w:pPr>
        <w:rPr>
          <w:color w:val="000000" w:themeColor="text1"/>
          <w:u w:val="single"/>
        </w:rPr>
      </w:pPr>
      <w:r w:rsidRPr="0058432E">
        <w:rPr>
          <w:color w:val="000000" w:themeColor="text1"/>
          <w:u w:val="single"/>
        </w:rPr>
        <w:t xml:space="preserve">Enfants et adolescents atteints de psoriasis en plaques </w:t>
      </w:r>
    </w:p>
    <w:p w14:paraId="421D2317" w14:textId="77777777" w:rsidR="00C46587" w:rsidRPr="0058432E" w:rsidRDefault="00C46587" w:rsidP="00982118">
      <w:pPr>
        <w:rPr>
          <w:color w:val="000000" w:themeColor="text1"/>
        </w:rPr>
      </w:pPr>
    </w:p>
    <w:p w14:paraId="72D80657" w14:textId="77777777" w:rsidR="00E810EF" w:rsidRPr="0058432E" w:rsidRDefault="00E810EF" w:rsidP="00982118">
      <w:pPr>
        <w:rPr>
          <w:i/>
          <w:color w:val="000000" w:themeColor="text1"/>
        </w:rPr>
      </w:pPr>
      <w:r w:rsidRPr="0058432E">
        <w:rPr>
          <w:i/>
          <w:color w:val="000000" w:themeColor="text1"/>
        </w:rPr>
        <w:t>Enfants et adolescents de 4 à 17 ans et pesant 15 kg à moins de 30 kg</w:t>
      </w:r>
    </w:p>
    <w:p w14:paraId="64782167" w14:textId="77777777" w:rsidR="00E810EF" w:rsidRPr="0058432E" w:rsidRDefault="00E810EF" w:rsidP="00982118">
      <w:pPr>
        <w:rPr>
          <w:color w:val="000000" w:themeColor="text1"/>
        </w:rPr>
      </w:pPr>
    </w:p>
    <w:p w14:paraId="6FA65889" w14:textId="77777777" w:rsidR="00E810EF" w:rsidRPr="0058432E" w:rsidRDefault="00C46587" w:rsidP="00982118">
      <w:pPr>
        <w:rPr>
          <w:color w:val="000000" w:themeColor="text1"/>
        </w:rPr>
      </w:pPr>
      <w:r w:rsidRPr="0058432E">
        <w:rPr>
          <w:color w:val="000000" w:themeColor="text1"/>
        </w:rPr>
        <w:t xml:space="preserve">La posologie recommandée d’Amsparity est une dose initiale de 20 mg, suivie d’une dose de 20 mg une semaine plus tard. Par la suite, la posologie habituelle est de 20 mg </w:t>
      </w:r>
      <w:r w:rsidR="001B430D" w:rsidRPr="0058432E">
        <w:rPr>
          <w:color w:val="000000" w:themeColor="text1"/>
        </w:rPr>
        <w:t>toutes les deux semaines</w:t>
      </w:r>
      <w:r w:rsidRPr="0058432E">
        <w:rPr>
          <w:color w:val="000000" w:themeColor="text1"/>
        </w:rPr>
        <w:t>.</w:t>
      </w:r>
    </w:p>
    <w:p w14:paraId="5B9F8417" w14:textId="77777777" w:rsidR="00E810EF" w:rsidRPr="0058432E" w:rsidRDefault="00E810EF" w:rsidP="00982118">
      <w:pPr>
        <w:rPr>
          <w:color w:val="000000" w:themeColor="text1"/>
        </w:rPr>
      </w:pPr>
    </w:p>
    <w:p w14:paraId="119B5E2B" w14:textId="77777777" w:rsidR="00355B9D" w:rsidRPr="0058432E" w:rsidRDefault="00355B9D" w:rsidP="00982118">
      <w:pPr>
        <w:rPr>
          <w:i/>
          <w:color w:val="000000" w:themeColor="text1"/>
        </w:rPr>
      </w:pPr>
      <w:r w:rsidRPr="0058432E">
        <w:rPr>
          <w:i/>
          <w:color w:val="000000" w:themeColor="text1"/>
        </w:rPr>
        <w:t>Enfants et adolescents de 4 à 17 ans et pesant 30 kg et plus</w:t>
      </w:r>
    </w:p>
    <w:p w14:paraId="10785C1C" w14:textId="77777777" w:rsidR="00355B9D" w:rsidRPr="0058432E" w:rsidRDefault="00355B9D" w:rsidP="00982118">
      <w:pPr>
        <w:rPr>
          <w:color w:val="000000" w:themeColor="text1"/>
        </w:rPr>
      </w:pPr>
    </w:p>
    <w:p w14:paraId="74725265" w14:textId="77777777" w:rsidR="00355B9D" w:rsidRPr="0058432E" w:rsidRDefault="00355B9D" w:rsidP="00982118">
      <w:pPr>
        <w:rPr>
          <w:color w:val="000000" w:themeColor="text1"/>
        </w:rPr>
      </w:pPr>
      <w:r w:rsidRPr="0058432E">
        <w:rPr>
          <w:color w:val="000000" w:themeColor="text1"/>
        </w:rPr>
        <w:t xml:space="preserve">La posologie recommandée d’Amsparity est une dose initiale de 40 mg, suivie d’une dose de 40 mg une semaine plus tard. Par la suite, la posologie habituelle est de 40 mg </w:t>
      </w:r>
      <w:r w:rsidR="001B430D" w:rsidRPr="0058432E">
        <w:rPr>
          <w:color w:val="000000" w:themeColor="text1"/>
        </w:rPr>
        <w:t>toutes les deux semaines</w:t>
      </w:r>
      <w:r w:rsidRPr="0058432E">
        <w:rPr>
          <w:color w:val="000000" w:themeColor="text1"/>
        </w:rPr>
        <w:t>.</w:t>
      </w:r>
    </w:p>
    <w:p w14:paraId="60CFDDAE" w14:textId="77777777" w:rsidR="00C46587" w:rsidRPr="0058432E" w:rsidRDefault="00C46587" w:rsidP="00982118">
      <w:pPr>
        <w:rPr>
          <w:color w:val="000000" w:themeColor="text1"/>
        </w:rPr>
      </w:pPr>
    </w:p>
    <w:p w14:paraId="2178591E" w14:textId="77777777" w:rsidR="00C46587" w:rsidRPr="0058432E" w:rsidRDefault="00C46587" w:rsidP="00982118">
      <w:pPr>
        <w:keepNext/>
        <w:rPr>
          <w:color w:val="000000" w:themeColor="text1"/>
          <w:u w:val="single"/>
        </w:rPr>
      </w:pPr>
      <w:r w:rsidRPr="0058432E">
        <w:rPr>
          <w:color w:val="000000" w:themeColor="text1"/>
          <w:u w:val="single"/>
        </w:rPr>
        <w:t>Adultes atteints d’hidrosadénite suppurée</w:t>
      </w:r>
    </w:p>
    <w:p w14:paraId="20FFA5DF" w14:textId="77777777" w:rsidR="00C46587" w:rsidRPr="0058432E" w:rsidRDefault="00C46587" w:rsidP="00982118">
      <w:pPr>
        <w:rPr>
          <w:color w:val="000000" w:themeColor="text1"/>
        </w:rPr>
      </w:pPr>
    </w:p>
    <w:p w14:paraId="0A8B2AEA" w14:textId="77777777" w:rsidR="00C46587" w:rsidRPr="0058432E" w:rsidRDefault="0023013A" w:rsidP="00982118">
      <w:pPr>
        <w:rPr>
          <w:color w:val="000000" w:themeColor="text1"/>
        </w:rPr>
      </w:pPr>
      <w:r w:rsidRPr="0058432E">
        <w:rPr>
          <w:color w:val="000000" w:themeColor="text1"/>
        </w:rPr>
        <w:t xml:space="preserve">Le schéma posologique habituel </w:t>
      </w:r>
      <w:r w:rsidR="00C46587" w:rsidRPr="0058432E">
        <w:rPr>
          <w:color w:val="000000" w:themeColor="text1"/>
        </w:rPr>
        <w:t xml:space="preserve">dans l’hidrosadénite suppurée est une dose initiale de 160 mg (administrée sous forme de quatre injections de 40 mg sur un jour ou de deux injections de 40 mg par jour pendant deux jours consécutifs), suivie d'une dose de 80 mg deux semaines après (administrée sous forme de deux injections de 40 mg sur un jour). Après deux semaines supplémentaires, le traitement doit être poursuivi à raison d'une posologie de 40 mg toutes les semaines ou de 80 mg toutes les deux semaines, suivant la prescription de votre médecin. Il est recommandé de laver quotidiennement les zones concernées avec un antiseptique local. </w:t>
      </w:r>
    </w:p>
    <w:p w14:paraId="17FA10C0" w14:textId="77777777" w:rsidR="00C46587" w:rsidRPr="0058432E" w:rsidRDefault="00C46587" w:rsidP="00982118">
      <w:pPr>
        <w:rPr>
          <w:color w:val="000000" w:themeColor="text1"/>
        </w:rPr>
      </w:pPr>
    </w:p>
    <w:p w14:paraId="6F616300" w14:textId="77777777" w:rsidR="00C46587" w:rsidRPr="0058432E" w:rsidRDefault="00C46587" w:rsidP="00982118">
      <w:pPr>
        <w:rPr>
          <w:color w:val="000000" w:themeColor="text1"/>
          <w:u w:val="single"/>
        </w:rPr>
      </w:pPr>
      <w:r w:rsidRPr="0058432E">
        <w:rPr>
          <w:color w:val="000000" w:themeColor="text1"/>
          <w:u w:val="single"/>
        </w:rPr>
        <w:t>Adolescents atteints d’hidrosadénite suppurée âgés de 12 à 17 ans et pesant 30 kg et plus</w:t>
      </w:r>
    </w:p>
    <w:p w14:paraId="061FDB42" w14:textId="77777777" w:rsidR="00C46587" w:rsidRPr="0058432E" w:rsidRDefault="00C46587" w:rsidP="00982118">
      <w:pPr>
        <w:rPr>
          <w:color w:val="000000" w:themeColor="text1"/>
        </w:rPr>
      </w:pPr>
    </w:p>
    <w:p w14:paraId="0F2B27F4" w14:textId="77777777" w:rsidR="00C46587" w:rsidRPr="0058432E" w:rsidRDefault="00C46587" w:rsidP="00982118">
      <w:pPr>
        <w:rPr>
          <w:color w:val="000000" w:themeColor="text1"/>
        </w:rPr>
      </w:pPr>
      <w:r w:rsidRPr="0058432E">
        <w:rPr>
          <w:color w:val="000000" w:themeColor="text1"/>
        </w:rPr>
        <w:t xml:space="preserve">La posologie recommandée d’Amsparity est une dose initiale de 80 mg (administrée sous forme de deux injections de 40 mg sur un jour), suivie d’une dose de 40 mg toutes les deux semaines à partir de la semaine suivante. Si cette dose ne fonctionne pas assez bien, votre médecin pourra augmenter la posologie à 40 mg toutes les semaines ou à 80 mg toutes les deux semaines. </w:t>
      </w:r>
    </w:p>
    <w:p w14:paraId="05A87F3B" w14:textId="77777777" w:rsidR="00C46587" w:rsidRPr="0058432E" w:rsidRDefault="00C46587" w:rsidP="00982118">
      <w:pPr>
        <w:rPr>
          <w:color w:val="000000" w:themeColor="text1"/>
        </w:rPr>
      </w:pPr>
    </w:p>
    <w:p w14:paraId="2C25A7C4" w14:textId="77777777" w:rsidR="00C46587" w:rsidRPr="0058432E" w:rsidRDefault="00C46587" w:rsidP="00982118">
      <w:pPr>
        <w:rPr>
          <w:color w:val="000000" w:themeColor="text1"/>
        </w:rPr>
      </w:pPr>
      <w:r w:rsidRPr="0058432E">
        <w:rPr>
          <w:color w:val="000000" w:themeColor="text1"/>
        </w:rPr>
        <w:t xml:space="preserve">Il est recommandé de laver quotidiennement les zones concernées avec un antiseptique local. </w:t>
      </w:r>
    </w:p>
    <w:p w14:paraId="3BA1DFEC" w14:textId="77777777" w:rsidR="00C46587" w:rsidRPr="0058432E" w:rsidRDefault="00C46587" w:rsidP="00982118">
      <w:pPr>
        <w:rPr>
          <w:color w:val="000000" w:themeColor="text1"/>
        </w:rPr>
      </w:pPr>
    </w:p>
    <w:p w14:paraId="4C1832C8" w14:textId="77777777" w:rsidR="00C46587" w:rsidRPr="0058432E" w:rsidRDefault="00C46587" w:rsidP="00982118">
      <w:pPr>
        <w:keepNext/>
        <w:rPr>
          <w:color w:val="000000" w:themeColor="text1"/>
        </w:rPr>
      </w:pPr>
      <w:r w:rsidRPr="0058432E">
        <w:rPr>
          <w:color w:val="000000" w:themeColor="text1"/>
          <w:u w:val="single"/>
        </w:rPr>
        <w:t>Adultes atteints de maladie de Crohn</w:t>
      </w:r>
      <w:r w:rsidRPr="0058432E">
        <w:rPr>
          <w:color w:val="000000" w:themeColor="text1"/>
        </w:rPr>
        <w:t xml:space="preserve"> </w:t>
      </w:r>
    </w:p>
    <w:p w14:paraId="5760F886" w14:textId="77777777" w:rsidR="00C46587" w:rsidRPr="0058432E" w:rsidRDefault="00C46587" w:rsidP="00982118">
      <w:pPr>
        <w:keepNext/>
        <w:rPr>
          <w:color w:val="000000" w:themeColor="text1"/>
        </w:rPr>
      </w:pPr>
    </w:p>
    <w:p w14:paraId="3E2B0CAA" w14:textId="77777777" w:rsidR="00C46587" w:rsidRPr="0058432E" w:rsidRDefault="00C46587" w:rsidP="00982118">
      <w:pPr>
        <w:rPr>
          <w:color w:val="000000" w:themeColor="text1"/>
        </w:rPr>
      </w:pPr>
      <w:r w:rsidRPr="0058432E">
        <w:rPr>
          <w:color w:val="000000" w:themeColor="text1"/>
        </w:rPr>
        <w:t xml:space="preserve">Le schéma posologique habituel pour la maladie de Crohn est initialement de 80 mg (administré sous forme de deux injections de 40 mg sur un jour) suivi deux semaines plus tard de 40 mg </w:t>
      </w:r>
      <w:r w:rsidR="001B430D" w:rsidRPr="0058432E">
        <w:rPr>
          <w:color w:val="000000" w:themeColor="text1"/>
        </w:rPr>
        <w:t>toutes les deux semaines</w:t>
      </w:r>
      <w:r w:rsidRPr="0058432E">
        <w:rPr>
          <w:color w:val="000000" w:themeColor="text1"/>
        </w:rPr>
        <w:t xml:space="preserve">. S’il est nécessaire d’obtenir une réponse plus rapide, votre médecin pourra vous prescrire une dose initiale de 160 mg (sous forme de quatre injections de 40 mg le même jour ou de deux injections de 40 mg par jour pendant deux jours consécutifs), suivie deux semaines plus tard de 80 mg (administrée sous forme de deux injections de 40 mg sur un jour), puis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1491A363" w14:textId="77777777" w:rsidR="00C46587" w:rsidRPr="0058432E" w:rsidRDefault="00C46587" w:rsidP="00982118">
      <w:pPr>
        <w:rPr>
          <w:color w:val="000000" w:themeColor="text1"/>
        </w:rPr>
      </w:pPr>
    </w:p>
    <w:p w14:paraId="3235C756" w14:textId="77777777" w:rsidR="00C46587" w:rsidRPr="0058432E" w:rsidRDefault="00C46587" w:rsidP="00982118">
      <w:pPr>
        <w:rPr>
          <w:color w:val="000000" w:themeColor="text1"/>
        </w:rPr>
      </w:pPr>
      <w:r w:rsidRPr="0058432E">
        <w:rPr>
          <w:color w:val="000000" w:themeColor="text1"/>
          <w:u w:val="single"/>
        </w:rPr>
        <w:t>Enfants et adolescents atteints de la maladie de Crohn</w:t>
      </w:r>
      <w:r w:rsidRPr="0058432E">
        <w:rPr>
          <w:color w:val="000000" w:themeColor="text1"/>
        </w:rPr>
        <w:t xml:space="preserve"> </w:t>
      </w:r>
    </w:p>
    <w:p w14:paraId="542CF4D3" w14:textId="77777777" w:rsidR="00C46587" w:rsidRPr="0058432E" w:rsidRDefault="00C46587" w:rsidP="00982118">
      <w:pPr>
        <w:rPr>
          <w:color w:val="000000" w:themeColor="text1"/>
        </w:rPr>
      </w:pPr>
    </w:p>
    <w:p w14:paraId="5BB92089" w14:textId="77777777" w:rsidR="00C46587" w:rsidRPr="0058432E" w:rsidRDefault="00C46587" w:rsidP="00982118">
      <w:pPr>
        <w:rPr>
          <w:i/>
          <w:color w:val="000000" w:themeColor="text1"/>
        </w:rPr>
      </w:pPr>
      <w:r w:rsidRPr="0058432E">
        <w:rPr>
          <w:i/>
          <w:color w:val="000000" w:themeColor="text1"/>
        </w:rPr>
        <w:t xml:space="preserve">Enfants et adolescents de 6 à 17 ans et pesant moins de 40 kg </w:t>
      </w:r>
    </w:p>
    <w:p w14:paraId="68221876" w14:textId="77777777" w:rsidR="00C46587" w:rsidRPr="0058432E" w:rsidRDefault="00C46587" w:rsidP="00982118">
      <w:pPr>
        <w:rPr>
          <w:color w:val="000000" w:themeColor="text1"/>
        </w:rPr>
      </w:pPr>
    </w:p>
    <w:p w14:paraId="7F1147E5" w14:textId="77777777" w:rsidR="00355B9D" w:rsidRPr="0058432E" w:rsidRDefault="00946115" w:rsidP="00982118">
      <w:pPr>
        <w:rPr>
          <w:color w:val="000000" w:themeColor="text1"/>
        </w:rPr>
      </w:pPr>
      <w:r w:rsidRPr="0058432E">
        <w:rPr>
          <w:color w:val="000000" w:themeColor="text1"/>
        </w:rPr>
        <w:t>Le schéma posologique habituel</w:t>
      </w:r>
      <w:r w:rsidR="00C46587" w:rsidRPr="0058432E">
        <w:rPr>
          <w:color w:val="000000" w:themeColor="text1"/>
        </w:rPr>
        <w:t xml:space="preserve"> est </w:t>
      </w:r>
      <w:r w:rsidRPr="0058432E">
        <w:rPr>
          <w:color w:val="000000" w:themeColor="text1"/>
        </w:rPr>
        <w:t xml:space="preserve">initialement </w:t>
      </w:r>
      <w:r w:rsidR="00C46587" w:rsidRPr="0058432E">
        <w:rPr>
          <w:color w:val="000000" w:themeColor="text1"/>
        </w:rPr>
        <w:t xml:space="preserve">de 40 mg, suivie de 20 mg deux semaines plus tard. Si une réponse plus rapide est nécessaire, votre médecin pourra vous prescrire une dose initiale de </w:t>
      </w:r>
      <w:r w:rsidR="00C46587" w:rsidRPr="0058432E">
        <w:rPr>
          <w:color w:val="000000" w:themeColor="text1"/>
        </w:rPr>
        <w:lastRenderedPageBreak/>
        <w:t xml:space="preserve">80 mg (administrée sous forme de deux injections de 40 mg sur un jour), suivie de 40 mg deux semaines plus tard. </w:t>
      </w:r>
    </w:p>
    <w:p w14:paraId="55002502" w14:textId="77777777" w:rsidR="00355B9D" w:rsidRPr="0058432E" w:rsidRDefault="00355B9D" w:rsidP="00982118">
      <w:pPr>
        <w:rPr>
          <w:color w:val="000000" w:themeColor="text1"/>
        </w:rPr>
      </w:pPr>
    </w:p>
    <w:p w14:paraId="0198B1A5" w14:textId="77777777" w:rsidR="00C46587" w:rsidRPr="0058432E" w:rsidRDefault="00C46587" w:rsidP="00982118">
      <w:pPr>
        <w:rPr>
          <w:color w:val="000000" w:themeColor="text1"/>
        </w:rPr>
      </w:pPr>
      <w:r w:rsidRPr="0058432E">
        <w:rPr>
          <w:color w:val="000000" w:themeColor="text1"/>
        </w:rPr>
        <w:t xml:space="preserve">Par la suite, la posologie habituelle est de 20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20 mg toutes les semaines. </w:t>
      </w:r>
    </w:p>
    <w:p w14:paraId="59E3BA57" w14:textId="77777777" w:rsidR="00C46587" w:rsidRPr="0058432E" w:rsidRDefault="00C46587" w:rsidP="00982118">
      <w:pPr>
        <w:rPr>
          <w:color w:val="000000" w:themeColor="text1"/>
        </w:rPr>
      </w:pPr>
    </w:p>
    <w:p w14:paraId="10708CAD" w14:textId="77777777" w:rsidR="00C46587" w:rsidRPr="0058432E" w:rsidRDefault="00C46587" w:rsidP="00982118">
      <w:pPr>
        <w:rPr>
          <w:i/>
          <w:color w:val="000000" w:themeColor="text1"/>
        </w:rPr>
      </w:pPr>
      <w:r w:rsidRPr="0058432E">
        <w:rPr>
          <w:i/>
          <w:color w:val="000000" w:themeColor="text1"/>
        </w:rPr>
        <w:t>Enfants et adolescents de 6 à 17 ans et pesant 40 kg et plus</w:t>
      </w:r>
    </w:p>
    <w:p w14:paraId="48D18B75" w14:textId="77777777" w:rsidR="00C46587" w:rsidRPr="0058432E" w:rsidRDefault="00C46587" w:rsidP="00982118">
      <w:pPr>
        <w:rPr>
          <w:color w:val="000000" w:themeColor="text1"/>
        </w:rPr>
      </w:pPr>
    </w:p>
    <w:p w14:paraId="29DFF3B4" w14:textId="77777777" w:rsidR="00C46587" w:rsidRPr="0058432E" w:rsidRDefault="00946115" w:rsidP="00982118">
      <w:pPr>
        <w:rPr>
          <w:color w:val="000000" w:themeColor="text1"/>
        </w:rPr>
      </w:pPr>
      <w:r w:rsidRPr="0058432E">
        <w:rPr>
          <w:color w:val="000000" w:themeColor="text1"/>
        </w:rPr>
        <w:t>Le schéma posologique habituel</w:t>
      </w:r>
      <w:r w:rsidR="00C46587" w:rsidRPr="0058432E">
        <w:rPr>
          <w:color w:val="000000" w:themeColor="text1"/>
        </w:rPr>
        <w:t xml:space="preserve"> est </w:t>
      </w:r>
      <w:r w:rsidRPr="0058432E">
        <w:rPr>
          <w:color w:val="000000" w:themeColor="text1"/>
        </w:rPr>
        <w:t xml:space="preserve">initialement </w:t>
      </w:r>
      <w:r w:rsidR="00C46587" w:rsidRPr="0058432E">
        <w:rPr>
          <w:color w:val="000000" w:themeColor="text1"/>
        </w:rPr>
        <w:t xml:space="preserve">de 80 mg (administrée sous forme de deux injections de 40 mg sur un jour), suivie de 40 mg deux semaines plus tard. Si une réponse plus rapide est nécessaire, votre médecin pourra vous prescrire une dose initiale de 160 mg (administrée sous forme de quatre injections de 40 mg sur un jour ou de deux injections de 40 mg par jour pendant deux jours consécutifs), suivie de 80 mg (administrée sous forme de deux injections de 40 mg sur un jour) deux semaines plus tard. </w:t>
      </w:r>
    </w:p>
    <w:p w14:paraId="0F94FEF6" w14:textId="77777777" w:rsidR="00C46587" w:rsidRPr="0058432E" w:rsidRDefault="00C46587" w:rsidP="00982118">
      <w:pPr>
        <w:rPr>
          <w:color w:val="000000" w:themeColor="text1"/>
        </w:rPr>
      </w:pPr>
    </w:p>
    <w:p w14:paraId="6205CA2E" w14:textId="77777777" w:rsidR="00C46587" w:rsidRPr="0058432E" w:rsidRDefault="00C46587" w:rsidP="00982118">
      <w:pPr>
        <w:rPr>
          <w:color w:val="000000" w:themeColor="text1"/>
        </w:rPr>
      </w:pPr>
      <w:r w:rsidRPr="0058432E">
        <w:rPr>
          <w:color w:val="000000" w:themeColor="text1"/>
        </w:rPr>
        <w:t xml:space="preserve">Par la suite, la posologie habituelle est de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132A2400" w14:textId="77777777" w:rsidR="00C46587" w:rsidRPr="0058432E" w:rsidRDefault="00C46587" w:rsidP="00982118">
      <w:pPr>
        <w:rPr>
          <w:color w:val="000000" w:themeColor="text1"/>
        </w:rPr>
      </w:pPr>
    </w:p>
    <w:p w14:paraId="52B3CCF2" w14:textId="77777777" w:rsidR="00C46587" w:rsidRPr="0058432E" w:rsidRDefault="00C46587" w:rsidP="00982118">
      <w:pPr>
        <w:rPr>
          <w:color w:val="000000" w:themeColor="text1"/>
          <w:u w:val="single"/>
        </w:rPr>
      </w:pPr>
      <w:r w:rsidRPr="0058432E">
        <w:rPr>
          <w:color w:val="000000" w:themeColor="text1"/>
          <w:u w:val="single"/>
        </w:rPr>
        <w:t xml:space="preserve">Adultes atteints de rectocolite hémorragique </w:t>
      </w:r>
    </w:p>
    <w:p w14:paraId="56CA3B8D" w14:textId="77777777" w:rsidR="00C46587" w:rsidRPr="0058432E" w:rsidRDefault="00C46587" w:rsidP="00982118">
      <w:pPr>
        <w:rPr>
          <w:color w:val="000000" w:themeColor="text1"/>
        </w:rPr>
      </w:pPr>
    </w:p>
    <w:p w14:paraId="275B6FAF" w14:textId="77777777" w:rsidR="00C46587" w:rsidRPr="0058432E" w:rsidRDefault="00C46587" w:rsidP="00982118">
      <w:pPr>
        <w:rPr>
          <w:color w:val="000000" w:themeColor="text1"/>
        </w:rPr>
      </w:pPr>
      <w:r w:rsidRPr="0058432E">
        <w:rPr>
          <w:color w:val="000000" w:themeColor="text1"/>
        </w:rPr>
        <w:t>La posologie habituelle d’Amsparity chez l</w:t>
      </w:r>
      <w:r w:rsidR="005265B4" w:rsidRPr="0058432E">
        <w:rPr>
          <w:color w:val="000000" w:themeColor="text1"/>
        </w:rPr>
        <w:t>’</w:t>
      </w:r>
      <w:r w:rsidRPr="0058432E">
        <w:rPr>
          <w:color w:val="000000" w:themeColor="text1"/>
        </w:rPr>
        <w:t xml:space="preserve">adulte atteint de rectocolite hémorragique est initialement de 160 mg (administrée sous forme de quatre injections de 40 mg sur un jour ou de deux injections de 40 mg par jour pendant deux jours consécutifs), puis de 80 mg (administrée sous forme de deux injections de 40 mg sur un jour) deux semaines plus tard, puis de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79D84FC8" w14:textId="77777777" w:rsidR="00C46587" w:rsidRPr="0058432E" w:rsidRDefault="00C46587" w:rsidP="00982118">
      <w:pPr>
        <w:rPr>
          <w:color w:val="000000" w:themeColor="text1"/>
        </w:rPr>
      </w:pPr>
    </w:p>
    <w:p w14:paraId="7A79A93C" w14:textId="77777777" w:rsidR="00310811" w:rsidRPr="0058432E" w:rsidRDefault="00310811" w:rsidP="00310811">
      <w:pPr>
        <w:rPr>
          <w:color w:val="000000" w:themeColor="text1"/>
          <w:u w:val="single"/>
        </w:rPr>
      </w:pPr>
      <w:r w:rsidRPr="0058432E">
        <w:rPr>
          <w:color w:val="000000" w:themeColor="text1"/>
          <w:u w:val="single"/>
        </w:rPr>
        <w:t>Enfants et adolescents atteints de rectocolite hémorragique</w:t>
      </w:r>
    </w:p>
    <w:p w14:paraId="285E4D1F" w14:textId="77777777" w:rsidR="00310811" w:rsidRPr="0058432E" w:rsidRDefault="00310811" w:rsidP="00310811">
      <w:pPr>
        <w:rPr>
          <w:color w:val="000000" w:themeColor="text1"/>
        </w:rPr>
      </w:pPr>
    </w:p>
    <w:p w14:paraId="44C16E83" w14:textId="77777777" w:rsidR="00310811" w:rsidRPr="0058432E" w:rsidRDefault="00310811" w:rsidP="00310811">
      <w:pPr>
        <w:rPr>
          <w:i/>
          <w:color w:val="000000" w:themeColor="text1"/>
        </w:rPr>
      </w:pPr>
      <w:r w:rsidRPr="0058432E">
        <w:rPr>
          <w:i/>
          <w:color w:val="000000" w:themeColor="text1"/>
        </w:rPr>
        <w:t>Enfants et adolescents à partir de 6 ans pesant moins de 40 kg</w:t>
      </w:r>
    </w:p>
    <w:p w14:paraId="4BB95FAC" w14:textId="77777777" w:rsidR="00310811" w:rsidRPr="0058432E" w:rsidRDefault="00310811" w:rsidP="00310811">
      <w:pPr>
        <w:rPr>
          <w:color w:val="000000" w:themeColor="text1"/>
        </w:rPr>
      </w:pPr>
    </w:p>
    <w:p w14:paraId="21981949" w14:textId="77777777" w:rsidR="00310811" w:rsidRPr="0058432E" w:rsidRDefault="00310811" w:rsidP="00310811">
      <w:pPr>
        <w:rPr>
          <w:color w:val="000000" w:themeColor="text1"/>
        </w:rPr>
      </w:pPr>
      <w:r w:rsidRPr="0058432E">
        <w:rPr>
          <w:color w:val="000000" w:themeColor="text1"/>
        </w:rPr>
        <w:t>La dose initiale habituelle d’Amsparity est de 80 mg (administrée sous forme de deux injections de 40 mg sur un jour), suivie de 40 mg (administrés en une seule injection de 40 mg) deux semaines plus tard. Ensuite, la dose habituelle est de 40 mg une semaine sur deux.</w:t>
      </w:r>
    </w:p>
    <w:p w14:paraId="630ECA27" w14:textId="77777777" w:rsidR="00310811" w:rsidRPr="0058432E" w:rsidRDefault="00310811" w:rsidP="00310811">
      <w:pPr>
        <w:rPr>
          <w:color w:val="000000" w:themeColor="text1"/>
        </w:rPr>
      </w:pPr>
    </w:p>
    <w:p w14:paraId="496E22B1" w14:textId="77777777" w:rsidR="00310811" w:rsidRPr="0058432E" w:rsidRDefault="00310811" w:rsidP="00310811">
      <w:pPr>
        <w:rPr>
          <w:color w:val="000000" w:themeColor="text1"/>
        </w:rPr>
      </w:pPr>
      <w:r w:rsidRPr="0058432E">
        <w:rPr>
          <w:color w:val="000000" w:themeColor="text1"/>
        </w:rPr>
        <w:t>Les patients atteignant l’âge de 18 ans alors qu’ils reçoivent une dose de 40 mg toutes les deux semaines doivent poursuivre leur traitement à la dose prescrite.</w:t>
      </w:r>
    </w:p>
    <w:p w14:paraId="2135C90E" w14:textId="77777777" w:rsidR="00310811" w:rsidRPr="0058432E" w:rsidRDefault="00310811" w:rsidP="00310811">
      <w:pPr>
        <w:rPr>
          <w:color w:val="000000" w:themeColor="text1"/>
        </w:rPr>
      </w:pPr>
    </w:p>
    <w:p w14:paraId="276ECF04" w14:textId="77777777" w:rsidR="00310811" w:rsidRPr="0058432E" w:rsidRDefault="00310811" w:rsidP="00310811">
      <w:pPr>
        <w:rPr>
          <w:i/>
          <w:color w:val="000000" w:themeColor="text1"/>
        </w:rPr>
      </w:pPr>
      <w:r w:rsidRPr="0058432E">
        <w:rPr>
          <w:i/>
          <w:color w:val="000000" w:themeColor="text1"/>
        </w:rPr>
        <w:t>Enfants et adolescents à partir de 6 ans pesant 40 kg et plus</w:t>
      </w:r>
    </w:p>
    <w:p w14:paraId="61089761" w14:textId="77777777" w:rsidR="00310811" w:rsidRPr="0058432E" w:rsidRDefault="00310811" w:rsidP="00310811">
      <w:pPr>
        <w:rPr>
          <w:color w:val="000000" w:themeColor="text1"/>
        </w:rPr>
      </w:pPr>
    </w:p>
    <w:p w14:paraId="21A456A8" w14:textId="77777777" w:rsidR="00310811" w:rsidRPr="0058432E" w:rsidRDefault="00310811" w:rsidP="00310811">
      <w:pPr>
        <w:rPr>
          <w:color w:val="000000" w:themeColor="text1"/>
        </w:rPr>
      </w:pPr>
      <w:r w:rsidRPr="0058432E">
        <w:rPr>
          <w:color w:val="000000" w:themeColor="text1"/>
        </w:rPr>
        <w:t>La dose initiale habituelle d’Amsparity est de 160 mg (administrée sous forme de quatre injections de 40 mg sur un jour ou de deux injections de 40 mg par jour pendant deux jours consécutifs), suivie de 80 mg (administrés sous forme de deux injections de 40 mg sur un jour) deux semaines plus tard. Ensuite, la dose habituelle est de 80 mg une semaine sur deux.</w:t>
      </w:r>
    </w:p>
    <w:p w14:paraId="389D2C85" w14:textId="77777777" w:rsidR="00310811" w:rsidRPr="0058432E" w:rsidRDefault="00310811" w:rsidP="00310811">
      <w:pPr>
        <w:rPr>
          <w:color w:val="000000" w:themeColor="text1"/>
        </w:rPr>
      </w:pPr>
    </w:p>
    <w:p w14:paraId="00C1BAB8" w14:textId="77777777" w:rsidR="00310811" w:rsidRPr="0058432E" w:rsidRDefault="00310811" w:rsidP="00310811">
      <w:pPr>
        <w:rPr>
          <w:color w:val="000000" w:themeColor="text1"/>
        </w:rPr>
      </w:pPr>
      <w:r w:rsidRPr="0058432E">
        <w:rPr>
          <w:color w:val="000000" w:themeColor="text1"/>
        </w:rPr>
        <w:t>Les patients atteignant l’âge de 18 ans alors qu’ils reçoivent une dose de 80 mg toutes les deux semaines doivent poursuivre leur traitement à la dose prescrite.</w:t>
      </w:r>
    </w:p>
    <w:p w14:paraId="2324D480" w14:textId="77777777" w:rsidR="00031465" w:rsidRPr="0058432E" w:rsidRDefault="00031465" w:rsidP="00982118">
      <w:pPr>
        <w:rPr>
          <w:color w:val="000000" w:themeColor="text1"/>
        </w:rPr>
      </w:pPr>
    </w:p>
    <w:p w14:paraId="56F8FA0E" w14:textId="77777777" w:rsidR="00C46587" w:rsidRPr="0058432E" w:rsidRDefault="00C46587" w:rsidP="00982118">
      <w:pPr>
        <w:keepNext/>
        <w:rPr>
          <w:color w:val="000000" w:themeColor="text1"/>
          <w:u w:val="single"/>
        </w:rPr>
      </w:pPr>
      <w:r w:rsidRPr="0058432E">
        <w:rPr>
          <w:color w:val="000000" w:themeColor="text1"/>
          <w:u w:val="single"/>
        </w:rPr>
        <w:t>Adultes atteints d’uvéite non infectieuse</w:t>
      </w:r>
    </w:p>
    <w:p w14:paraId="289DE256" w14:textId="77777777" w:rsidR="00C46587" w:rsidRPr="0058432E" w:rsidRDefault="00C46587" w:rsidP="00982118">
      <w:pPr>
        <w:keepNext/>
        <w:rPr>
          <w:color w:val="000000" w:themeColor="text1"/>
        </w:rPr>
      </w:pPr>
    </w:p>
    <w:p w14:paraId="4C00C6F9" w14:textId="77777777" w:rsidR="00C46587" w:rsidRPr="0058432E" w:rsidRDefault="00C46587" w:rsidP="00982118">
      <w:pPr>
        <w:rPr>
          <w:color w:val="000000" w:themeColor="text1"/>
        </w:rPr>
      </w:pPr>
      <w:r w:rsidRPr="0058432E">
        <w:rPr>
          <w:color w:val="000000" w:themeColor="text1"/>
        </w:rPr>
        <w:t xml:space="preserve">La posologie habituelle chez l’adulte atteint d’uvéite non infectieuse est une dose initiale de 80 mg (administrée sous forme de deux injections de 40 mg sur un jour), suivie de 40 mg administrés </w:t>
      </w:r>
      <w:r w:rsidR="001B430D" w:rsidRPr="0058432E">
        <w:rPr>
          <w:color w:val="000000" w:themeColor="text1"/>
        </w:rPr>
        <w:t>toutes les deux semaines</w:t>
      </w:r>
      <w:r w:rsidRPr="0058432E">
        <w:rPr>
          <w:color w:val="000000" w:themeColor="text1"/>
        </w:rPr>
        <w:t xml:space="preserve"> en commençant une semaine après la dose initiale. Vous devez continuer le traitement par Amsparity aussi longtemps que vous l’a indiqué votre médecin. </w:t>
      </w:r>
    </w:p>
    <w:p w14:paraId="54DE0E1B" w14:textId="77777777" w:rsidR="00C46587" w:rsidRPr="0058432E" w:rsidRDefault="00C46587" w:rsidP="00982118">
      <w:pPr>
        <w:rPr>
          <w:color w:val="000000" w:themeColor="text1"/>
        </w:rPr>
      </w:pPr>
    </w:p>
    <w:p w14:paraId="65CFFEDE" w14:textId="77777777" w:rsidR="00C46587" w:rsidRPr="0058432E" w:rsidRDefault="00C46587" w:rsidP="00982118">
      <w:pPr>
        <w:rPr>
          <w:color w:val="000000" w:themeColor="text1"/>
        </w:rPr>
      </w:pPr>
      <w:r w:rsidRPr="0058432E">
        <w:rPr>
          <w:color w:val="000000" w:themeColor="text1"/>
        </w:rPr>
        <w:lastRenderedPageBreak/>
        <w:t xml:space="preserve">Dans l’uvéite non infectieuse, l’administration de corticoïdes ou d’autres immunomodulateurs peut être poursuivie au cours du traitement par Amsparity. Amsparity peut aussi être administré seul. </w:t>
      </w:r>
    </w:p>
    <w:p w14:paraId="77717B6A" w14:textId="77777777" w:rsidR="00C46587" w:rsidRPr="0058432E" w:rsidRDefault="00C46587" w:rsidP="00982118">
      <w:pPr>
        <w:rPr>
          <w:color w:val="000000" w:themeColor="text1"/>
        </w:rPr>
      </w:pPr>
    </w:p>
    <w:p w14:paraId="57987982" w14:textId="77777777" w:rsidR="00D97493" w:rsidRPr="0058432E" w:rsidRDefault="00D97493" w:rsidP="00982118">
      <w:pPr>
        <w:rPr>
          <w:color w:val="000000" w:themeColor="text1"/>
          <w:u w:val="single"/>
        </w:rPr>
      </w:pPr>
      <w:r w:rsidRPr="0058432E">
        <w:rPr>
          <w:color w:val="000000" w:themeColor="text1"/>
          <w:u w:val="single"/>
        </w:rPr>
        <w:t>Enfants et adolescents atteints d’uvéite chronique non infectieuse à partir de 2 ans</w:t>
      </w:r>
    </w:p>
    <w:p w14:paraId="0F7A4E91" w14:textId="77777777" w:rsidR="00D97493" w:rsidRPr="0058432E" w:rsidRDefault="00D97493" w:rsidP="00982118">
      <w:pPr>
        <w:rPr>
          <w:color w:val="000000" w:themeColor="text1"/>
          <w:u w:val="single"/>
        </w:rPr>
      </w:pPr>
    </w:p>
    <w:p w14:paraId="6224B816" w14:textId="77777777" w:rsidR="00D97493" w:rsidRPr="0058432E" w:rsidRDefault="00D97493" w:rsidP="00982118">
      <w:pPr>
        <w:rPr>
          <w:i/>
          <w:color w:val="000000" w:themeColor="text1"/>
        </w:rPr>
      </w:pPr>
      <w:r w:rsidRPr="0058432E">
        <w:rPr>
          <w:i/>
          <w:color w:val="000000" w:themeColor="text1"/>
        </w:rPr>
        <w:t>Enfants et adolescents à partir de 2 ans et pesant moins de 30 kg</w:t>
      </w:r>
    </w:p>
    <w:p w14:paraId="35B712AA" w14:textId="77777777" w:rsidR="00D97493" w:rsidRPr="0058432E" w:rsidRDefault="00D97493" w:rsidP="00982118">
      <w:pPr>
        <w:rPr>
          <w:color w:val="000000" w:themeColor="text1"/>
        </w:rPr>
      </w:pPr>
    </w:p>
    <w:p w14:paraId="4B53C219" w14:textId="77777777" w:rsidR="00D97493" w:rsidRPr="0058432E" w:rsidRDefault="00D97493" w:rsidP="00982118">
      <w:pPr>
        <w:rPr>
          <w:color w:val="000000" w:themeColor="text1"/>
        </w:rPr>
      </w:pPr>
      <w:r w:rsidRPr="0058432E">
        <w:rPr>
          <w:color w:val="000000" w:themeColor="text1"/>
        </w:rPr>
        <w:t xml:space="preserve">La dose </w:t>
      </w:r>
      <w:r w:rsidR="00F2020E" w:rsidRPr="0058432E">
        <w:rPr>
          <w:color w:val="000000" w:themeColor="text1"/>
        </w:rPr>
        <w:t xml:space="preserve">habituelle </w:t>
      </w:r>
      <w:r w:rsidRPr="0058432E">
        <w:rPr>
          <w:color w:val="000000" w:themeColor="text1"/>
        </w:rPr>
        <w:t>d’Amsparity est de 20 mg toutes les deux semaines,</w:t>
      </w:r>
      <w:r w:rsidR="00F41F6C" w:rsidRPr="0058432E">
        <w:rPr>
          <w:color w:val="000000" w:themeColor="text1"/>
        </w:rPr>
        <w:t xml:space="preserve"> </w:t>
      </w:r>
      <w:r w:rsidRPr="0058432E">
        <w:rPr>
          <w:color w:val="000000" w:themeColor="text1"/>
        </w:rPr>
        <w:t>en association au méthotrexate.</w:t>
      </w:r>
    </w:p>
    <w:p w14:paraId="674A17B7" w14:textId="77777777" w:rsidR="00D97493" w:rsidRPr="0058432E" w:rsidRDefault="00D97493" w:rsidP="00982118">
      <w:pPr>
        <w:rPr>
          <w:color w:val="000000" w:themeColor="text1"/>
        </w:rPr>
      </w:pPr>
    </w:p>
    <w:p w14:paraId="207CB122" w14:textId="77777777" w:rsidR="00D97493" w:rsidRPr="0058432E" w:rsidRDefault="00D97493" w:rsidP="00982118">
      <w:pPr>
        <w:rPr>
          <w:color w:val="000000" w:themeColor="text1"/>
        </w:rPr>
      </w:pPr>
      <w:r w:rsidRPr="0058432E">
        <w:rPr>
          <w:color w:val="000000" w:themeColor="text1"/>
        </w:rPr>
        <w:t xml:space="preserve">Votre médecin peut également prescrire une dose initiale de 40 mg qui pourra être administrée une semaine avant le début de la dose </w:t>
      </w:r>
      <w:r w:rsidR="00F2020E" w:rsidRPr="0058432E">
        <w:rPr>
          <w:color w:val="000000" w:themeColor="text1"/>
        </w:rPr>
        <w:t>habituelle</w:t>
      </w:r>
      <w:r w:rsidRPr="0058432E">
        <w:rPr>
          <w:color w:val="000000" w:themeColor="text1"/>
        </w:rPr>
        <w:t>.</w:t>
      </w:r>
    </w:p>
    <w:p w14:paraId="6AA41D2C" w14:textId="77777777" w:rsidR="00D97493" w:rsidRPr="0058432E" w:rsidRDefault="00D97493" w:rsidP="00982118">
      <w:pPr>
        <w:rPr>
          <w:color w:val="000000" w:themeColor="text1"/>
          <w:u w:val="single"/>
        </w:rPr>
      </w:pPr>
    </w:p>
    <w:p w14:paraId="35000730" w14:textId="77777777" w:rsidR="00D97493" w:rsidRPr="0058432E" w:rsidRDefault="00D97493" w:rsidP="00982118">
      <w:pPr>
        <w:keepNext/>
        <w:rPr>
          <w:i/>
          <w:color w:val="000000" w:themeColor="text1"/>
        </w:rPr>
      </w:pPr>
      <w:r w:rsidRPr="0058432E">
        <w:rPr>
          <w:i/>
          <w:color w:val="000000" w:themeColor="text1"/>
        </w:rPr>
        <w:t>Enfants et adolescents à partir de 2 ans et pesant 30 kg et plus</w:t>
      </w:r>
    </w:p>
    <w:p w14:paraId="5D208CFC" w14:textId="77777777" w:rsidR="00D97493" w:rsidRPr="0058432E" w:rsidRDefault="00D97493" w:rsidP="00982118">
      <w:pPr>
        <w:keepNext/>
        <w:rPr>
          <w:color w:val="000000" w:themeColor="text1"/>
        </w:rPr>
      </w:pPr>
    </w:p>
    <w:p w14:paraId="44CD8380" w14:textId="77777777" w:rsidR="00D97493" w:rsidRPr="0058432E" w:rsidRDefault="00D97493" w:rsidP="00982118">
      <w:pPr>
        <w:rPr>
          <w:color w:val="000000" w:themeColor="text1"/>
        </w:rPr>
      </w:pPr>
      <w:r w:rsidRPr="0058432E">
        <w:rPr>
          <w:color w:val="000000" w:themeColor="text1"/>
        </w:rPr>
        <w:t xml:space="preserve">La dose </w:t>
      </w:r>
      <w:r w:rsidR="00F2020E" w:rsidRPr="0058432E">
        <w:rPr>
          <w:color w:val="000000" w:themeColor="text1"/>
        </w:rPr>
        <w:t xml:space="preserve">habituelle </w:t>
      </w:r>
      <w:r w:rsidRPr="0058432E">
        <w:rPr>
          <w:color w:val="000000" w:themeColor="text1"/>
        </w:rPr>
        <w:t>d’Amsparity est de 40</w:t>
      </w:r>
      <w:r w:rsidR="003B404C" w:rsidRPr="0058432E">
        <w:rPr>
          <w:color w:val="000000" w:themeColor="text1"/>
        </w:rPr>
        <w:t> </w:t>
      </w:r>
      <w:r w:rsidRPr="0058432E">
        <w:rPr>
          <w:color w:val="000000" w:themeColor="text1"/>
        </w:rPr>
        <w:t>mg toutes les deux semaines,</w:t>
      </w:r>
      <w:r w:rsidR="00F41F6C" w:rsidRPr="0058432E">
        <w:rPr>
          <w:color w:val="000000" w:themeColor="text1"/>
        </w:rPr>
        <w:t xml:space="preserve"> </w:t>
      </w:r>
      <w:r w:rsidRPr="0058432E">
        <w:rPr>
          <w:color w:val="000000" w:themeColor="text1"/>
        </w:rPr>
        <w:t>en association au méthotrexate.</w:t>
      </w:r>
    </w:p>
    <w:p w14:paraId="1B3AAB2E" w14:textId="77777777" w:rsidR="00D97493" w:rsidRPr="0058432E" w:rsidRDefault="00D97493" w:rsidP="00982118">
      <w:pPr>
        <w:rPr>
          <w:color w:val="000000" w:themeColor="text1"/>
        </w:rPr>
      </w:pPr>
    </w:p>
    <w:p w14:paraId="34C5C9D8" w14:textId="77777777" w:rsidR="00D97493" w:rsidRPr="0058432E" w:rsidRDefault="00D97493" w:rsidP="00982118">
      <w:pPr>
        <w:rPr>
          <w:color w:val="000000" w:themeColor="text1"/>
        </w:rPr>
      </w:pPr>
      <w:r w:rsidRPr="0058432E">
        <w:rPr>
          <w:color w:val="000000" w:themeColor="text1"/>
        </w:rPr>
        <w:t>Votre médecin peut également prescrire une dose initiale de 80</w:t>
      </w:r>
      <w:r w:rsidR="00507786" w:rsidRPr="0058432E">
        <w:rPr>
          <w:color w:val="000000" w:themeColor="text1"/>
        </w:rPr>
        <w:t> </w:t>
      </w:r>
      <w:r w:rsidRPr="0058432E">
        <w:rPr>
          <w:color w:val="000000" w:themeColor="text1"/>
        </w:rPr>
        <w:t xml:space="preserve">mg qui pourra être administrée une semaine avant le début de la dose </w:t>
      </w:r>
      <w:r w:rsidR="00F2020E" w:rsidRPr="0058432E">
        <w:rPr>
          <w:color w:val="000000" w:themeColor="text1"/>
        </w:rPr>
        <w:t>habituelle</w:t>
      </w:r>
      <w:r w:rsidRPr="0058432E">
        <w:rPr>
          <w:color w:val="000000" w:themeColor="text1"/>
        </w:rPr>
        <w:t>.</w:t>
      </w:r>
    </w:p>
    <w:p w14:paraId="22DD3DE9" w14:textId="77777777" w:rsidR="00C46587" w:rsidRPr="0058432E" w:rsidRDefault="00C46587" w:rsidP="00982118">
      <w:pPr>
        <w:rPr>
          <w:color w:val="000000" w:themeColor="text1"/>
        </w:rPr>
      </w:pPr>
    </w:p>
    <w:p w14:paraId="1C9CD057" w14:textId="77777777" w:rsidR="00C46587" w:rsidRPr="0058432E" w:rsidRDefault="00C46587" w:rsidP="00982118">
      <w:pPr>
        <w:rPr>
          <w:b/>
          <w:color w:val="000000" w:themeColor="text1"/>
        </w:rPr>
      </w:pPr>
      <w:r w:rsidRPr="0058432E">
        <w:rPr>
          <w:b/>
          <w:color w:val="000000" w:themeColor="text1"/>
        </w:rPr>
        <w:t xml:space="preserve">Mode et voie d’administration </w:t>
      </w:r>
    </w:p>
    <w:p w14:paraId="46F15207" w14:textId="77777777" w:rsidR="00C46587" w:rsidRPr="0058432E" w:rsidRDefault="00C46587" w:rsidP="00982118">
      <w:pPr>
        <w:rPr>
          <w:color w:val="000000" w:themeColor="text1"/>
        </w:rPr>
      </w:pPr>
    </w:p>
    <w:p w14:paraId="32E4A7C4" w14:textId="77777777" w:rsidR="00C46587" w:rsidRPr="0058432E" w:rsidRDefault="006A1144" w:rsidP="00982118">
      <w:pPr>
        <w:rPr>
          <w:color w:val="000000" w:themeColor="text1"/>
        </w:rPr>
      </w:pPr>
      <w:r w:rsidRPr="0058432E">
        <w:rPr>
          <w:color w:val="000000" w:themeColor="text1"/>
        </w:rPr>
        <w:t>Amsparity est administré par injection sous la peau (</w:t>
      </w:r>
      <w:r w:rsidR="008E6B7B" w:rsidRPr="0058432E">
        <w:rPr>
          <w:color w:val="000000" w:themeColor="text1"/>
        </w:rPr>
        <w:t xml:space="preserve">par </w:t>
      </w:r>
      <w:r w:rsidRPr="0058432E">
        <w:rPr>
          <w:color w:val="000000" w:themeColor="text1"/>
        </w:rPr>
        <w:t xml:space="preserve">injection sous-cutanée). </w:t>
      </w:r>
    </w:p>
    <w:p w14:paraId="0904E026" w14:textId="77777777" w:rsidR="00C46587" w:rsidRPr="0058432E" w:rsidRDefault="00C46587" w:rsidP="00982118">
      <w:pPr>
        <w:rPr>
          <w:color w:val="000000" w:themeColor="text1"/>
        </w:rPr>
      </w:pPr>
    </w:p>
    <w:p w14:paraId="1B17D265" w14:textId="77777777" w:rsidR="005D12B7" w:rsidRPr="0058432E" w:rsidRDefault="005D12B7" w:rsidP="00C831C4">
      <w:pPr>
        <w:rPr>
          <w:b/>
          <w:color w:val="000000" w:themeColor="text1"/>
        </w:rPr>
      </w:pPr>
      <w:r w:rsidRPr="0058432E">
        <w:rPr>
          <w:b/>
          <w:color w:val="000000" w:themeColor="text1"/>
        </w:rPr>
        <w:t xml:space="preserve">Des instructions détaillées sur la façon d’injecter Amsparity, les instructions d’utilisation, sont fournies à la fin de cette notice. </w:t>
      </w:r>
    </w:p>
    <w:p w14:paraId="7BEF3631" w14:textId="77777777" w:rsidR="00DE4467" w:rsidRPr="0058432E" w:rsidRDefault="00DE4467" w:rsidP="00982118">
      <w:pPr>
        <w:rPr>
          <w:b/>
          <w:color w:val="000000" w:themeColor="text1"/>
        </w:rPr>
      </w:pPr>
    </w:p>
    <w:p w14:paraId="22FEFD46" w14:textId="77777777" w:rsidR="00C46587" w:rsidRPr="0058432E" w:rsidRDefault="00C46587" w:rsidP="00982118">
      <w:pPr>
        <w:rPr>
          <w:b/>
          <w:color w:val="000000" w:themeColor="text1"/>
        </w:rPr>
      </w:pPr>
      <w:r w:rsidRPr="0058432E">
        <w:rPr>
          <w:b/>
          <w:color w:val="000000" w:themeColor="text1"/>
        </w:rPr>
        <w:t xml:space="preserve">Si vous avez utilisé plus d’Amsparity que vous n’auriez dû </w:t>
      </w:r>
    </w:p>
    <w:p w14:paraId="2B47297E" w14:textId="77777777" w:rsidR="00C46587" w:rsidRPr="0058432E" w:rsidRDefault="00C46587" w:rsidP="00982118">
      <w:pPr>
        <w:rPr>
          <w:color w:val="000000" w:themeColor="text1"/>
        </w:rPr>
      </w:pPr>
    </w:p>
    <w:p w14:paraId="640F900D" w14:textId="77777777" w:rsidR="00C46587" w:rsidRPr="0058432E" w:rsidRDefault="00C46587" w:rsidP="00982118">
      <w:pPr>
        <w:rPr>
          <w:color w:val="000000" w:themeColor="text1"/>
        </w:rPr>
      </w:pPr>
      <w:r w:rsidRPr="0058432E">
        <w:rPr>
          <w:color w:val="000000" w:themeColor="text1"/>
        </w:rPr>
        <w:t xml:space="preserve">Si vous avez injecté accidentellement Amsparity plus souvent que vous ne l’auriez dû, appelez votre médecin ou pharmacien et expliquez-lui que vous en avez pris plus que nécessaire. Gardez toujours avec vous la boîte du médicament, même si elle est vide. </w:t>
      </w:r>
    </w:p>
    <w:p w14:paraId="4416354A" w14:textId="77777777" w:rsidR="00C46587" w:rsidRPr="0058432E" w:rsidRDefault="00C46587" w:rsidP="00982118">
      <w:pPr>
        <w:rPr>
          <w:color w:val="000000" w:themeColor="text1"/>
        </w:rPr>
      </w:pPr>
    </w:p>
    <w:p w14:paraId="2307274F" w14:textId="77777777" w:rsidR="00C46587" w:rsidRPr="0058432E" w:rsidRDefault="00C46587" w:rsidP="00982118">
      <w:pPr>
        <w:rPr>
          <w:b/>
          <w:color w:val="000000" w:themeColor="text1"/>
        </w:rPr>
      </w:pPr>
      <w:r w:rsidRPr="0058432E">
        <w:rPr>
          <w:b/>
          <w:color w:val="000000" w:themeColor="text1"/>
        </w:rPr>
        <w:t>Si vous oubliez d’utiliser Amsparity</w:t>
      </w:r>
    </w:p>
    <w:p w14:paraId="647BC9DA" w14:textId="77777777" w:rsidR="00C46587" w:rsidRPr="0058432E" w:rsidRDefault="00C46587" w:rsidP="00982118">
      <w:pPr>
        <w:rPr>
          <w:color w:val="000000" w:themeColor="text1"/>
        </w:rPr>
      </w:pPr>
    </w:p>
    <w:p w14:paraId="7BFBAD52" w14:textId="77777777" w:rsidR="00C46587" w:rsidRPr="0058432E" w:rsidRDefault="00C46587" w:rsidP="00982118">
      <w:pPr>
        <w:rPr>
          <w:color w:val="000000" w:themeColor="text1"/>
        </w:rPr>
      </w:pPr>
      <w:r w:rsidRPr="0058432E">
        <w:rPr>
          <w:color w:val="000000" w:themeColor="text1"/>
        </w:rPr>
        <w:t xml:space="preserve">Si vous oubliez de vous faire une injection, vous devez vous injecter Amsparity dès que vous vous en rendez compte. Puis injectez la dose suivante à la date qui avait été initialement prévue si vous n’aviez pas oublié une dose. </w:t>
      </w:r>
    </w:p>
    <w:p w14:paraId="01353008" w14:textId="77777777" w:rsidR="00C46587" w:rsidRPr="0058432E" w:rsidRDefault="00C46587" w:rsidP="00982118">
      <w:pPr>
        <w:rPr>
          <w:color w:val="000000" w:themeColor="text1"/>
        </w:rPr>
      </w:pPr>
    </w:p>
    <w:p w14:paraId="70806584" w14:textId="77777777" w:rsidR="00C46587" w:rsidRPr="0058432E" w:rsidRDefault="00C46587" w:rsidP="00982118">
      <w:pPr>
        <w:keepNext/>
        <w:rPr>
          <w:b/>
          <w:color w:val="000000" w:themeColor="text1"/>
        </w:rPr>
      </w:pPr>
      <w:r w:rsidRPr="0058432E">
        <w:rPr>
          <w:b/>
          <w:color w:val="000000" w:themeColor="text1"/>
        </w:rPr>
        <w:t>Si vous arrêtez d’utiliser Amsparity</w:t>
      </w:r>
    </w:p>
    <w:p w14:paraId="08C36528" w14:textId="77777777" w:rsidR="00C46587" w:rsidRPr="0058432E" w:rsidRDefault="00C46587" w:rsidP="00982118">
      <w:pPr>
        <w:rPr>
          <w:color w:val="000000" w:themeColor="text1"/>
        </w:rPr>
      </w:pPr>
    </w:p>
    <w:p w14:paraId="4B0C5346" w14:textId="77777777" w:rsidR="00C46587" w:rsidRPr="0058432E" w:rsidRDefault="00C46587" w:rsidP="00982118">
      <w:pPr>
        <w:rPr>
          <w:color w:val="000000" w:themeColor="text1"/>
        </w:rPr>
      </w:pPr>
      <w:r w:rsidRPr="0058432E">
        <w:rPr>
          <w:color w:val="000000" w:themeColor="text1"/>
        </w:rPr>
        <w:t xml:space="preserve">La décision d’arrêter d’utiliser Amsparity doit être discutée avec votre médecin. Vos symptômes peuvent revenir à l’arrêt du traitement. </w:t>
      </w:r>
    </w:p>
    <w:p w14:paraId="32E3708F" w14:textId="77777777" w:rsidR="00C46587" w:rsidRPr="0058432E" w:rsidRDefault="00C46587" w:rsidP="00982118">
      <w:pPr>
        <w:rPr>
          <w:color w:val="000000" w:themeColor="text1"/>
        </w:rPr>
      </w:pPr>
    </w:p>
    <w:p w14:paraId="5A61E667" w14:textId="77777777" w:rsidR="00C46587" w:rsidRPr="0058432E" w:rsidRDefault="00C46587" w:rsidP="00982118">
      <w:pPr>
        <w:rPr>
          <w:color w:val="000000" w:themeColor="text1"/>
        </w:rPr>
      </w:pPr>
      <w:r w:rsidRPr="0058432E">
        <w:rPr>
          <w:color w:val="000000" w:themeColor="text1"/>
        </w:rPr>
        <w:t xml:space="preserve">Si vous avez d’autres questions sur l’utilisation de ce médicament, demandez plus d’informations à votre médecin ou à votre pharmacien. </w:t>
      </w:r>
    </w:p>
    <w:p w14:paraId="78D0F00E" w14:textId="77777777" w:rsidR="00C46587" w:rsidRPr="0058432E" w:rsidRDefault="00C46587" w:rsidP="00982118">
      <w:pPr>
        <w:rPr>
          <w:color w:val="000000" w:themeColor="text1"/>
        </w:rPr>
      </w:pPr>
    </w:p>
    <w:p w14:paraId="029645D8" w14:textId="77777777" w:rsidR="00C46587" w:rsidRPr="0058432E" w:rsidRDefault="00C46587" w:rsidP="00982118">
      <w:pPr>
        <w:rPr>
          <w:color w:val="000000" w:themeColor="text1"/>
        </w:rPr>
      </w:pPr>
    </w:p>
    <w:p w14:paraId="5A023394" w14:textId="77777777" w:rsidR="00C46587" w:rsidRPr="0058432E" w:rsidRDefault="00C46587" w:rsidP="00982118">
      <w:pPr>
        <w:keepNext/>
        <w:tabs>
          <w:tab w:val="left" w:pos="562"/>
        </w:tabs>
        <w:rPr>
          <w:b/>
          <w:color w:val="000000" w:themeColor="text1"/>
        </w:rPr>
      </w:pPr>
      <w:r w:rsidRPr="0058432E">
        <w:rPr>
          <w:b/>
          <w:color w:val="000000" w:themeColor="text1"/>
        </w:rPr>
        <w:t>4.</w:t>
      </w:r>
      <w:r w:rsidRPr="0058432E">
        <w:rPr>
          <w:b/>
          <w:color w:val="000000" w:themeColor="text1"/>
        </w:rPr>
        <w:tab/>
        <w:t xml:space="preserve">Quels sont les effets indésirables éventuels ? </w:t>
      </w:r>
    </w:p>
    <w:p w14:paraId="218192E1" w14:textId="77777777" w:rsidR="00C46587" w:rsidRPr="0058432E" w:rsidRDefault="00C46587" w:rsidP="00982118">
      <w:pPr>
        <w:keepNext/>
        <w:rPr>
          <w:color w:val="000000" w:themeColor="text1"/>
        </w:rPr>
      </w:pPr>
    </w:p>
    <w:p w14:paraId="02EC919E" w14:textId="77777777" w:rsidR="00C46587" w:rsidRPr="0058432E" w:rsidRDefault="00C46587" w:rsidP="00982118">
      <w:pPr>
        <w:rPr>
          <w:color w:val="000000" w:themeColor="text1"/>
        </w:rPr>
      </w:pPr>
      <w:r w:rsidRPr="0058432E">
        <w:rPr>
          <w:color w:val="000000" w:themeColor="text1"/>
        </w:rPr>
        <w:t xml:space="preserve">Comme tous les médicaments, ce médicament peut provoquer des effets indésirables, mais ils ne surviennent pas systématiquement chez tout le monde. La plupart sont légers ou </w:t>
      </w:r>
      <w:r w:rsidR="008E6B7B" w:rsidRPr="0058432E">
        <w:rPr>
          <w:color w:val="000000" w:themeColor="text1"/>
        </w:rPr>
        <w:t>modérés</w:t>
      </w:r>
      <w:r w:rsidRPr="0058432E">
        <w:rPr>
          <w:color w:val="000000" w:themeColor="text1"/>
        </w:rPr>
        <w:t xml:space="preserve">. Cependant, certains peuvent être graves et nécessiter un traitement. Les effets indésirables peuvent survenir au moins encore 4 mois après la dernière injection d’Amsparity. </w:t>
      </w:r>
    </w:p>
    <w:p w14:paraId="489AFFA3" w14:textId="77777777" w:rsidR="00C46587" w:rsidRPr="0058432E" w:rsidRDefault="00C46587" w:rsidP="00982118">
      <w:pPr>
        <w:rPr>
          <w:color w:val="000000" w:themeColor="text1"/>
        </w:rPr>
      </w:pPr>
    </w:p>
    <w:p w14:paraId="7D4DF49E" w14:textId="77777777" w:rsidR="00C46587" w:rsidRPr="0058432E" w:rsidRDefault="00057706" w:rsidP="00982118">
      <w:pPr>
        <w:rPr>
          <w:color w:val="000000" w:themeColor="text1"/>
        </w:rPr>
      </w:pPr>
      <w:r w:rsidRPr="0058432E">
        <w:rPr>
          <w:b/>
          <w:color w:val="000000" w:themeColor="text1"/>
        </w:rPr>
        <w:t>Vous devez consulter un médecin en urgence</w:t>
      </w:r>
      <w:r w:rsidRPr="0058432E">
        <w:rPr>
          <w:color w:val="000000" w:themeColor="text1"/>
        </w:rPr>
        <w:t xml:space="preserve"> si vous remarquez l’un des signes suivants :</w:t>
      </w:r>
    </w:p>
    <w:p w14:paraId="32AE5187" w14:textId="77777777" w:rsidR="00194625" w:rsidRPr="0058432E" w:rsidRDefault="00194625" w:rsidP="00982118">
      <w:pPr>
        <w:rPr>
          <w:color w:val="000000" w:themeColor="text1"/>
        </w:rPr>
      </w:pPr>
    </w:p>
    <w:p w14:paraId="647A72E5"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cutanée sévère, urticaire ou autres signes de réaction allergique ; </w:t>
      </w:r>
    </w:p>
    <w:p w14:paraId="4896A6A3"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lastRenderedPageBreak/>
        <w:t>gonflement</w:t>
      </w:r>
      <w:proofErr w:type="gramEnd"/>
      <w:r w:rsidRPr="0058432E">
        <w:rPr>
          <w:color w:val="000000" w:themeColor="text1"/>
        </w:rPr>
        <w:t xml:space="preserve"> de la face, des mains, des pieds ; </w:t>
      </w:r>
    </w:p>
    <w:p w14:paraId="5683A72F"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gêne</w:t>
      </w:r>
      <w:proofErr w:type="gramEnd"/>
      <w:r w:rsidRPr="0058432E">
        <w:rPr>
          <w:color w:val="000000" w:themeColor="text1"/>
        </w:rPr>
        <w:t xml:space="preserve"> respiratoire, gêne en avalant ; </w:t>
      </w:r>
    </w:p>
    <w:p w14:paraId="13B1AC77"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essoufflement</w:t>
      </w:r>
      <w:proofErr w:type="gramEnd"/>
      <w:r w:rsidRPr="0058432E">
        <w:rPr>
          <w:color w:val="000000" w:themeColor="text1"/>
        </w:rPr>
        <w:t xml:space="preserve"> à l’effort ou en position allongée ou gonflement des pieds. </w:t>
      </w:r>
    </w:p>
    <w:p w14:paraId="22320469" w14:textId="77777777" w:rsidR="00032527" w:rsidRPr="0058432E" w:rsidRDefault="00032527" w:rsidP="00982118">
      <w:pPr>
        <w:rPr>
          <w:color w:val="000000" w:themeColor="text1"/>
        </w:rPr>
      </w:pPr>
    </w:p>
    <w:p w14:paraId="73DFE5F1" w14:textId="77777777" w:rsidR="00C46587" w:rsidRPr="0058432E" w:rsidRDefault="00C46587" w:rsidP="00982118">
      <w:pPr>
        <w:rPr>
          <w:color w:val="000000" w:themeColor="text1"/>
        </w:rPr>
      </w:pPr>
      <w:r w:rsidRPr="0058432E">
        <w:rPr>
          <w:b/>
          <w:color w:val="000000" w:themeColor="text1"/>
        </w:rPr>
        <w:t>Informez votre médecin dès que possible</w:t>
      </w:r>
      <w:r w:rsidRPr="0058432E">
        <w:rPr>
          <w:color w:val="000000" w:themeColor="text1"/>
        </w:rPr>
        <w:t xml:space="preserve"> si vous constatez l’un des effets suivants :</w:t>
      </w:r>
    </w:p>
    <w:p w14:paraId="6F85386C" w14:textId="77777777" w:rsidR="00194625" w:rsidRPr="0058432E" w:rsidRDefault="00194625" w:rsidP="00982118">
      <w:pPr>
        <w:rPr>
          <w:color w:val="000000" w:themeColor="text1"/>
        </w:rPr>
      </w:pPr>
    </w:p>
    <w:p w14:paraId="64D27A66"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signes</w:t>
      </w:r>
      <w:proofErr w:type="gramEnd"/>
      <w:r w:rsidR="008E6B7B" w:rsidRPr="0058432E">
        <w:rPr>
          <w:color w:val="000000" w:themeColor="text1"/>
        </w:rPr>
        <w:t xml:space="preserve"> et symptômes</w:t>
      </w:r>
      <w:r w:rsidRPr="0058432E">
        <w:rPr>
          <w:color w:val="000000" w:themeColor="text1"/>
        </w:rPr>
        <w:t xml:space="preserve"> d’infection tels que fièvre, nausées, plaies, problèmes dentaires, brûlures en urinant, sensation de faiblesse ou de fatigue ou toux ; </w:t>
      </w:r>
    </w:p>
    <w:p w14:paraId="79AE7BEF" w14:textId="77777777" w:rsidR="00C46587" w:rsidRPr="0058432E" w:rsidRDefault="00560B5D" w:rsidP="00982118">
      <w:pPr>
        <w:numPr>
          <w:ilvl w:val="0"/>
          <w:numId w:val="7"/>
        </w:numPr>
        <w:ind w:left="562" w:hanging="562"/>
        <w:rPr>
          <w:color w:val="000000" w:themeColor="text1"/>
        </w:rPr>
      </w:pPr>
      <w:proofErr w:type="gramStart"/>
      <w:r w:rsidRPr="0058432E">
        <w:rPr>
          <w:color w:val="000000" w:themeColor="text1"/>
        </w:rPr>
        <w:t>symptômes</w:t>
      </w:r>
      <w:proofErr w:type="gramEnd"/>
      <w:r w:rsidRPr="0058432E">
        <w:rPr>
          <w:color w:val="000000" w:themeColor="text1"/>
        </w:rPr>
        <w:t xml:space="preserve"> de problèmes nerveux tels que picotements, engourdissement, vision double, ou faiblesse des bras ou des jambes ; </w:t>
      </w:r>
    </w:p>
    <w:p w14:paraId="35D57AB5" w14:textId="77777777" w:rsidR="00C46587" w:rsidRPr="0058432E" w:rsidRDefault="009423DD" w:rsidP="00982118">
      <w:pPr>
        <w:numPr>
          <w:ilvl w:val="0"/>
          <w:numId w:val="7"/>
        </w:numPr>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de cancer de la peau tels qu’un</w:t>
      </w:r>
      <w:r w:rsidR="00BD0386" w:rsidRPr="0058432E">
        <w:rPr>
          <w:color w:val="000000" w:themeColor="text1"/>
        </w:rPr>
        <w:t>e bosse</w:t>
      </w:r>
      <w:r w:rsidRPr="0058432E">
        <w:rPr>
          <w:color w:val="000000" w:themeColor="text1"/>
        </w:rPr>
        <w:t xml:space="preserve"> ou une plaie ouverte qui ne cicatrise pas ; </w:t>
      </w:r>
    </w:p>
    <w:p w14:paraId="59D14765"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et symptômes évocateurs de troubles sanguins tels que fièvre persistante, contusions, saignements, pâleur. </w:t>
      </w:r>
    </w:p>
    <w:p w14:paraId="4CACDF22" w14:textId="77777777" w:rsidR="00C46587" w:rsidRPr="0058432E" w:rsidRDefault="00C46587" w:rsidP="00982118">
      <w:pPr>
        <w:rPr>
          <w:color w:val="000000" w:themeColor="text1"/>
        </w:rPr>
      </w:pPr>
    </w:p>
    <w:p w14:paraId="1EF8F558" w14:textId="77777777" w:rsidR="00C46587" w:rsidRPr="0058432E" w:rsidRDefault="005500A5" w:rsidP="00982118">
      <w:pPr>
        <w:rPr>
          <w:color w:val="000000" w:themeColor="text1"/>
        </w:rPr>
      </w:pPr>
      <w:r w:rsidRPr="0058432E">
        <w:rPr>
          <w:color w:val="000000" w:themeColor="text1"/>
        </w:rPr>
        <w:t>Les signes et symptômes décrits ci-dessus peuvent représenter les effets indésirables listés ci-dessous, qui ont été observés avec l’adalimumab :</w:t>
      </w:r>
    </w:p>
    <w:p w14:paraId="4FE8EA37" w14:textId="77777777" w:rsidR="005500A5" w:rsidRPr="0058432E" w:rsidRDefault="005500A5" w:rsidP="00982118">
      <w:pPr>
        <w:rPr>
          <w:color w:val="000000" w:themeColor="text1"/>
        </w:rPr>
      </w:pPr>
    </w:p>
    <w:p w14:paraId="356E1121" w14:textId="77777777" w:rsidR="00C46587" w:rsidRPr="0058432E" w:rsidRDefault="00C46587" w:rsidP="00982118">
      <w:pPr>
        <w:rPr>
          <w:color w:val="000000" w:themeColor="text1"/>
        </w:rPr>
      </w:pPr>
      <w:r w:rsidRPr="0058432E">
        <w:rPr>
          <w:b/>
          <w:color w:val="000000" w:themeColor="text1"/>
        </w:rPr>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w:t>
      </w:r>
    </w:p>
    <w:p w14:paraId="5A93EDF6" w14:textId="77777777" w:rsidR="00C46587" w:rsidRPr="0058432E" w:rsidRDefault="00C46587" w:rsidP="00982118">
      <w:pPr>
        <w:rPr>
          <w:color w:val="000000" w:themeColor="text1"/>
        </w:rPr>
      </w:pPr>
    </w:p>
    <w:p w14:paraId="781CE17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au point d’injection (dont douleur, tuméfaction, rougeur ou démangeaison) ; </w:t>
      </w:r>
    </w:p>
    <w:p w14:paraId="0701752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voies respiratoires (y compris rhume, nez qui coule, sinusite, pneumonie) ; </w:t>
      </w:r>
    </w:p>
    <w:p w14:paraId="5DF94A5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maux</w:t>
      </w:r>
      <w:proofErr w:type="gramEnd"/>
      <w:r w:rsidRPr="0058432E">
        <w:rPr>
          <w:color w:val="000000" w:themeColor="text1"/>
        </w:rPr>
        <w:t xml:space="preserve"> de tête ; </w:t>
      </w:r>
    </w:p>
    <w:p w14:paraId="3FA5C34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abdominales (au ventre) ; </w:t>
      </w:r>
    </w:p>
    <w:p w14:paraId="55411BD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 ; </w:t>
      </w:r>
    </w:p>
    <w:p w14:paraId="3DD5BE8E"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w:t>
      </w:r>
      <w:proofErr w:type="gramStart"/>
      <w:r w:rsidRPr="0058432E">
        <w:rPr>
          <w:color w:val="000000" w:themeColor="text1"/>
        </w:rPr>
        <w:t xml:space="preserve">cutanée </w:t>
      </w:r>
      <w:r w:rsidR="00C46587" w:rsidRPr="0058432E">
        <w:rPr>
          <w:color w:val="000000" w:themeColor="text1"/>
        </w:rPr>
        <w:t> ;</w:t>
      </w:r>
      <w:proofErr w:type="gramEnd"/>
      <w:r w:rsidR="00C46587" w:rsidRPr="0058432E">
        <w:rPr>
          <w:color w:val="000000" w:themeColor="text1"/>
        </w:rPr>
        <w:t xml:space="preserve"> </w:t>
      </w:r>
    </w:p>
    <w:p w14:paraId="4BFC10F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dans les muscles ou les articulations. </w:t>
      </w:r>
    </w:p>
    <w:p w14:paraId="2022F912" w14:textId="77777777" w:rsidR="00C46587" w:rsidRPr="0058432E" w:rsidRDefault="00C46587" w:rsidP="00982118">
      <w:pPr>
        <w:rPr>
          <w:color w:val="000000" w:themeColor="text1"/>
        </w:rPr>
      </w:pPr>
    </w:p>
    <w:p w14:paraId="78B9E341" w14:textId="77777777" w:rsidR="00C46587" w:rsidRPr="0058432E" w:rsidRDefault="00C46587" w:rsidP="00982118">
      <w:pPr>
        <w:rPr>
          <w:color w:val="000000" w:themeColor="text1"/>
        </w:rPr>
      </w:pPr>
      <w:r w:rsidRPr="0058432E">
        <w:rPr>
          <w:b/>
          <w:color w:val="000000" w:themeColor="text1"/>
        </w:rPr>
        <w:t xml:space="preserve">Fréquent </w:t>
      </w:r>
      <w:r w:rsidRPr="0058432E">
        <w:rPr>
          <w:color w:val="000000" w:themeColor="text1"/>
        </w:rPr>
        <w:t>(</w:t>
      </w:r>
      <w:r w:rsidR="00B42EC9" w:rsidRPr="0058432E">
        <w:rPr>
          <w:color w:val="000000" w:themeColor="text1"/>
        </w:rPr>
        <w:t>peut</w:t>
      </w:r>
      <w:r w:rsidRPr="0058432E">
        <w:rPr>
          <w:color w:val="000000" w:themeColor="text1"/>
        </w:rPr>
        <w:t xml:space="preserve"> affecter jusqu’à 1 personne sur 10)</w:t>
      </w:r>
    </w:p>
    <w:p w14:paraId="0E502BE7" w14:textId="77777777" w:rsidR="00C46587" w:rsidRPr="0058432E" w:rsidRDefault="00C46587" w:rsidP="00982118">
      <w:pPr>
        <w:rPr>
          <w:color w:val="000000" w:themeColor="text1"/>
        </w:rPr>
      </w:pPr>
    </w:p>
    <w:p w14:paraId="34B0F6FD" w14:textId="77777777" w:rsidR="00C46587" w:rsidRPr="0058432E" w:rsidRDefault="00C11533"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graves (y compris empoisonnement du sang et grippe) ; </w:t>
      </w:r>
    </w:p>
    <w:p w14:paraId="040018FD" w14:textId="77777777" w:rsidR="003B2330" w:rsidRPr="0058432E" w:rsidRDefault="003B2330"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w:t>
      </w:r>
    </w:p>
    <w:p w14:paraId="12CB438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cutanées (y compris cellulite et zona) ; </w:t>
      </w:r>
    </w:p>
    <w:p w14:paraId="1AEB676B" w14:textId="77777777" w:rsidR="00594865"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 l’oreille ; </w:t>
      </w:r>
    </w:p>
    <w:p w14:paraId="53EB3CA0" w14:textId="77777777" w:rsidR="00C46587" w:rsidRPr="0058432E" w:rsidRDefault="00CD1576"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infections dentaires et boutons de fièvre) ; </w:t>
      </w:r>
    </w:p>
    <w:p w14:paraId="0281AE4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 </w:t>
      </w:r>
    </w:p>
    <w:p w14:paraId="44079FB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w:t>
      </w:r>
      <w:r w:rsidR="00BD0386" w:rsidRPr="0058432E">
        <w:rPr>
          <w:color w:val="000000" w:themeColor="text1"/>
        </w:rPr>
        <w:t xml:space="preserve">des voies </w:t>
      </w:r>
      <w:r w:rsidRPr="0058432E">
        <w:rPr>
          <w:color w:val="000000" w:themeColor="text1"/>
        </w:rPr>
        <w:t xml:space="preserve">urinaires ; </w:t>
      </w:r>
    </w:p>
    <w:p w14:paraId="738681E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fongiques ; </w:t>
      </w:r>
    </w:p>
    <w:p w14:paraId="0A33412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articulaires ; </w:t>
      </w:r>
    </w:p>
    <w:p w14:paraId="6B57704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tumeurs</w:t>
      </w:r>
      <w:proofErr w:type="gramEnd"/>
      <w:r w:rsidRPr="0058432E">
        <w:rPr>
          <w:color w:val="000000" w:themeColor="text1"/>
        </w:rPr>
        <w:t xml:space="preserve"> bénignes ; </w:t>
      </w:r>
    </w:p>
    <w:p w14:paraId="147B17F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de la peau ; </w:t>
      </w:r>
    </w:p>
    <w:p w14:paraId="5153B70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(y compris allergie saisonnière) ; </w:t>
      </w:r>
    </w:p>
    <w:p w14:paraId="13A2306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déshydratation</w:t>
      </w:r>
      <w:proofErr w:type="gramEnd"/>
      <w:r w:rsidRPr="0058432E">
        <w:rPr>
          <w:color w:val="000000" w:themeColor="text1"/>
        </w:rPr>
        <w:t xml:space="preserve"> ; </w:t>
      </w:r>
    </w:p>
    <w:p w14:paraId="5027F8F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l’humeur (y compris dépression) ; </w:t>
      </w:r>
    </w:p>
    <w:p w14:paraId="28863CB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anxiété</w:t>
      </w:r>
      <w:proofErr w:type="gramEnd"/>
      <w:r w:rsidRPr="0058432E">
        <w:rPr>
          <w:color w:val="000000" w:themeColor="text1"/>
        </w:rPr>
        <w:t xml:space="preserve"> ; </w:t>
      </w:r>
    </w:p>
    <w:p w14:paraId="40D452C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difficile ; </w:t>
      </w:r>
    </w:p>
    <w:p w14:paraId="2C77B63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sensitifs tels que fourmillements, picotements ou engourdissement ; </w:t>
      </w:r>
    </w:p>
    <w:p w14:paraId="0797333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migraine</w:t>
      </w:r>
      <w:proofErr w:type="gramEnd"/>
      <w:r w:rsidRPr="0058432E">
        <w:rPr>
          <w:color w:val="000000" w:themeColor="text1"/>
        </w:rPr>
        <w:t xml:space="preserve"> ; </w:t>
      </w:r>
    </w:p>
    <w:p w14:paraId="4E951595" w14:textId="77777777" w:rsidR="00C46587" w:rsidRPr="0058432E" w:rsidRDefault="00CD1576" w:rsidP="00982118">
      <w:pPr>
        <w:numPr>
          <w:ilvl w:val="0"/>
          <w:numId w:val="7"/>
        </w:numPr>
        <w:ind w:left="562" w:hanging="562"/>
        <w:rPr>
          <w:color w:val="000000" w:themeColor="text1"/>
        </w:rPr>
      </w:pPr>
      <w:proofErr w:type="gramStart"/>
      <w:r w:rsidRPr="0058432E">
        <w:rPr>
          <w:color w:val="000000" w:themeColor="text1"/>
        </w:rPr>
        <w:t>symptômes</w:t>
      </w:r>
      <w:proofErr w:type="gramEnd"/>
      <w:r w:rsidRPr="0058432E">
        <w:rPr>
          <w:color w:val="000000" w:themeColor="text1"/>
        </w:rPr>
        <w:t xml:space="preserve"> de compression des racines nerveuses (y compris douleurs au bas du dos et douleurs dans les jambes) ; </w:t>
      </w:r>
    </w:p>
    <w:p w14:paraId="4869C2F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la vision ; </w:t>
      </w:r>
    </w:p>
    <w:p w14:paraId="1C69E67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oculaire ; </w:t>
      </w:r>
    </w:p>
    <w:p w14:paraId="25BAF71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paupière et gonflement des yeux ; </w:t>
      </w:r>
    </w:p>
    <w:p w14:paraId="10A5E60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vertiges</w:t>
      </w:r>
      <w:proofErr w:type="gramEnd"/>
      <w:r w:rsidRPr="0058432E">
        <w:rPr>
          <w:color w:val="000000" w:themeColor="text1"/>
        </w:rPr>
        <w:t xml:space="preserve"> (sensation d’étourdissement) ; </w:t>
      </w:r>
    </w:p>
    <w:p w14:paraId="4775742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de cœur rapides ; </w:t>
      </w:r>
    </w:p>
    <w:p w14:paraId="7FF4DF9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hypertension</w:t>
      </w:r>
      <w:proofErr w:type="gramEnd"/>
      <w:r w:rsidRPr="0058432E">
        <w:rPr>
          <w:color w:val="000000" w:themeColor="text1"/>
        </w:rPr>
        <w:t xml:space="preserve"> ; </w:t>
      </w:r>
    </w:p>
    <w:p w14:paraId="7031A5C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lastRenderedPageBreak/>
        <w:t>bouffées</w:t>
      </w:r>
      <w:proofErr w:type="gramEnd"/>
      <w:r w:rsidRPr="0058432E">
        <w:rPr>
          <w:color w:val="000000" w:themeColor="text1"/>
        </w:rPr>
        <w:t xml:space="preserve"> de chaleur ; </w:t>
      </w:r>
    </w:p>
    <w:p w14:paraId="3BB09C2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hématome</w:t>
      </w:r>
      <w:proofErr w:type="gramEnd"/>
      <w:r w:rsidRPr="0058432E">
        <w:rPr>
          <w:color w:val="000000" w:themeColor="text1"/>
        </w:rPr>
        <w:t xml:space="preserve"> (gonflement solide avec sang coagulé) ; </w:t>
      </w:r>
    </w:p>
    <w:p w14:paraId="01626EB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toux</w:t>
      </w:r>
      <w:proofErr w:type="gramEnd"/>
      <w:r w:rsidRPr="0058432E">
        <w:rPr>
          <w:color w:val="000000" w:themeColor="text1"/>
        </w:rPr>
        <w:t xml:space="preserve"> ; </w:t>
      </w:r>
    </w:p>
    <w:p w14:paraId="383D217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asthme</w:t>
      </w:r>
      <w:proofErr w:type="gramEnd"/>
      <w:r w:rsidRPr="0058432E">
        <w:rPr>
          <w:color w:val="000000" w:themeColor="text1"/>
        </w:rPr>
        <w:t xml:space="preserve"> ; </w:t>
      </w:r>
    </w:p>
    <w:p w14:paraId="1C39AFAB"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essoufflement</w:t>
      </w:r>
      <w:proofErr w:type="gramEnd"/>
      <w:r w:rsidR="00C46587" w:rsidRPr="0058432E">
        <w:rPr>
          <w:color w:val="000000" w:themeColor="text1"/>
        </w:rPr>
        <w:t xml:space="preserve"> ; </w:t>
      </w:r>
    </w:p>
    <w:p w14:paraId="6C15057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saignements</w:t>
      </w:r>
      <w:proofErr w:type="gramEnd"/>
      <w:r w:rsidRPr="0058432E">
        <w:rPr>
          <w:color w:val="000000" w:themeColor="text1"/>
        </w:rPr>
        <w:t xml:space="preserve"> gastro-intestinaux ; </w:t>
      </w:r>
    </w:p>
    <w:p w14:paraId="7D7F97F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dyspepsie</w:t>
      </w:r>
      <w:proofErr w:type="gramEnd"/>
      <w:r w:rsidRPr="0058432E">
        <w:rPr>
          <w:color w:val="000000" w:themeColor="text1"/>
        </w:rPr>
        <w:t xml:space="preserve"> (indigestion, ballonnement, brûlure gastrique) ; </w:t>
      </w:r>
    </w:p>
    <w:p w14:paraId="22F5FB1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reflux</w:t>
      </w:r>
      <w:proofErr w:type="gramEnd"/>
      <w:r w:rsidRPr="0058432E">
        <w:rPr>
          <w:color w:val="000000" w:themeColor="text1"/>
        </w:rPr>
        <w:t xml:space="preserve"> acide ; </w:t>
      </w:r>
    </w:p>
    <w:p w14:paraId="51AF17F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 (y compris sècheresse des yeux et de la bouche) ; </w:t>
      </w:r>
    </w:p>
    <w:p w14:paraId="4536704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démangeaisons</w:t>
      </w:r>
      <w:proofErr w:type="gramEnd"/>
      <w:r w:rsidRPr="0058432E">
        <w:rPr>
          <w:color w:val="000000" w:themeColor="text1"/>
        </w:rPr>
        <w:t xml:space="preserve"> ; </w:t>
      </w:r>
    </w:p>
    <w:p w14:paraId="547E846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cutanée avec démangeaisons ; </w:t>
      </w:r>
    </w:p>
    <w:p w14:paraId="14AA1BC4"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contusions</w:t>
      </w:r>
      <w:proofErr w:type="gramEnd"/>
      <w:r w:rsidR="00C46587" w:rsidRPr="0058432E">
        <w:rPr>
          <w:color w:val="000000" w:themeColor="text1"/>
        </w:rPr>
        <w:t xml:space="preserve"> ; </w:t>
      </w:r>
    </w:p>
    <w:p w14:paraId="5CF7F87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cutanée (telle qu’eczéma) ; </w:t>
      </w:r>
    </w:p>
    <w:p w14:paraId="30037A9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cassure</w:t>
      </w:r>
      <w:proofErr w:type="gramEnd"/>
      <w:r w:rsidRPr="0058432E">
        <w:rPr>
          <w:color w:val="000000" w:themeColor="text1"/>
        </w:rPr>
        <w:t xml:space="preserve"> des ongles des mains et des pieds ; </w:t>
      </w:r>
    </w:p>
    <w:p w14:paraId="1081F34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transpiration</w:t>
      </w:r>
      <w:proofErr w:type="gramEnd"/>
      <w:r w:rsidRPr="0058432E">
        <w:rPr>
          <w:color w:val="000000" w:themeColor="text1"/>
        </w:rPr>
        <w:t xml:space="preserve"> excessive ; </w:t>
      </w:r>
    </w:p>
    <w:p w14:paraId="645DD1A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chute</w:t>
      </w:r>
      <w:proofErr w:type="gramEnd"/>
      <w:r w:rsidRPr="0058432E">
        <w:rPr>
          <w:color w:val="000000" w:themeColor="text1"/>
        </w:rPr>
        <w:t xml:space="preserve"> des cheveux ; </w:t>
      </w:r>
    </w:p>
    <w:p w14:paraId="7E404FE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apparition</w:t>
      </w:r>
      <w:proofErr w:type="gramEnd"/>
      <w:r w:rsidRPr="0058432E">
        <w:rPr>
          <w:color w:val="000000" w:themeColor="text1"/>
        </w:rPr>
        <w:t xml:space="preserve"> ou aggravation d’un psoriasis ; </w:t>
      </w:r>
    </w:p>
    <w:p w14:paraId="04471EA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spasmes</w:t>
      </w:r>
      <w:proofErr w:type="gramEnd"/>
      <w:r w:rsidRPr="0058432E">
        <w:rPr>
          <w:color w:val="000000" w:themeColor="text1"/>
        </w:rPr>
        <w:t xml:space="preserve"> musculaires ; </w:t>
      </w:r>
    </w:p>
    <w:p w14:paraId="376FA15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de sang dans les urines ; </w:t>
      </w:r>
    </w:p>
    <w:p w14:paraId="508D7B0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problèmes</w:t>
      </w:r>
      <w:proofErr w:type="gramEnd"/>
      <w:r w:rsidRPr="0058432E">
        <w:rPr>
          <w:color w:val="000000" w:themeColor="text1"/>
        </w:rPr>
        <w:t xml:space="preserve"> rénaux ; </w:t>
      </w:r>
    </w:p>
    <w:p w14:paraId="5EB6392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w:t>
      </w:r>
      <w:proofErr w:type="gramEnd"/>
      <w:r w:rsidRPr="0058432E">
        <w:rPr>
          <w:color w:val="000000" w:themeColor="text1"/>
        </w:rPr>
        <w:t xml:space="preserve"> thoracique ; </w:t>
      </w:r>
    </w:p>
    <w:p w14:paraId="0FBC479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(accumulation de liquide dans l’organisme qui provoque le gonflement des tissus affectés) ; </w:t>
      </w:r>
    </w:p>
    <w:p w14:paraId="451265C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fièvre</w:t>
      </w:r>
      <w:proofErr w:type="gramEnd"/>
      <w:r w:rsidRPr="0058432E">
        <w:rPr>
          <w:color w:val="000000" w:themeColor="text1"/>
        </w:rPr>
        <w:t xml:space="preserve"> ; </w:t>
      </w:r>
    </w:p>
    <w:p w14:paraId="6DD891C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diminution</w:t>
      </w:r>
      <w:proofErr w:type="gramEnd"/>
      <w:r w:rsidRPr="0058432E">
        <w:rPr>
          <w:color w:val="000000" w:themeColor="text1"/>
        </w:rPr>
        <w:t xml:space="preserve"> du nombre de plaquettes sanguines, ce qui augmente le risque de saignements ou </w:t>
      </w:r>
      <w:r w:rsidR="00BD0386" w:rsidRPr="0058432E">
        <w:rPr>
          <w:color w:val="000000" w:themeColor="text1"/>
        </w:rPr>
        <w:t>de contusions </w:t>
      </w:r>
      <w:r w:rsidRPr="0058432E">
        <w:rPr>
          <w:color w:val="000000" w:themeColor="text1"/>
        </w:rPr>
        <w:t xml:space="preserve">; </w:t>
      </w:r>
    </w:p>
    <w:p w14:paraId="285CBE5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mauvaise</w:t>
      </w:r>
      <w:proofErr w:type="gramEnd"/>
      <w:r w:rsidRPr="0058432E">
        <w:rPr>
          <w:color w:val="000000" w:themeColor="text1"/>
        </w:rPr>
        <w:t xml:space="preserve"> cicatrisation. </w:t>
      </w:r>
    </w:p>
    <w:p w14:paraId="08FE8A4A" w14:textId="77777777" w:rsidR="00C46587" w:rsidRPr="0058432E" w:rsidRDefault="00C46587" w:rsidP="00982118">
      <w:pPr>
        <w:rPr>
          <w:color w:val="000000" w:themeColor="text1"/>
        </w:rPr>
      </w:pPr>
    </w:p>
    <w:p w14:paraId="280BF055" w14:textId="77777777" w:rsidR="00C46587" w:rsidRPr="0058432E" w:rsidRDefault="00C46587" w:rsidP="00982118">
      <w:pPr>
        <w:rPr>
          <w:color w:val="000000" w:themeColor="text1"/>
        </w:rPr>
      </w:pPr>
      <w:r w:rsidRPr="0058432E">
        <w:rPr>
          <w:b/>
          <w:color w:val="000000" w:themeColor="text1"/>
        </w:rPr>
        <w:t>Peu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100)</w:t>
      </w:r>
    </w:p>
    <w:p w14:paraId="6D0FB03D" w14:textId="77777777" w:rsidR="00C46587" w:rsidRPr="0058432E" w:rsidRDefault="00C46587" w:rsidP="00982118">
      <w:pPr>
        <w:rPr>
          <w:color w:val="000000" w:themeColor="text1"/>
        </w:rPr>
      </w:pPr>
    </w:p>
    <w:p w14:paraId="0DE8F95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(inhabituelles) (incluant la tuberculose et d’autres infections) qui surviennent lorsque la résistance aux maladies est diminuée ; </w:t>
      </w:r>
    </w:p>
    <w:p w14:paraId="3DB1544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neurologiques (y compris méningite virale) ; </w:t>
      </w:r>
    </w:p>
    <w:p w14:paraId="56FBA01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oculaires ; </w:t>
      </w:r>
    </w:p>
    <w:p w14:paraId="0E3A040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 ; </w:t>
      </w:r>
    </w:p>
    <w:p w14:paraId="62B845D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diverticulite</w:t>
      </w:r>
      <w:proofErr w:type="gramEnd"/>
      <w:r w:rsidRPr="0058432E">
        <w:rPr>
          <w:color w:val="000000" w:themeColor="text1"/>
        </w:rPr>
        <w:t xml:space="preserve"> (inflammation et infection du gros intestin) ; </w:t>
      </w:r>
    </w:p>
    <w:p w14:paraId="525B709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y compris cancer qui affecte le système lymphatique (lymphome) et mélanome (un type de cancer de la peau) ; </w:t>
      </w:r>
    </w:p>
    <w:p w14:paraId="18FC236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immunitaires qui peuvent affecter les poumons, la peau et les ganglions lymphatiques (le plus souvent une maladie appelée sarcoïdose) ; </w:t>
      </w:r>
    </w:p>
    <w:p w14:paraId="1BE6331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(inflammation des vaisseaux sanguins) ; </w:t>
      </w:r>
    </w:p>
    <w:p w14:paraId="694357B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tremblements</w:t>
      </w:r>
      <w:proofErr w:type="gramEnd"/>
      <w:r w:rsidRPr="0058432E">
        <w:rPr>
          <w:color w:val="000000" w:themeColor="text1"/>
        </w:rPr>
        <w:t xml:space="preserve"> (frissons) ; </w:t>
      </w:r>
    </w:p>
    <w:p w14:paraId="5789F20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neuropathie</w:t>
      </w:r>
      <w:proofErr w:type="gramEnd"/>
      <w:r w:rsidRPr="0058432E">
        <w:rPr>
          <w:color w:val="000000" w:themeColor="text1"/>
        </w:rPr>
        <w:t xml:space="preserve"> (atteinte nerveuse) ; </w:t>
      </w:r>
    </w:p>
    <w:p w14:paraId="621801B7" w14:textId="77777777" w:rsidR="00357572" w:rsidRPr="0058432E" w:rsidRDefault="00C46587" w:rsidP="00982118">
      <w:pPr>
        <w:numPr>
          <w:ilvl w:val="0"/>
          <w:numId w:val="7"/>
        </w:numPr>
        <w:ind w:left="562" w:hanging="562"/>
        <w:rPr>
          <w:color w:val="000000" w:themeColor="text1"/>
        </w:rPr>
      </w:pPr>
      <w:proofErr w:type="gramStart"/>
      <w:r w:rsidRPr="0058432E">
        <w:rPr>
          <w:color w:val="000000" w:themeColor="text1"/>
        </w:rPr>
        <w:t>accident</w:t>
      </w:r>
      <w:proofErr w:type="gramEnd"/>
      <w:r w:rsidRPr="0058432E">
        <w:rPr>
          <w:color w:val="000000" w:themeColor="text1"/>
        </w:rPr>
        <w:t xml:space="preserve"> vasculaire cérébral ;</w:t>
      </w:r>
    </w:p>
    <w:p w14:paraId="4E06A245" w14:textId="77777777" w:rsidR="00C46587" w:rsidRPr="0058432E" w:rsidRDefault="00357572" w:rsidP="00982118">
      <w:pPr>
        <w:numPr>
          <w:ilvl w:val="0"/>
          <w:numId w:val="7"/>
        </w:numPr>
        <w:ind w:left="562" w:hanging="562"/>
        <w:rPr>
          <w:color w:val="000000" w:themeColor="text1"/>
        </w:rPr>
      </w:pPr>
      <w:proofErr w:type="gramStart"/>
      <w:r w:rsidRPr="0058432E">
        <w:rPr>
          <w:color w:val="000000" w:themeColor="text1"/>
        </w:rPr>
        <w:t>vision</w:t>
      </w:r>
      <w:proofErr w:type="gramEnd"/>
      <w:r w:rsidRPr="0058432E">
        <w:rPr>
          <w:color w:val="000000" w:themeColor="text1"/>
        </w:rPr>
        <w:t xml:space="preserve"> double ; </w:t>
      </w:r>
    </w:p>
    <w:p w14:paraId="6F8C144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perte</w:t>
      </w:r>
      <w:proofErr w:type="gramEnd"/>
      <w:r w:rsidRPr="0058432E">
        <w:rPr>
          <w:color w:val="000000" w:themeColor="text1"/>
        </w:rPr>
        <w:t xml:space="preserve"> d’audition, bourdonnements d’oreilles ; </w:t>
      </w:r>
    </w:p>
    <w:p w14:paraId="6BF287C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cardiaques irréguliers tels que </w:t>
      </w:r>
      <w:r w:rsidR="00FB440E" w:rsidRPr="0058432E">
        <w:rPr>
          <w:color w:val="000000" w:themeColor="text1"/>
        </w:rPr>
        <w:t xml:space="preserve">battements de cœur manqués </w:t>
      </w:r>
      <w:r w:rsidRPr="0058432E">
        <w:rPr>
          <w:color w:val="000000" w:themeColor="text1"/>
        </w:rPr>
        <w:t xml:space="preserve">; </w:t>
      </w:r>
    </w:p>
    <w:p w14:paraId="5250197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cardiaques qui peuvent provoquer un essoufflement ou un œdème des chevilles ; </w:t>
      </w:r>
    </w:p>
    <w:p w14:paraId="65ECBB6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crise</w:t>
      </w:r>
      <w:proofErr w:type="gramEnd"/>
      <w:r w:rsidRPr="0058432E">
        <w:rPr>
          <w:color w:val="000000" w:themeColor="text1"/>
        </w:rPr>
        <w:t xml:space="preserve"> cardiaque ; </w:t>
      </w:r>
    </w:p>
    <w:p w14:paraId="45DF00F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poche</w:t>
      </w:r>
      <w:proofErr w:type="gramEnd"/>
      <w:r w:rsidRPr="0058432E">
        <w:rPr>
          <w:color w:val="000000" w:themeColor="text1"/>
        </w:rPr>
        <w:t xml:space="preserve"> dans la paroi d’une grosse artère, inflammation et caillot dans une veine, obstruction d’un vaisseau sanguin ; </w:t>
      </w:r>
    </w:p>
    <w:p w14:paraId="1735D33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maladie</w:t>
      </w:r>
      <w:proofErr w:type="gramEnd"/>
      <w:r w:rsidRPr="0058432E">
        <w:rPr>
          <w:color w:val="000000" w:themeColor="text1"/>
        </w:rPr>
        <w:t xml:space="preserve"> pulmonaire entraîn</w:t>
      </w:r>
      <w:r w:rsidR="00BD0386" w:rsidRPr="0058432E">
        <w:rPr>
          <w:color w:val="000000" w:themeColor="text1"/>
        </w:rPr>
        <w:t>ant</w:t>
      </w:r>
      <w:r w:rsidRPr="0058432E">
        <w:rPr>
          <w:color w:val="000000" w:themeColor="text1"/>
        </w:rPr>
        <w:t xml:space="preserve"> un essoufflement (y compris inflammation) ; </w:t>
      </w:r>
    </w:p>
    <w:p w14:paraId="06F393C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embolie</w:t>
      </w:r>
      <w:proofErr w:type="gramEnd"/>
      <w:r w:rsidRPr="0058432E">
        <w:rPr>
          <w:color w:val="000000" w:themeColor="text1"/>
        </w:rPr>
        <w:t xml:space="preserve"> pulmonaire (obstruction d’une artère du poumon) ; </w:t>
      </w:r>
    </w:p>
    <w:p w14:paraId="4979341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épanchement</w:t>
      </w:r>
      <w:proofErr w:type="gramEnd"/>
      <w:r w:rsidRPr="0058432E">
        <w:rPr>
          <w:color w:val="000000" w:themeColor="text1"/>
        </w:rPr>
        <w:t xml:space="preserve"> pleural (accumulation anormale de liquide dans la cavité pleurale) ; </w:t>
      </w:r>
    </w:p>
    <w:p w14:paraId="49D0981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lastRenderedPageBreak/>
        <w:t>inflammation</w:t>
      </w:r>
      <w:proofErr w:type="gramEnd"/>
      <w:r w:rsidRPr="0058432E">
        <w:rPr>
          <w:color w:val="000000" w:themeColor="text1"/>
        </w:rPr>
        <w:t xml:space="preserve"> du pancréas qui provoque une douleur intense dans l’abdomen et le dos ; </w:t>
      </w:r>
    </w:p>
    <w:p w14:paraId="6268AC7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difficulté</w:t>
      </w:r>
      <w:proofErr w:type="gramEnd"/>
      <w:r w:rsidRPr="0058432E">
        <w:rPr>
          <w:color w:val="000000" w:themeColor="text1"/>
        </w:rPr>
        <w:t xml:space="preserve"> à avaler ; </w:t>
      </w:r>
    </w:p>
    <w:p w14:paraId="64AD047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 </w:t>
      </w:r>
    </w:p>
    <w:p w14:paraId="5C91C5D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vésicule biliaire, calculs dans la vésicule biliaire ; </w:t>
      </w:r>
    </w:p>
    <w:p w14:paraId="5F5EA25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stéatose</w:t>
      </w:r>
      <w:proofErr w:type="gramEnd"/>
      <w:r w:rsidRPr="0058432E">
        <w:rPr>
          <w:color w:val="000000" w:themeColor="text1"/>
        </w:rPr>
        <w:t xml:space="preserve"> du foie (accumulation de graisse dans les cellules hépatiques) ; </w:t>
      </w:r>
    </w:p>
    <w:p w14:paraId="4C85CA8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sueurs</w:t>
      </w:r>
      <w:proofErr w:type="gramEnd"/>
      <w:r w:rsidRPr="0058432E">
        <w:rPr>
          <w:color w:val="000000" w:themeColor="text1"/>
        </w:rPr>
        <w:t xml:space="preserve"> nocturnes ; </w:t>
      </w:r>
    </w:p>
    <w:p w14:paraId="43B7735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cicatrice</w:t>
      </w:r>
      <w:proofErr w:type="gramEnd"/>
      <w:r w:rsidRPr="0058432E">
        <w:rPr>
          <w:color w:val="000000" w:themeColor="text1"/>
        </w:rPr>
        <w:t xml:space="preserve"> ; </w:t>
      </w:r>
    </w:p>
    <w:p w14:paraId="6FD173D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faiblesse</w:t>
      </w:r>
      <w:proofErr w:type="gramEnd"/>
      <w:r w:rsidRPr="0058432E">
        <w:rPr>
          <w:color w:val="000000" w:themeColor="text1"/>
        </w:rPr>
        <w:t xml:space="preserve"> musculaire anormale ; </w:t>
      </w:r>
    </w:p>
    <w:p w14:paraId="51564D7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 (trouble immunitaire comprenant inflammation de la peau, du cœur, du poumon, des articulations et des autres systèmes d’organes) ; </w:t>
      </w:r>
    </w:p>
    <w:p w14:paraId="76E664A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interrompu ; </w:t>
      </w:r>
    </w:p>
    <w:p w14:paraId="7FAF809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impuissance</w:t>
      </w:r>
      <w:proofErr w:type="gramEnd"/>
      <w:r w:rsidRPr="0058432E">
        <w:rPr>
          <w:color w:val="000000" w:themeColor="text1"/>
        </w:rPr>
        <w:t xml:space="preserve"> ; </w:t>
      </w:r>
    </w:p>
    <w:p w14:paraId="0AE5879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inflammations</w:t>
      </w:r>
      <w:proofErr w:type="gramEnd"/>
      <w:r w:rsidRPr="0058432E">
        <w:rPr>
          <w:color w:val="000000" w:themeColor="text1"/>
        </w:rPr>
        <w:t xml:space="preserve">. </w:t>
      </w:r>
    </w:p>
    <w:p w14:paraId="228E5D48" w14:textId="77777777" w:rsidR="00C46587" w:rsidRPr="0058432E" w:rsidRDefault="00C46587" w:rsidP="00982118">
      <w:pPr>
        <w:rPr>
          <w:color w:val="000000" w:themeColor="text1"/>
        </w:rPr>
      </w:pPr>
    </w:p>
    <w:p w14:paraId="4A9D4EF3" w14:textId="77777777" w:rsidR="00C46587" w:rsidRPr="0058432E" w:rsidRDefault="00C46587" w:rsidP="00800BA5">
      <w:pPr>
        <w:keepNext/>
        <w:rPr>
          <w:color w:val="000000" w:themeColor="text1"/>
        </w:rPr>
      </w:pPr>
      <w:r w:rsidRPr="0058432E">
        <w:rPr>
          <w:b/>
          <w:color w:val="000000" w:themeColor="text1"/>
        </w:rPr>
        <w:t>Rare</w:t>
      </w:r>
      <w:r w:rsidRPr="0058432E">
        <w:rPr>
          <w:color w:val="000000" w:themeColor="text1"/>
        </w:rPr>
        <w:t xml:space="preserve"> (</w:t>
      </w:r>
      <w:r w:rsidR="00B42EC9" w:rsidRPr="0058432E">
        <w:rPr>
          <w:color w:val="000000" w:themeColor="text1"/>
        </w:rPr>
        <w:t>peut</w:t>
      </w:r>
      <w:r w:rsidR="00FC32E1" w:rsidRPr="0058432E">
        <w:rPr>
          <w:color w:val="000000" w:themeColor="text1"/>
        </w:rPr>
        <w:t xml:space="preserve"> </w:t>
      </w:r>
      <w:r w:rsidRPr="0058432E">
        <w:rPr>
          <w:color w:val="000000" w:themeColor="text1"/>
        </w:rPr>
        <w:t>affecter jusqu’à 1 personne sur 1 000)</w:t>
      </w:r>
    </w:p>
    <w:p w14:paraId="0FEA982C" w14:textId="77777777" w:rsidR="00C46587" w:rsidRPr="0058432E" w:rsidRDefault="00C46587" w:rsidP="00800BA5">
      <w:pPr>
        <w:keepNext/>
        <w:rPr>
          <w:color w:val="000000" w:themeColor="text1"/>
        </w:rPr>
      </w:pPr>
    </w:p>
    <w:p w14:paraId="35DC85EF" w14:textId="77777777" w:rsidR="00C46587" w:rsidRPr="0058432E" w:rsidRDefault="00C46587" w:rsidP="00800BA5">
      <w:pPr>
        <w:keepNext/>
        <w:numPr>
          <w:ilvl w:val="0"/>
          <w:numId w:val="7"/>
        </w:numPr>
        <w:ind w:left="562" w:hanging="562"/>
        <w:rPr>
          <w:color w:val="000000" w:themeColor="text1"/>
        </w:rPr>
      </w:pPr>
      <w:proofErr w:type="gramStart"/>
      <w:r w:rsidRPr="0058432E">
        <w:rPr>
          <w:color w:val="000000" w:themeColor="text1"/>
        </w:rPr>
        <w:t>leucémie</w:t>
      </w:r>
      <w:proofErr w:type="gramEnd"/>
      <w:r w:rsidRPr="0058432E">
        <w:rPr>
          <w:color w:val="000000" w:themeColor="text1"/>
        </w:rPr>
        <w:t xml:space="preserve"> (cancer affectant le sang et la moelle osseuse) ; </w:t>
      </w:r>
    </w:p>
    <w:p w14:paraId="680AF345" w14:textId="77777777" w:rsidR="00C46587" w:rsidRPr="0058432E" w:rsidRDefault="00A31C65"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sévères avec choc ; </w:t>
      </w:r>
    </w:p>
    <w:p w14:paraId="072388E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sclérose</w:t>
      </w:r>
      <w:proofErr w:type="gramEnd"/>
      <w:r w:rsidRPr="0058432E">
        <w:rPr>
          <w:color w:val="000000" w:themeColor="text1"/>
        </w:rPr>
        <w:t xml:space="preserve"> en plaques ; </w:t>
      </w:r>
    </w:p>
    <w:p w14:paraId="7948539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neurologiques (tels qu’inflammation du nerf optique de l’œil et syndrome de Guillain</w:t>
      </w:r>
      <w:r w:rsidRPr="0058432E">
        <w:rPr>
          <w:color w:val="000000" w:themeColor="text1"/>
        </w:rPr>
        <w:noBreakHyphen/>
        <w:t xml:space="preserve">Barré, une maladie pouvant entraîner une faiblesse musculaire, des sensations anormales, des fourmillements dans les bras et le haut du corps) ; </w:t>
      </w:r>
    </w:p>
    <w:p w14:paraId="66BBDF3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arrêt</w:t>
      </w:r>
      <w:proofErr w:type="gramEnd"/>
      <w:r w:rsidRPr="0058432E">
        <w:rPr>
          <w:color w:val="000000" w:themeColor="text1"/>
        </w:rPr>
        <w:t xml:space="preserve"> de la fonction de pompage du cœur ; </w:t>
      </w:r>
    </w:p>
    <w:p w14:paraId="506EF12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fibrose</w:t>
      </w:r>
      <w:proofErr w:type="gramEnd"/>
      <w:r w:rsidRPr="0058432E">
        <w:rPr>
          <w:color w:val="000000" w:themeColor="text1"/>
        </w:rPr>
        <w:t xml:space="preserve"> pulmonaire (formation de tissus cicatriciels dans les poumons) ; </w:t>
      </w:r>
    </w:p>
    <w:p w14:paraId="4B2683D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perforation</w:t>
      </w:r>
      <w:proofErr w:type="gramEnd"/>
      <w:r w:rsidRPr="0058432E">
        <w:rPr>
          <w:color w:val="000000" w:themeColor="text1"/>
        </w:rPr>
        <w:t xml:space="preserve"> intestinale (trou dans la paroi de l’intestin) ; </w:t>
      </w:r>
    </w:p>
    <w:p w14:paraId="1F9DAA8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(inflammation du foie) ; </w:t>
      </w:r>
    </w:p>
    <w:p w14:paraId="7EA4A0F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réactivation</w:t>
      </w:r>
      <w:proofErr w:type="gramEnd"/>
      <w:r w:rsidRPr="0058432E">
        <w:rPr>
          <w:color w:val="000000" w:themeColor="text1"/>
        </w:rPr>
        <w:t xml:space="preserve"> de l’infection par le virus de l’hépatite B ; </w:t>
      </w:r>
    </w:p>
    <w:p w14:paraId="0CBFF0F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auto-immune (inflammation du foie causée par le propre système immunitaire du corps) ; </w:t>
      </w:r>
    </w:p>
    <w:p w14:paraId="3A8CB18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cutanée (inflammation des vaisseaux sanguins dans la peau) ; </w:t>
      </w:r>
    </w:p>
    <w:p w14:paraId="4282D0B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 xml:space="preserve">Johnson (réaction menaçant le pronostic vital avec symptômes pseudo-grippaux et éruption cutanée avec cloques) ; </w:t>
      </w:r>
    </w:p>
    <w:p w14:paraId="2F8F074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avec réactions allergiques ; </w:t>
      </w:r>
    </w:p>
    <w:p w14:paraId="1D170B1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érythème</w:t>
      </w:r>
      <w:proofErr w:type="gramEnd"/>
      <w:r w:rsidRPr="0058432E">
        <w:rPr>
          <w:color w:val="000000" w:themeColor="text1"/>
        </w:rPr>
        <w:t xml:space="preserve"> polymorphe (</w:t>
      </w:r>
      <w:r w:rsidR="00BF7BFC" w:rsidRPr="0058432E">
        <w:rPr>
          <w:color w:val="000000" w:themeColor="text1"/>
        </w:rPr>
        <w:t xml:space="preserve">éruption cutanée </w:t>
      </w:r>
      <w:r w:rsidRPr="0058432E">
        <w:rPr>
          <w:color w:val="000000" w:themeColor="text1"/>
        </w:rPr>
        <w:t xml:space="preserve">inflammatoire de la peau) ; </w:t>
      </w:r>
    </w:p>
    <w:p w14:paraId="1811DC42" w14:textId="77777777" w:rsidR="003B2330"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type lupus ;</w:t>
      </w:r>
    </w:p>
    <w:p w14:paraId="003B9477" w14:textId="77777777" w:rsidR="00C11533" w:rsidRPr="0058432E" w:rsidRDefault="00A31C65" w:rsidP="00982118">
      <w:pPr>
        <w:numPr>
          <w:ilvl w:val="0"/>
          <w:numId w:val="7"/>
        </w:numPr>
        <w:ind w:left="562" w:hanging="562"/>
        <w:rPr>
          <w:color w:val="000000" w:themeColor="text1"/>
        </w:rPr>
      </w:pPr>
      <w:proofErr w:type="gramStart"/>
      <w:r w:rsidRPr="0058432E">
        <w:rPr>
          <w:color w:val="000000" w:themeColor="text1"/>
        </w:rPr>
        <w:t>angiœdème</w:t>
      </w:r>
      <w:proofErr w:type="gramEnd"/>
      <w:r w:rsidRPr="0058432E">
        <w:rPr>
          <w:color w:val="000000" w:themeColor="text1"/>
        </w:rPr>
        <w:t xml:space="preserve"> (gonflement localisé de la peau) ;</w:t>
      </w:r>
    </w:p>
    <w:p w14:paraId="08BB4D76" w14:textId="77777777" w:rsidR="00C46587" w:rsidRPr="0058432E" w:rsidRDefault="00C11533" w:rsidP="00982118">
      <w:pPr>
        <w:numPr>
          <w:ilvl w:val="0"/>
          <w:numId w:val="7"/>
        </w:numPr>
        <w:ind w:left="562" w:hanging="562"/>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 (éruption cutanée violet-rougeâtre avec démangeaisons) ; </w:t>
      </w:r>
    </w:p>
    <w:p w14:paraId="14974C23" w14:textId="77777777" w:rsidR="00C46587" w:rsidRPr="0058432E" w:rsidRDefault="00C46587" w:rsidP="00982118">
      <w:pPr>
        <w:rPr>
          <w:color w:val="000000" w:themeColor="text1"/>
        </w:rPr>
      </w:pPr>
    </w:p>
    <w:p w14:paraId="0B509946" w14:textId="77777777" w:rsidR="00C46587" w:rsidRPr="0058432E" w:rsidRDefault="00C46587" w:rsidP="00982118">
      <w:pPr>
        <w:keepNext/>
        <w:rPr>
          <w:color w:val="000000" w:themeColor="text1"/>
        </w:rPr>
      </w:pPr>
      <w:r w:rsidRPr="0058432E">
        <w:rPr>
          <w:b/>
          <w:color w:val="000000" w:themeColor="text1"/>
        </w:rPr>
        <w:t>Fréquence indéterminée</w:t>
      </w:r>
      <w:r w:rsidRPr="0058432E">
        <w:rPr>
          <w:color w:val="000000" w:themeColor="text1"/>
        </w:rPr>
        <w:t xml:space="preserve"> (</w:t>
      </w:r>
      <w:r w:rsidR="00B42EC9" w:rsidRPr="0058432E">
        <w:rPr>
          <w:color w:val="000000" w:themeColor="text1"/>
        </w:rPr>
        <w:t xml:space="preserve">la fréquence </w:t>
      </w:r>
      <w:r w:rsidRPr="0058432E">
        <w:rPr>
          <w:color w:val="000000" w:themeColor="text1"/>
        </w:rPr>
        <w:t>ne peut être estimée sur la base des données disponibles)</w:t>
      </w:r>
    </w:p>
    <w:p w14:paraId="2E14D05C" w14:textId="77777777" w:rsidR="00C46587" w:rsidRPr="0058432E" w:rsidRDefault="00C46587" w:rsidP="00982118">
      <w:pPr>
        <w:keepNext/>
        <w:rPr>
          <w:color w:val="000000" w:themeColor="text1"/>
        </w:rPr>
      </w:pPr>
    </w:p>
    <w:p w14:paraId="6F8A24E9" w14:textId="77777777" w:rsidR="00C46587" w:rsidRPr="0058432E" w:rsidRDefault="00C46587" w:rsidP="00982118">
      <w:pPr>
        <w:keepNext/>
        <w:numPr>
          <w:ilvl w:val="0"/>
          <w:numId w:val="7"/>
        </w:numPr>
        <w:ind w:left="562" w:hanging="562"/>
        <w:rPr>
          <w:color w:val="000000" w:themeColor="text1"/>
        </w:rPr>
      </w:pPr>
      <w:proofErr w:type="gramStart"/>
      <w:r w:rsidRPr="0058432E">
        <w:rPr>
          <w:color w:val="000000" w:themeColor="text1"/>
        </w:rPr>
        <w:t>lymphome</w:t>
      </w:r>
      <w:proofErr w:type="gramEnd"/>
      <w:r w:rsidRPr="0058432E">
        <w:rPr>
          <w:color w:val="000000" w:themeColor="text1"/>
        </w:rPr>
        <w:t xml:space="preserve"> hépatosplénique à lymphocytes T (cancer </w:t>
      </w:r>
      <w:r w:rsidR="00BD0386" w:rsidRPr="0058432E">
        <w:rPr>
          <w:color w:val="000000" w:themeColor="text1"/>
        </w:rPr>
        <w:t xml:space="preserve">du sang </w:t>
      </w:r>
      <w:r w:rsidRPr="0058432E">
        <w:rPr>
          <w:color w:val="000000" w:themeColor="text1"/>
        </w:rPr>
        <w:t xml:space="preserve">rare souvent mortel) ; </w:t>
      </w:r>
    </w:p>
    <w:p w14:paraId="21B6EBC8" w14:textId="77777777" w:rsidR="004F250F" w:rsidRPr="0058432E" w:rsidRDefault="00C46587" w:rsidP="004F250F">
      <w:pPr>
        <w:numPr>
          <w:ilvl w:val="0"/>
          <w:numId w:val="7"/>
        </w:numPr>
        <w:ind w:left="562" w:hanging="562"/>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(un type de cancer de la peau) ; </w:t>
      </w:r>
    </w:p>
    <w:p w14:paraId="01800D89" w14:textId="77777777" w:rsidR="004F250F" w:rsidRPr="0058432E" w:rsidRDefault="004F250F" w:rsidP="004F250F">
      <w:pPr>
        <w:numPr>
          <w:ilvl w:val="0"/>
          <w:numId w:val="7"/>
        </w:numPr>
        <w:ind w:left="562" w:hanging="562"/>
        <w:rPr>
          <w:color w:val="000000" w:themeColor="text1"/>
        </w:rPr>
      </w:pPr>
      <w:proofErr w:type="gramStart"/>
      <w:r w:rsidRPr="0058432E">
        <w:rPr>
          <w:color w:val="000000" w:themeColor="text1"/>
        </w:rPr>
        <w:t>sarcome</w:t>
      </w:r>
      <w:proofErr w:type="gramEnd"/>
      <w:r w:rsidRPr="0058432E">
        <w:rPr>
          <w:color w:val="000000" w:themeColor="text1"/>
        </w:rPr>
        <w:t xml:space="preserve"> de Kaposi, un cancer rare lié à l’infection par l</w:t>
      </w:r>
      <w:r w:rsidR="00060941" w:rsidRPr="0058432E">
        <w:rPr>
          <w:color w:val="000000" w:themeColor="text1"/>
        </w:rPr>
        <w:t xml:space="preserve">’herpèsvirus humain de type 8. </w:t>
      </w:r>
      <w:r w:rsidRPr="0058432E">
        <w:rPr>
          <w:color w:val="000000" w:themeColor="text1"/>
        </w:rPr>
        <w:t xml:space="preserve">Le sarcome de Kaposi </w:t>
      </w:r>
      <w:r w:rsidR="00272DE1" w:rsidRPr="0058432E">
        <w:rPr>
          <w:color w:val="000000" w:themeColor="text1"/>
        </w:rPr>
        <w:t>apparaît le plus fréquemment</w:t>
      </w:r>
      <w:r w:rsidRPr="0058432E">
        <w:rPr>
          <w:color w:val="000000" w:themeColor="text1"/>
        </w:rPr>
        <w:t xml:space="preserve"> sous la forme de lésions viol</w:t>
      </w:r>
      <w:r w:rsidR="00DE710D" w:rsidRPr="0058432E">
        <w:rPr>
          <w:color w:val="000000" w:themeColor="text1"/>
        </w:rPr>
        <w:t>acées</w:t>
      </w:r>
      <w:r w:rsidRPr="0058432E">
        <w:rPr>
          <w:color w:val="000000" w:themeColor="text1"/>
        </w:rPr>
        <w:t xml:space="preserve"> </w:t>
      </w:r>
      <w:r w:rsidR="00272DE1" w:rsidRPr="0058432E">
        <w:rPr>
          <w:color w:val="000000" w:themeColor="text1"/>
        </w:rPr>
        <w:t>de</w:t>
      </w:r>
      <w:r w:rsidRPr="0058432E">
        <w:rPr>
          <w:color w:val="000000" w:themeColor="text1"/>
        </w:rPr>
        <w:t xml:space="preserve"> la peau.</w:t>
      </w:r>
    </w:p>
    <w:p w14:paraId="2893E4E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insuffisance</w:t>
      </w:r>
      <w:proofErr w:type="gramEnd"/>
      <w:r w:rsidRPr="0058432E">
        <w:rPr>
          <w:color w:val="000000" w:themeColor="text1"/>
        </w:rPr>
        <w:t xml:space="preserve"> hépatique ; </w:t>
      </w:r>
    </w:p>
    <w:p w14:paraId="4CC0A112" w14:textId="77777777" w:rsidR="00BD13E0" w:rsidRPr="0058432E" w:rsidRDefault="00C46587" w:rsidP="00982118">
      <w:pPr>
        <w:numPr>
          <w:ilvl w:val="0"/>
          <w:numId w:val="7"/>
        </w:numPr>
        <w:ind w:left="562" w:hanging="562"/>
        <w:rPr>
          <w:color w:val="000000" w:themeColor="text1"/>
        </w:rPr>
      </w:pPr>
      <w:proofErr w:type="gramStart"/>
      <w:r w:rsidRPr="0058432E">
        <w:rPr>
          <w:color w:val="000000" w:themeColor="text1"/>
        </w:rPr>
        <w:t>aggravation</w:t>
      </w:r>
      <w:proofErr w:type="gramEnd"/>
      <w:r w:rsidRPr="0058432E">
        <w:rPr>
          <w:color w:val="000000" w:themeColor="text1"/>
        </w:rPr>
        <w:t xml:space="preserve"> d’une maladie appelée dermatomyosite (caractérisée par une éruption cutanée accompagnant une faiblesse musculaire)</w:t>
      </w:r>
      <w:r w:rsidR="00BD13E0" w:rsidRPr="0058432E">
        <w:rPr>
          <w:color w:val="000000" w:themeColor="text1"/>
        </w:rPr>
        <w:t> ;</w:t>
      </w:r>
    </w:p>
    <w:p w14:paraId="14F01542" w14:textId="231A3A58" w:rsidR="00C46587" w:rsidRPr="0058432E" w:rsidRDefault="00BD13E0" w:rsidP="00BD13E0">
      <w:pPr>
        <w:numPr>
          <w:ilvl w:val="0"/>
          <w:numId w:val="7"/>
        </w:numPr>
        <w:ind w:left="562" w:hanging="562"/>
        <w:rPr>
          <w:color w:val="000000" w:themeColor="text1"/>
        </w:rPr>
      </w:pPr>
      <w:proofErr w:type="gramStart"/>
      <w:r w:rsidRPr="0058432E">
        <w:rPr>
          <w:color w:val="000000" w:themeColor="text1"/>
        </w:rPr>
        <w:t>prise</w:t>
      </w:r>
      <w:proofErr w:type="gramEnd"/>
      <w:r w:rsidRPr="0058432E">
        <w:rPr>
          <w:color w:val="000000" w:themeColor="text1"/>
        </w:rPr>
        <w:t xml:space="preserve"> de poids (pour la plupart des patients, la prise de poids a été faible).</w:t>
      </w:r>
    </w:p>
    <w:p w14:paraId="596C3B60" w14:textId="77777777" w:rsidR="00C46587" w:rsidRPr="0058432E" w:rsidRDefault="00C46587" w:rsidP="00982118">
      <w:pPr>
        <w:rPr>
          <w:color w:val="000000" w:themeColor="text1"/>
        </w:rPr>
      </w:pPr>
    </w:p>
    <w:p w14:paraId="282EA6C5" w14:textId="77777777" w:rsidR="00C46587" w:rsidRPr="0058432E" w:rsidRDefault="00C46587" w:rsidP="00982118">
      <w:pPr>
        <w:rPr>
          <w:color w:val="000000" w:themeColor="text1"/>
        </w:rPr>
      </w:pPr>
      <w:r w:rsidRPr="0058432E">
        <w:rPr>
          <w:color w:val="000000" w:themeColor="text1"/>
        </w:rPr>
        <w:t>Certains effets indésirables observés avec l’adalimumab ne se traduisent par aucun symptôme et ne peuvent être détectés qu’au moyen d’examens</w:t>
      </w:r>
      <w:r w:rsidR="00BD0386" w:rsidRPr="0058432E">
        <w:rPr>
          <w:color w:val="000000" w:themeColor="text1"/>
        </w:rPr>
        <w:t xml:space="preserve"> sanguins</w:t>
      </w:r>
      <w:r w:rsidRPr="0058432E">
        <w:rPr>
          <w:color w:val="000000" w:themeColor="text1"/>
        </w:rPr>
        <w:t xml:space="preserve">. Ils incluent : </w:t>
      </w:r>
    </w:p>
    <w:p w14:paraId="20C0A5B1" w14:textId="77777777" w:rsidR="00C46587" w:rsidRPr="0058432E" w:rsidRDefault="00C46587" w:rsidP="00982118">
      <w:pPr>
        <w:rPr>
          <w:color w:val="000000" w:themeColor="text1"/>
        </w:rPr>
      </w:pPr>
    </w:p>
    <w:p w14:paraId="19A12DC7" w14:textId="77777777" w:rsidR="00C46587" w:rsidRPr="0058432E" w:rsidRDefault="00C46587" w:rsidP="00982118">
      <w:pPr>
        <w:keepNext/>
        <w:rPr>
          <w:color w:val="000000" w:themeColor="text1"/>
        </w:rPr>
      </w:pPr>
      <w:r w:rsidRPr="0058432E">
        <w:rPr>
          <w:b/>
          <w:color w:val="000000" w:themeColor="text1"/>
        </w:rPr>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w:t>
      </w:r>
    </w:p>
    <w:p w14:paraId="5765E0CA" w14:textId="77777777" w:rsidR="00C46587" w:rsidRPr="0058432E" w:rsidRDefault="00C46587" w:rsidP="00982118">
      <w:pPr>
        <w:keepNext/>
        <w:rPr>
          <w:color w:val="000000" w:themeColor="text1"/>
        </w:rPr>
      </w:pPr>
    </w:p>
    <w:p w14:paraId="7A6D99B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 </w:t>
      </w:r>
    </w:p>
    <w:p w14:paraId="59B0119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lastRenderedPageBreak/>
        <w:t>taux</w:t>
      </w:r>
      <w:proofErr w:type="gramEnd"/>
      <w:r w:rsidRPr="0058432E">
        <w:rPr>
          <w:color w:val="000000" w:themeColor="text1"/>
        </w:rPr>
        <w:t xml:space="preserve"> faibles de globules rouges ; </w:t>
      </w:r>
    </w:p>
    <w:p w14:paraId="529FF2E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de lipides dans le sang ; </w:t>
      </w:r>
    </w:p>
    <w:p w14:paraId="5D37277E" w14:textId="77777777" w:rsidR="00C46587" w:rsidRPr="0058432E" w:rsidRDefault="00580BE5"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enzymes hépatiques. </w:t>
      </w:r>
    </w:p>
    <w:p w14:paraId="27F2EBDC" w14:textId="77777777" w:rsidR="00C46587" w:rsidRPr="0058432E" w:rsidRDefault="00C46587" w:rsidP="00982118">
      <w:pPr>
        <w:rPr>
          <w:color w:val="000000" w:themeColor="text1"/>
        </w:rPr>
      </w:pPr>
    </w:p>
    <w:p w14:paraId="2D4F1DA8" w14:textId="77777777" w:rsidR="00C46587" w:rsidRPr="0058432E" w:rsidRDefault="00C46587" w:rsidP="00982118">
      <w:pPr>
        <w:rPr>
          <w:color w:val="000000" w:themeColor="text1"/>
        </w:rPr>
      </w:pPr>
      <w:r w:rsidRPr="0058432E">
        <w:rPr>
          <w:b/>
          <w:color w:val="000000" w:themeColor="text1"/>
        </w:rPr>
        <w:t xml:space="preserve">Fréquent </w:t>
      </w:r>
      <w:r w:rsidRPr="0058432E">
        <w:rPr>
          <w:color w:val="000000" w:themeColor="text1"/>
        </w:rPr>
        <w:t>(p</w:t>
      </w:r>
      <w:r w:rsidR="00B42EC9" w:rsidRPr="0058432E">
        <w:rPr>
          <w:color w:val="000000" w:themeColor="text1"/>
        </w:rPr>
        <w:t>eut</w:t>
      </w:r>
      <w:r w:rsidRPr="0058432E">
        <w:rPr>
          <w:color w:val="000000" w:themeColor="text1"/>
        </w:rPr>
        <w:t xml:space="preserve"> affecter jusqu’à 1 personne sur 10)</w:t>
      </w:r>
    </w:p>
    <w:p w14:paraId="4F317B7D" w14:textId="77777777" w:rsidR="00C46587" w:rsidRPr="0058432E" w:rsidRDefault="00C46587" w:rsidP="00982118">
      <w:pPr>
        <w:rPr>
          <w:color w:val="000000" w:themeColor="text1"/>
        </w:rPr>
      </w:pPr>
    </w:p>
    <w:p w14:paraId="385B52D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globules blancs ; </w:t>
      </w:r>
    </w:p>
    <w:p w14:paraId="2286A3B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plaquettes ; </w:t>
      </w:r>
    </w:p>
    <w:p w14:paraId="22430BC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d’acide urique dans le sang ; </w:t>
      </w:r>
    </w:p>
    <w:p w14:paraId="0128A86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anormaux de sodium dans le sang ; </w:t>
      </w:r>
    </w:p>
    <w:p w14:paraId="0FD0D3E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calcium dans le sang ; </w:t>
      </w:r>
    </w:p>
    <w:p w14:paraId="595E1B0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phosphate dans le sang ; </w:t>
      </w:r>
    </w:p>
    <w:p w14:paraId="0A3F1C1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de sucre élevé dans le sang ; </w:t>
      </w:r>
    </w:p>
    <w:p w14:paraId="32267AC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lactate déshydrogénase dans le sang ; </w:t>
      </w:r>
    </w:p>
    <w:p w14:paraId="0940C989" w14:textId="77777777" w:rsidR="003B2330" w:rsidRPr="0058432E" w:rsidRDefault="00C46587" w:rsidP="00982118">
      <w:pPr>
        <w:numPr>
          <w:ilvl w:val="0"/>
          <w:numId w:val="7"/>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d’anticorps dans le sang ;</w:t>
      </w:r>
    </w:p>
    <w:p w14:paraId="15804AD0" w14:textId="77777777" w:rsidR="00C46587" w:rsidRPr="0058432E" w:rsidRDefault="003B2330"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 de potassium dans le sang. </w:t>
      </w:r>
    </w:p>
    <w:p w14:paraId="75C2D052" w14:textId="77777777" w:rsidR="00C46587" w:rsidRPr="0058432E" w:rsidRDefault="00C46587" w:rsidP="00982118">
      <w:pPr>
        <w:rPr>
          <w:color w:val="000000" w:themeColor="text1"/>
        </w:rPr>
      </w:pPr>
    </w:p>
    <w:p w14:paraId="4DBED3EC" w14:textId="77777777" w:rsidR="003B2330" w:rsidRPr="0058432E" w:rsidRDefault="003B2330" w:rsidP="00982118">
      <w:pPr>
        <w:rPr>
          <w:color w:val="000000" w:themeColor="text1"/>
        </w:rPr>
      </w:pPr>
      <w:r w:rsidRPr="0058432E">
        <w:rPr>
          <w:b/>
          <w:color w:val="000000" w:themeColor="text1"/>
        </w:rPr>
        <w:t>Peu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100)</w:t>
      </w:r>
    </w:p>
    <w:p w14:paraId="2CD4E192" w14:textId="77777777" w:rsidR="003B2330" w:rsidRPr="0058432E" w:rsidRDefault="003B2330" w:rsidP="00982118">
      <w:pPr>
        <w:rPr>
          <w:color w:val="000000" w:themeColor="text1"/>
        </w:rPr>
      </w:pPr>
    </w:p>
    <w:p w14:paraId="7DDE79E6" w14:textId="77777777" w:rsidR="003B2330" w:rsidRPr="0058432E" w:rsidRDefault="00580BE5" w:rsidP="00982118">
      <w:pPr>
        <w:numPr>
          <w:ilvl w:val="0"/>
          <w:numId w:val="9"/>
        </w:numPr>
        <w:rPr>
          <w:color w:val="000000" w:themeColor="text1"/>
        </w:rPr>
      </w:pPr>
      <w:proofErr w:type="gramStart"/>
      <w:r w:rsidRPr="0058432E">
        <w:rPr>
          <w:color w:val="000000" w:themeColor="text1"/>
        </w:rPr>
        <w:t>taux</w:t>
      </w:r>
      <w:proofErr w:type="gramEnd"/>
      <w:r w:rsidRPr="0058432E">
        <w:rPr>
          <w:color w:val="000000" w:themeColor="text1"/>
        </w:rPr>
        <w:t xml:space="preserve"> élevés de bilirubine (test sanguin du foie).</w:t>
      </w:r>
    </w:p>
    <w:p w14:paraId="5AF760EB" w14:textId="77777777" w:rsidR="003B2330" w:rsidRPr="0058432E" w:rsidRDefault="003B2330" w:rsidP="00982118">
      <w:pPr>
        <w:rPr>
          <w:color w:val="000000" w:themeColor="text1"/>
        </w:rPr>
      </w:pPr>
    </w:p>
    <w:p w14:paraId="5F4DF4A8" w14:textId="77777777" w:rsidR="00C46587" w:rsidRPr="0058432E" w:rsidRDefault="00C46587" w:rsidP="006B001C">
      <w:pPr>
        <w:keepNext/>
        <w:rPr>
          <w:color w:val="000000" w:themeColor="text1"/>
        </w:rPr>
      </w:pPr>
      <w:r w:rsidRPr="0058432E">
        <w:rPr>
          <w:b/>
          <w:color w:val="000000" w:themeColor="text1"/>
        </w:rPr>
        <w:t>Rare</w:t>
      </w:r>
      <w:r w:rsidRPr="0058432E">
        <w:rPr>
          <w:color w:val="000000" w:themeColor="text1"/>
        </w:rPr>
        <w:t xml:space="preserve"> (pouvant affecter jusqu’à 1 personne sur 1 000) </w:t>
      </w:r>
    </w:p>
    <w:p w14:paraId="4CAFB057" w14:textId="77777777" w:rsidR="00C46587" w:rsidRPr="0058432E" w:rsidRDefault="00C46587" w:rsidP="00982118">
      <w:pPr>
        <w:rPr>
          <w:color w:val="000000" w:themeColor="text1"/>
        </w:rPr>
      </w:pPr>
    </w:p>
    <w:p w14:paraId="0B0CD53F"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de globules rouges et de plaquettes. </w:t>
      </w:r>
    </w:p>
    <w:p w14:paraId="065D8AFC" w14:textId="77777777" w:rsidR="00C46587" w:rsidRPr="0058432E" w:rsidRDefault="00C46587" w:rsidP="00982118">
      <w:pPr>
        <w:rPr>
          <w:color w:val="000000" w:themeColor="text1"/>
        </w:rPr>
      </w:pPr>
    </w:p>
    <w:p w14:paraId="4DA9A8C2" w14:textId="77777777" w:rsidR="00C46587" w:rsidRPr="0058432E" w:rsidRDefault="00C46587" w:rsidP="00982118">
      <w:pPr>
        <w:rPr>
          <w:b/>
          <w:color w:val="000000" w:themeColor="text1"/>
        </w:rPr>
      </w:pPr>
      <w:r w:rsidRPr="0058432E">
        <w:rPr>
          <w:b/>
          <w:color w:val="000000" w:themeColor="text1"/>
        </w:rPr>
        <w:t xml:space="preserve">Déclaration des effets secondaires </w:t>
      </w:r>
    </w:p>
    <w:p w14:paraId="00BBF1B3" w14:textId="10DF29E4" w:rsidR="00C46587" w:rsidRPr="0058432E" w:rsidRDefault="00C46587" w:rsidP="00982118">
      <w:pPr>
        <w:rPr>
          <w:color w:val="000000" w:themeColor="text1"/>
        </w:rPr>
      </w:pPr>
      <w:r w:rsidRPr="0058432E">
        <w:rPr>
          <w:color w:val="000000" w:themeColor="text1"/>
        </w:rP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sidRPr="0058432E">
        <w:rPr>
          <w:color w:val="000000" w:themeColor="text1"/>
          <w:highlight w:val="lightGray"/>
        </w:rPr>
        <w:t xml:space="preserve">le système national de déclaration décrit en </w:t>
      </w:r>
      <w:hyperlink r:id="rId59" w:history="1">
        <w:r w:rsidRPr="0058432E">
          <w:rPr>
            <w:rStyle w:val="Hyperlink"/>
            <w:highlight w:val="lightGray"/>
          </w:rPr>
          <w:t>Annexe V</w:t>
        </w:r>
      </w:hyperlink>
      <w:r w:rsidRPr="0058432E">
        <w:rPr>
          <w:color w:val="000000" w:themeColor="text1"/>
        </w:rPr>
        <w:t xml:space="preserve">. En signalant les effets indésirables, vous contribuez à fournir davantage d’informations sur la sécurité du médicament. </w:t>
      </w:r>
    </w:p>
    <w:p w14:paraId="4533FDA0" w14:textId="77777777" w:rsidR="00C46587" w:rsidRPr="0058432E" w:rsidRDefault="00C46587" w:rsidP="00982118">
      <w:pPr>
        <w:rPr>
          <w:color w:val="000000" w:themeColor="text1"/>
        </w:rPr>
      </w:pPr>
    </w:p>
    <w:p w14:paraId="7695B34C" w14:textId="77777777" w:rsidR="00C46587" w:rsidRPr="0058432E" w:rsidRDefault="00C46587" w:rsidP="00982118">
      <w:pPr>
        <w:rPr>
          <w:color w:val="000000" w:themeColor="text1"/>
        </w:rPr>
      </w:pPr>
    </w:p>
    <w:p w14:paraId="680C5D8C" w14:textId="77777777" w:rsidR="00C46587" w:rsidRPr="0058432E" w:rsidRDefault="00C46587" w:rsidP="00982118">
      <w:pPr>
        <w:tabs>
          <w:tab w:val="left" w:pos="562"/>
        </w:tabs>
        <w:rPr>
          <w:b/>
          <w:color w:val="000000" w:themeColor="text1"/>
        </w:rPr>
      </w:pPr>
      <w:r w:rsidRPr="0058432E">
        <w:rPr>
          <w:b/>
          <w:color w:val="000000" w:themeColor="text1"/>
        </w:rPr>
        <w:t>5.</w:t>
      </w:r>
      <w:r w:rsidRPr="0058432E">
        <w:rPr>
          <w:b/>
          <w:color w:val="000000" w:themeColor="text1"/>
        </w:rPr>
        <w:tab/>
        <w:t xml:space="preserve">Comment conserver Amsparity </w:t>
      </w:r>
    </w:p>
    <w:p w14:paraId="3D6DB646" w14:textId="77777777" w:rsidR="00C46587" w:rsidRPr="0058432E" w:rsidRDefault="00C46587" w:rsidP="00982118">
      <w:pPr>
        <w:rPr>
          <w:color w:val="000000" w:themeColor="text1"/>
        </w:rPr>
      </w:pPr>
    </w:p>
    <w:p w14:paraId="34F68348" w14:textId="77777777" w:rsidR="00C46587" w:rsidRPr="0058432E" w:rsidRDefault="00C46587" w:rsidP="00982118">
      <w:pPr>
        <w:rPr>
          <w:color w:val="000000" w:themeColor="text1"/>
        </w:rPr>
      </w:pPr>
      <w:r w:rsidRPr="0058432E">
        <w:rPr>
          <w:color w:val="000000" w:themeColor="text1"/>
        </w:rPr>
        <w:t xml:space="preserve">Tenir ce médicament hors de la vue et de la portée des enfants. </w:t>
      </w:r>
    </w:p>
    <w:p w14:paraId="7017318D" w14:textId="77777777" w:rsidR="00C46587" w:rsidRPr="0058432E" w:rsidRDefault="00C46587" w:rsidP="00982118">
      <w:pPr>
        <w:rPr>
          <w:color w:val="000000" w:themeColor="text1"/>
        </w:rPr>
      </w:pPr>
    </w:p>
    <w:p w14:paraId="44D4EA9B" w14:textId="77777777" w:rsidR="00C46587" w:rsidRPr="0058432E" w:rsidRDefault="00C46587" w:rsidP="00982118">
      <w:pPr>
        <w:rPr>
          <w:color w:val="000000" w:themeColor="text1"/>
        </w:rPr>
      </w:pPr>
      <w:r w:rsidRPr="0058432E">
        <w:rPr>
          <w:color w:val="000000" w:themeColor="text1"/>
        </w:rPr>
        <w:t xml:space="preserve">N’utilisez pas ce médicament après la date de péremption indiquée sur l’étiquette/la plaquette/la boîte après EXP. </w:t>
      </w:r>
    </w:p>
    <w:p w14:paraId="373903DE" w14:textId="77777777" w:rsidR="0016465E" w:rsidRPr="0058432E" w:rsidRDefault="0016465E" w:rsidP="00982118">
      <w:pPr>
        <w:rPr>
          <w:color w:val="000000" w:themeColor="text1"/>
        </w:rPr>
      </w:pPr>
    </w:p>
    <w:p w14:paraId="21562109" w14:textId="77777777" w:rsidR="00C46587" w:rsidRPr="0058432E" w:rsidRDefault="00C46587" w:rsidP="00982118">
      <w:pPr>
        <w:rPr>
          <w:color w:val="000000" w:themeColor="text1"/>
        </w:rPr>
      </w:pPr>
      <w:r w:rsidRPr="0058432E">
        <w:rPr>
          <w:color w:val="000000" w:themeColor="text1"/>
        </w:rPr>
        <w:t>À conserver au réfrigérateur (entre 2 °C et 8 °C). Ne pas congeler.</w:t>
      </w:r>
    </w:p>
    <w:p w14:paraId="003E1164" w14:textId="77777777" w:rsidR="00C46587" w:rsidRPr="0058432E" w:rsidRDefault="00C46587" w:rsidP="00982118">
      <w:pPr>
        <w:rPr>
          <w:color w:val="000000" w:themeColor="text1"/>
        </w:rPr>
      </w:pPr>
    </w:p>
    <w:p w14:paraId="682DE8DD" w14:textId="77777777" w:rsidR="00C46587" w:rsidRPr="0058432E" w:rsidRDefault="00C46587" w:rsidP="00982118">
      <w:pPr>
        <w:rPr>
          <w:color w:val="000000" w:themeColor="text1"/>
        </w:rPr>
      </w:pPr>
      <w:r w:rsidRPr="0058432E">
        <w:rPr>
          <w:color w:val="000000" w:themeColor="text1"/>
        </w:rPr>
        <w:t xml:space="preserve">Conserver la seringue préremplie dans l’emballage extérieur à l’abri de la lumière. </w:t>
      </w:r>
    </w:p>
    <w:p w14:paraId="444B67B0" w14:textId="77777777" w:rsidR="00C46587" w:rsidRPr="0058432E" w:rsidRDefault="00C46587" w:rsidP="00982118">
      <w:pPr>
        <w:rPr>
          <w:color w:val="000000" w:themeColor="text1"/>
        </w:rPr>
      </w:pPr>
    </w:p>
    <w:p w14:paraId="1BD5A767" w14:textId="77777777" w:rsidR="00C46587" w:rsidRPr="0058432E" w:rsidRDefault="00C46587" w:rsidP="00982118">
      <w:pPr>
        <w:rPr>
          <w:color w:val="000000" w:themeColor="text1"/>
          <w:u w:val="single"/>
        </w:rPr>
      </w:pPr>
      <w:r w:rsidRPr="0058432E">
        <w:rPr>
          <w:color w:val="000000" w:themeColor="text1"/>
          <w:u w:val="single"/>
        </w:rPr>
        <w:t>Autres conditions de conservation :</w:t>
      </w:r>
    </w:p>
    <w:p w14:paraId="6E83D370" w14:textId="77777777" w:rsidR="0042050C" w:rsidRPr="0058432E" w:rsidRDefault="0042050C" w:rsidP="00982118">
      <w:pPr>
        <w:rPr>
          <w:color w:val="000000" w:themeColor="text1"/>
        </w:rPr>
      </w:pPr>
    </w:p>
    <w:p w14:paraId="5253524B" w14:textId="77777777" w:rsidR="00C46587" w:rsidRPr="0058432E" w:rsidRDefault="00C46587" w:rsidP="00982118">
      <w:pPr>
        <w:rPr>
          <w:color w:val="000000" w:themeColor="text1"/>
        </w:rPr>
      </w:pPr>
      <w:r w:rsidRPr="0058432E">
        <w:rPr>
          <w:color w:val="000000" w:themeColor="text1"/>
        </w:rPr>
        <w:t xml:space="preserve">Si nécessaire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si vous voyagez), une seringue préremplie d’Amsparity peut être conservée à température ambiante (jusqu’à 30 °C) pendant une durée maximale de 30 jours, en la protégeant de la lumière. Après avoir été retirée du réfrigérateur pour être conservée à température ambiante, la seringue </w:t>
      </w:r>
      <w:r w:rsidRPr="0058432E">
        <w:rPr>
          <w:b/>
          <w:color w:val="000000" w:themeColor="text1"/>
        </w:rPr>
        <w:t>doit être utilisée dans les 30 jours ou jetée</w:t>
      </w:r>
      <w:r w:rsidRPr="0058432E">
        <w:rPr>
          <w:color w:val="000000" w:themeColor="text1"/>
        </w:rPr>
        <w:t xml:space="preserve">, même si elle est remise au réfrigérateur. </w:t>
      </w:r>
    </w:p>
    <w:p w14:paraId="6188E295" w14:textId="77777777" w:rsidR="00C46587" w:rsidRPr="0058432E" w:rsidRDefault="00C46587" w:rsidP="00982118">
      <w:pPr>
        <w:rPr>
          <w:color w:val="000000" w:themeColor="text1"/>
        </w:rPr>
      </w:pPr>
    </w:p>
    <w:p w14:paraId="5B695813" w14:textId="77777777" w:rsidR="00C46587" w:rsidRPr="0058432E" w:rsidRDefault="00C46587" w:rsidP="00982118">
      <w:pPr>
        <w:rPr>
          <w:color w:val="000000" w:themeColor="text1"/>
        </w:rPr>
      </w:pPr>
      <w:r w:rsidRPr="0058432E">
        <w:rPr>
          <w:color w:val="000000" w:themeColor="text1"/>
        </w:rPr>
        <w:t xml:space="preserve">Vous devez noter la date à laquelle la seringue a été retirée la première fois du réfrigérateur et la date à laquelle elle doit être jetée. </w:t>
      </w:r>
    </w:p>
    <w:p w14:paraId="7364CAF5" w14:textId="77777777" w:rsidR="00C46587" w:rsidRPr="0058432E" w:rsidRDefault="00C46587" w:rsidP="00982118">
      <w:pPr>
        <w:rPr>
          <w:color w:val="000000" w:themeColor="text1"/>
        </w:rPr>
      </w:pPr>
    </w:p>
    <w:p w14:paraId="7CCB1515" w14:textId="77777777" w:rsidR="00C46587" w:rsidRPr="0058432E" w:rsidRDefault="00C46587" w:rsidP="00982118">
      <w:pPr>
        <w:rPr>
          <w:color w:val="000000" w:themeColor="text1"/>
        </w:rPr>
      </w:pPr>
      <w:r w:rsidRPr="0058432E">
        <w:rPr>
          <w:color w:val="000000" w:themeColor="text1"/>
        </w:rPr>
        <w:lastRenderedPageBreak/>
        <w:t xml:space="preserve">Ne jetez aucun médicament au tout-à-l’égout ou avec les ordures ménagères. Demandez à votre pharmacien d’éliminer les médicaments que vous n’utilisez plus. Ces mesures contribueront à protéger l’environnement. </w:t>
      </w:r>
    </w:p>
    <w:p w14:paraId="15F4BF0B" w14:textId="77777777" w:rsidR="00C46587" w:rsidRPr="0058432E" w:rsidRDefault="00C46587" w:rsidP="00982118">
      <w:pPr>
        <w:rPr>
          <w:color w:val="000000" w:themeColor="text1"/>
        </w:rPr>
      </w:pPr>
    </w:p>
    <w:p w14:paraId="6951B893" w14:textId="77777777" w:rsidR="00C46587" w:rsidRPr="0058432E" w:rsidRDefault="00C46587" w:rsidP="00982118">
      <w:pPr>
        <w:rPr>
          <w:color w:val="000000" w:themeColor="text1"/>
        </w:rPr>
      </w:pPr>
    </w:p>
    <w:p w14:paraId="7F22C65A" w14:textId="77777777" w:rsidR="002F4E10" w:rsidRPr="0058432E" w:rsidRDefault="00C46587" w:rsidP="00982118">
      <w:pPr>
        <w:keepNext/>
        <w:tabs>
          <w:tab w:val="left" w:pos="562"/>
        </w:tabs>
        <w:rPr>
          <w:b/>
          <w:color w:val="000000" w:themeColor="text1"/>
        </w:rPr>
      </w:pPr>
      <w:r w:rsidRPr="0058432E">
        <w:rPr>
          <w:b/>
          <w:color w:val="000000" w:themeColor="text1"/>
        </w:rPr>
        <w:t>6.</w:t>
      </w:r>
      <w:r w:rsidRPr="0058432E">
        <w:rPr>
          <w:b/>
          <w:color w:val="000000" w:themeColor="text1"/>
        </w:rPr>
        <w:tab/>
        <w:t xml:space="preserve">Contenu de l’emballage et autres informations </w:t>
      </w:r>
    </w:p>
    <w:p w14:paraId="74205A8F" w14:textId="77777777" w:rsidR="002F4E10" w:rsidRPr="0058432E" w:rsidRDefault="002F4E10" w:rsidP="00982118">
      <w:pPr>
        <w:keepNext/>
        <w:tabs>
          <w:tab w:val="left" w:pos="562"/>
        </w:tabs>
        <w:rPr>
          <w:b/>
          <w:color w:val="000000" w:themeColor="text1"/>
        </w:rPr>
      </w:pPr>
    </w:p>
    <w:p w14:paraId="183F277F" w14:textId="77777777" w:rsidR="00C46587" w:rsidRPr="0058432E" w:rsidRDefault="00C46587" w:rsidP="00982118">
      <w:pPr>
        <w:keepNext/>
        <w:tabs>
          <w:tab w:val="left" w:pos="562"/>
        </w:tabs>
        <w:rPr>
          <w:b/>
          <w:color w:val="000000" w:themeColor="text1"/>
        </w:rPr>
      </w:pPr>
      <w:r w:rsidRPr="0058432E">
        <w:rPr>
          <w:b/>
          <w:color w:val="000000" w:themeColor="text1"/>
        </w:rPr>
        <w:t xml:space="preserve">Ce que contient Amsparity </w:t>
      </w:r>
    </w:p>
    <w:p w14:paraId="49DAFD3E" w14:textId="77777777" w:rsidR="00C46587" w:rsidRPr="0058432E" w:rsidRDefault="00C46587" w:rsidP="00982118">
      <w:pPr>
        <w:keepNext/>
        <w:rPr>
          <w:color w:val="000000" w:themeColor="text1"/>
        </w:rPr>
      </w:pPr>
    </w:p>
    <w:p w14:paraId="7131FFA6" w14:textId="77777777" w:rsidR="00C46587" w:rsidRPr="0058432E" w:rsidRDefault="00C46587" w:rsidP="00982118">
      <w:pPr>
        <w:keepNext/>
        <w:rPr>
          <w:color w:val="000000" w:themeColor="text1"/>
        </w:rPr>
      </w:pPr>
      <w:r w:rsidRPr="0058432E">
        <w:rPr>
          <w:color w:val="000000" w:themeColor="text1"/>
        </w:rPr>
        <w:t xml:space="preserve">La substance active est l’adalimumab. </w:t>
      </w:r>
    </w:p>
    <w:p w14:paraId="26297220" w14:textId="77777777" w:rsidR="00C44CA0" w:rsidRPr="0058432E" w:rsidRDefault="00C44CA0" w:rsidP="00982118">
      <w:pPr>
        <w:rPr>
          <w:color w:val="000000" w:themeColor="text1"/>
        </w:rPr>
      </w:pPr>
    </w:p>
    <w:p w14:paraId="1F0C01FB" w14:textId="727D0E82" w:rsidR="00C46587" w:rsidRPr="0058432E" w:rsidRDefault="00C46587" w:rsidP="00982118">
      <w:pPr>
        <w:rPr>
          <w:color w:val="000000" w:themeColor="text1"/>
        </w:rPr>
      </w:pPr>
      <w:r w:rsidRPr="0058432E">
        <w:rPr>
          <w:color w:val="000000" w:themeColor="text1"/>
        </w:rPr>
        <w:t>Les autres composants sont : L-histidine, chlorhydrate de L-histidine monohydraté, saccharose, édétate disodique dihydraté, L-méthionine, polysorbate 80 et eau pour préparations injectables</w:t>
      </w:r>
      <w:r w:rsidR="00253214" w:rsidRPr="0058432E">
        <w:rPr>
          <w:color w:val="000000" w:themeColor="text1"/>
        </w:rPr>
        <w:t xml:space="preserve"> (voir rubrique 2 « Amsparity contient du polysorbate 80 » et « Amsparity contient du sodium »)</w:t>
      </w:r>
      <w:r w:rsidRPr="0058432E">
        <w:rPr>
          <w:color w:val="000000" w:themeColor="text1"/>
        </w:rPr>
        <w:t xml:space="preserve">. </w:t>
      </w:r>
    </w:p>
    <w:p w14:paraId="2AB4B12F" w14:textId="77777777" w:rsidR="00C46587" w:rsidRPr="0058432E" w:rsidRDefault="00C46587" w:rsidP="00982118">
      <w:pPr>
        <w:rPr>
          <w:color w:val="000000" w:themeColor="text1"/>
        </w:rPr>
      </w:pPr>
    </w:p>
    <w:p w14:paraId="70FE17FC" w14:textId="77777777" w:rsidR="00C46587" w:rsidRPr="0058432E" w:rsidRDefault="00C46587" w:rsidP="00982118">
      <w:pPr>
        <w:rPr>
          <w:b/>
          <w:color w:val="000000" w:themeColor="text1"/>
        </w:rPr>
      </w:pPr>
      <w:r w:rsidRPr="0058432E">
        <w:rPr>
          <w:b/>
          <w:color w:val="000000" w:themeColor="text1"/>
        </w:rPr>
        <w:t xml:space="preserve">Comment se présente Amsparity en seringue préremplie et contenu de l’emballage extérieur </w:t>
      </w:r>
    </w:p>
    <w:p w14:paraId="5EEB1C6D" w14:textId="77777777" w:rsidR="00C46587" w:rsidRPr="0058432E" w:rsidRDefault="00C46587" w:rsidP="00982118">
      <w:pPr>
        <w:rPr>
          <w:color w:val="000000" w:themeColor="text1"/>
        </w:rPr>
      </w:pPr>
    </w:p>
    <w:p w14:paraId="7CAE616D" w14:textId="77777777" w:rsidR="00C46587" w:rsidRPr="0058432E" w:rsidRDefault="006A1144" w:rsidP="00982118">
      <w:pPr>
        <w:rPr>
          <w:color w:val="000000" w:themeColor="text1"/>
        </w:rPr>
      </w:pPr>
      <w:r w:rsidRPr="0058432E">
        <w:rPr>
          <w:color w:val="000000" w:themeColor="text1"/>
        </w:rPr>
        <w:t xml:space="preserve">Amsparity 40 mg, solution injectable en seringue préremplie est présenté sous forme de solution stérile de 40 mg d’adalimumab dissous dans 0,8 ml de solution. </w:t>
      </w:r>
    </w:p>
    <w:p w14:paraId="48DC9F03" w14:textId="77777777" w:rsidR="00C46587" w:rsidRPr="0058432E" w:rsidRDefault="00C46587" w:rsidP="00982118">
      <w:pPr>
        <w:rPr>
          <w:color w:val="000000" w:themeColor="text1"/>
        </w:rPr>
      </w:pPr>
    </w:p>
    <w:p w14:paraId="52CD1F37" w14:textId="77777777" w:rsidR="007D2B84" w:rsidRPr="0058432E" w:rsidRDefault="00C46587" w:rsidP="00982118">
      <w:pPr>
        <w:rPr>
          <w:color w:val="000000" w:themeColor="text1"/>
        </w:rPr>
      </w:pPr>
      <w:r w:rsidRPr="0058432E">
        <w:rPr>
          <w:color w:val="000000" w:themeColor="text1"/>
        </w:rPr>
        <w:t xml:space="preserve">La seringue préremplie d’Amsparity est une seringue en verre contenant une solution d’adalimumab limpide, incolore à brun très clair. Chaque boîte contient 1, 2, 4 ou 6 seringues préremplies pour l’utilisation par le patient avec respectivement 2 (1 de rechange), 2, 4 ou 6 tampons d’alcool. </w:t>
      </w:r>
    </w:p>
    <w:p w14:paraId="223354C1" w14:textId="77777777" w:rsidR="007D2B84" w:rsidRPr="0058432E" w:rsidRDefault="007D2B84" w:rsidP="00982118">
      <w:pPr>
        <w:rPr>
          <w:color w:val="000000" w:themeColor="text1"/>
        </w:rPr>
      </w:pPr>
    </w:p>
    <w:p w14:paraId="26472670" w14:textId="77777777" w:rsidR="00C46587" w:rsidRPr="0058432E" w:rsidRDefault="00C46587" w:rsidP="00982118">
      <w:pPr>
        <w:rPr>
          <w:color w:val="000000" w:themeColor="text1"/>
        </w:rPr>
      </w:pPr>
      <w:r w:rsidRPr="0058432E">
        <w:rPr>
          <w:color w:val="000000" w:themeColor="text1"/>
        </w:rPr>
        <w:t xml:space="preserve">Toutes les présentations peuvent ne pas être commercialisées. </w:t>
      </w:r>
    </w:p>
    <w:p w14:paraId="129A649E" w14:textId="77777777" w:rsidR="00C46587" w:rsidRPr="0058432E" w:rsidRDefault="00C46587" w:rsidP="00982118">
      <w:pPr>
        <w:rPr>
          <w:color w:val="000000" w:themeColor="text1"/>
        </w:rPr>
      </w:pPr>
    </w:p>
    <w:p w14:paraId="4812B147" w14:textId="77777777" w:rsidR="00C46587" w:rsidRPr="0058432E" w:rsidRDefault="006A1144" w:rsidP="00982118">
      <w:pPr>
        <w:rPr>
          <w:color w:val="000000" w:themeColor="text1"/>
        </w:rPr>
      </w:pPr>
      <w:r w:rsidRPr="0058432E">
        <w:rPr>
          <w:color w:val="000000" w:themeColor="text1"/>
        </w:rPr>
        <w:t xml:space="preserve">Amsparity est disponible en flacon, en seringue préremplie et/ou en stylo prérempli. </w:t>
      </w:r>
    </w:p>
    <w:p w14:paraId="1027CD42" w14:textId="77777777" w:rsidR="00C46587" w:rsidRPr="0058432E" w:rsidRDefault="00C46587" w:rsidP="00982118">
      <w:pPr>
        <w:rPr>
          <w:color w:val="000000" w:themeColor="text1"/>
        </w:rPr>
      </w:pPr>
    </w:p>
    <w:p w14:paraId="61FA15FF" w14:textId="77777777" w:rsidR="00C46587" w:rsidRPr="0058432E" w:rsidRDefault="00C46587" w:rsidP="00982118">
      <w:pPr>
        <w:rPr>
          <w:b/>
          <w:color w:val="000000" w:themeColor="text1"/>
        </w:rPr>
      </w:pPr>
      <w:r w:rsidRPr="0058432E">
        <w:rPr>
          <w:b/>
          <w:color w:val="000000" w:themeColor="text1"/>
        </w:rPr>
        <w:t xml:space="preserve">Titulaire de l’Autorisation de mise sur le marché </w:t>
      </w:r>
    </w:p>
    <w:p w14:paraId="522ABA3E" w14:textId="77777777" w:rsidR="00C46587" w:rsidRPr="0058432E" w:rsidRDefault="00C46587" w:rsidP="00982118">
      <w:pPr>
        <w:rPr>
          <w:color w:val="000000" w:themeColor="text1"/>
        </w:rPr>
      </w:pPr>
    </w:p>
    <w:p w14:paraId="4C37B7DC" w14:textId="77777777" w:rsidR="006C3AE3" w:rsidRPr="0058432E" w:rsidRDefault="006C3AE3" w:rsidP="00982118">
      <w:pPr>
        <w:rPr>
          <w:color w:val="000000" w:themeColor="text1"/>
        </w:rPr>
      </w:pPr>
      <w:r w:rsidRPr="0058432E">
        <w:rPr>
          <w:color w:val="000000" w:themeColor="text1"/>
        </w:rPr>
        <w:t>Pfizer Europe MA EEIG</w:t>
      </w:r>
    </w:p>
    <w:p w14:paraId="10955CE0"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Boulevard de la Plaine 17</w:t>
      </w:r>
    </w:p>
    <w:p w14:paraId="4D18AAB5"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1050 Bruxelles</w:t>
      </w:r>
    </w:p>
    <w:p w14:paraId="4659B779"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Belgique</w:t>
      </w:r>
    </w:p>
    <w:p w14:paraId="7AE06F00" w14:textId="77777777" w:rsidR="00C46587" w:rsidRPr="0058432E" w:rsidRDefault="00C46587" w:rsidP="00982118">
      <w:pPr>
        <w:rPr>
          <w:color w:val="000000" w:themeColor="text1"/>
        </w:rPr>
      </w:pPr>
    </w:p>
    <w:p w14:paraId="0F0F4F3C" w14:textId="77777777" w:rsidR="00C46587" w:rsidRPr="0058432E" w:rsidRDefault="00C46587" w:rsidP="00982118">
      <w:pPr>
        <w:rPr>
          <w:b/>
          <w:color w:val="000000" w:themeColor="text1"/>
        </w:rPr>
      </w:pPr>
      <w:r w:rsidRPr="0058432E">
        <w:rPr>
          <w:b/>
          <w:color w:val="000000" w:themeColor="text1"/>
        </w:rPr>
        <w:t xml:space="preserve">Fabricant </w:t>
      </w:r>
    </w:p>
    <w:p w14:paraId="595F6A91" w14:textId="77777777" w:rsidR="00C46587" w:rsidRPr="0058432E" w:rsidRDefault="00C46587" w:rsidP="00982118">
      <w:pPr>
        <w:rPr>
          <w:color w:val="000000" w:themeColor="text1"/>
        </w:rPr>
      </w:pPr>
    </w:p>
    <w:p w14:paraId="3C88183D" w14:textId="04D40853"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Pfizer Service Company BV</w:t>
      </w:r>
    </w:p>
    <w:p w14:paraId="55F5C372" w14:textId="77777777" w:rsidR="00D03468" w:rsidRPr="00B03C37" w:rsidRDefault="00D03468" w:rsidP="00D03468">
      <w:pPr>
        <w:rPr>
          <w:ins w:id="48" w:author="Author" w:date="2025-06-12T13:44:00Z" w16du:dateUtc="2025-06-12T12:44:00Z"/>
        </w:rPr>
      </w:pPr>
      <w:ins w:id="49" w:author="Author" w:date="2025-06-12T13:44:00Z" w16du:dateUtc="2025-06-12T12:44:00Z">
        <w:r w:rsidRPr="00B03C37">
          <w:t>Hermeslaan 11</w:t>
        </w:r>
      </w:ins>
    </w:p>
    <w:p w14:paraId="4C16B4A6" w14:textId="645ED4EC" w:rsidR="00AB5164" w:rsidRPr="0058432E" w:rsidDel="00D03468" w:rsidRDefault="00D03468" w:rsidP="00982118">
      <w:pPr>
        <w:pStyle w:val="BodyText"/>
        <w:keepNext/>
        <w:widowControl/>
        <w:kinsoku w:val="0"/>
        <w:overflowPunct w:val="0"/>
        <w:ind w:left="0"/>
        <w:rPr>
          <w:del w:id="50" w:author="Author" w:date="2025-06-12T13:44:00Z" w16du:dateUtc="2025-06-12T12:44:00Z"/>
          <w:color w:val="000000" w:themeColor="text1"/>
        </w:rPr>
      </w:pPr>
      <w:ins w:id="51" w:author="Author" w:date="2025-06-12T13:44:00Z" w16du:dateUtc="2025-06-12T12:44:00Z">
        <w:r>
          <w:rPr>
            <w:color w:val="000000" w:themeColor="text1"/>
          </w:rPr>
          <w:t xml:space="preserve">1932 </w:t>
        </w:r>
      </w:ins>
      <w:del w:id="52" w:author="Author" w:date="2025-06-12T13:44:00Z" w16du:dateUtc="2025-06-12T12:44:00Z">
        <w:r w:rsidR="00AB5164" w:rsidRPr="0058432E" w:rsidDel="00D03468">
          <w:rPr>
            <w:color w:val="000000" w:themeColor="text1"/>
          </w:rPr>
          <w:delText>Hoge Wei 10</w:delText>
        </w:r>
      </w:del>
    </w:p>
    <w:p w14:paraId="1E1D3201"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Zaventem</w:t>
      </w:r>
      <w:del w:id="53" w:author="Author" w:date="2025-06-12T13:44:00Z" w16du:dateUtc="2025-06-12T12:44:00Z">
        <w:r w:rsidRPr="0058432E" w:rsidDel="00D03468">
          <w:rPr>
            <w:color w:val="000000" w:themeColor="text1"/>
          </w:rPr>
          <w:delText xml:space="preserve"> 1930</w:delText>
        </w:r>
      </w:del>
    </w:p>
    <w:p w14:paraId="611400D7"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Belgique</w:t>
      </w:r>
    </w:p>
    <w:p w14:paraId="577125F3" w14:textId="77777777" w:rsidR="00C46587" w:rsidRPr="0058432E" w:rsidRDefault="00C46587" w:rsidP="00982118">
      <w:pPr>
        <w:rPr>
          <w:color w:val="000000" w:themeColor="text1"/>
        </w:rPr>
      </w:pPr>
    </w:p>
    <w:p w14:paraId="2AC9C00F" w14:textId="77777777" w:rsidR="00C46587" w:rsidRPr="0058432E" w:rsidRDefault="00C46587" w:rsidP="00982118">
      <w:pPr>
        <w:rPr>
          <w:color w:val="000000" w:themeColor="text1"/>
        </w:rPr>
      </w:pPr>
      <w:r w:rsidRPr="0058432E">
        <w:rPr>
          <w:color w:val="000000" w:themeColor="text1"/>
        </w:rPr>
        <w:t xml:space="preserve">Pour toute information complémentaire concernant ce médicament, veuillez prendre contact avec le représentant local du titulaire de l’autorisation de mise sur le marché : </w:t>
      </w:r>
    </w:p>
    <w:p w14:paraId="18D9BEB1" w14:textId="77777777" w:rsidR="00C46587" w:rsidRPr="0058432E" w:rsidRDefault="00C46587" w:rsidP="00982118">
      <w:pPr>
        <w:rPr>
          <w:color w:val="000000" w:themeColor="text1"/>
        </w:rPr>
      </w:pPr>
    </w:p>
    <w:tbl>
      <w:tblPr>
        <w:tblW w:w="5000" w:type="pct"/>
        <w:tblCellMar>
          <w:left w:w="0" w:type="dxa"/>
          <w:right w:w="0" w:type="dxa"/>
        </w:tblCellMar>
        <w:tblLook w:val="04A0" w:firstRow="1" w:lastRow="0" w:firstColumn="1" w:lastColumn="0" w:noHBand="0" w:noVBand="1"/>
      </w:tblPr>
      <w:tblGrid>
        <w:gridCol w:w="4110"/>
        <w:gridCol w:w="4689"/>
        <w:gridCol w:w="276"/>
      </w:tblGrid>
      <w:tr w:rsidR="001220DD" w:rsidRPr="0058432E" w14:paraId="32E48FE5" w14:textId="77777777" w:rsidTr="00053717">
        <w:trPr>
          <w:gridAfter w:val="1"/>
          <w:wAfter w:w="285" w:type="dxa"/>
          <w:cantSplit/>
        </w:trPr>
        <w:tc>
          <w:tcPr>
            <w:tcW w:w="4158" w:type="dxa"/>
            <w:tcMar>
              <w:top w:w="0" w:type="dxa"/>
              <w:left w:w="108" w:type="dxa"/>
              <w:bottom w:w="0" w:type="dxa"/>
              <w:right w:w="108" w:type="dxa"/>
            </w:tcMar>
            <w:hideMark/>
          </w:tcPr>
          <w:p w14:paraId="74754B76" w14:textId="77777777" w:rsidR="001220DD" w:rsidRPr="0058432E" w:rsidRDefault="001220DD" w:rsidP="00982118">
            <w:pPr>
              <w:rPr>
                <w:b/>
                <w:bCs/>
                <w:color w:val="000000" w:themeColor="text1"/>
              </w:rPr>
            </w:pPr>
            <w:r w:rsidRPr="0058432E">
              <w:rPr>
                <w:b/>
                <w:bCs/>
                <w:color w:val="000000" w:themeColor="text1"/>
              </w:rPr>
              <w:t>België/Belgique/Belgien</w:t>
            </w:r>
          </w:p>
          <w:p w14:paraId="52DCF2CA" w14:textId="77777777" w:rsidR="001220DD" w:rsidRPr="0058432E" w:rsidRDefault="001220DD" w:rsidP="00982118">
            <w:pPr>
              <w:rPr>
                <w:b/>
                <w:bCs/>
                <w:color w:val="000000" w:themeColor="text1"/>
              </w:rPr>
            </w:pPr>
            <w:r w:rsidRPr="0058432E">
              <w:rPr>
                <w:b/>
                <w:bCs/>
                <w:color w:val="000000" w:themeColor="text1"/>
              </w:rPr>
              <w:t>Luxembourg/Luxemburg</w:t>
            </w:r>
          </w:p>
          <w:p w14:paraId="015B1238" w14:textId="77777777" w:rsidR="001220DD" w:rsidRPr="0058432E" w:rsidRDefault="001220DD" w:rsidP="00982118">
            <w:pPr>
              <w:rPr>
                <w:color w:val="000000" w:themeColor="text1"/>
              </w:rPr>
            </w:pPr>
            <w:r w:rsidRPr="0058432E">
              <w:rPr>
                <w:color w:val="000000" w:themeColor="text1"/>
              </w:rPr>
              <w:t>Pfizer NV/SA</w:t>
            </w:r>
          </w:p>
          <w:p w14:paraId="1DD691DD" w14:textId="77777777" w:rsidR="001220DD" w:rsidRPr="0058432E" w:rsidRDefault="001220DD" w:rsidP="00982118">
            <w:pPr>
              <w:autoSpaceDE w:val="0"/>
              <w:autoSpaceDN w:val="0"/>
              <w:rPr>
                <w:color w:val="000000" w:themeColor="text1"/>
              </w:rPr>
            </w:pPr>
            <w:r w:rsidRPr="0058432E">
              <w:rPr>
                <w:color w:val="000000" w:themeColor="text1"/>
              </w:rPr>
              <w:t>Tél/</w:t>
            </w:r>
            <w:proofErr w:type="gramStart"/>
            <w:r w:rsidRPr="0058432E">
              <w:rPr>
                <w:color w:val="000000" w:themeColor="text1"/>
              </w:rPr>
              <w:t>Tel:</w:t>
            </w:r>
            <w:proofErr w:type="gramEnd"/>
            <w:r w:rsidRPr="0058432E">
              <w:rPr>
                <w:color w:val="000000" w:themeColor="text1"/>
              </w:rPr>
              <w:t xml:space="preserve"> +32 (0)2 554 62 11</w:t>
            </w:r>
          </w:p>
          <w:p w14:paraId="4BA68282"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4DE9958C" w14:textId="77777777" w:rsidR="001220DD" w:rsidRPr="0058432E" w:rsidRDefault="001220DD" w:rsidP="00982118">
            <w:pPr>
              <w:rPr>
                <w:b/>
                <w:bCs/>
                <w:color w:val="000000" w:themeColor="text1"/>
              </w:rPr>
            </w:pPr>
            <w:r w:rsidRPr="0058432E">
              <w:rPr>
                <w:b/>
                <w:bCs/>
                <w:color w:val="000000" w:themeColor="text1"/>
              </w:rPr>
              <w:t>Kύπρος</w:t>
            </w:r>
          </w:p>
          <w:p w14:paraId="151AF5A0" w14:textId="77777777" w:rsidR="001220DD" w:rsidRPr="0058432E" w:rsidRDefault="001220DD" w:rsidP="00982118">
            <w:pPr>
              <w:rPr>
                <w:color w:val="000000" w:themeColor="text1"/>
              </w:rPr>
            </w:pPr>
            <w:r w:rsidRPr="0058432E">
              <w:rPr>
                <w:color w:val="000000" w:themeColor="text1"/>
              </w:rPr>
              <w:t>PFIZER EΛΛAΣ A.E. (CYPRUS BRANCH)</w:t>
            </w:r>
          </w:p>
          <w:p w14:paraId="464DC5D4" w14:textId="77777777" w:rsidR="001220DD" w:rsidRPr="0058432E" w:rsidRDefault="00FE36C9" w:rsidP="00982118">
            <w:pPr>
              <w:rPr>
                <w:color w:val="000000" w:themeColor="text1"/>
              </w:rPr>
            </w:pPr>
            <w:proofErr w:type="gramStart"/>
            <w:r w:rsidRPr="0058432E">
              <w:rPr>
                <w:color w:val="000000" w:themeColor="text1"/>
              </w:rPr>
              <w:t>Τηλ:</w:t>
            </w:r>
            <w:proofErr w:type="gramEnd"/>
            <w:r w:rsidRPr="0058432E">
              <w:rPr>
                <w:color w:val="000000" w:themeColor="text1"/>
              </w:rPr>
              <w:t xml:space="preserve"> +357 22 817690</w:t>
            </w:r>
          </w:p>
          <w:p w14:paraId="30AB3387" w14:textId="77777777" w:rsidR="001220DD" w:rsidRPr="0058432E" w:rsidRDefault="001220DD" w:rsidP="00982118">
            <w:pPr>
              <w:autoSpaceDE w:val="0"/>
              <w:autoSpaceDN w:val="0"/>
              <w:rPr>
                <w:color w:val="000000" w:themeColor="text1"/>
              </w:rPr>
            </w:pPr>
          </w:p>
        </w:tc>
      </w:tr>
      <w:tr w:rsidR="00EB3DF8" w:rsidRPr="0058432E" w14:paraId="4329A74E" w14:textId="77777777" w:rsidTr="00053717">
        <w:trPr>
          <w:cantSplit/>
        </w:trPr>
        <w:tc>
          <w:tcPr>
            <w:tcW w:w="4158" w:type="dxa"/>
            <w:tcMar>
              <w:top w:w="0" w:type="dxa"/>
              <w:left w:w="108" w:type="dxa"/>
              <w:bottom w:w="0" w:type="dxa"/>
              <w:right w:w="108" w:type="dxa"/>
            </w:tcMar>
          </w:tcPr>
          <w:p w14:paraId="60B40510" w14:textId="77777777" w:rsidR="00EB3DF8" w:rsidRPr="0058432E" w:rsidRDefault="00EB3DF8" w:rsidP="00982118">
            <w:pPr>
              <w:rPr>
                <w:b/>
                <w:bCs/>
                <w:color w:val="000000" w:themeColor="text1"/>
              </w:rPr>
            </w:pPr>
          </w:p>
        </w:tc>
        <w:tc>
          <w:tcPr>
            <w:tcW w:w="4788" w:type="dxa"/>
            <w:gridSpan w:val="2"/>
            <w:tcMar>
              <w:top w:w="0" w:type="dxa"/>
              <w:left w:w="108" w:type="dxa"/>
              <w:bottom w:w="0" w:type="dxa"/>
              <w:right w:w="108" w:type="dxa"/>
            </w:tcMar>
          </w:tcPr>
          <w:p w14:paraId="7533113F" w14:textId="77777777" w:rsidR="00EB3DF8" w:rsidRPr="0058432E" w:rsidRDefault="00EB3DF8" w:rsidP="00982118">
            <w:pPr>
              <w:rPr>
                <w:b/>
                <w:bCs/>
                <w:color w:val="000000" w:themeColor="text1"/>
              </w:rPr>
            </w:pPr>
          </w:p>
        </w:tc>
      </w:tr>
      <w:tr w:rsidR="001220DD" w:rsidRPr="0058432E" w14:paraId="2C50811D" w14:textId="77777777" w:rsidTr="00053717">
        <w:trPr>
          <w:gridAfter w:val="1"/>
          <w:wAfter w:w="285" w:type="dxa"/>
          <w:cantSplit/>
        </w:trPr>
        <w:tc>
          <w:tcPr>
            <w:tcW w:w="4158" w:type="dxa"/>
            <w:tcMar>
              <w:top w:w="0" w:type="dxa"/>
              <w:left w:w="108" w:type="dxa"/>
              <w:bottom w:w="0" w:type="dxa"/>
              <w:right w:w="108" w:type="dxa"/>
            </w:tcMar>
          </w:tcPr>
          <w:p w14:paraId="05711378" w14:textId="77777777" w:rsidR="001220DD" w:rsidRPr="001E2FDF" w:rsidRDefault="001220DD" w:rsidP="00982118">
            <w:pPr>
              <w:rPr>
                <w:b/>
                <w:bCs/>
                <w:color w:val="000000" w:themeColor="text1"/>
                <w:lang w:val="en-GB"/>
              </w:rPr>
            </w:pPr>
            <w:proofErr w:type="spellStart"/>
            <w:r w:rsidRPr="001E2FDF">
              <w:rPr>
                <w:b/>
                <w:bCs/>
                <w:color w:val="000000" w:themeColor="text1"/>
                <w:lang w:val="en-GB"/>
              </w:rPr>
              <w:t>Česká</w:t>
            </w:r>
            <w:proofErr w:type="spellEnd"/>
            <w:r w:rsidRPr="001E2FDF">
              <w:rPr>
                <w:b/>
                <w:bCs/>
                <w:color w:val="000000" w:themeColor="text1"/>
                <w:lang w:val="en-GB"/>
              </w:rPr>
              <w:t xml:space="preserve"> </w:t>
            </w:r>
            <w:proofErr w:type="spellStart"/>
            <w:r w:rsidRPr="001E2FDF">
              <w:rPr>
                <w:b/>
                <w:bCs/>
                <w:color w:val="000000" w:themeColor="text1"/>
                <w:lang w:val="en-GB"/>
              </w:rPr>
              <w:t>Republika</w:t>
            </w:r>
            <w:proofErr w:type="spellEnd"/>
          </w:p>
          <w:p w14:paraId="5E049CD0" w14:textId="77777777" w:rsidR="001220DD" w:rsidRPr="008444F9" w:rsidRDefault="001220DD" w:rsidP="00982118">
            <w:pPr>
              <w:rPr>
                <w:color w:val="000000" w:themeColor="text1"/>
                <w:lang w:val="en-US"/>
              </w:rPr>
            </w:pPr>
            <w:r w:rsidRPr="008444F9">
              <w:rPr>
                <w:color w:val="000000" w:themeColor="text1"/>
                <w:lang w:val="en-US"/>
              </w:rPr>
              <w:t xml:space="preserve">Pfizer, </w:t>
            </w:r>
            <w:proofErr w:type="spellStart"/>
            <w:r w:rsidRPr="008444F9">
              <w:rPr>
                <w:color w:val="000000" w:themeColor="text1"/>
                <w:lang w:val="en-US"/>
              </w:rPr>
              <w:t>spol</w:t>
            </w:r>
            <w:proofErr w:type="spellEnd"/>
            <w:r w:rsidRPr="008444F9">
              <w:rPr>
                <w:color w:val="000000" w:themeColor="text1"/>
                <w:lang w:val="en-US"/>
              </w:rPr>
              <w:t>. s r.o.</w:t>
            </w:r>
          </w:p>
          <w:p w14:paraId="7200B692"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+420-283-004-111</w:t>
            </w:r>
          </w:p>
          <w:p w14:paraId="2068E52B"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732C6C46" w14:textId="77777777" w:rsidR="001220DD" w:rsidRPr="0058432E" w:rsidRDefault="001220DD" w:rsidP="00982118">
            <w:pPr>
              <w:rPr>
                <w:b/>
                <w:bCs/>
                <w:color w:val="000000" w:themeColor="text1"/>
              </w:rPr>
            </w:pPr>
            <w:r w:rsidRPr="0058432E">
              <w:rPr>
                <w:b/>
                <w:bCs/>
                <w:color w:val="000000" w:themeColor="text1"/>
              </w:rPr>
              <w:t>Magyarország</w:t>
            </w:r>
          </w:p>
          <w:p w14:paraId="0A42A87A" w14:textId="77777777" w:rsidR="001220DD" w:rsidRPr="0058432E" w:rsidRDefault="001220DD" w:rsidP="00982118">
            <w:pPr>
              <w:rPr>
                <w:color w:val="000000" w:themeColor="text1"/>
              </w:rPr>
            </w:pPr>
            <w:r w:rsidRPr="0058432E">
              <w:rPr>
                <w:color w:val="000000" w:themeColor="text1"/>
              </w:rPr>
              <w:t>Pfizer Kft.</w:t>
            </w:r>
          </w:p>
          <w:p w14:paraId="3A460B4A"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+36 1 488 3700</w:t>
            </w:r>
          </w:p>
          <w:p w14:paraId="2C2BEDDA" w14:textId="77777777" w:rsidR="001220DD" w:rsidRPr="0058432E" w:rsidRDefault="001220DD" w:rsidP="00982118">
            <w:pPr>
              <w:autoSpaceDE w:val="0"/>
              <w:autoSpaceDN w:val="0"/>
              <w:rPr>
                <w:color w:val="000000" w:themeColor="text1"/>
              </w:rPr>
            </w:pPr>
          </w:p>
        </w:tc>
      </w:tr>
      <w:tr w:rsidR="001220DD" w:rsidRPr="00B03C37" w14:paraId="00D60D61" w14:textId="77777777" w:rsidTr="00053717">
        <w:trPr>
          <w:gridAfter w:val="1"/>
          <w:wAfter w:w="285" w:type="dxa"/>
          <w:cantSplit/>
        </w:trPr>
        <w:tc>
          <w:tcPr>
            <w:tcW w:w="4158" w:type="dxa"/>
            <w:tcMar>
              <w:top w:w="0" w:type="dxa"/>
              <w:left w:w="108" w:type="dxa"/>
              <w:bottom w:w="0" w:type="dxa"/>
              <w:right w:w="108" w:type="dxa"/>
            </w:tcMar>
          </w:tcPr>
          <w:p w14:paraId="277602DD" w14:textId="77777777" w:rsidR="001220DD" w:rsidRPr="0058432E" w:rsidRDefault="001220DD" w:rsidP="00982118">
            <w:pPr>
              <w:rPr>
                <w:b/>
                <w:bCs/>
                <w:color w:val="000000" w:themeColor="text1"/>
              </w:rPr>
            </w:pPr>
            <w:r w:rsidRPr="0058432E">
              <w:rPr>
                <w:b/>
                <w:bCs/>
                <w:color w:val="000000" w:themeColor="text1"/>
              </w:rPr>
              <w:lastRenderedPageBreak/>
              <w:t>Danmark</w:t>
            </w:r>
          </w:p>
          <w:p w14:paraId="75589D24" w14:textId="77777777" w:rsidR="001220DD" w:rsidRPr="0058432E" w:rsidRDefault="001220DD" w:rsidP="00982118">
            <w:pPr>
              <w:rPr>
                <w:color w:val="000000" w:themeColor="text1"/>
              </w:rPr>
            </w:pPr>
            <w:r w:rsidRPr="0058432E">
              <w:rPr>
                <w:color w:val="000000" w:themeColor="text1"/>
              </w:rPr>
              <w:t>Pfizer ApS</w:t>
            </w:r>
          </w:p>
          <w:p w14:paraId="63916B82" w14:textId="3428F2C0" w:rsidR="001220DD" w:rsidRPr="0058432E" w:rsidRDefault="001220DD" w:rsidP="00982118">
            <w:pPr>
              <w:rPr>
                <w:color w:val="000000" w:themeColor="text1"/>
              </w:rPr>
            </w:pPr>
            <w:r w:rsidRPr="0058432E">
              <w:rPr>
                <w:color w:val="000000" w:themeColor="text1"/>
              </w:rPr>
              <w:t>Tlf</w:t>
            </w:r>
            <w:proofErr w:type="gramStart"/>
            <w:r w:rsidR="00EB3DF8" w:rsidRPr="0058432E">
              <w:rPr>
                <w:color w:val="000000" w:themeColor="text1"/>
              </w:rPr>
              <w:t>.</w:t>
            </w:r>
            <w:r w:rsidRPr="0058432E">
              <w:rPr>
                <w:color w:val="000000" w:themeColor="text1"/>
              </w:rPr>
              <w:t>:</w:t>
            </w:r>
            <w:proofErr w:type="gramEnd"/>
            <w:r w:rsidRPr="0058432E">
              <w:rPr>
                <w:color w:val="000000" w:themeColor="text1"/>
              </w:rPr>
              <w:t xml:space="preserve"> +45 44 201 100</w:t>
            </w:r>
          </w:p>
          <w:p w14:paraId="5CD636C3"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20FFBD32" w14:textId="77777777" w:rsidR="001220DD" w:rsidRPr="008444F9" w:rsidRDefault="001220DD" w:rsidP="00982118">
            <w:pPr>
              <w:rPr>
                <w:b/>
                <w:bCs/>
                <w:color w:val="000000" w:themeColor="text1"/>
                <w:lang w:val="en-US"/>
              </w:rPr>
            </w:pPr>
            <w:r w:rsidRPr="008444F9">
              <w:rPr>
                <w:b/>
                <w:bCs/>
                <w:color w:val="000000" w:themeColor="text1"/>
                <w:lang w:val="en-US"/>
              </w:rPr>
              <w:t>Malta</w:t>
            </w:r>
          </w:p>
          <w:p w14:paraId="0E09DF4A" w14:textId="77777777" w:rsidR="001220DD" w:rsidRPr="008444F9" w:rsidRDefault="00031465" w:rsidP="00982118">
            <w:pPr>
              <w:rPr>
                <w:color w:val="000000" w:themeColor="text1"/>
                <w:lang w:val="en-US"/>
              </w:rPr>
            </w:pPr>
            <w:r w:rsidRPr="008444F9">
              <w:rPr>
                <w:color w:val="000000" w:themeColor="text1"/>
                <w:lang w:val="en-US"/>
              </w:rPr>
              <w:t>Vivian Corporation Ltd.</w:t>
            </w:r>
            <w:r w:rsidR="001220DD" w:rsidRPr="008444F9">
              <w:rPr>
                <w:color w:val="000000" w:themeColor="text1"/>
                <w:lang w:val="en-US"/>
              </w:rPr>
              <w:t xml:space="preserve"> </w:t>
            </w:r>
          </w:p>
          <w:p w14:paraId="2BC7CF3C" w14:textId="77777777" w:rsidR="001220DD" w:rsidRPr="008444F9" w:rsidRDefault="001220DD" w:rsidP="00982118">
            <w:pPr>
              <w:rPr>
                <w:color w:val="000000" w:themeColor="text1"/>
                <w:lang w:val="en-US"/>
              </w:rPr>
            </w:pPr>
            <w:r w:rsidRPr="008444F9">
              <w:rPr>
                <w:color w:val="000000" w:themeColor="text1"/>
                <w:lang w:val="en-US"/>
              </w:rPr>
              <w:t xml:space="preserve">Tel: </w:t>
            </w:r>
            <w:r w:rsidR="009A4E8B" w:rsidRPr="008444F9">
              <w:rPr>
                <w:color w:val="000000" w:themeColor="text1"/>
                <w:lang w:val="en-US"/>
              </w:rPr>
              <w:t>+356 21344610</w:t>
            </w:r>
          </w:p>
          <w:p w14:paraId="2B65F0DD" w14:textId="77777777" w:rsidR="001220DD" w:rsidRPr="008444F9" w:rsidRDefault="001220DD" w:rsidP="00982118">
            <w:pPr>
              <w:autoSpaceDE w:val="0"/>
              <w:autoSpaceDN w:val="0"/>
              <w:rPr>
                <w:color w:val="000000" w:themeColor="text1"/>
                <w:lang w:val="en-US"/>
              </w:rPr>
            </w:pPr>
          </w:p>
        </w:tc>
      </w:tr>
      <w:tr w:rsidR="001220DD" w:rsidRPr="0058432E" w14:paraId="1F831FBE" w14:textId="77777777" w:rsidTr="00053717">
        <w:trPr>
          <w:gridAfter w:val="1"/>
          <w:wAfter w:w="285" w:type="dxa"/>
          <w:cantSplit/>
        </w:trPr>
        <w:tc>
          <w:tcPr>
            <w:tcW w:w="4158" w:type="dxa"/>
            <w:tcMar>
              <w:top w:w="0" w:type="dxa"/>
              <w:left w:w="108" w:type="dxa"/>
              <w:bottom w:w="0" w:type="dxa"/>
              <w:right w:w="108" w:type="dxa"/>
            </w:tcMar>
          </w:tcPr>
          <w:p w14:paraId="2ECBF378" w14:textId="77777777" w:rsidR="001220DD" w:rsidRPr="0058432E" w:rsidRDefault="001220DD" w:rsidP="00982118">
            <w:pPr>
              <w:rPr>
                <w:b/>
                <w:color w:val="000000" w:themeColor="text1"/>
              </w:rPr>
            </w:pPr>
            <w:proofErr w:type="spellStart"/>
            <w:r w:rsidRPr="0058432E">
              <w:rPr>
                <w:b/>
                <w:color w:val="000000" w:themeColor="text1"/>
              </w:rPr>
              <w:t>Deutschland</w:t>
            </w:r>
            <w:proofErr w:type="spellEnd"/>
          </w:p>
          <w:p w14:paraId="61480308" w14:textId="77777777" w:rsidR="001220DD" w:rsidRPr="0058432E" w:rsidRDefault="00031465" w:rsidP="00982118">
            <w:pPr>
              <w:keepNext/>
              <w:rPr>
                <w:color w:val="000000" w:themeColor="text1"/>
              </w:rPr>
            </w:pPr>
            <w:r w:rsidRPr="0058432E">
              <w:rPr>
                <w:color w:val="000000" w:themeColor="text1"/>
              </w:rPr>
              <w:t xml:space="preserve">PFIZER PHARMA </w:t>
            </w:r>
            <w:r w:rsidR="001220DD" w:rsidRPr="0058432E">
              <w:rPr>
                <w:color w:val="000000" w:themeColor="text1"/>
              </w:rPr>
              <w:t>GmbH</w:t>
            </w:r>
          </w:p>
          <w:p w14:paraId="22A93757" w14:textId="77777777" w:rsidR="001220DD" w:rsidRPr="0058432E" w:rsidRDefault="001220DD" w:rsidP="00982118">
            <w:pPr>
              <w:numPr>
                <w:ilvl w:val="12"/>
                <w:numId w:val="0"/>
              </w:numPr>
              <w:rPr>
                <w:color w:val="000000" w:themeColor="text1"/>
              </w:rPr>
            </w:pPr>
            <w:proofErr w:type="gramStart"/>
            <w:r w:rsidRPr="0058432E">
              <w:rPr>
                <w:color w:val="000000" w:themeColor="text1"/>
              </w:rPr>
              <w:t>Tel:</w:t>
            </w:r>
            <w:proofErr w:type="gramEnd"/>
            <w:r w:rsidRPr="0058432E">
              <w:rPr>
                <w:color w:val="000000" w:themeColor="text1"/>
              </w:rPr>
              <w:t xml:space="preserve"> +49 (0)</w:t>
            </w:r>
            <w:r w:rsidR="00031465" w:rsidRPr="0058432E">
              <w:rPr>
                <w:color w:val="000000" w:themeColor="text1"/>
              </w:rPr>
              <w:t>30 550055-51000</w:t>
            </w:r>
          </w:p>
          <w:p w14:paraId="50BCD647"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77753B2E" w14:textId="77777777" w:rsidR="001220DD" w:rsidRPr="0058432E" w:rsidRDefault="001220DD" w:rsidP="00982118">
            <w:pPr>
              <w:rPr>
                <w:b/>
                <w:bCs/>
                <w:color w:val="000000" w:themeColor="text1"/>
              </w:rPr>
            </w:pPr>
            <w:r w:rsidRPr="0058432E">
              <w:rPr>
                <w:b/>
                <w:bCs/>
                <w:color w:val="000000" w:themeColor="text1"/>
              </w:rPr>
              <w:t>Nederland</w:t>
            </w:r>
          </w:p>
          <w:p w14:paraId="676C484C" w14:textId="77777777" w:rsidR="001220DD" w:rsidRPr="0058432E" w:rsidRDefault="001220DD" w:rsidP="00982118">
            <w:pPr>
              <w:rPr>
                <w:color w:val="000000" w:themeColor="text1"/>
              </w:rPr>
            </w:pPr>
            <w:r w:rsidRPr="0058432E">
              <w:rPr>
                <w:color w:val="000000" w:themeColor="text1"/>
              </w:rPr>
              <w:t>Pfizer bv</w:t>
            </w:r>
          </w:p>
          <w:p w14:paraId="401E7DBA"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+31 (0)10 406 43 01</w:t>
            </w:r>
          </w:p>
          <w:p w14:paraId="6CCA148C" w14:textId="77777777" w:rsidR="001220DD" w:rsidRPr="0058432E" w:rsidRDefault="001220DD" w:rsidP="00982118">
            <w:pPr>
              <w:autoSpaceDE w:val="0"/>
              <w:autoSpaceDN w:val="0"/>
              <w:rPr>
                <w:color w:val="000000" w:themeColor="text1"/>
              </w:rPr>
            </w:pPr>
          </w:p>
        </w:tc>
      </w:tr>
      <w:tr w:rsidR="001220DD" w:rsidRPr="0058432E" w14:paraId="61DE900C" w14:textId="77777777" w:rsidTr="00053717">
        <w:trPr>
          <w:gridAfter w:val="1"/>
          <w:wAfter w:w="285" w:type="dxa"/>
          <w:cantSplit/>
        </w:trPr>
        <w:tc>
          <w:tcPr>
            <w:tcW w:w="4158" w:type="dxa"/>
            <w:tcMar>
              <w:top w:w="0" w:type="dxa"/>
              <w:left w:w="108" w:type="dxa"/>
              <w:bottom w:w="0" w:type="dxa"/>
              <w:right w:w="108" w:type="dxa"/>
            </w:tcMar>
          </w:tcPr>
          <w:p w14:paraId="0465909F" w14:textId="77777777" w:rsidR="001220DD" w:rsidRPr="0058432E" w:rsidRDefault="001220DD" w:rsidP="00982118">
            <w:pPr>
              <w:rPr>
                <w:b/>
                <w:bCs/>
                <w:color w:val="000000" w:themeColor="text1"/>
              </w:rPr>
            </w:pPr>
            <w:r w:rsidRPr="0058432E">
              <w:rPr>
                <w:b/>
                <w:bCs/>
                <w:color w:val="000000" w:themeColor="text1"/>
              </w:rPr>
              <w:t>България</w:t>
            </w:r>
          </w:p>
          <w:p w14:paraId="4769DA02" w14:textId="77777777" w:rsidR="001220DD" w:rsidRPr="0058432E" w:rsidRDefault="001220DD" w:rsidP="00982118">
            <w:pPr>
              <w:rPr>
                <w:color w:val="000000" w:themeColor="text1"/>
              </w:rPr>
            </w:pPr>
            <w:r w:rsidRPr="0058432E">
              <w:rPr>
                <w:color w:val="000000" w:themeColor="text1"/>
              </w:rPr>
              <w:t>Пфайзер Люксембург САРЛ,</w:t>
            </w:r>
          </w:p>
          <w:p w14:paraId="42DD6C0C" w14:textId="77777777" w:rsidR="001220DD" w:rsidRPr="0058432E" w:rsidRDefault="001220DD" w:rsidP="00982118">
            <w:pPr>
              <w:rPr>
                <w:color w:val="000000" w:themeColor="text1"/>
              </w:rPr>
            </w:pPr>
            <w:r w:rsidRPr="0058432E">
              <w:rPr>
                <w:color w:val="000000" w:themeColor="text1"/>
              </w:rPr>
              <w:t>Клон България</w:t>
            </w:r>
          </w:p>
          <w:p w14:paraId="4386E2B9" w14:textId="77777777" w:rsidR="001220DD" w:rsidRPr="0058432E" w:rsidRDefault="001220DD" w:rsidP="00982118">
            <w:pPr>
              <w:rPr>
                <w:color w:val="000000" w:themeColor="text1"/>
              </w:rPr>
            </w:pPr>
            <w:r w:rsidRPr="0058432E">
              <w:rPr>
                <w:color w:val="000000" w:themeColor="text1"/>
              </w:rPr>
              <w:t>Te</w:t>
            </w:r>
            <w:proofErr w:type="gramStart"/>
            <w:r w:rsidRPr="0058432E">
              <w:rPr>
                <w:color w:val="000000" w:themeColor="text1"/>
              </w:rPr>
              <w:t>л:</w:t>
            </w:r>
            <w:proofErr w:type="gramEnd"/>
            <w:r w:rsidRPr="0058432E">
              <w:rPr>
                <w:color w:val="000000" w:themeColor="text1"/>
              </w:rPr>
              <w:t xml:space="preserve"> +359 2 970 4333</w:t>
            </w:r>
          </w:p>
          <w:p w14:paraId="28B4AF4C"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36B5B327" w14:textId="77777777" w:rsidR="001220DD" w:rsidRPr="0058432E" w:rsidRDefault="001220DD" w:rsidP="00982118">
            <w:pPr>
              <w:rPr>
                <w:b/>
                <w:bCs/>
                <w:color w:val="000000" w:themeColor="text1"/>
              </w:rPr>
            </w:pPr>
            <w:r w:rsidRPr="0058432E">
              <w:rPr>
                <w:b/>
                <w:bCs/>
                <w:color w:val="000000" w:themeColor="text1"/>
              </w:rPr>
              <w:t>Norge</w:t>
            </w:r>
          </w:p>
          <w:p w14:paraId="73A6B003" w14:textId="77777777" w:rsidR="001220DD" w:rsidRPr="0058432E" w:rsidRDefault="001220DD" w:rsidP="00982118">
            <w:pPr>
              <w:rPr>
                <w:color w:val="000000" w:themeColor="text1"/>
              </w:rPr>
            </w:pPr>
            <w:r w:rsidRPr="0058432E">
              <w:rPr>
                <w:color w:val="000000" w:themeColor="text1"/>
              </w:rPr>
              <w:t>Pfizer AS</w:t>
            </w:r>
          </w:p>
          <w:p w14:paraId="5CBB62EB" w14:textId="77777777" w:rsidR="001220DD" w:rsidRPr="0058432E" w:rsidRDefault="001220DD" w:rsidP="00982118">
            <w:pPr>
              <w:rPr>
                <w:color w:val="000000" w:themeColor="text1"/>
              </w:rPr>
            </w:pPr>
            <w:proofErr w:type="gramStart"/>
            <w:r w:rsidRPr="0058432E">
              <w:rPr>
                <w:color w:val="000000" w:themeColor="text1"/>
              </w:rPr>
              <w:t>Tlf:</w:t>
            </w:r>
            <w:proofErr w:type="gramEnd"/>
            <w:r w:rsidRPr="0058432E">
              <w:rPr>
                <w:color w:val="000000" w:themeColor="text1"/>
              </w:rPr>
              <w:t xml:space="preserve"> +47 67 52 61 00</w:t>
            </w:r>
          </w:p>
          <w:p w14:paraId="1BCEA6B8" w14:textId="77777777" w:rsidR="001220DD" w:rsidRPr="0058432E" w:rsidRDefault="001220DD" w:rsidP="00982118">
            <w:pPr>
              <w:autoSpaceDE w:val="0"/>
              <w:autoSpaceDN w:val="0"/>
              <w:rPr>
                <w:color w:val="000000" w:themeColor="text1"/>
              </w:rPr>
            </w:pPr>
          </w:p>
        </w:tc>
      </w:tr>
      <w:tr w:rsidR="001220DD" w:rsidRPr="0058432E" w14:paraId="01C75274" w14:textId="77777777" w:rsidTr="00053717">
        <w:trPr>
          <w:gridAfter w:val="1"/>
          <w:wAfter w:w="285" w:type="dxa"/>
          <w:cantSplit/>
        </w:trPr>
        <w:tc>
          <w:tcPr>
            <w:tcW w:w="4158" w:type="dxa"/>
            <w:tcMar>
              <w:top w:w="0" w:type="dxa"/>
              <w:left w:w="108" w:type="dxa"/>
              <w:bottom w:w="0" w:type="dxa"/>
              <w:right w:w="108" w:type="dxa"/>
            </w:tcMar>
          </w:tcPr>
          <w:p w14:paraId="324906D5" w14:textId="77777777" w:rsidR="001220DD" w:rsidRPr="0000463E" w:rsidRDefault="001220DD" w:rsidP="00982118">
            <w:pPr>
              <w:rPr>
                <w:b/>
                <w:bCs/>
                <w:color w:val="000000" w:themeColor="text1"/>
                <w:lang w:val="pt-PT"/>
              </w:rPr>
            </w:pPr>
            <w:r w:rsidRPr="0000463E">
              <w:rPr>
                <w:b/>
                <w:bCs/>
                <w:color w:val="000000" w:themeColor="text1"/>
                <w:lang w:val="pt-PT"/>
              </w:rPr>
              <w:t>Eesti</w:t>
            </w:r>
          </w:p>
          <w:p w14:paraId="3697F77D" w14:textId="77777777" w:rsidR="001220DD" w:rsidRPr="0000463E" w:rsidRDefault="001220DD" w:rsidP="00982118">
            <w:pPr>
              <w:rPr>
                <w:color w:val="000000" w:themeColor="text1"/>
                <w:lang w:val="pt-PT"/>
              </w:rPr>
            </w:pPr>
            <w:r w:rsidRPr="0000463E">
              <w:rPr>
                <w:color w:val="000000" w:themeColor="text1"/>
                <w:lang w:val="pt-PT"/>
              </w:rPr>
              <w:t>Pfizer Luxembourg SARL Eesti filiaal</w:t>
            </w:r>
          </w:p>
          <w:p w14:paraId="7EFE55A4"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+372 666 7500</w:t>
            </w:r>
          </w:p>
          <w:p w14:paraId="7E286F9B"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704E9766" w14:textId="77777777" w:rsidR="001220DD" w:rsidRPr="008444F9" w:rsidRDefault="001220DD" w:rsidP="00982118">
            <w:pPr>
              <w:rPr>
                <w:b/>
                <w:bCs/>
                <w:color w:val="000000" w:themeColor="text1"/>
                <w:lang w:val="en-US"/>
              </w:rPr>
            </w:pPr>
            <w:r w:rsidRPr="008444F9">
              <w:rPr>
                <w:b/>
                <w:bCs/>
                <w:color w:val="000000" w:themeColor="text1"/>
                <w:lang w:val="en-US"/>
              </w:rPr>
              <w:t>Österreich</w:t>
            </w:r>
          </w:p>
          <w:p w14:paraId="12131B45" w14:textId="77777777" w:rsidR="001220DD" w:rsidRPr="008444F9" w:rsidRDefault="001220DD" w:rsidP="00982118">
            <w:pPr>
              <w:rPr>
                <w:color w:val="000000" w:themeColor="text1"/>
                <w:lang w:val="en-US"/>
              </w:rPr>
            </w:pPr>
            <w:r w:rsidRPr="008444F9">
              <w:rPr>
                <w:color w:val="000000" w:themeColor="text1"/>
                <w:lang w:val="en-US"/>
              </w:rPr>
              <w:t>Pfizer Corporation Austria Ges.m.b.H.</w:t>
            </w:r>
          </w:p>
          <w:p w14:paraId="0209D93F"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+43 (0)1 521 15-0</w:t>
            </w:r>
          </w:p>
          <w:p w14:paraId="4EDFFBAF" w14:textId="77777777" w:rsidR="001220DD" w:rsidRPr="0058432E" w:rsidRDefault="001220DD" w:rsidP="00982118">
            <w:pPr>
              <w:autoSpaceDE w:val="0"/>
              <w:autoSpaceDN w:val="0"/>
              <w:rPr>
                <w:color w:val="000000" w:themeColor="text1"/>
              </w:rPr>
            </w:pPr>
          </w:p>
        </w:tc>
      </w:tr>
      <w:tr w:rsidR="001220DD" w:rsidRPr="0058432E" w14:paraId="6AEDA399" w14:textId="77777777" w:rsidTr="00053717">
        <w:trPr>
          <w:gridAfter w:val="1"/>
          <w:wAfter w:w="285" w:type="dxa"/>
          <w:cantSplit/>
        </w:trPr>
        <w:tc>
          <w:tcPr>
            <w:tcW w:w="4158" w:type="dxa"/>
            <w:tcMar>
              <w:top w:w="0" w:type="dxa"/>
              <w:left w:w="108" w:type="dxa"/>
              <w:bottom w:w="0" w:type="dxa"/>
              <w:right w:w="108" w:type="dxa"/>
            </w:tcMar>
          </w:tcPr>
          <w:p w14:paraId="56B2E981" w14:textId="77777777" w:rsidR="001220DD" w:rsidRPr="0058432E" w:rsidRDefault="001220DD" w:rsidP="00982118">
            <w:pPr>
              <w:rPr>
                <w:b/>
                <w:bCs/>
                <w:color w:val="000000" w:themeColor="text1"/>
              </w:rPr>
            </w:pPr>
            <w:r w:rsidRPr="0058432E">
              <w:rPr>
                <w:b/>
                <w:bCs/>
                <w:color w:val="000000" w:themeColor="text1"/>
              </w:rPr>
              <w:t>Ελλάδα</w:t>
            </w:r>
          </w:p>
          <w:p w14:paraId="28B4F101" w14:textId="77777777" w:rsidR="001220DD" w:rsidRPr="0058432E" w:rsidRDefault="001220DD" w:rsidP="00982118">
            <w:pPr>
              <w:rPr>
                <w:color w:val="000000" w:themeColor="text1"/>
              </w:rPr>
            </w:pPr>
            <w:r w:rsidRPr="0058432E">
              <w:rPr>
                <w:color w:val="000000" w:themeColor="text1"/>
              </w:rPr>
              <w:t>PFIZER EΛΛAΣ A.E.</w:t>
            </w:r>
          </w:p>
          <w:p w14:paraId="408E7680" w14:textId="77777777" w:rsidR="001220DD" w:rsidRPr="0058432E" w:rsidRDefault="001220DD" w:rsidP="00982118">
            <w:pPr>
              <w:rPr>
                <w:color w:val="000000" w:themeColor="text1"/>
              </w:rPr>
            </w:pPr>
            <w:r w:rsidRPr="0058432E">
              <w:rPr>
                <w:color w:val="000000" w:themeColor="text1"/>
              </w:rPr>
              <w:t>Τηλ</w:t>
            </w:r>
            <w:proofErr w:type="gramStart"/>
            <w:r w:rsidRPr="0058432E">
              <w:rPr>
                <w:color w:val="000000" w:themeColor="text1"/>
              </w:rPr>
              <w:t>.:</w:t>
            </w:r>
            <w:proofErr w:type="gramEnd"/>
            <w:r w:rsidRPr="0058432E">
              <w:rPr>
                <w:color w:val="000000" w:themeColor="text1"/>
              </w:rPr>
              <w:t xml:space="preserve"> +30 210 67 85 800</w:t>
            </w:r>
          </w:p>
          <w:p w14:paraId="3464DCC0"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1C7579D5" w14:textId="77777777" w:rsidR="001220DD" w:rsidRPr="0000463E" w:rsidRDefault="001220DD" w:rsidP="00982118">
            <w:pPr>
              <w:rPr>
                <w:b/>
                <w:bCs/>
                <w:color w:val="000000" w:themeColor="text1"/>
                <w:lang w:val="pt-PT"/>
              </w:rPr>
            </w:pPr>
            <w:r w:rsidRPr="0000463E">
              <w:rPr>
                <w:b/>
                <w:bCs/>
                <w:color w:val="000000" w:themeColor="text1"/>
                <w:lang w:val="pt-PT"/>
              </w:rPr>
              <w:t>Polska</w:t>
            </w:r>
          </w:p>
          <w:p w14:paraId="61CFB02D" w14:textId="77777777" w:rsidR="001220DD" w:rsidRPr="0000463E" w:rsidRDefault="001220DD" w:rsidP="00982118">
            <w:pPr>
              <w:rPr>
                <w:color w:val="000000" w:themeColor="text1"/>
                <w:lang w:val="pt-PT"/>
              </w:rPr>
            </w:pPr>
            <w:r w:rsidRPr="0000463E">
              <w:rPr>
                <w:color w:val="000000" w:themeColor="text1"/>
                <w:lang w:val="pt-PT"/>
              </w:rPr>
              <w:t>Pfizer Polska Sp. z o.o.</w:t>
            </w:r>
          </w:p>
          <w:p w14:paraId="77A69958" w14:textId="77777777" w:rsidR="001220DD" w:rsidRPr="0058432E" w:rsidRDefault="001220DD" w:rsidP="00982118">
            <w:pPr>
              <w:rPr>
                <w:color w:val="000000" w:themeColor="text1"/>
              </w:rPr>
            </w:pPr>
            <w:r w:rsidRPr="0058432E">
              <w:rPr>
                <w:color w:val="000000" w:themeColor="text1"/>
              </w:rPr>
              <w:t>Tel</w:t>
            </w:r>
            <w:proofErr w:type="gramStart"/>
            <w:r w:rsidRPr="0058432E">
              <w:rPr>
                <w:color w:val="000000" w:themeColor="text1"/>
              </w:rPr>
              <w:t>.:</w:t>
            </w:r>
            <w:proofErr w:type="gramEnd"/>
            <w:r w:rsidRPr="0058432E">
              <w:rPr>
                <w:color w:val="000000" w:themeColor="text1"/>
              </w:rPr>
              <w:t xml:space="preserve"> +48 22 335 61 00</w:t>
            </w:r>
          </w:p>
          <w:p w14:paraId="4D55AD7E" w14:textId="77777777" w:rsidR="001220DD" w:rsidRPr="0058432E" w:rsidRDefault="001220DD" w:rsidP="00982118">
            <w:pPr>
              <w:autoSpaceDE w:val="0"/>
              <w:autoSpaceDN w:val="0"/>
              <w:rPr>
                <w:color w:val="000000" w:themeColor="text1"/>
              </w:rPr>
            </w:pPr>
          </w:p>
        </w:tc>
      </w:tr>
      <w:tr w:rsidR="001220DD" w:rsidRPr="008844CE" w14:paraId="52780B3D" w14:textId="77777777" w:rsidTr="00053717">
        <w:trPr>
          <w:gridAfter w:val="1"/>
          <w:wAfter w:w="285" w:type="dxa"/>
          <w:cantSplit/>
        </w:trPr>
        <w:tc>
          <w:tcPr>
            <w:tcW w:w="4158" w:type="dxa"/>
            <w:tcMar>
              <w:top w:w="0" w:type="dxa"/>
              <w:left w:w="108" w:type="dxa"/>
              <w:bottom w:w="0" w:type="dxa"/>
              <w:right w:w="108" w:type="dxa"/>
            </w:tcMar>
          </w:tcPr>
          <w:p w14:paraId="39AA02D8" w14:textId="77777777" w:rsidR="001220DD" w:rsidRPr="0000463E" w:rsidRDefault="001220DD" w:rsidP="00982118">
            <w:pPr>
              <w:rPr>
                <w:b/>
                <w:bCs/>
                <w:color w:val="000000" w:themeColor="text1"/>
                <w:lang w:val="pt-PT"/>
              </w:rPr>
            </w:pPr>
            <w:r w:rsidRPr="0000463E">
              <w:rPr>
                <w:b/>
                <w:bCs/>
                <w:color w:val="000000" w:themeColor="text1"/>
                <w:lang w:val="pt-PT"/>
              </w:rPr>
              <w:t>España</w:t>
            </w:r>
          </w:p>
          <w:p w14:paraId="4A3BDF6D" w14:textId="77777777" w:rsidR="001220DD" w:rsidRPr="0000463E" w:rsidRDefault="001220DD" w:rsidP="00982118">
            <w:pPr>
              <w:rPr>
                <w:color w:val="000000" w:themeColor="text1"/>
                <w:lang w:val="pt-PT"/>
              </w:rPr>
            </w:pPr>
            <w:r w:rsidRPr="0000463E">
              <w:rPr>
                <w:color w:val="000000" w:themeColor="text1"/>
                <w:lang w:val="pt-PT"/>
              </w:rPr>
              <w:t>Pfizer S.L.</w:t>
            </w:r>
          </w:p>
          <w:p w14:paraId="75F732F5" w14:textId="77777777" w:rsidR="001220DD" w:rsidRPr="0000463E" w:rsidRDefault="00CD53EC" w:rsidP="00982118">
            <w:pPr>
              <w:rPr>
                <w:color w:val="000000" w:themeColor="text1"/>
                <w:lang w:val="pt-PT"/>
              </w:rPr>
            </w:pPr>
            <w:r w:rsidRPr="0000463E">
              <w:rPr>
                <w:color w:val="000000" w:themeColor="text1"/>
                <w:lang w:val="pt-PT"/>
              </w:rPr>
              <w:t>Tel: +34 91 490 99 00</w:t>
            </w:r>
          </w:p>
          <w:p w14:paraId="276AE375" w14:textId="77777777" w:rsidR="001220DD" w:rsidRPr="0000463E" w:rsidRDefault="001220DD" w:rsidP="00982118">
            <w:pPr>
              <w:autoSpaceDE w:val="0"/>
              <w:autoSpaceDN w:val="0"/>
              <w:rPr>
                <w:color w:val="000000" w:themeColor="text1"/>
                <w:lang w:val="pt-PT"/>
              </w:rPr>
            </w:pPr>
          </w:p>
        </w:tc>
        <w:tc>
          <w:tcPr>
            <w:tcW w:w="4788" w:type="dxa"/>
            <w:tcMar>
              <w:top w:w="0" w:type="dxa"/>
              <w:left w:w="108" w:type="dxa"/>
              <w:bottom w:w="0" w:type="dxa"/>
              <w:right w:w="108" w:type="dxa"/>
            </w:tcMar>
          </w:tcPr>
          <w:p w14:paraId="4AA4BC1F" w14:textId="77777777" w:rsidR="001220DD" w:rsidRPr="0000463E" w:rsidRDefault="001220DD" w:rsidP="00982118">
            <w:pPr>
              <w:autoSpaceDE w:val="0"/>
              <w:autoSpaceDN w:val="0"/>
              <w:rPr>
                <w:b/>
                <w:color w:val="000000" w:themeColor="text1"/>
                <w:lang w:val="pt-PT"/>
              </w:rPr>
            </w:pPr>
            <w:r w:rsidRPr="0000463E">
              <w:rPr>
                <w:b/>
                <w:color w:val="000000" w:themeColor="text1"/>
                <w:lang w:val="pt-PT"/>
              </w:rPr>
              <w:t>Portugal</w:t>
            </w:r>
          </w:p>
          <w:p w14:paraId="2CD1C914" w14:textId="77777777" w:rsidR="001220DD" w:rsidRPr="0000463E" w:rsidRDefault="001220DD" w:rsidP="00982118">
            <w:pPr>
              <w:autoSpaceDE w:val="0"/>
              <w:autoSpaceDN w:val="0"/>
              <w:rPr>
                <w:color w:val="000000" w:themeColor="text1"/>
                <w:lang w:val="pt-PT"/>
              </w:rPr>
            </w:pPr>
            <w:r w:rsidRPr="0000463E">
              <w:rPr>
                <w:color w:val="000000" w:themeColor="text1"/>
                <w:lang w:val="pt-PT"/>
              </w:rPr>
              <w:t>Laboratórios Pfizer, Lda.</w:t>
            </w:r>
          </w:p>
          <w:p w14:paraId="071BD99D" w14:textId="77777777" w:rsidR="001220DD" w:rsidRPr="0000463E" w:rsidRDefault="001220DD" w:rsidP="00982118">
            <w:pPr>
              <w:autoSpaceDE w:val="0"/>
              <w:autoSpaceDN w:val="0"/>
              <w:rPr>
                <w:color w:val="000000" w:themeColor="text1"/>
                <w:lang w:val="pt-PT"/>
              </w:rPr>
            </w:pPr>
            <w:r w:rsidRPr="0000463E">
              <w:rPr>
                <w:color w:val="000000" w:themeColor="text1"/>
                <w:lang w:val="pt-PT"/>
              </w:rPr>
              <w:t>Tel: +351 21 423 5500</w:t>
            </w:r>
          </w:p>
        </w:tc>
      </w:tr>
      <w:tr w:rsidR="001220DD" w:rsidRPr="0058432E" w14:paraId="4525D748" w14:textId="77777777" w:rsidTr="00053717">
        <w:trPr>
          <w:gridAfter w:val="1"/>
          <w:wAfter w:w="285" w:type="dxa"/>
          <w:cantSplit/>
        </w:trPr>
        <w:tc>
          <w:tcPr>
            <w:tcW w:w="4158" w:type="dxa"/>
            <w:tcMar>
              <w:top w:w="0" w:type="dxa"/>
              <w:left w:w="108" w:type="dxa"/>
              <w:bottom w:w="0" w:type="dxa"/>
              <w:right w:w="108" w:type="dxa"/>
            </w:tcMar>
          </w:tcPr>
          <w:p w14:paraId="62540DA2" w14:textId="77777777" w:rsidR="001220DD" w:rsidRPr="0058432E" w:rsidRDefault="001220DD" w:rsidP="00982118">
            <w:pPr>
              <w:rPr>
                <w:b/>
                <w:bCs/>
                <w:color w:val="000000" w:themeColor="text1"/>
              </w:rPr>
            </w:pPr>
            <w:r w:rsidRPr="0058432E">
              <w:rPr>
                <w:b/>
                <w:bCs/>
                <w:color w:val="000000" w:themeColor="text1"/>
              </w:rPr>
              <w:t>France</w:t>
            </w:r>
          </w:p>
          <w:p w14:paraId="4D9BDDF6" w14:textId="77777777" w:rsidR="001220DD" w:rsidRPr="0058432E" w:rsidRDefault="001220DD" w:rsidP="00982118">
            <w:pPr>
              <w:rPr>
                <w:color w:val="000000" w:themeColor="text1"/>
              </w:rPr>
            </w:pPr>
            <w:r w:rsidRPr="0058432E">
              <w:rPr>
                <w:color w:val="000000" w:themeColor="text1"/>
              </w:rPr>
              <w:t xml:space="preserve">Pfizer </w:t>
            </w:r>
          </w:p>
          <w:p w14:paraId="6F9F0599" w14:textId="77777777" w:rsidR="001220DD" w:rsidRPr="0058432E" w:rsidRDefault="001220DD" w:rsidP="00982118">
            <w:pPr>
              <w:rPr>
                <w:color w:val="000000" w:themeColor="text1"/>
              </w:rPr>
            </w:pPr>
            <w:proofErr w:type="gramStart"/>
            <w:r w:rsidRPr="0058432E">
              <w:rPr>
                <w:color w:val="000000" w:themeColor="text1"/>
              </w:rPr>
              <w:t>Tél:</w:t>
            </w:r>
            <w:proofErr w:type="gramEnd"/>
            <w:r w:rsidRPr="0058432E">
              <w:rPr>
                <w:color w:val="000000" w:themeColor="text1"/>
              </w:rPr>
              <w:t xml:space="preserve"> +33 (0)1 58 07 34 40</w:t>
            </w:r>
          </w:p>
          <w:p w14:paraId="42A6B99D" w14:textId="77777777" w:rsidR="001220DD" w:rsidRPr="0058432E" w:rsidRDefault="001220DD" w:rsidP="00982118">
            <w:pPr>
              <w:rPr>
                <w:color w:val="000000" w:themeColor="text1"/>
              </w:rPr>
            </w:pPr>
          </w:p>
        </w:tc>
        <w:tc>
          <w:tcPr>
            <w:tcW w:w="4788" w:type="dxa"/>
            <w:tcMar>
              <w:top w:w="0" w:type="dxa"/>
              <w:left w:w="108" w:type="dxa"/>
              <w:bottom w:w="0" w:type="dxa"/>
              <w:right w:w="108" w:type="dxa"/>
            </w:tcMar>
          </w:tcPr>
          <w:p w14:paraId="112B9FC5" w14:textId="77777777" w:rsidR="001220DD" w:rsidRPr="0000463E" w:rsidRDefault="001220DD" w:rsidP="00982118">
            <w:pPr>
              <w:rPr>
                <w:b/>
                <w:bCs/>
                <w:color w:val="000000" w:themeColor="text1"/>
                <w:lang w:val="pt-PT"/>
              </w:rPr>
            </w:pPr>
            <w:r w:rsidRPr="0000463E">
              <w:rPr>
                <w:b/>
                <w:bCs/>
                <w:color w:val="000000" w:themeColor="text1"/>
                <w:lang w:val="pt-PT"/>
              </w:rPr>
              <w:t>România</w:t>
            </w:r>
          </w:p>
          <w:p w14:paraId="519CF2FA" w14:textId="77777777" w:rsidR="001220DD" w:rsidRPr="0000463E" w:rsidRDefault="001220DD" w:rsidP="00982118">
            <w:pPr>
              <w:rPr>
                <w:color w:val="000000" w:themeColor="text1"/>
                <w:lang w:val="pt-PT"/>
              </w:rPr>
            </w:pPr>
            <w:r w:rsidRPr="0000463E">
              <w:rPr>
                <w:color w:val="000000" w:themeColor="text1"/>
                <w:lang w:val="pt-PT"/>
              </w:rPr>
              <w:t>Pfizer România S.R.L</w:t>
            </w:r>
          </w:p>
          <w:p w14:paraId="0D223352"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+40 (0) 21 207 28 00</w:t>
            </w:r>
          </w:p>
          <w:p w14:paraId="741783BD" w14:textId="77777777" w:rsidR="001220DD" w:rsidRPr="0058432E" w:rsidRDefault="001220DD" w:rsidP="00982118">
            <w:pPr>
              <w:autoSpaceDE w:val="0"/>
              <w:autoSpaceDN w:val="0"/>
              <w:rPr>
                <w:color w:val="000000" w:themeColor="text1"/>
              </w:rPr>
            </w:pPr>
          </w:p>
        </w:tc>
      </w:tr>
      <w:tr w:rsidR="001220DD" w:rsidRPr="0058432E" w14:paraId="49EBC9C4" w14:textId="77777777" w:rsidTr="00053717">
        <w:trPr>
          <w:gridAfter w:val="1"/>
          <w:wAfter w:w="285" w:type="dxa"/>
          <w:cantSplit/>
        </w:trPr>
        <w:tc>
          <w:tcPr>
            <w:tcW w:w="4158" w:type="dxa"/>
            <w:tcMar>
              <w:top w:w="0" w:type="dxa"/>
              <w:left w:w="108" w:type="dxa"/>
              <w:bottom w:w="0" w:type="dxa"/>
              <w:right w:w="108" w:type="dxa"/>
            </w:tcMar>
          </w:tcPr>
          <w:p w14:paraId="57C0B51B" w14:textId="77777777" w:rsidR="001220DD" w:rsidRPr="0000463E" w:rsidRDefault="001220DD" w:rsidP="00982118">
            <w:pPr>
              <w:rPr>
                <w:b/>
                <w:bCs/>
                <w:color w:val="000000" w:themeColor="text1"/>
                <w:lang w:val="pt-PT"/>
              </w:rPr>
            </w:pPr>
            <w:r w:rsidRPr="0000463E">
              <w:rPr>
                <w:b/>
                <w:bCs/>
                <w:color w:val="000000" w:themeColor="text1"/>
                <w:lang w:val="pt-PT"/>
              </w:rPr>
              <w:t>Hrvatska</w:t>
            </w:r>
          </w:p>
          <w:p w14:paraId="16F09F62" w14:textId="77777777" w:rsidR="001220DD" w:rsidRPr="0000463E" w:rsidRDefault="001220DD" w:rsidP="00982118">
            <w:pPr>
              <w:rPr>
                <w:color w:val="000000" w:themeColor="text1"/>
                <w:lang w:val="pt-PT"/>
              </w:rPr>
            </w:pPr>
            <w:r w:rsidRPr="0000463E">
              <w:rPr>
                <w:color w:val="000000" w:themeColor="text1"/>
                <w:lang w:val="pt-PT"/>
              </w:rPr>
              <w:t>Pfizer Croatia d.o.o.</w:t>
            </w:r>
          </w:p>
          <w:p w14:paraId="281F2C86"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+385 1 3908 777</w:t>
            </w:r>
          </w:p>
          <w:p w14:paraId="4EFBD3D1"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2DF9C92D" w14:textId="77777777" w:rsidR="001220DD" w:rsidRPr="0000463E" w:rsidRDefault="001220DD" w:rsidP="00982118">
            <w:pPr>
              <w:rPr>
                <w:b/>
                <w:bCs/>
                <w:color w:val="000000" w:themeColor="text1"/>
                <w:lang w:val="pt-PT"/>
              </w:rPr>
            </w:pPr>
            <w:r w:rsidRPr="0000463E">
              <w:rPr>
                <w:b/>
                <w:bCs/>
                <w:color w:val="000000" w:themeColor="text1"/>
                <w:lang w:val="pt-PT"/>
              </w:rPr>
              <w:t>Slovenija</w:t>
            </w:r>
          </w:p>
          <w:p w14:paraId="62A78B6D" w14:textId="77777777" w:rsidR="001220DD" w:rsidRPr="0000463E" w:rsidRDefault="001220DD" w:rsidP="00982118">
            <w:pPr>
              <w:rPr>
                <w:color w:val="000000" w:themeColor="text1"/>
                <w:lang w:val="pt-PT"/>
              </w:rPr>
            </w:pPr>
            <w:r w:rsidRPr="0000463E">
              <w:rPr>
                <w:color w:val="000000" w:themeColor="text1"/>
                <w:lang w:val="pt-PT"/>
              </w:rPr>
              <w:t>Pfizer Luxembourg SARL</w:t>
            </w:r>
            <w:r w:rsidRPr="0000463E">
              <w:rPr>
                <w:i/>
                <w:iCs/>
                <w:color w:val="000000" w:themeColor="text1"/>
                <w:lang w:val="pt-PT"/>
              </w:rPr>
              <w:t xml:space="preserve">, </w:t>
            </w:r>
            <w:r w:rsidRPr="0000463E">
              <w:rPr>
                <w:color w:val="000000" w:themeColor="text1"/>
                <w:lang w:val="pt-PT"/>
              </w:rPr>
              <w:t>Pfizer, podružnica</w:t>
            </w:r>
          </w:p>
          <w:p w14:paraId="509CCAC2" w14:textId="77777777" w:rsidR="001220DD" w:rsidRPr="0000463E" w:rsidRDefault="001220DD" w:rsidP="00982118">
            <w:pPr>
              <w:rPr>
                <w:color w:val="000000" w:themeColor="text1"/>
                <w:lang w:val="pt-PT"/>
              </w:rPr>
            </w:pPr>
            <w:r w:rsidRPr="0000463E">
              <w:rPr>
                <w:color w:val="000000" w:themeColor="text1"/>
                <w:lang w:val="pt-PT"/>
              </w:rPr>
              <w:t>za svetovanje s področja farmacevtske</w:t>
            </w:r>
          </w:p>
          <w:p w14:paraId="2A1B5F7A" w14:textId="77777777" w:rsidR="001220DD" w:rsidRPr="0000463E" w:rsidRDefault="001220DD" w:rsidP="00982118">
            <w:pPr>
              <w:rPr>
                <w:color w:val="000000" w:themeColor="text1"/>
                <w:lang w:val="pt-PT"/>
              </w:rPr>
            </w:pPr>
            <w:r w:rsidRPr="0000463E">
              <w:rPr>
                <w:color w:val="000000" w:themeColor="text1"/>
                <w:lang w:val="pt-PT"/>
              </w:rPr>
              <w:t>dejavnosti, Ljubljana</w:t>
            </w:r>
          </w:p>
          <w:p w14:paraId="772A8D7B"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+386 (0)1 52 11 400</w:t>
            </w:r>
          </w:p>
          <w:p w14:paraId="3682906F" w14:textId="77777777" w:rsidR="001220DD" w:rsidRPr="0058432E" w:rsidRDefault="001220DD" w:rsidP="00982118">
            <w:pPr>
              <w:autoSpaceDE w:val="0"/>
              <w:autoSpaceDN w:val="0"/>
              <w:rPr>
                <w:color w:val="000000" w:themeColor="text1"/>
              </w:rPr>
            </w:pPr>
          </w:p>
        </w:tc>
      </w:tr>
      <w:tr w:rsidR="001220DD" w:rsidRPr="0058432E" w14:paraId="24BA72CB" w14:textId="77777777" w:rsidTr="00053717">
        <w:trPr>
          <w:gridAfter w:val="1"/>
          <w:wAfter w:w="285" w:type="dxa"/>
          <w:cantSplit/>
        </w:trPr>
        <w:tc>
          <w:tcPr>
            <w:tcW w:w="4158" w:type="dxa"/>
            <w:tcMar>
              <w:top w:w="0" w:type="dxa"/>
              <w:left w:w="108" w:type="dxa"/>
              <w:bottom w:w="0" w:type="dxa"/>
              <w:right w:w="108" w:type="dxa"/>
            </w:tcMar>
          </w:tcPr>
          <w:p w14:paraId="75A83D11" w14:textId="77777777" w:rsidR="001220DD" w:rsidRPr="008444F9" w:rsidRDefault="001220DD" w:rsidP="00982118">
            <w:pPr>
              <w:rPr>
                <w:b/>
                <w:bCs/>
                <w:color w:val="000000" w:themeColor="text1"/>
                <w:lang w:val="en-US"/>
              </w:rPr>
            </w:pPr>
            <w:r w:rsidRPr="008444F9">
              <w:rPr>
                <w:b/>
                <w:bCs/>
                <w:color w:val="000000" w:themeColor="text1"/>
                <w:lang w:val="en-US"/>
              </w:rPr>
              <w:t>Ireland</w:t>
            </w:r>
          </w:p>
          <w:p w14:paraId="523B9F59" w14:textId="788BF27B" w:rsidR="001220DD" w:rsidRPr="008444F9" w:rsidRDefault="001220DD" w:rsidP="00982118">
            <w:pPr>
              <w:rPr>
                <w:color w:val="000000" w:themeColor="text1"/>
                <w:lang w:val="en-US"/>
              </w:rPr>
            </w:pPr>
            <w:r w:rsidRPr="008444F9">
              <w:rPr>
                <w:color w:val="000000" w:themeColor="text1"/>
                <w:lang w:val="en-US"/>
              </w:rPr>
              <w:t>Pfizer Healthcare Ireland</w:t>
            </w:r>
            <w:ins w:id="54" w:author="Author" w:date="2025-06-12T13:57:00Z" w16du:dateUtc="2025-06-12T12:57:00Z">
              <w:r w:rsidR="00E4670C">
                <w:rPr>
                  <w:color w:val="000000" w:themeColor="text1"/>
                  <w:lang w:val="en-US"/>
                </w:rPr>
                <w:t xml:space="preserve"> Unlimited Company</w:t>
              </w:r>
            </w:ins>
          </w:p>
          <w:p w14:paraId="545D0202" w14:textId="77777777" w:rsidR="001220DD" w:rsidRPr="008444F9" w:rsidRDefault="001220DD" w:rsidP="00982118">
            <w:pPr>
              <w:rPr>
                <w:color w:val="000000" w:themeColor="text1"/>
                <w:lang w:val="en-US"/>
              </w:rPr>
            </w:pPr>
            <w:r w:rsidRPr="008444F9">
              <w:rPr>
                <w:color w:val="000000" w:themeColor="text1"/>
                <w:lang w:val="en-US"/>
              </w:rPr>
              <w:t>Tel: +1800 633 363 (toll free)</w:t>
            </w:r>
          </w:p>
          <w:p w14:paraId="0F22D70E"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+44 (0)1304 616161</w:t>
            </w:r>
          </w:p>
          <w:p w14:paraId="46A0DCC6"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2442639C" w14:textId="77777777" w:rsidR="001220DD" w:rsidRPr="0000463E" w:rsidRDefault="001220DD" w:rsidP="00982118">
            <w:pPr>
              <w:rPr>
                <w:b/>
                <w:bCs/>
                <w:color w:val="000000" w:themeColor="text1"/>
                <w:lang w:val="pt-PT"/>
              </w:rPr>
            </w:pPr>
            <w:r w:rsidRPr="0000463E">
              <w:rPr>
                <w:b/>
                <w:bCs/>
                <w:color w:val="000000" w:themeColor="text1"/>
                <w:lang w:val="pt-PT"/>
              </w:rPr>
              <w:t>Slovenská Republika</w:t>
            </w:r>
          </w:p>
          <w:p w14:paraId="21F41CAF" w14:textId="77777777" w:rsidR="001220DD" w:rsidRPr="0000463E" w:rsidRDefault="001220DD" w:rsidP="00982118">
            <w:pPr>
              <w:rPr>
                <w:color w:val="000000" w:themeColor="text1"/>
                <w:lang w:val="pt-PT"/>
              </w:rPr>
            </w:pPr>
            <w:r w:rsidRPr="0000463E">
              <w:rPr>
                <w:color w:val="000000" w:themeColor="text1"/>
                <w:lang w:val="pt-PT"/>
              </w:rPr>
              <w:t>Pfizer Luxembourg SARL, organizačná zložka</w:t>
            </w:r>
          </w:p>
          <w:p w14:paraId="2CFD2437"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+421 2 3355 5500</w:t>
            </w:r>
          </w:p>
          <w:p w14:paraId="06632621" w14:textId="77777777" w:rsidR="001220DD" w:rsidRPr="0058432E" w:rsidRDefault="001220DD" w:rsidP="00982118">
            <w:pPr>
              <w:autoSpaceDE w:val="0"/>
              <w:autoSpaceDN w:val="0"/>
              <w:rPr>
                <w:color w:val="000000" w:themeColor="text1"/>
              </w:rPr>
            </w:pPr>
          </w:p>
        </w:tc>
      </w:tr>
      <w:tr w:rsidR="001220DD" w:rsidRPr="0058432E" w14:paraId="5406DA4C" w14:textId="77777777" w:rsidTr="00053717">
        <w:trPr>
          <w:gridAfter w:val="1"/>
          <w:wAfter w:w="285" w:type="dxa"/>
          <w:cantSplit/>
        </w:trPr>
        <w:tc>
          <w:tcPr>
            <w:tcW w:w="4158" w:type="dxa"/>
            <w:tcMar>
              <w:top w:w="0" w:type="dxa"/>
              <w:left w:w="108" w:type="dxa"/>
              <w:bottom w:w="0" w:type="dxa"/>
              <w:right w:w="108" w:type="dxa"/>
            </w:tcMar>
          </w:tcPr>
          <w:p w14:paraId="1FD28F12" w14:textId="77777777" w:rsidR="001220DD" w:rsidRPr="0058432E" w:rsidRDefault="001220DD" w:rsidP="00982118">
            <w:pPr>
              <w:keepNext/>
              <w:rPr>
                <w:b/>
                <w:bCs/>
                <w:color w:val="000000" w:themeColor="text1"/>
              </w:rPr>
            </w:pPr>
            <w:r w:rsidRPr="0058432E">
              <w:rPr>
                <w:b/>
                <w:bCs/>
                <w:color w:val="000000" w:themeColor="text1"/>
              </w:rPr>
              <w:t>Ísland</w:t>
            </w:r>
          </w:p>
          <w:p w14:paraId="6BC7574A" w14:textId="77777777" w:rsidR="001220DD" w:rsidRPr="0058432E" w:rsidRDefault="001220DD" w:rsidP="00982118">
            <w:pPr>
              <w:keepNext/>
              <w:rPr>
                <w:color w:val="000000" w:themeColor="text1"/>
              </w:rPr>
            </w:pPr>
            <w:r w:rsidRPr="0058432E">
              <w:rPr>
                <w:color w:val="000000" w:themeColor="text1"/>
              </w:rPr>
              <w:t>Icepharma hf.</w:t>
            </w:r>
          </w:p>
          <w:p w14:paraId="596CA319" w14:textId="77777777" w:rsidR="001220DD" w:rsidRPr="0058432E" w:rsidRDefault="001220DD" w:rsidP="00982118">
            <w:pPr>
              <w:keepNext/>
              <w:rPr>
                <w:color w:val="000000" w:themeColor="text1"/>
              </w:rPr>
            </w:pPr>
            <w:proofErr w:type="gramStart"/>
            <w:r w:rsidRPr="0058432E">
              <w:rPr>
                <w:color w:val="000000" w:themeColor="text1"/>
              </w:rPr>
              <w:t>Tel:</w:t>
            </w:r>
            <w:proofErr w:type="gramEnd"/>
            <w:r w:rsidRPr="0058432E">
              <w:rPr>
                <w:color w:val="000000" w:themeColor="text1"/>
              </w:rPr>
              <w:t xml:space="preserve"> +354 540 8000</w:t>
            </w:r>
          </w:p>
          <w:p w14:paraId="37B9E19B" w14:textId="77777777" w:rsidR="001220DD" w:rsidRPr="0058432E" w:rsidRDefault="001220DD" w:rsidP="00982118">
            <w:pPr>
              <w:keepNext/>
              <w:autoSpaceDE w:val="0"/>
              <w:autoSpaceDN w:val="0"/>
              <w:rPr>
                <w:color w:val="000000" w:themeColor="text1"/>
              </w:rPr>
            </w:pPr>
          </w:p>
        </w:tc>
        <w:tc>
          <w:tcPr>
            <w:tcW w:w="4788" w:type="dxa"/>
            <w:tcMar>
              <w:top w:w="0" w:type="dxa"/>
              <w:left w:w="108" w:type="dxa"/>
              <w:bottom w:w="0" w:type="dxa"/>
              <w:right w:w="108" w:type="dxa"/>
            </w:tcMar>
          </w:tcPr>
          <w:p w14:paraId="7110C3E2" w14:textId="77777777" w:rsidR="001220DD" w:rsidRPr="0058432E" w:rsidRDefault="001220DD" w:rsidP="00982118">
            <w:pPr>
              <w:keepNext/>
              <w:rPr>
                <w:b/>
                <w:bCs/>
                <w:color w:val="000000" w:themeColor="text1"/>
              </w:rPr>
            </w:pPr>
            <w:r w:rsidRPr="0058432E">
              <w:rPr>
                <w:b/>
                <w:bCs/>
                <w:color w:val="000000" w:themeColor="text1"/>
              </w:rPr>
              <w:t>Suomi/Finland</w:t>
            </w:r>
          </w:p>
          <w:p w14:paraId="2B37A75E" w14:textId="77777777" w:rsidR="001220DD" w:rsidRPr="0058432E" w:rsidRDefault="001220DD" w:rsidP="00982118">
            <w:pPr>
              <w:keepNext/>
              <w:rPr>
                <w:color w:val="000000" w:themeColor="text1"/>
              </w:rPr>
            </w:pPr>
            <w:r w:rsidRPr="0058432E">
              <w:rPr>
                <w:color w:val="000000" w:themeColor="text1"/>
              </w:rPr>
              <w:t>Pfizer Oy</w:t>
            </w:r>
          </w:p>
          <w:p w14:paraId="111C9B24" w14:textId="77777777" w:rsidR="001220DD" w:rsidRPr="0058432E" w:rsidRDefault="001220DD" w:rsidP="00982118">
            <w:pPr>
              <w:keepNext/>
              <w:rPr>
                <w:color w:val="000000" w:themeColor="text1"/>
              </w:rPr>
            </w:pPr>
            <w:r w:rsidRPr="0058432E">
              <w:rPr>
                <w:color w:val="000000" w:themeColor="text1"/>
              </w:rPr>
              <w:t>Puh/</w:t>
            </w:r>
            <w:proofErr w:type="gramStart"/>
            <w:r w:rsidRPr="0058432E">
              <w:rPr>
                <w:color w:val="000000" w:themeColor="text1"/>
              </w:rPr>
              <w:t>Tel:</w:t>
            </w:r>
            <w:proofErr w:type="gramEnd"/>
            <w:r w:rsidRPr="0058432E">
              <w:rPr>
                <w:color w:val="000000" w:themeColor="text1"/>
              </w:rPr>
              <w:t xml:space="preserve"> +358 (0)9 430 040</w:t>
            </w:r>
          </w:p>
          <w:p w14:paraId="11786D54" w14:textId="77777777" w:rsidR="001220DD" w:rsidRPr="0058432E" w:rsidRDefault="001220DD" w:rsidP="00982118">
            <w:pPr>
              <w:keepNext/>
              <w:autoSpaceDE w:val="0"/>
              <w:autoSpaceDN w:val="0"/>
              <w:rPr>
                <w:color w:val="000000" w:themeColor="text1"/>
              </w:rPr>
            </w:pPr>
          </w:p>
        </w:tc>
      </w:tr>
      <w:tr w:rsidR="001220DD" w:rsidRPr="0058432E" w14:paraId="1A13538E" w14:textId="77777777" w:rsidTr="00053717">
        <w:trPr>
          <w:gridAfter w:val="1"/>
          <w:wAfter w:w="285" w:type="dxa"/>
          <w:cantSplit/>
        </w:trPr>
        <w:tc>
          <w:tcPr>
            <w:tcW w:w="4158" w:type="dxa"/>
            <w:tcMar>
              <w:top w:w="0" w:type="dxa"/>
              <w:left w:w="108" w:type="dxa"/>
              <w:bottom w:w="0" w:type="dxa"/>
              <w:right w:w="108" w:type="dxa"/>
            </w:tcMar>
          </w:tcPr>
          <w:p w14:paraId="25F18AF3" w14:textId="77777777" w:rsidR="001220DD" w:rsidRPr="0000463E" w:rsidRDefault="001220DD" w:rsidP="00982118">
            <w:pPr>
              <w:rPr>
                <w:color w:val="000000" w:themeColor="text1"/>
                <w:lang w:val="pt-PT"/>
              </w:rPr>
            </w:pPr>
            <w:r w:rsidRPr="0000463E">
              <w:rPr>
                <w:b/>
                <w:bCs/>
                <w:color w:val="000000" w:themeColor="text1"/>
                <w:lang w:val="pt-PT"/>
              </w:rPr>
              <w:t>Italia</w:t>
            </w:r>
          </w:p>
          <w:p w14:paraId="3E6C50FD" w14:textId="77777777" w:rsidR="001220DD" w:rsidRPr="0000463E" w:rsidRDefault="001220DD" w:rsidP="00982118">
            <w:pPr>
              <w:rPr>
                <w:color w:val="000000" w:themeColor="text1"/>
                <w:lang w:val="pt-PT"/>
              </w:rPr>
            </w:pPr>
            <w:r w:rsidRPr="0000463E">
              <w:rPr>
                <w:color w:val="000000" w:themeColor="text1"/>
                <w:lang w:val="pt-PT"/>
              </w:rPr>
              <w:t xml:space="preserve">Pfizer S.r.l. </w:t>
            </w:r>
          </w:p>
          <w:p w14:paraId="5C6BC30A"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+39 06 33 18 21</w:t>
            </w:r>
          </w:p>
          <w:p w14:paraId="2D263B43" w14:textId="77777777" w:rsidR="001220DD" w:rsidRPr="0058432E" w:rsidRDefault="001220DD" w:rsidP="00982118">
            <w:pPr>
              <w:autoSpaceDE w:val="0"/>
              <w:autoSpaceDN w:val="0"/>
              <w:rPr>
                <w:color w:val="000000" w:themeColor="text1"/>
              </w:rPr>
            </w:pPr>
          </w:p>
        </w:tc>
        <w:tc>
          <w:tcPr>
            <w:tcW w:w="4788" w:type="dxa"/>
            <w:tcMar>
              <w:top w:w="0" w:type="dxa"/>
              <w:left w:w="108" w:type="dxa"/>
              <w:bottom w:w="0" w:type="dxa"/>
              <w:right w:w="108" w:type="dxa"/>
            </w:tcMar>
          </w:tcPr>
          <w:p w14:paraId="2EBC5102" w14:textId="77777777" w:rsidR="001220DD" w:rsidRPr="0058432E" w:rsidRDefault="001220DD" w:rsidP="00982118">
            <w:pPr>
              <w:rPr>
                <w:b/>
                <w:bCs/>
                <w:color w:val="000000" w:themeColor="text1"/>
              </w:rPr>
            </w:pPr>
            <w:r w:rsidRPr="0058432E">
              <w:rPr>
                <w:b/>
                <w:bCs/>
                <w:color w:val="000000" w:themeColor="text1"/>
              </w:rPr>
              <w:t>Sverige</w:t>
            </w:r>
          </w:p>
          <w:p w14:paraId="097C8123" w14:textId="77777777" w:rsidR="001220DD" w:rsidRPr="0058432E" w:rsidRDefault="001220DD" w:rsidP="00982118">
            <w:pPr>
              <w:rPr>
                <w:color w:val="000000" w:themeColor="text1"/>
              </w:rPr>
            </w:pPr>
            <w:r w:rsidRPr="0058432E">
              <w:rPr>
                <w:color w:val="000000" w:themeColor="text1"/>
              </w:rPr>
              <w:t>Pfizer AB</w:t>
            </w:r>
          </w:p>
          <w:p w14:paraId="0872D32A" w14:textId="77777777" w:rsidR="001220DD" w:rsidRPr="0058432E" w:rsidRDefault="001220DD"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+46 (0)8 550 520 00</w:t>
            </w:r>
          </w:p>
          <w:p w14:paraId="381BB59F" w14:textId="77777777" w:rsidR="001220DD" w:rsidRPr="0058432E" w:rsidRDefault="001220DD" w:rsidP="00982118">
            <w:pPr>
              <w:autoSpaceDE w:val="0"/>
              <w:autoSpaceDN w:val="0"/>
              <w:rPr>
                <w:color w:val="000000" w:themeColor="text1"/>
              </w:rPr>
            </w:pPr>
          </w:p>
        </w:tc>
      </w:tr>
      <w:tr w:rsidR="001220DD" w:rsidRPr="0058432E" w14:paraId="52042857" w14:textId="77777777" w:rsidTr="00053717">
        <w:trPr>
          <w:gridAfter w:val="1"/>
          <w:wAfter w:w="285" w:type="dxa"/>
          <w:cantSplit/>
        </w:trPr>
        <w:tc>
          <w:tcPr>
            <w:tcW w:w="4158" w:type="dxa"/>
            <w:tcMar>
              <w:top w:w="0" w:type="dxa"/>
              <w:left w:w="108" w:type="dxa"/>
              <w:bottom w:w="0" w:type="dxa"/>
              <w:right w:w="108" w:type="dxa"/>
            </w:tcMar>
          </w:tcPr>
          <w:p w14:paraId="72792A4D" w14:textId="77777777" w:rsidR="001220DD" w:rsidRPr="0000463E" w:rsidRDefault="001220DD" w:rsidP="00982118">
            <w:pPr>
              <w:rPr>
                <w:b/>
                <w:bCs/>
                <w:color w:val="000000" w:themeColor="text1"/>
                <w:lang w:val="pt-PT"/>
              </w:rPr>
            </w:pPr>
            <w:r w:rsidRPr="0000463E">
              <w:rPr>
                <w:b/>
                <w:bCs/>
                <w:color w:val="000000" w:themeColor="text1"/>
                <w:lang w:val="pt-PT"/>
              </w:rPr>
              <w:t>Latvija</w:t>
            </w:r>
          </w:p>
          <w:p w14:paraId="2D58C343" w14:textId="77777777" w:rsidR="001220DD" w:rsidRPr="0000463E" w:rsidRDefault="001220DD" w:rsidP="00982118">
            <w:pPr>
              <w:rPr>
                <w:color w:val="000000" w:themeColor="text1"/>
                <w:lang w:val="pt-PT"/>
              </w:rPr>
            </w:pPr>
            <w:r w:rsidRPr="0000463E">
              <w:rPr>
                <w:color w:val="000000" w:themeColor="text1"/>
                <w:lang w:val="pt-PT"/>
              </w:rPr>
              <w:t>Pfizer Luxembourg SARL filiāle Latvijā</w:t>
            </w:r>
          </w:p>
          <w:p w14:paraId="41479B69" w14:textId="77777777" w:rsidR="001220DD" w:rsidRPr="0058432E" w:rsidRDefault="001220DD" w:rsidP="00982118">
            <w:pPr>
              <w:rPr>
                <w:color w:val="000000" w:themeColor="text1"/>
              </w:rPr>
            </w:pPr>
            <w:r w:rsidRPr="0058432E">
              <w:rPr>
                <w:color w:val="000000" w:themeColor="text1"/>
              </w:rPr>
              <w:t>Tel. +371 67035775</w:t>
            </w:r>
          </w:p>
          <w:p w14:paraId="7321DC37" w14:textId="77777777" w:rsidR="001220DD" w:rsidRPr="0058432E" w:rsidRDefault="001220DD" w:rsidP="00982118">
            <w:pPr>
              <w:autoSpaceDE w:val="0"/>
              <w:autoSpaceDN w:val="0"/>
              <w:rPr>
                <w:b/>
                <w:bCs/>
                <w:color w:val="000000" w:themeColor="text1"/>
              </w:rPr>
            </w:pPr>
          </w:p>
        </w:tc>
        <w:tc>
          <w:tcPr>
            <w:tcW w:w="4788" w:type="dxa"/>
            <w:tcMar>
              <w:top w:w="0" w:type="dxa"/>
              <w:left w:w="108" w:type="dxa"/>
              <w:bottom w:w="0" w:type="dxa"/>
              <w:right w:w="108" w:type="dxa"/>
            </w:tcMar>
          </w:tcPr>
          <w:p w14:paraId="750A1859" w14:textId="584EF95C" w:rsidR="001220DD" w:rsidRPr="008444F9" w:rsidDel="00E4670C" w:rsidRDefault="001220DD" w:rsidP="00982118">
            <w:pPr>
              <w:rPr>
                <w:del w:id="55" w:author="Author" w:date="2025-06-12T13:57:00Z" w16du:dateUtc="2025-06-12T12:57:00Z"/>
                <w:b/>
                <w:bCs/>
                <w:color w:val="000000" w:themeColor="text1"/>
                <w:lang w:val="en-US"/>
              </w:rPr>
            </w:pPr>
            <w:del w:id="56" w:author="Author" w:date="2025-06-12T13:57:00Z" w16du:dateUtc="2025-06-12T12:57:00Z">
              <w:r w:rsidRPr="008444F9" w:rsidDel="00E4670C">
                <w:rPr>
                  <w:b/>
                  <w:bCs/>
                  <w:color w:val="000000" w:themeColor="text1"/>
                  <w:lang w:val="en-US"/>
                </w:rPr>
                <w:delText>United Kingdom</w:delText>
              </w:r>
              <w:r w:rsidR="007E214D" w:rsidRPr="008444F9" w:rsidDel="00E4670C">
                <w:rPr>
                  <w:b/>
                  <w:bCs/>
                  <w:color w:val="000000" w:themeColor="text1"/>
                  <w:lang w:val="en-US"/>
                </w:rPr>
                <w:delText xml:space="preserve"> (Northern Ireland)</w:delText>
              </w:r>
            </w:del>
          </w:p>
          <w:p w14:paraId="1F54FD9A" w14:textId="542B443C" w:rsidR="001220DD" w:rsidRPr="008444F9" w:rsidDel="00E4670C" w:rsidRDefault="001220DD" w:rsidP="00982118">
            <w:pPr>
              <w:rPr>
                <w:del w:id="57" w:author="Author" w:date="2025-06-12T13:57:00Z" w16du:dateUtc="2025-06-12T12:57:00Z"/>
                <w:color w:val="000000" w:themeColor="text1"/>
                <w:lang w:val="en-US"/>
              </w:rPr>
            </w:pPr>
            <w:del w:id="58" w:author="Author" w:date="2025-06-12T13:57:00Z" w16du:dateUtc="2025-06-12T12:57:00Z">
              <w:r w:rsidRPr="008444F9" w:rsidDel="00E4670C">
                <w:rPr>
                  <w:color w:val="000000" w:themeColor="text1"/>
                  <w:lang w:val="en-US"/>
                </w:rPr>
                <w:delText>Pfizer Limited</w:delText>
              </w:r>
            </w:del>
          </w:p>
          <w:p w14:paraId="1A91CCBF" w14:textId="727E45A5" w:rsidR="001220DD" w:rsidRPr="0058432E" w:rsidDel="00E4670C" w:rsidRDefault="001220DD" w:rsidP="00982118">
            <w:pPr>
              <w:rPr>
                <w:del w:id="59" w:author="Author" w:date="2025-06-12T13:57:00Z" w16du:dateUtc="2025-06-12T12:57:00Z"/>
                <w:color w:val="000000" w:themeColor="text1"/>
              </w:rPr>
            </w:pPr>
            <w:del w:id="60" w:author="Author" w:date="2025-06-12T13:57:00Z" w16du:dateUtc="2025-06-12T12:57:00Z">
              <w:r w:rsidRPr="0058432E" w:rsidDel="00E4670C">
                <w:rPr>
                  <w:color w:val="000000" w:themeColor="text1"/>
                </w:rPr>
                <w:delText>Tel: +44 (0)1304 616161</w:delText>
              </w:r>
            </w:del>
          </w:p>
          <w:p w14:paraId="66688005" w14:textId="77777777" w:rsidR="001220DD" w:rsidRPr="0058432E" w:rsidRDefault="001220DD">
            <w:pPr>
              <w:rPr>
                <w:b/>
                <w:bCs/>
                <w:color w:val="000000" w:themeColor="text1"/>
              </w:rPr>
              <w:pPrChange w:id="61" w:author="Author" w:date="2025-06-12T13:57:00Z" w16du:dateUtc="2025-06-12T12:57:00Z">
                <w:pPr>
                  <w:autoSpaceDE w:val="0"/>
                  <w:autoSpaceDN w:val="0"/>
                </w:pPr>
              </w:pPrChange>
            </w:pPr>
          </w:p>
        </w:tc>
      </w:tr>
      <w:tr w:rsidR="001220DD" w:rsidRPr="0058432E" w14:paraId="547A4F33" w14:textId="77777777" w:rsidTr="00053717">
        <w:trPr>
          <w:gridAfter w:val="1"/>
          <w:wAfter w:w="285" w:type="dxa"/>
          <w:cantSplit/>
        </w:trPr>
        <w:tc>
          <w:tcPr>
            <w:tcW w:w="4158" w:type="dxa"/>
            <w:tcMar>
              <w:top w:w="0" w:type="dxa"/>
              <w:left w:w="108" w:type="dxa"/>
              <w:bottom w:w="0" w:type="dxa"/>
              <w:right w:w="108" w:type="dxa"/>
            </w:tcMar>
            <w:hideMark/>
          </w:tcPr>
          <w:p w14:paraId="048C7A5C" w14:textId="77777777" w:rsidR="001220DD" w:rsidRPr="0000463E" w:rsidRDefault="001220DD" w:rsidP="00982118">
            <w:pPr>
              <w:rPr>
                <w:b/>
                <w:bCs/>
                <w:color w:val="000000" w:themeColor="text1"/>
                <w:lang w:val="pt-PT"/>
              </w:rPr>
            </w:pPr>
            <w:r w:rsidRPr="0000463E">
              <w:rPr>
                <w:b/>
                <w:bCs/>
                <w:color w:val="000000" w:themeColor="text1"/>
                <w:lang w:val="pt-PT"/>
              </w:rPr>
              <w:t>Lietuva</w:t>
            </w:r>
          </w:p>
          <w:p w14:paraId="1C3ECC5A" w14:textId="77777777" w:rsidR="001220DD" w:rsidRPr="0000463E" w:rsidRDefault="001220DD" w:rsidP="00982118">
            <w:pPr>
              <w:rPr>
                <w:color w:val="000000" w:themeColor="text1"/>
                <w:lang w:val="pt-PT"/>
              </w:rPr>
            </w:pPr>
            <w:r w:rsidRPr="0000463E">
              <w:rPr>
                <w:color w:val="000000" w:themeColor="text1"/>
                <w:lang w:val="pt-PT"/>
              </w:rPr>
              <w:t>Pfizer Luxembourg SARL filialas Lietuvoje</w:t>
            </w:r>
          </w:p>
          <w:p w14:paraId="303263A0" w14:textId="77777777" w:rsidR="001220DD" w:rsidRPr="0058432E" w:rsidRDefault="001220DD" w:rsidP="00982118">
            <w:pPr>
              <w:autoSpaceDE w:val="0"/>
              <w:autoSpaceDN w:val="0"/>
              <w:rPr>
                <w:b/>
                <w:bCs/>
                <w:color w:val="000000" w:themeColor="text1"/>
              </w:rPr>
            </w:pPr>
            <w:r w:rsidRPr="0058432E">
              <w:rPr>
                <w:color w:val="000000" w:themeColor="text1"/>
              </w:rPr>
              <w:t>Tel. +3705 2514000</w:t>
            </w:r>
          </w:p>
        </w:tc>
        <w:tc>
          <w:tcPr>
            <w:tcW w:w="4788" w:type="dxa"/>
            <w:tcMar>
              <w:top w:w="0" w:type="dxa"/>
              <w:left w:w="108" w:type="dxa"/>
              <w:bottom w:w="0" w:type="dxa"/>
              <w:right w:w="108" w:type="dxa"/>
            </w:tcMar>
          </w:tcPr>
          <w:p w14:paraId="1824BD2E" w14:textId="77777777" w:rsidR="001220DD" w:rsidRPr="0058432E" w:rsidRDefault="001220DD" w:rsidP="00982118">
            <w:pPr>
              <w:autoSpaceDE w:val="0"/>
              <w:autoSpaceDN w:val="0"/>
              <w:rPr>
                <w:b/>
                <w:bCs/>
                <w:color w:val="000000" w:themeColor="text1"/>
              </w:rPr>
            </w:pPr>
          </w:p>
        </w:tc>
      </w:tr>
    </w:tbl>
    <w:p w14:paraId="733D27EC" w14:textId="77777777" w:rsidR="00CD53EC" w:rsidRPr="0058432E" w:rsidRDefault="00CD53EC" w:rsidP="00982118">
      <w:pPr>
        <w:rPr>
          <w:color w:val="000000" w:themeColor="text1"/>
        </w:rPr>
      </w:pPr>
    </w:p>
    <w:p w14:paraId="0C31851E" w14:textId="77777777" w:rsidR="00C46587" w:rsidRPr="0058432E" w:rsidRDefault="00C46587" w:rsidP="00982118">
      <w:pPr>
        <w:rPr>
          <w:b/>
          <w:color w:val="000000" w:themeColor="text1"/>
        </w:rPr>
      </w:pPr>
      <w:r w:rsidRPr="0058432E">
        <w:rPr>
          <w:b/>
          <w:color w:val="000000" w:themeColor="text1"/>
        </w:rPr>
        <w:lastRenderedPageBreak/>
        <w:t>La dernière date à laquelle cette notice a été révisée est</w:t>
      </w:r>
    </w:p>
    <w:p w14:paraId="62CC9774" w14:textId="77777777" w:rsidR="00C46587" w:rsidRPr="0058432E" w:rsidRDefault="00C46587" w:rsidP="00982118">
      <w:pPr>
        <w:rPr>
          <w:color w:val="000000" w:themeColor="text1"/>
        </w:rPr>
      </w:pPr>
    </w:p>
    <w:p w14:paraId="5DDB28E3" w14:textId="5C56C600" w:rsidR="00C46587" w:rsidRPr="0058432E" w:rsidRDefault="00C46587" w:rsidP="00982118">
      <w:pPr>
        <w:rPr>
          <w:color w:val="000000" w:themeColor="text1"/>
          <w:u w:val="single"/>
        </w:rPr>
      </w:pPr>
      <w:r w:rsidRPr="0058432E">
        <w:rPr>
          <w:color w:val="000000" w:themeColor="text1"/>
        </w:rPr>
        <w:t xml:space="preserve">Des informations détaillées sur ce médicament sont disponibles sur le site internet de l’Agence européenne des médicaments </w:t>
      </w:r>
      <w:hyperlink r:id="rId60" w:history="1">
        <w:r w:rsidR="00B223FD" w:rsidRPr="0058432E">
          <w:rPr>
            <w:rStyle w:val="Hyperlink"/>
          </w:rPr>
          <w:t>https://www.ema.europa.eu</w:t>
        </w:r>
      </w:hyperlink>
      <w:r w:rsidRPr="0058432E">
        <w:rPr>
          <w:color w:val="000000" w:themeColor="text1"/>
        </w:rPr>
        <w:t>.</w:t>
      </w:r>
    </w:p>
    <w:p w14:paraId="3BBC6DF2" w14:textId="77777777" w:rsidR="003E58A8" w:rsidRPr="0058432E" w:rsidRDefault="00BF6B69" w:rsidP="00982118">
      <w:pPr>
        <w:jc w:val="center"/>
        <w:rPr>
          <w:b/>
          <w:bCs/>
          <w:color w:val="000000" w:themeColor="text1"/>
        </w:rPr>
      </w:pPr>
      <w:r w:rsidRPr="0058432E">
        <w:rPr>
          <w:color w:val="000000" w:themeColor="text1"/>
        </w:rPr>
        <w:br w:type="page"/>
      </w:r>
      <w:r w:rsidRPr="0058432E">
        <w:rPr>
          <w:b/>
          <w:bCs/>
          <w:color w:val="000000" w:themeColor="text1"/>
        </w:rPr>
        <w:lastRenderedPageBreak/>
        <w:t>INSTRUCTIONS D’UTILISATION</w:t>
      </w:r>
    </w:p>
    <w:p w14:paraId="46D2C2D1" w14:textId="77777777" w:rsidR="003E58A8" w:rsidRPr="0058432E" w:rsidRDefault="006A1144" w:rsidP="00982118">
      <w:pPr>
        <w:jc w:val="center"/>
        <w:rPr>
          <w:color w:val="000000" w:themeColor="text1"/>
        </w:rPr>
      </w:pPr>
      <w:r w:rsidRPr="0058432E">
        <w:rPr>
          <w:color w:val="000000" w:themeColor="text1"/>
        </w:rPr>
        <w:t>Amsparity (adalimumab)</w:t>
      </w:r>
    </w:p>
    <w:p w14:paraId="1E88A6F7" w14:textId="77777777" w:rsidR="003E58A8" w:rsidRPr="0058432E" w:rsidRDefault="003E58A8" w:rsidP="00982118">
      <w:pPr>
        <w:jc w:val="center"/>
        <w:rPr>
          <w:color w:val="000000" w:themeColor="text1"/>
        </w:rPr>
      </w:pPr>
      <w:r w:rsidRPr="0058432E">
        <w:rPr>
          <w:color w:val="000000" w:themeColor="text1"/>
        </w:rPr>
        <w:t>40</w:t>
      </w:r>
      <w:r w:rsidR="00C374C9" w:rsidRPr="0058432E">
        <w:rPr>
          <w:color w:val="000000" w:themeColor="text1"/>
        </w:rPr>
        <w:t> </w:t>
      </w:r>
      <w:r w:rsidRPr="0058432E">
        <w:rPr>
          <w:color w:val="000000" w:themeColor="text1"/>
        </w:rPr>
        <w:t>mg</w:t>
      </w:r>
    </w:p>
    <w:p w14:paraId="7B7A1FCD" w14:textId="77777777" w:rsidR="003E58A8" w:rsidRPr="0058432E" w:rsidRDefault="003E58A8" w:rsidP="00982118">
      <w:pPr>
        <w:jc w:val="center"/>
        <w:rPr>
          <w:color w:val="000000" w:themeColor="text1"/>
        </w:rPr>
      </w:pPr>
      <w:r w:rsidRPr="0058432E">
        <w:rPr>
          <w:color w:val="000000" w:themeColor="text1"/>
        </w:rPr>
        <w:t>Seringue préremplie unidose, pour injection sous-cutanée</w:t>
      </w:r>
    </w:p>
    <w:p w14:paraId="17230605" w14:textId="77777777" w:rsidR="003E58A8" w:rsidRPr="0058432E" w:rsidRDefault="003E58A8" w:rsidP="00982118">
      <w:pPr>
        <w:rPr>
          <w:b/>
          <w:color w:val="000000" w:themeColor="text1"/>
        </w:rPr>
      </w:pPr>
    </w:p>
    <w:p w14:paraId="35AA9BC0" w14:textId="77777777" w:rsidR="00977973" w:rsidRPr="0058432E" w:rsidRDefault="00977973" w:rsidP="00982118">
      <w:pPr>
        <w:rPr>
          <w:b/>
          <w:color w:val="000000" w:themeColor="text1"/>
        </w:rPr>
      </w:pPr>
      <w:r w:rsidRPr="0058432E">
        <w:rPr>
          <w:b/>
          <w:color w:val="000000" w:themeColor="text1"/>
        </w:rPr>
        <w:t xml:space="preserve">Gardez cette notice. Ces instructions expliquent, étape par étape, comment préparer et administrer une injection. </w:t>
      </w:r>
    </w:p>
    <w:p w14:paraId="6D25D57C" w14:textId="77777777" w:rsidR="00977973" w:rsidRPr="0058432E" w:rsidRDefault="00977973" w:rsidP="00982118">
      <w:pPr>
        <w:rPr>
          <w:b/>
          <w:color w:val="000000" w:themeColor="text1"/>
        </w:rPr>
      </w:pPr>
      <w:r w:rsidRPr="0058432E">
        <w:rPr>
          <w:b/>
          <w:color w:val="000000" w:themeColor="text1"/>
        </w:rPr>
        <w:t xml:space="preserve">Conservez votre seringue préremplie d’Amsparity au réfrigérateur, à une température comprise entre 2 °C et 8 °C. </w:t>
      </w:r>
    </w:p>
    <w:p w14:paraId="5F7BF3DA" w14:textId="77777777" w:rsidR="00977973" w:rsidRPr="0058432E" w:rsidRDefault="00977973" w:rsidP="00982118">
      <w:pPr>
        <w:rPr>
          <w:b/>
          <w:color w:val="000000" w:themeColor="text1"/>
        </w:rPr>
      </w:pPr>
      <w:r w:rsidRPr="0058432E">
        <w:rPr>
          <w:b/>
          <w:color w:val="000000" w:themeColor="text1"/>
        </w:rPr>
        <w:t>Conservez la seringue préremplie d’Amsparity dans l’emballage d’origine jusqu’à son utilisation pour la protéger des rayons directs du soleil.</w:t>
      </w:r>
    </w:p>
    <w:p w14:paraId="3146CB23" w14:textId="77777777" w:rsidR="00F45AB6" w:rsidRPr="0058432E" w:rsidRDefault="00F45AB6" w:rsidP="00982118">
      <w:pPr>
        <w:rPr>
          <w:b/>
          <w:color w:val="000000" w:themeColor="text1"/>
        </w:rPr>
      </w:pPr>
      <w:r w:rsidRPr="0058432E">
        <w:rPr>
          <w:b/>
          <w:color w:val="000000" w:themeColor="text1"/>
        </w:rPr>
        <w:t xml:space="preserve">Si nécessaire, par exemple lorsque vous voyagez, vous pouvez conserver la seringue préremplie </w:t>
      </w:r>
      <w:r w:rsidR="00323793" w:rsidRPr="0058432E">
        <w:rPr>
          <w:b/>
          <w:color w:val="000000" w:themeColor="text1"/>
        </w:rPr>
        <w:t>d’</w:t>
      </w:r>
      <w:r w:rsidRPr="0058432E">
        <w:rPr>
          <w:b/>
          <w:color w:val="000000" w:themeColor="text1"/>
        </w:rPr>
        <w:t xml:space="preserve">Amsparity à la température ambiante jusqu'à 30°C </w:t>
      </w:r>
      <w:r w:rsidR="001A3744" w:rsidRPr="0058432E">
        <w:rPr>
          <w:b/>
          <w:color w:val="000000" w:themeColor="text1"/>
        </w:rPr>
        <w:t>jusqu'à</w:t>
      </w:r>
      <w:r w:rsidRPr="0058432E">
        <w:rPr>
          <w:b/>
          <w:color w:val="000000" w:themeColor="text1"/>
        </w:rPr>
        <w:t xml:space="preserve"> 30 jours.</w:t>
      </w:r>
    </w:p>
    <w:p w14:paraId="03EBC87F" w14:textId="77777777" w:rsidR="00977973" w:rsidRPr="0058432E" w:rsidRDefault="00977973" w:rsidP="00982118">
      <w:pPr>
        <w:rPr>
          <w:b/>
          <w:color w:val="000000" w:themeColor="text1"/>
        </w:rPr>
      </w:pPr>
      <w:r w:rsidRPr="0058432E">
        <w:rPr>
          <w:b/>
          <w:color w:val="000000" w:themeColor="text1"/>
        </w:rPr>
        <w:t>Conservez Amsparity, le matériel d’injection et les autres médicaments hors de la portée des enfants.</w:t>
      </w:r>
    </w:p>
    <w:p w14:paraId="07776E42" w14:textId="77777777" w:rsidR="00977973" w:rsidRPr="0058432E" w:rsidRDefault="006A1144" w:rsidP="00982118">
      <w:pPr>
        <w:rPr>
          <w:color w:val="000000" w:themeColor="text1"/>
        </w:rPr>
      </w:pPr>
      <w:r w:rsidRPr="0058432E">
        <w:rPr>
          <w:color w:val="000000" w:themeColor="text1"/>
        </w:rPr>
        <w:t>Amsparity</w:t>
      </w:r>
      <w:r w:rsidRPr="0058432E">
        <w:rPr>
          <w:b/>
          <w:color w:val="000000" w:themeColor="text1"/>
        </w:rPr>
        <w:t xml:space="preserve"> </w:t>
      </w:r>
      <w:r w:rsidRPr="0058432E">
        <w:rPr>
          <w:color w:val="000000" w:themeColor="text1"/>
        </w:rPr>
        <w:t>pour injection se présente comme une seringue préremplie à usage unique jetable contenant une dose unique de médicament.</w:t>
      </w:r>
    </w:p>
    <w:p w14:paraId="0BCD7D59" w14:textId="77777777" w:rsidR="004226B7" w:rsidRPr="0058432E" w:rsidRDefault="004226B7" w:rsidP="004226B7">
      <w:pPr>
        <w:rPr>
          <w:color w:val="000000" w:themeColor="text1"/>
        </w:rPr>
      </w:pPr>
      <w:r w:rsidRPr="0058432E">
        <w:rPr>
          <w:b/>
          <w:color w:val="000000" w:themeColor="text1"/>
        </w:rPr>
        <w:t>N'essayez pas</w:t>
      </w:r>
      <w:r w:rsidRPr="0058432E">
        <w:rPr>
          <w:color w:val="000000" w:themeColor="text1"/>
        </w:rPr>
        <w:t xml:space="preserve"> d'injecter Amsparity vous-même avant d'avoir lu et compris </w:t>
      </w:r>
      <w:r w:rsidR="005A1DCF" w:rsidRPr="0058432E">
        <w:rPr>
          <w:color w:val="000000" w:themeColor="text1"/>
        </w:rPr>
        <w:t>les instructions d’utilisation</w:t>
      </w:r>
      <w:r w:rsidRPr="0058432E">
        <w:rPr>
          <w:color w:val="000000" w:themeColor="text1"/>
        </w:rPr>
        <w:t xml:space="preserve">. Si votre médecin, votre </w:t>
      </w:r>
      <w:r w:rsidR="00D27AD3" w:rsidRPr="0058432E">
        <w:rPr>
          <w:color w:val="000000" w:themeColor="text1"/>
        </w:rPr>
        <w:t>infirmier/ère</w:t>
      </w:r>
      <w:r w:rsidRPr="0058432E">
        <w:rPr>
          <w:color w:val="000000" w:themeColor="text1"/>
        </w:rPr>
        <w:t xml:space="preserve"> ou votre pharmacien décide que vous ou une personne soignante pou</w:t>
      </w:r>
      <w:r w:rsidR="009E22B4" w:rsidRPr="0058432E">
        <w:rPr>
          <w:color w:val="000000" w:themeColor="text1"/>
        </w:rPr>
        <w:t xml:space="preserve">rriez </w:t>
      </w:r>
      <w:r w:rsidRPr="0058432E">
        <w:rPr>
          <w:color w:val="000000" w:themeColor="text1"/>
        </w:rPr>
        <w:t>être en mesure d</w:t>
      </w:r>
      <w:r w:rsidR="009E22B4" w:rsidRPr="0058432E">
        <w:rPr>
          <w:color w:val="000000" w:themeColor="text1"/>
        </w:rPr>
        <w:t>‘administrer</w:t>
      </w:r>
      <w:r w:rsidRPr="0058432E">
        <w:rPr>
          <w:color w:val="000000" w:themeColor="text1"/>
        </w:rPr>
        <w:t xml:space="preserve"> </w:t>
      </w:r>
      <w:r w:rsidR="009E22B4" w:rsidRPr="0058432E">
        <w:rPr>
          <w:color w:val="000000" w:themeColor="text1"/>
        </w:rPr>
        <w:t>vos</w:t>
      </w:r>
      <w:r w:rsidRPr="0058432E">
        <w:rPr>
          <w:color w:val="000000" w:themeColor="text1"/>
        </w:rPr>
        <w:t xml:space="preserve"> injections d'Amsparity à domicile, vous dev</w:t>
      </w:r>
      <w:r w:rsidR="009E22B4" w:rsidRPr="0058432E">
        <w:rPr>
          <w:color w:val="000000" w:themeColor="text1"/>
        </w:rPr>
        <w:t>ri</w:t>
      </w:r>
      <w:r w:rsidRPr="0058432E">
        <w:rPr>
          <w:color w:val="000000" w:themeColor="text1"/>
        </w:rPr>
        <w:t>ez recevoir une formation sur la bonne façon de préparer et d'injecter Amsparity.</w:t>
      </w:r>
    </w:p>
    <w:p w14:paraId="654E689E" w14:textId="77777777" w:rsidR="004226B7" w:rsidRPr="0058432E" w:rsidRDefault="004226B7" w:rsidP="004226B7">
      <w:pPr>
        <w:rPr>
          <w:color w:val="000000" w:themeColor="text1"/>
        </w:rPr>
      </w:pPr>
      <w:r w:rsidRPr="0058432E">
        <w:rPr>
          <w:color w:val="000000" w:themeColor="text1"/>
        </w:rPr>
        <w:t xml:space="preserve">Il est également important de parler à votre médecin, à votre </w:t>
      </w:r>
      <w:r w:rsidR="00D27AD3" w:rsidRPr="0058432E">
        <w:rPr>
          <w:color w:val="000000" w:themeColor="text1"/>
        </w:rPr>
        <w:t>infirmier/ère</w:t>
      </w:r>
      <w:r w:rsidRPr="0058432E">
        <w:rPr>
          <w:color w:val="000000" w:themeColor="text1"/>
        </w:rPr>
        <w:t xml:space="preserve"> ou à votre pharmacien pour vous assurer que vous comprenez bien les instructions de dosage d'Amsparity. Pour vous aider à vous rappeler quand injecter Amsparity, vous pouvez </w:t>
      </w:r>
      <w:r w:rsidR="009E22B4" w:rsidRPr="0058432E">
        <w:rPr>
          <w:color w:val="000000" w:themeColor="text1"/>
        </w:rPr>
        <w:t>l’indiquer sur votre</w:t>
      </w:r>
      <w:r w:rsidRPr="0058432E">
        <w:rPr>
          <w:color w:val="000000" w:themeColor="text1"/>
        </w:rPr>
        <w:t xml:space="preserve"> calendrier à l'avance. Parlez à votre médecin, à votre </w:t>
      </w:r>
      <w:r w:rsidR="00D27AD3" w:rsidRPr="0058432E">
        <w:rPr>
          <w:color w:val="000000" w:themeColor="text1"/>
        </w:rPr>
        <w:t>infirmier/ère</w:t>
      </w:r>
      <w:r w:rsidRPr="0058432E">
        <w:rPr>
          <w:color w:val="000000" w:themeColor="text1"/>
        </w:rPr>
        <w:t xml:space="preserve"> ou à votre pharmacien si vous ou </w:t>
      </w:r>
      <w:r w:rsidR="009E22B4" w:rsidRPr="0058432E">
        <w:rPr>
          <w:color w:val="000000" w:themeColor="text1"/>
        </w:rPr>
        <w:t>la personne soignante</w:t>
      </w:r>
      <w:r w:rsidRPr="0058432E">
        <w:rPr>
          <w:color w:val="000000" w:themeColor="text1"/>
        </w:rPr>
        <w:t xml:space="preserve"> avez des questions sur la bonne façon d'injecter Amsparity.</w:t>
      </w:r>
    </w:p>
    <w:p w14:paraId="0C105276" w14:textId="77777777" w:rsidR="00766E08" w:rsidRPr="0058432E" w:rsidRDefault="004226B7" w:rsidP="00766E08">
      <w:pPr>
        <w:rPr>
          <w:color w:val="000000" w:themeColor="text1"/>
        </w:rPr>
      </w:pPr>
      <w:r w:rsidRPr="0058432E">
        <w:rPr>
          <w:color w:val="000000" w:themeColor="text1"/>
        </w:rPr>
        <w:t>Après une formation adéquate, Amsparity pour injection peut être auto-administré ou administré par un</w:t>
      </w:r>
      <w:r w:rsidR="005A1DCF" w:rsidRPr="0058432E">
        <w:rPr>
          <w:color w:val="000000" w:themeColor="text1"/>
        </w:rPr>
        <w:t>e personne</w:t>
      </w:r>
      <w:r w:rsidRPr="0058432E">
        <w:rPr>
          <w:color w:val="000000" w:themeColor="text1"/>
        </w:rPr>
        <w:t xml:space="preserve"> soignant</w:t>
      </w:r>
      <w:r w:rsidR="005A1DCF" w:rsidRPr="0058432E">
        <w:rPr>
          <w:color w:val="000000" w:themeColor="text1"/>
        </w:rPr>
        <w:t>e</w:t>
      </w:r>
      <w:r w:rsidRPr="0058432E">
        <w:rPr>
          <w:color w:val="000000" w:themeColor="text1"/>
        </w:rPr>
        <w:t>.</w:t>
      </w:r>
    </w:p>
    <w:p w14:paraId="69384345" w14:textId="77777777" w:rsidR="003E58A8" w:rsidRPr="0058432E" w:rsidRDefault="003E58A8" w:rsidP="00982118">
      <w:pPr>
        <w:pStyle w:val="ListParagraph"/>
        <w:rPr>
          <w:color w:val="000000" w:themeColor="text1"/>
        </w:rPr>
      </w:pPr>
    </w:p>
    <w:p w14:paraId="2E799611" w14:textId="77777777" w:rsidR="002953BE" w:rsidRPr="0058432E" w:rsidRDefault="002953BE" w:rsidP="00982118">
      <w:pPr>
        <w:pStyle w:val="ListParagraph"/>
        <w:rPr>
          <w:color w:val="000000" w:themeColor="text1"/>
        </w:rPr>
      </w:pPr>
    </w:p>
    <w:p w14:paraId="097EE884" w14:textId="77777777" w:rsidR="002953BE" w:rsidRPr="0058432E" w:rsidRDefault="002953BE" w:rsidP="00982118">
      <w:pPr>
        <w:rPr>
          <w:b/>
          <w:color w:val="000000" w:themeColor="text1"/>
        </w:rPr>
      </w:pPr>
      <w:r w:rsidRPr="0058432E">
        <w:rPr>
          <w:b/>
          <w:color w:val="000000" w:themeColor="text1"/>
        </w:rPr>
        <w:t xml:space="preserve">1. </w:t>
      </w:r>
      <w:r w:rsidRPr="0058432E">
        <w:rPr>
          <w:b/>
          <w:color w:val="000000" w:themeColor="text1"/>
        </w:rPr>
        <w:tab/>
        <w:t xml:space="preserve">Matériel dont vous avez besoin </w:t>
      </w:r>
    </w:p>
    <w:p w14:paraId="64AAB75D" w14:textId="77777777" w:rsidR="002953BE" w:rsidRPr="0058432E" w:rsidRDefault="002953BE" w:rsidP="00982118">
      <w:pPr>
        <w:rPr>
          <w:color w:val="000000" w:themeColor="text1"/>
        </w:rPr>
      </w:pPr>
    </w:p>
    <w:p w14:paraId="04495975" w14:textId="77777777" w:rsidR="002953BE" w:rsidRPr="0058432E" w:rsidRDefault="002953BE" w:rsidP="00053717">
      <w:pPr>
        <w:pStyle w:val="ListParagraph"/>
        <w:numPr>
          <w:ilvl w:val="0"/>
          <w:numId w:val="31"/>
        </w:numPr>
        <w:ind w:left="562" w:hanging="562"/>
        <w:contextualSpacing/>
        <w:rPr>
          <w:color w:val="000000" w:themeColor="text1"/>
        </w:rPr>
      </w:pPr>
      <w:r w:rsidRPr="0058432E">
        <w:rPr>
          <w:color w:val="000000" w:themeColor="text1"/>
        </w:rPr>
        <w:t>Pour chaque injection d’Amsparity, vous aurez besoin du matériel suivant. Trouvez une surface propre et plane sur laquelle placer le matériel.</w:t>
      </w:r>
    </w:p>
    <w:p w14:paraId="0CF99BD9" w14:textId="77777777" w:rsidR="002953BE" w:rsidRPr="0058432E" w:rsidRDefault="002953BE" w:rsidP="00053717">
      <w:pPr>
        <w:pStyle w:val="ListParagraph"/>
        <w:numPr>
          <w:ilvl w:val="0"/>
          <w:numId w:val="32"/>
        </w:numPr>
        <w:ind w:left="1124" w:hanging="562"/>
        <w:contextualSpacing/>
        <w:rPr>
          <w:color w:val="000000" w:themeColor="text1"/>
        </w:rPr>
      </w:pPr>
      <w:r w:rsidRPr="0058432E">
        <w:rPr>
          <w:color w:val="000000" w:themeColor="text1"/>
        </w:rPr>
        <w:t>1 seringue préremplie d’Amsparity dans un plateau, à l’intérieur de la boîte</w:t>
      </w:r>
    </w:p>
    <w:p w14:paraId="5EDC8C1A" w14:textId="77777777" w:rsidR="002953BE" w:rsidRPr="0058432E" w:rsidRDefault="002953BE" w:rsidP="00053717">
      <w:pPr>
        <w:pStyle w:val="ListParagraph"/>
        <w:numPr>
          <w:ilvl w:val="0"/>
          <w:numId w:val="32"/>
        </w:numPr>
        <w:ind w:left="1124" w:hanging="562"/>
        <w:contextualSpacing/>
        <w:rPr>
          <w:color w:val="000000" w:themeColor="text1"/>
        </w:rPr>
      </w:pPr>
      <w:r w:rsidRPr="0058432E">
        <w:rPr>
          <w:color w:val="000000" w:themeColor="text1"/>
        </w:rPr>
        <w:t>1 tampon d’alcool, à l’intérieur de la boîte</w:t>
      </w:r>
    </w:p>
    <w:p w14:paraId="4DF7AB18" w14:textId="77777777" w:rsidR="002953BE" w:rsidRPr="0058432E" w:rsidRDefault="002953BE" w:rsidP="00053717">
      <w:pPr>
        <w:pStyle w:val="ListParagraph"/>
        <w:numPr>
          <w:ilvl w:val="0"/>
          <w:numId w:val="32"/>
        </w:numPr>
        <w:ind w:left="1124" w:hanging="562"/>
        <w:contextualSpacing/>
        <w:rPr>
          <w:color w:val="000000" w:themeColor="text1"/>
        </w:rPr>
      </w:pPr>
      <w:r w:rsidRPr="0058432E">
        <w:rPr>
          <w:color w:val="000000" w:themeColor="text1"/>
        </w:rPr>
        <w:t>1 boule de coton ou compresse (non incluse dans votre boîte Amsparity)</w:t>
      </w:r>
    </w:p>
    <w:p w14:paraId="316B95E8" w14:textId="77777777" w:rsidR="002953BE" w:rsidRPr="0058432E" w:rsidRDefault="002953BE" w:rsidP="00053717">
      <w:pPr>
        <w:pStyle w:val="ListParagraph"/>
        <w:numPr>
          <w:ilvl w:val="0"/>
          <w:numId w:val="32"/>
        </w:numPr>
        <w:ind w:left="1124" w:hanging="562"/>
        <w:contextualSpacing/>
        <w:rPr>
          <w:color w:val="000000" w:themeColor="text1"/>
        </w:rPr>
      </w:pPr>
      <w:r w:rsidRPr="0058432E">
        <w:rPr>
          <w:color w:val="000000" w:themeColor="text1"/>
        </w:rPr>
        <w:t>Un réceptacle destiné aux objets tranchants et pointus approprié (non inclus dans votre boîte Amsparity).</w:t>
      </w:r>
    </w:p>
    <w:p w14:paraId="0762A520" w14:textId="77777777" w:rsidR="002953BE" w:rsidRPr="0058432E" w:rsidRDefault="004226B7" w:rsidP="00982118">
      <w:pPr>
        <w:rPr>
          <w:color w:val="000000" w:themeColor="text1"/>
        </w:rPr>
      </w:pPr>
      <w:r w:rsidRPr="0058432E">
        <w:rPr>
          <w:b/>
          <w:color w:val="000000" w:themeColor="text1"/>
        </w:rPr>
        <w:t xml:space="preserve">Important </w:t>
      </w:r>
      <w:r w:rsidRPr="0058432E">
        <w:rPr>
          <w:color w:val="000000" w:themeColor="text1"/>
        </w:rPr>
        <w:t>: Si vous avez des questions au sujet de votre seringue</w:t>
      </w:r>
      <w:r w:rsidR="009E22B4" w:rsidRPr="0058432E">
        <w:rPr>
          <w:color w:val="000000" w:themeColor="text1"/>
        </w:rPr>
        <w:t xml:space="preserve"> préremplie</w:t>
      </w:r>
      <w:r w:rsidRPr="0058432E">
        <w:rPr>
          <w:color w:val="000000" w:themeColor="text1"/>
        </w:rPr>
        <w:t xml:space="preserve"> ou de votre médicament Amsparity, parlez-en à votre médecin, </w:t>
      </w:r>
      <w:r w:rsidR="00D27AD3" w:rsidRPr="0058432E">
        <w:rPr>
          <w:color w:val="000000" w:themeColor="text1"/>
        </w:rPr>
        <w:t>infirmier/ère</w:t>
      </w:r>
      <w:r w:rsidRPr="0058432E">
        <w:rPr>
          <w:color w:val="000000" w:themeColor="text1"/>
        </w:rPr>
        <w:t xml:space="preserve"> ou pharmacien.</w:t>
      </w:r>
    </w:p>
    <w:p w14:paraId="6E6566CF" w14:textId="68A49496" w:rsidR="009E22B4" w:rsidRPr="0058432E" w:rsidRDefault="009D65D0" w:rsidP="009E22B4">
      <w:pPr>
        <w:jc w:val="center"/>
        <w:rPr>
          <w:color w:val="000000" w:themeColor="text1"/>
        </w:rPr>
      </w:pPr>
      <w:r w:rsidRPr="0058432E">
        <w:rPr>
          <w:noProof/>
          <w:color w:val="000000" w:themeColor="text1"/>
        </w:rPr>
        <mc:AlternateContent>
          <mc:Choice Requires="wps">
            <w:drawing>
              <wp:anchor distT="0" distB="0" distL="114300" distR="114300" simplePos="0" relativeHeight="251674112" behindDoc="0" locked="0" layoutInCell="1" allowOverlap="1" wp14:anchorId="3CBF0B84" wp14:editId="4FEA3FF6">
                <wp:simplePos x="0" y="0"/>
                <wp:positionH relativeFrom="column">
                  <wp:posOffset>3116580</wp:posOffset>
                </wp:positionH>
                <wp:positionV relativeFrom="paragraph">
                  <wp:posOffset>422275</wp:posOffset>
                </wp:positionV>
                <wp:extent cx="994410" cy="237490"/>
                <wp:effectExtent l="0" t="0" r="0" b="0"/>
                <wp:wrapNone/>
                <wp:docPr id="106" name="Zone de text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237490"/>
                        </a:xfrm>
                        <a:prstGeom prst="rect">
                          <a:avLst/>
                        </a:prstGeom>
                        <a:solidFill>
                          <a:srgbClr val="FFFFFF"/>
                        </a:solidFill>
                        <a:ln>
                          <a:noFill/>
                        </a:ln>
                      </wps:spPr>
                      <wps:txbx>
                        <w:txbxContent>
                          <w:p w14:paraId="62C6C7FD" w14:textId="77777777" w:rsidR="009A26D2" w:rsidRPr="00A53E17" w:rsidRDefault="009A26D2" w:rsidP="00693948">
                            <w:pPr>
                              <w:rPr>
                                <w:sz w:val="18"/>
                                <w:szCs w:val="16"/>
                              </w:rPr>
                            </w:pPr>
                            <w:r w:rsidRPr="00A53E17">
                              <w:rPr>
                                <w:sz w:val="18"/>
                                <w:szCs w:val="16"/>
                              </w:rPr>
                              <w:t>AAAA/MM/</w:t>
                            </w:r>
                            <w:r>
                              <w:rPr>
                                <w:sz w:val="18"/>
                                <w:szCs w:val="16"/>
                              </w:rPr>
                              <w:t>JJ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F0B84" id="_x0000_s1085" type="#_x0000_t202" style="position:absolute;left:0;text-align:left;margin-left:245.4pt;margin-top:33.25pt;width:78.3pt;height:18.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" stroked="f">
                <v:textbox>
                  <w:txbxContent>
                    <w:p w14:paraId="62C6C7FD" w14:textId="77777777" w:rsidR="009A26D2" w:rsidRPr="00A53E17" w:rsidRDefault="009A26D2" w:rsidP="00693948">
                      <w:pPr>
                        <w:rPr>
                          <w:sz w:val="18"/>
                          <w:szCs w:val="16"/>
                        </w:rPr>
                      </w:pPr>
                      <w:r w:rsidRPr="00A53E17">
                        <w:rPr>
                          <w:sz w:val="18"/>
                          <w:szCs w:val="16"/>
                        </w:rPr>
                        <w:t>AAAA/MM/</w:t>
                      </w:r>
                      <w:r>
                        <w:rPr>
                          <w:sz w:val="18"/>
                          <w:szCs w:val="16"/>
                        </w:rPr>
                        <w:t>JJ</w:t>
                      </w:r>
                    </w:p>
                  </w:txbxContent>
                </v:textbox>
              </v:shape>
            </w:pict>
          </mc:Fallback>
        </mc:AlternateContent>
      </w:r>
      <w:r w:rsidRPr="0058432E">
        <w:rPr>
          <w:noProof/>
          <w:color w:val="000000" w:themeColor="text1"/>
        </w:rPr>
        <mc:AlternateContent>
          <mc:Choice Requires="wps">
            <w:drawing>
              <wp:anchor distT="0" distB="0" distL="114300" distR="114300" simplePos="0" relativeHeight="251647488" behindDoc="0" locked="0" layoutInCell="1" allowOverlap="1" wp14:anchorId="0829890B" wp14:editId="60EB7CB4">
                <wp:simplePos x="0" y="0"/>
                <wp:positionH relativeFrom="column">
                  <wp:posOffset>693420</wp:posOffset>
                </wp:positionH>
                <wp:positionV relativeFrom="paragraph">
                  <wp:posOffset>1957070</wp:posOffset>
                </wp:positionV>
                <wp:extent cx="773430" cy="244475"/>
                <wp:effectExtent l="0" t="0" r="0" b="0"/>
                <wp:wrapNone/>
                <wp:docPr id="141" name="Zone de texte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244475"/>
                        </a:xfrm>
                        <a:prstGeom prst="rect">
                          <a:avLst/>
                        </a:prstGeom>
                        <a:solidFill>
                          <a:srgbClr val="FFFFFF"/>
                        </a:solidFill>
                        <a:ln>
                          <a:noFill/>
                        </a:ln>
                      </wps:spPr>
                      <wps:txbx>
                        <w:txbxContent>
                          <w:p w14:paraId="52831421" w14:textId="77777777" w:rsidR="009A26D2" w:rsidRPr="00A53E17" w:rsidRDefault="009A26D2" w:rsidP="00E64BC4">
                            <w:pPr>
                              <w:rPr>
                                <w:sz w:val="18"/>
                                <w:szCs w:val="16"/>
                              </w:rPr>
                            </w:pPr>
                            <w:r w:rsidRPr="00A53E17">
                              <w:rPr>
                                <w:sz w:val="18"/>
                                <w:szCs w:val="16"/>
                              </w:rPr>
                              <w:t xml:space="preserve">Piston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9890B" id="Zone de texte 141" o:spid="_x0000_s1086" type="#_x0000_t202" style="position:absolute;left:0;text-align:left;margin-left:54.6pt;margin-top:154.1pt;width:60.9pt;height:19.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" stroked="f">
                <v:textbox>
                  <w:txbxContent>
                    <w:p w14:paraId="52831421" w14:textId="77777777" w:rsidR="009A26D2" w:rsidRPr="00A53E17" w:rsidRDefault="009A26D2" w:rsidP="00E64BC4">
                      <w:pPr>
                        <w:rPr>
                          <w:sz w:val="18"/>
                          <w:szCs w:val="16"/>
                        </w:rPr>
                      </w:pPr>
                      <w:r w:rsidRPr="00A53E17">
                        <w:rPr>
                          <w:sz w:val="18"/>
                          <w:szCs w:val="16"/>
                        </w:rPr>
                        <w:t xml:space="preserve">Piston </w:t>
                      </w:r>
                    </w:p>
                  </w:txbxContent>
                </v:textbox>
              </v:shape>
            </w:pict>
          </mc:Fallback>
        </mc:AlternateContent>
      </w:r>
      <w:r w:rsidRPr="0058432E">
        <w:rPr>
          <w:noProof/>
          <w:color w:val="000000" w:themeColor="text1"/>
        </w:rPr>
        <mc:AlternateContent>
          <mc:Choice Requires="wps">
            <w:drawing>
              <wp:anchor distT="0" distB="0" distL="114300" distR="114300" simplePos="0" relativeHeight="251648512" behindDoc="0" locked="0" layoutInCell="1" allowOverlap="1" wp14:anchorId="3C7B266A" wp14:editId="7725A5AA">
                <wp:simplePos x="0" y="0"/>
                <wp:positionH relativeFrom="column">
                  <wp:posOffset>2750185</wp:posOffset>
                </wp:positionH>
                <wp:positionV relativeFrom="paragraph">
                  <wp:posOffset>2232025</wp:posOffset>
                </wp:positionV>
                <wp:extent cx="604520" cy="201930"/>
                <wp:effectExtent l="0" t="0" r="0" b="0"/>
                <wp:wrapNone/>
                <wp:docPr id="143" name="Zone de texte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 cy="201930"/>
                        </a:xfrm>
                        <a:prstGeom prst="rect">
                          <a:avLst/>
                        </a:prstGeom>
                        <a:solidFill>
                          <a:srgbClr val="FFFFFF"/>
                        </a:solidFill>
                        <a:ln>
                          <a:noFill/>
                        </a:ln>
                      </wps:spPr>
                      <wps:txbx>
                        <w:txbxContent>
                          <w:p w14:paraId="11C42F0D" w14:textId="77777777" w:rsidR="009A26D2" w:rsidRPr="00A53E17" w:rsidRDefault="009A26D2" w:rsidP="00E64BC4">
                            <w:pPr>
                              <w:rPr>
                                <w:sz w:val="18"/>
                                <w:szCs w:val="16"/>
                              </w:rPr>
                            </w:pPr>
                            <w:r w:rsidRPr="00A53E17">
                              <w:rPr>
                                <w:sz w:val="18"/>
                                <w:szCs w:val="16"/>
                              </w:rPr>
                              <w:t xml:space="preserve">Corps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B266A" id="Zone de texte 143" o:spid="_x0000_s1087" type="#_x0000_t202" style="position:absolute;left:0;text-align:left;margin-left:216.55pt;margin-top:175.75pt;width:47.6pt;height:15.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" stroked="f">
                <v:textbox>
                  <w:txbxContent>
                    <w:p w14:paraId="11C42F0D" w14:textId="77777777" w:rsidR="009A26D2" w:rsidRPr="00A53E17" w:rsidRDefault="009A26D2" w:rsidP="00E64BC4">
                      <w:pPr>
                        <w:rPr>
                          <w:sz w:val="18"/>
                          <w:szCs w:val="16"/>
                        </w:rPr>
                      </w:pPr>
                      <w:r w:rsidRPr="00A53E17">
                        <w:rPr>
                          <w:sz w:val="18"/>
                          <w:szCs w:val="16"/>
                        </w:rPr>
                        <w:t xml:space="preserve">Corps </w:t>
                      </w:r>
                    </w:p>
                  </w:txbxContent>
                </v:textbox>
              </v:shape>
            </w:pict>
          </mc:Fallback>
        </mc:AlternateContent>
      </w:r>
      <w:r w:rsidRPr="0058432E">
        <w:rPr>
          <w:noProof/>
          <w:color w:val="000000" w:themeColor="text1"/>
        </w:rPr>
        <mc:AlternateContent>
          <mc:Choice Requires="wps">
            <w:drawing>
              <wp:anchor distT="0" distB="0" distL="114300" distR="114300" simplePos="0" relativeHeight="251649536" behindDoc="0" locked="0" layoutInCell="1" allowOverlap="1" wp14:anchorId="5B7D8BEB" wp14:editId="03AAAC31">
                <wp:simplePos x="0" y="0"/>
                <wp:positionH relativeFrom="column">
                  <wp:posOffset>4192270</wp:posOffset>
                </wp:positionH>
                <wp:positionV relativeFrom="paragraph">
                  <wp:posOffset>2304415</wp:posOffset>
                </wp:positionV>
                <wp:extent cx="1128395" cy="255270"/>
                <wp:effectExtent l="0" t="0" r="0" b="0"/>
                <wp:wrapNone/>
                <wp:docPr id="142" name="Zone de texte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255270"/>
                        </a:xfrm>
                        <a:prstGeom prst="rect">
                          <a:avLst/>
                        </a:prstGeom>
                        <a:solidFill>
                          <a:srgbClr val="FFFFFF"/>
                        </a:solidFill>
                        <a:ln>
                          <a:noFill/>
                        </a:ln>
                      </wps:spPr>
                      <wps:txbx>
                        <w:txbxContent>
                          <w:p w14:paraId="75F7B482" w14:textId="77777777" w:rsidR="009A26D2" w:rsidRPr="00A53E17" w:rsidRDefault="009A26D2" w:rsidP="00E64BC4">
                            <w:pPr>
                              <w:rPr>
                                <w:sz w:val="18"/>
                                <w:szCs w:val="16"/>
                              </w:rPr>
                            </w:pPr>
                            <w:r w:rsidRPr="00A53E17">
                              <w:rPr>
                                <w:sz w:val="18"/>
                                <w:szCs w:val="16"/>
                              </w:rPr>
                              <w:t xml:space="preserve">Protège-aiguille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D8BEB" id="Zone de texte 142" o:spid="_x0000_s1088" type="#_x0000_t202" style="position:absolute;left:0;text-align:left;margin-left:330.1pt;margin-top:181.45pt;width:88.85pt;height:20.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" stroked="f">
                <v:textbox>
                  <w:txbxContent>
                    <w:p w14:paraId="75F7B482" w14:textId="77777777" w:rsidR="009A26D2" w:rsidRPr="00A53E17" w:rsidRDefault="009A26D2" w:rsidP="00E64BC4">
                      <w:pPr>
                        <w:rPr>
                          <w:sz w:val="18"/>
                          <w:szCs w:val="16"/>
                        </w:rPr>
                      </w:pPr>
                      <w:r w:rsidRPr="00A53E17">
                        <w:rPr>
                          <w:sz w:val="18"/>
                          <w:szCs w:val="16"/>
                        </w:rPr>
                        <w:t xml:space="preserve">Protège-aiguille </w:t>
                      </w:r>
                    </w:p>
                  </w:txbxContent>
                </v:textbox>
              </v:shape>
            </w:pict>
          </mc:Fallback>
        </mc:AlternateContent>
      </w:r>
      <w:r w:rsidRPr="0058432E">
        <w:rPr>
          <w:noProof/>
          <w:color w:val="000000" w:themeColor="text1"/>
        </w:rPr>
        <mc:AlternateContent>
          <mc:Choice Requires="wps">
            <w:drawing>
              <wp:anchor distT="0" distB="0" distL="114300" distR="114300" simplePos="0" relativeHeight="251645440" behindDoc="0" locked="0" layoutInCell="1" allowOverlap="1" wp14:anchorId="7A6DA749" wp14:editId="35052ED9">
                <wp:simplePos x="0" y="0"/>
                <wp:positionH relativeFrom="column">
                  <wp:posOffset>3795395</wp:posOffset>
                </wp:positionH>
                <wp:positionV relativeFrom="paragraph">
                  <wp:posOffset>1238250</wp:posOffset>
                </wp:positionV>
                <wp:extent cx="883285" cy="201930"/>
                <wp:effectExtent l="0" t="0" r="0" b="0"/>
                <wp:wrapNone/>
                <wp:docPr id="140" name="Zone de texte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11F42313" w14:textId="77777777" w:rsidR="009A26D2" w:rsidRPr="00A53E17" w:rsidRDefault="009A26D2" w:rsidP="00E64BC4">
                            <w:pPr>
                              <w:rPr>
                                <w:sz w:val="18"/>
                                <w:szCs w:val="16"/>
                              </w:rPr>
                            </w:pPr>
                            <w:r w:rsidRPr="00A53E17">
                              <w:rPr>
                                <w:sz w:val="18"/>
                                <w:szCs w:val="16"/>
                              </w:rPr>
                              <w:t xml:space="preserve">Fenêtre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DA749" id="Zone de texte 140" o:spid="_x0000_s1089" type="#_x0000_t202" style="position:absolute;left:0;text-align:left;margin-left:298.85pt;margin-top:97.5pt;width:69.55pt;height:15.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" stroked="f">
                <v:textbox>
                  <w:txbxContent>
                    <w:p w14:paraId="11F42313" w14:textId="77777777" w:rsidR="009A26D2" w:rsidRPr="00A53E17" w:rsidRDefault="009A26D2" w:rsidP="00E64BC4">
                      <w:pPr>
                        <w:rPr>
                          <w:sz w:val="18"/>
                          <w:szCs w:val="16"/>
                        </w:rPr>
                      </w:pPr>
                      <w:r w:rsidRPr="00A53E17">
                        <w:rPr>
                          <w:sz w:val="18"/>
                          <w:szCs w:val="16"/>
                        </w:rPr>
                        <w:t xml:space="preserve">Fenêtre </w:t>
                      </w:r>
                    </w:p>
                  </w:txbxContent>
                </v:textbox>
              </v:shape>
            </w:pict>
          </mc:Fallback>
        </mc:AlternateContent>
      </w:r>
      <w:r w:rsidRPr="0058432E">
        <w:rPr>
          <w:noProof/>
          <w:color w:val="000000" w:themeColor="text1"/>
        </w:rPr>
        <mc:AlternateContent>
          <mc:Choice Requires="wps">
            <w:drawing>
              <wp:anchor distT="0" distB="0" distL="114300" distR="114300" simplePos="0" relativeHeight="251646464" behindDoc="0" locked="0" layoutInCell="1" allowOverlap="1" wp14:anchorId="5BB79175" wp14:editId="4537B659">
                <wp:simplePos x="0" y="0"/>
                <wp:positionH relativeFrom="column">
                  <wp:posOffset>3727450</wp:posOffset>
                </wp:positionH>
                <wp:positionV relativeFrom="paragraph">
                  <wp:posOffset>915035</wp:posOffset>
                </wp:positionV>
                <wp:extent cx="1128395" cy="254635"/>
                <wp:effectExtent l="0" t="0" r="0" b="0"/>
                <wp:wrapNone/>
                <wp:docPr id="138" name="Zone de texte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8395" cy="254635"/>
                        </a:xfrm>
                        <a:prstGeom prst="rect">
                          <a:avLst/>
                        </a:prstGeom>
                        <a:solidFill>
                          <a:sysClr val="window" lastClr="FFFFFF"/>
                        </a:solidFill>
                        <a:ln w="6350">
                          <a:noFill/>
                        </a:ln>
                      </wps:spPr>
                      <wps:txbx>
                        <w:txbxContent>
                          <w:p w14:paraId="347F75D9" w14:textId="77777777" w:rsidR="009A26D2" w:rsidRPr="00A53E17" w:rsidRDefault="009A26D2" w:rsidP="00E64BC4">
                            <w:pPr>
                              <w:rPr>
                                <w:sz w:val="18"/>
                                <w:szCs w:val="16"/>
                              </w:rPr>
                            </w:pPr>
                            <w:r w:rsidRPr="00A53E17">
                              <w:rPr>
                                <w:sz w:val="18"/>
                                <w:szCs w:val="16"/>
                              </w:rPr>
                              <w:t>Date de péremption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79175" id="Zone de texte 138" o:spid="_x0000_s1090" type="#_x0000_t202" style="position:absolute;left:0;text-align:left;margin-left:293.5pt;margin-top:72.05pt;width:88.85pt;height:20.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" fillcolor="window" stroked="f" strokeweight=".5pt">
                <v:textbox>
                  <w:txbxContent>
                    <w:p w14:paraId="347F75D9" w14:textId="77777777" w:rsidR="009A26D2" w:rsidRPr="00A53E17" w:rsidRDefault="009A26D2" w:rsidP="00E64BC4">
                      <w:pPr>
                        <w:rPr>
                          <w:sz w:val="18"/>
                          <w:szCs w:val="16"/>
                        </w:rPr>
                      </w:pPr>
                      <w:r w:rsidRPr="00A53E17">
                        <w:rPr>
                          <w:sz w:val="18"/>
                          <w:szCs w:val="16"/>
                        </w:rPr>
                        <w:t>Date de péremption</w:t>
                      </w:r>
                    </w:p>
                  </w:txbxContent>
                </v:textbox>
              </v:shape>
            </w:pict>
          </mc:Fallback>
        </mc:AlternateContent>
      </w:r>
      <w:r w:rsidRPr="0058432E">
        <w:rPr>
          <w:noProof/>
          <w:color w:val="000000" w:themeColor="text1"/>
        </w:rPr>
        <w:drawing>
          <wp:inline distT="0" distB="0" distL="0" distR="0" wp14:anchorId="60FD24E5" wp14:editId="3F291611">
            <wp:extent cx="4473575" cy="2574290"/>
            <wp:effectExtent l="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73575" cy="2574290"/>
                    </a:xfrm>
                    <a:prstGeom prst="rect">
                      <a:avLst/>
                    </a:prstGeom>
                    <a:noFill/>
                    <a:ln>
                      <a:noFill/>
                    </a:ln>
                  </pic:spPr>
                </pic:pic>
              </a:graphicData>
            </a:graphic>
          </wp:inline>
        </w:drawing>
      </w:r>
    </w:p>
    <w:p w14:paraId="4325F727" w14:textId="77777777" w:rsidR="002953BE" w:rsidRPr="0058432E" w:rsidRDefault="002953BE" w:rsidP="00982118">
      <w:pPr>
        <w:rPr>
          <w:color w:val="000000" w:themeColor="text1"/>
        </w:rPr>
      </w:pPr>
    </w:p>
    <w:p w14:paraId="228778FF" w14:textId="77777777" w:rsidR="00E64BC4" w:rsidRPr="0058432E" w:rsidRDefault="00E64BC4" w:rsidP="00411DFE">
      <w:pPr>
        <w:jc w:val="center"/>
        <w:rPr>
          <w:color w:val="000000" w:themeColor="text1"/>
        </w:rPr>
      </w:pPr>
    </w:p>
    <w:p w14:paraId="4239A2B5" w14:textId="77777777" w:rsidR="002953BE" w:rsidRPr="0058432E" w:rsidRDefault="002953BE" w:rsidP="00520786">
      <w:pPr>
        <w:keepNext/>
        <w:rPr>
          <w:b/>
          <w:color w:val="000000" w:themeColor="text1"/>
        </w:rPr>
      </w:pPr>
      <w:r w:rsidRPr="0058432E">
        <w:rPr>
          <w:b/>
          <w:color w:val="000000" w:themeColor="text1"/>
        </w:rPr>
        <w:t xml:space="preserve">2. </w:t>
      </w:r>
      <w:r w:rsidRPr="0058432E">
        <w:rPr>
          <w:b/>
          <w:color w:val="000000" w:themeColor="text1"/>
        </w:rPr>
        <w:tab/>
        <w:t xml:space="preserve">Préparation </w:t>
      </w:r>
    </w:p>
    <w:p w14:paraId="3823CBF3" w14:textId="77777777" w:rsidR="002953BE" w:rsidRPr="0058432E" w:rsidRDefault="002953BE" w:rsidP="00520786">
      <w:pPr>
        <w:keepNext/>
        <w:rPr>
          <w:color w:val="000000" w:themeColor="text1"/>
        </w:rPr>
      </w:pPr>
    </w:p>
    <w:p w14:paraId="50540D15" w14:textId="77777777" w:rsidR="002953BE" w:rsidRPr="0058432E" w:rsidRDefault="002953BE" w:rsidP="00E23160">
      <w:pPr>
        <w:pStyle w:val="ListParagraph"/>
        <w:numPr>
          <w:ilvl w:val="0"/>
          <w:numId w:val="31"/>
        </w:numPr>
        <w:ind w:left="562" w:hanging="562"/>
        <w:contextualSpacing/>
        <w:rPr>
          <w:color w:val="000000" w:themeColor="text1"/>
        </w:rPr>
      </w:pPr>
      <w:r w:rsidRPr="0058432E">
        <w:rPr>
          <w:color w:val="000000" w:themeColor="text1"/>
        </w:rPr>
        <w:t>Sortez la boîte Amsparity du réfrigérateur.</w:t>
      </w:r>
    </w:p>
    <w:p w14:paraId="4386B65F" w14:textId="77777777" w:rsidR="002953BE" w:rsidRPr="0058432E" w:rsidRDefault="002953BE" w:rsidP="00E23160">
      <w:pPr>
        <w:pStyle w:val="ListParagraph"/>
        <w:numPr>
          <w:ilvl w:val="0"/>
          <w:numId w:val="31"/>
        </w:numPr>
        <w:ind w:left="562" w:hanging="562"/>
        <w:contextualSpacing/>
        <w:rPr>
          <w:color w:val="000000" w:themeColor="text1"/>
        </w:rPr>
      </w:pPr>
      <w:r w:rsidRPr="0058432E">
        <w:rPr>
          <w:color w:val="000000" w:themeColor="text1"/>
        </w:rPr>
        <w:t>Ouvrez la boîte et sortez le plateau contenant votre seringue préremplie.</w:t>
      </w:r>
    </w:p>
    <w:p w14:paraId="220F28E4" w14:textId="77777777" w:rsidR="002953BE" w:rsidRPr="0058432E" w:rsidRDefault="002953BE" w:rsidP="00E23160">
      <w:pPr>
        <w:pStyle w:val="ListParagraph"/>
        <w:numPr>
          <w:ilvl w:val="0"/>
          <w:numId w:val="31"/>
        </w:numPr>
        <w:ind w:left="562" w:hanging="562"/>
        <w:contextualSpacing/>
        <w:rPr>
          <w:color w:val="000000" w:themeColor="text1"/>
        </w:rPr>
      </w:pPr>
      <w:r w:rsidRPr="0058432E">
        <w:rPr>
          <w:color w:val="000000" w:themeColor="text1"/>
        </w:rPr>
        <w:t xml:space="preserve">Inspectez votre boîte et votre plateau ; </w:t>
      </w:r>
      <w:r w:rsidRPr="0058432E">
        <w:rPr>
          <w:b/>
          <w:color w:val="000000" w:themeColor="text1"/>
        </w:rPr>
        <w:t>ne pas</w:t>
      </w:r>
      <w:r w:rsidRPr="0058432E">
        <w:rPr>
          <w:color w:val="000000" w:themeColor="text1"/>
        </w:rPr>
        <w:t xml:space="preserve"> utiliser si :</w:t>
      </w:r>
    </w:p>
    <w:p w14:paraId="3AA06628"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la</w:t>
      </w:r>
      <w:proofErr w:type="gramEnd"/>
      <w:r w:rsidRPr="0058432E">
        <w:rPr>
          <w:color w:val="000000" w:themeColor="text1"/>
        </w:rPr>
        <w:t xml:space="preserve"> date de péremption est dépassée</w:t>
      </w:r>
    </w:p>
    <w:p w14:paraId="367BD044"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congelé ou décongelé</w:t>
      </w:r>
    </w:p>
    <w:p w14:paraId="46F1A256"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est tombé</w:t>
      </w:r>
      <w:r w:rsidR="005A6C9A" w:rsidRPr="0058432E">
        <w:rPr>
          <w:color w:val="000000" w:themeColor="text1"/>
        </w:rPr>
        <w:t>,</w:t>
      </w:r>
      <w:r w:rsidR="00A93D2B" w:rsidRPr="0058432E">
        <w:rPr>
          <w:color w:val="000000" w:themeColor="text1"/>
        </w:rPr>
        <w:t xml:space="preserve"> même s'il n'a pas l'air endommagé</w:t>
      </w:r>
    </w:p>
    <w:p w14:paraId="3EED8AB8"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sorti du réfrigérateur pendant plus de 30 jours</w:t>
      </w:r>
    </w:p>
    <w:p w14:paraId="39EF87A4"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semble endommagé</w:t>
      </w:r>
    </w:p>
    <w:p w14:paraId="35336D67" w14:textId="77777777" w:rsidR="002953BE" w:rsidRPr="0058432E" w:rsidRDefault="002953BE" w:rsidP="00E23160">
      <w:pPr>
        <w:pStyle w:val="ListParagraph"/>
        <w:numPr>
          <w:ilvl w:val="1"/>
          <w:numId w:val="31"/>
        </w:numPr>
        <w:ind w:left="1124" w:hanging="562"/>
        <w:contextualSpacing/>
        <w:rPr>
          <w:color w:val="000000" w:themeColor="text1"/>
        </w:rPr>
      </w:pPr>
      <w:proofErr w:type="gramStart"/>
      <w:r w:rsidRPr="0058432E">
        <w:rPr>
          <w:color w:val="000000" w:themeColor="text1"/>
        </w:rPr>
        <w:t>les</w:t>
      </w:r>
      <w:proofErr w:type="gramEnd"/>
      <w:r w:rsidRPr="0058432E">
        <w:rPr>
          <w:color w:val="000000" w:themeColor="text1"/>
        </w:rPr>
        <w:t xml:space="preserve"> scellés sur la nouvelle boîte sont brisés.</w:t>
      </w:r>
    </w:p>
    <w:p w14:paraId="10F8E58F" w14:textId="77777777" w:rsidR="004F4F8F" w:rsidRPr="0058432E" w:rsidRDefault="004F4F8F" w:rsidP="00E23160">
      <w:pPr>
        <w:pStyle w:val="ListParagraph"/>
        <w:numPr>
          <w:ilvl w:val="0"/>
          <w:numId w:val="31"/>
        </w:numPr>
        <w:ind w:left="562" w:hanging="562"/>
        <w:contextualSpacing/>
        <w:rPr>
          <w:color w:val="000000" w:themeColor="text1"/>
        </w:rPr>
      </w:pPr>
      <w:r w:rsidRPr="0058432E">
        <w:rPr>
          <w:color w:val="000000" w:themeColor="text1"/>
        </w:rPr>
        <w:t>Si l'une de ces conditions s'applique, jetez votre seringue préremplie de la même manière qu'une seringue usagée. Vous aurez besoin d'une nouvelle seringue préremplie pour faire votre injection.</w:t>
      </w:r>
    </w:p>
    <w:p w14:paraId="378B49F5" w14:textId="77777777" w:rsidR="002953BE" w:rsidRPr="0058432E" w:rsidRDefault="002953BE" w:rsidP="00E23160">
      <w:pPr>
        <w:pStyle w:val="ListParagraph"/>
        <w:numPr>
          <w:ilvl w:val="0"/>
          <w:numId w:val="31"/>
        </w:numPr>
        <w:ind w:left="562" w:hanging="562"/>
        <w:contextualSpacing/>
        <w:rPr>
          <w:color w:val="000000" w:themeColor="text1"/>
        </w:rPr>
      </w:pPr>
      <w:r w:rsidRPr="0058432E">
        <w:rPr>
          <w:color w:val="000000" w:themeColor="text1"/>
        </w:rPr>
        <w:t xml:space="preserve">Lavez-vous les mains à l’eau et au savon et séchez-les complètement. </w:t>
      </w:r>
    </w:p>
    <w:p w14:paraId="75A11FE1" w14:textId="77777777" w:rsidR="002953BE" w:rsidRPr="0058432E" w:rsidRDefault="002953BE" w:rsidP="00982118">
      <w:pPr>
        <w:ind w:left="360"/>
        <w:rPr>
          <w:color w:val="000000" w:themeColor="text1"/>
        </w:rPr>
      </w:pPr>
    </w:p>
    <w:p w14:paraId="4150FFD0" w14:textId="77777777" w:rsidR="002953BE" w:rsidRPr="0058432E" w:rsidRDefault="002953BE" w:rsidP="00E23160">
      <w:pPr>
        <w:ind w:left="562" w:hanging="562"/>
        <w:contextualSpacing/>
        <w:rPr>
          <w:color w:val="000000" w:themeColor="text1"/>
        </w:rPr>
      </w:pPr>
      <w:r w:rsidRPr="0058432E">
        <w:rPr>
          <w:color w:val="000000" w:themeColor="text1"/>
        </w:rPr>
        <w:t xml:space="preserve">Pour toutes questions à propos de votre médicament, </w:t>
      </w:r>
      <w:r w:rsidR="005A6C9A" w:rsidRPr="0058432E">
        <w:rPr>
          <w:color w:val="000000" w:themeColor="text1"/>
        </w:rPr>
        <w:t>parle</w:t>
      </w:r>
      <w:r w:rsidR="002C76C6" w:rsidRPr="0058432E">
        <w:rPr>
          <w:color w:val="000000" w:themeColor="text1"/>
        </w:rPr>
        <w:t>z</w:t>
      </w:r>
      <w:r w:rsidR="005A6C9A" w:rsidRPr="0058432E">
        <w:rPr>
          <w:color w:val="000000" w:themeColor="text1"/>
        </w:rPr>
        <w:t>-en à</w:t>
      </w:r>
      <w:r w:rsidRPr="0058432E">
        <w:rPr>
          <w:color w:val="000000" w:themeColor="text1"/>
        </w:rPr>
        <w:t xml:space="preserve"> votre médecin</w:t>
      </w:r>
      <w:r w:rsidR="005A6C9A" w:rsidRPr="0058432E">
        <w:rPr>
          <w:color w:val="000000" w:themeColor="text1"/>
        </w:rPr>
        <w:t>,</w:t>
      </w:r>
      <w:r w:rsidR="004F4F8F" w:rsidRPr="0058432E">
        <w:rPr>
          <w:color w:val="000000" w:themeColor="text1"/>
        </w:rPr>
        <w:t xml:space="preserve"> </w:t>
      </w:r>
      <w:r w:rsidR="00E81D1E" w:rsidRPr="0058432E">
        <w:rPr>
          <w:color w:val="000000" w:themeColor="text1"/>
        </w:rPr>
        <w:t>votre</w:t>
      </w:r>
      <w:r w:rsidR="004F4F8F" w:rsidRPr="0058432E">
        <w:rPr>
          <w:color w:val="000000" w:themeColor="text1"/>
        </w:rPr>
        <w:t xml:space="preserve"> </w:t>
      </w:r>
      <w:r w:rsidR="00D27AD3" w:rsidRPr="0058432E">
        <w:rPr>
          <w:color w:val="000000" w:themeColor="text1"/>
        </w:rPr>
        <w:t>infirmier/ère</w:t>
      </w:r>
      <w:r w:rsidRPr="0058432E">
        <w:rPr>
          <w:color w:val="000000" w:themeColor="text1"/>
        </w:rPr>
        <w:t xml:space="preserve"> </w:t>
      </w:r>
      <w:r w:rsidR="004F4F8F" w:rsidRPr="0058432E">
        <w:rPr>
          <w:color w:val="000000" w:themeColor="text1"/>
        </w:rPr>
        <w:t xml:space="preserve">ou </w:t>
      </w:r>
      <w:r w:rsidRPr="0058432E">
        <w:rPr>
          <w:color w:val="000000" w:themeColor="text1"/>
        </w:rPr>
        <w:t>votre pharmacien.</w:t>
      </w:r>
    </w:p>
    <w:p w14:paraId="5B7298D1" w14:textId="77777777" w:rsidR="002953BE" w:rsidRPr="0058432E" w:rsidRDefault="002953BE" w:rsidP="00982118">
      <w:pPr>
        <w:pStyle w:val="ListParagraph"/>
        <w:rPr>
          <w:color w:val="000000" w:themeColor="text1"/>
        </w:rPr>
      </w:pPr>
    </w:p>
    <w:p w14:paraId="565D63FD" w14:textId="77777777" w:rsidR="002953BE" w:rsidRPr="0058432E" w:rsidRDefault="002953BE" w:rsidP="00982118">
      <w:pPr>
        <w:pStyle w:val="ListParagraph"/>
        <w:rPr>
          <w:color w:val="000000" w:themeColor="text1"/>
        </w:rPr>
      </w:pPr>
    </w:p>
    <w:p w14:paraId="57D1C77C" w14:textId="77777777" w:rsidR="00E64BC4" w:rsidRPr="0058432E" w:rsidRDefault="00E64BC4" w:rsidP="00E64BC4">
      <w:pPr>
        <w:rPr>
          <w:color w:val="000000" w:themeColor="text1"/>
        </w:rPr>
      </w:pPr>
    </w:p>
    <w:p w14:paraId="25DED370" w14:textId="238D6F3B" w:rsidR="005A6C9A" w:rsidRPr="0058432E" w:rsidRDefault="009D65D0" w:rsidP="005A6C9A">
      <w:pPr>
        <w:jc w:val="center"/>
        <w:rPr>
          <w:color w:val="000000" w:themeColor="text1"/>
        </w:rPr>
      </w:pPr>
      <w:r w:rsidRPr="0058432E">
        <w:rPr>
          <w:noProof/>
          <w:color w:val="000000" w:themeColor="text1"/>
        </w:rPr>
        <mc:AlternateContent>
          <mc:Choice Requires="wps">
            <w:drawing>
              <wp:anchor distT="0" distB="0" distL="114300" distR="114300" simplePos="0" relativeHeight="251692544" behindDoc="0" locked="0" layoutInCell="1" allowOverlap="1" wp14:anchorId="2C540BBF" wp14:editId="497B8AED">
                <wp:simplePos x="0" y="0"/>
                <wp:positionH relativeFrom="column">
                  <wp:posOffset>1010920</wp:posOffset>
                </wp:positionH>
                <wp:positionV relativeFrom="paragraph">
                  <wp:posOffset>80010</wp:posOffset>
                </wp:positionV>
                <wp:extent cx="3168650" cy="260985"/>
                <wp:effectExtent l="0" t="0" r="0" b="0"/>
                <wp:wrapNone/>
                <wp:docPr id="145" name="Zone de texte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260985"/>
                        </a:xfrm>
                        <a:prstGeom prst="rect">
                          <a:avLst/>
                        </a:prstGeom>
                        <a:solidFill>
                          <a:srgbClr val="FFFFFF"/>
                        </a:solidFill>
                        <a:ln>
                          <a:noFill/>
                        </a:ln>
                      </wps:spPr>
                      <wps:txbx>
                        <w:txbxContent>
                          <w:p w14:paraId="512F507F" w14:textId="77777777" w:rsidR="009A26D2" w:rsidRPr="00491257" w:rsidRDefault="009A26D2" w:rsidP="00E82F97">
                            <w:pPr>
                              <w:rPr>
                                <w:b/>
                                <w:bCs/>
                                <w:szCs w:val="20"/>
                              </w:rPr>
                            </w:pPr>
                            <w:r w:rsidRPr="00491257">
                              <w:rPr>
                                <w:b/>
                                <w:bCs/>
                                <w:szCs w:val="20"/>
                              </w:rPr>
                              <w:t>Sortez votre seringue préremplie de l’emballage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40BBF" id="Zone de texte 145" o:spid="_x0000_s1091" type="#_x0000_t202" style="position:absolute;left:0;text-align:left;margin-left:79.6pt;margin-top:6.3pt;width:249.5pt;height:20.5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" stroked="f">
                <v:textbox>
                  <w:txbxContent>
                    <w:p w14:paraId="512F507F" w14:textId="77777777" w:rsidR="009A26D2" w:rsidRPr="00491257" w:rsidRDefault="009A26D2" w:rsidP="00E82F97">
                      <w:pPr>
                        <w:rPr>
                          <w:b/>
                          <w:bCs/>
                          <w:szCs w:val="20"/>
                        </w:rPr>
                      </w:pPr>
                      <w:r w:rsidRPr="00491257">
                        <w:rPr>
                          <w:b/>
                          <w:bCs/>
                          <w:szCs w:val="20"/>
                        </w:rPr>
                        <w:t>Sortez votre seringue préremplie de l’emballage</w:t>
                      </w:r>
                    </w:p>
                  </w:txbxContent>
                </v:textbox>
              </v:shape>
            </w:pict>
          </mc:Fallback>
        </mc:AlternateContent>
      </w:r>
      <w:r w:rsidRPr="0058432E">
        <w:rPr>
          <w:noProof/>
          <w:color w:val="000000" w:themeColor="text1"/>
        </w:rPr>
        <w:drawing>
          <wp:inline distT="0" distB="0" distL="0" distR="0" wp14:anchorId="6A7D6085" wp14:editId="67B8DD7A">
            <wp:extent cx="4712970" cy="2482850"/>
            <wp:effectExtent l="0" t="0" r="0" b="0"/>
            <wp:docPr id="5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12970" cy="2482850"/>
                    </a:xfrm>
                    <a:prstGeom prst="rect">
                      <a:avLst/>
                    </a:prstGeom>
                    <a:noFill/>
                    <a:ln>
                      <a:noFill/>
                    </a:ln>
                  </pic:spPr>
                </pic:pic>
              </a:graphicData>
            </a:graphic>
          </wp:inline>
        </w:drawing>
      </w:r>
    </w:p>
    <w:p w14:paraId="70623F09" w14:textId="77777777" w:rsidR="002953BE" w:rsidRPr="0058432E" w:rsidRDefault="002953BE" w:rsidP="00982118">
      <w:pPr>
        <w:jc w:val="center"/>
        <w:rPr>
          <w:color w:val="000000" w:themeColor="text1"/>
        </w:rPr>
      </w:pPr>
    </w:p>
    <w:p w14:paraId="041923D3" w14:textId="77777777" w:rsidR="002953BE" w:rsidRPr="0058432E" w:rsidRDefault="002953BE" w:rsidP="00982118">
      <w:pPr>
        <w:pStyle w:val="ListParagraph"/>
        <w:ind w:left="0"/>
        <w:contextualSpacing/>
        <w:rPr>
          <w:color w:val="000000" w:themeColor="text1"/>
        </w:rPr>
      </w:pPr>
    </w:p>
    <w:p w14:paraId="53800A53" w14:textId="77777777" w:rsidR="002953BE" w:rsidRPr="0058432E" w:rsidRDefault="002953BE" w:rsidP="00982118">
      <w:pPr>
        <w:pStyle w:val="ListParagraph"/>
        <w:ind w:left="0"/>
        <w:contextualSpacing/>
        <w:rPr>
          <w:color w:val="000000" w:themeColor="text1"/>
        </w:rPr>
      </w:pPr>
    </w:p>
    <w:p w14:paraId="72190697" w14:textId="77777777" w:rsidR="002953BE" w:rsidRPr="0058432E" w:rsidRDefault="002953BE" w:rsidP="00E23160">
      <w:pPr>
        <w:pStyle w:val="ListParagraph"/>
        <w:numPr>
          <w:ilvl w:val="0"/>
          <w:numId w:val="34"/>
        </w:numPr>
        <w:ind w:left="562" w:hanging="562"/>
        <w:contextualSpacing/>
        <w:rPr>
          <w:color w:val="000000" w:themeColor="text1"/>
        </w:rPr>
      </w:pPr>
      <w:r w:rsidRPr="0058432E">
        <w:rPr>
          <w:color w:val="000000" w:themeColor="text1"/>
        </w:rPr>
        <w:t>Retirez le sceau en papier du plateau.</w:t>
      </w:r>
    </w:p>
    <w:p w14:paraId="451EB309" w14:textId="77777777" w:rsidR="002953BE" w:rsidRPr="0058432E" w:rsidRDefault="002953BE" w:rsidP="00E23160">
      <w:pPr>
        <w:pStyle w:val="ListParagraph"/>
        <w:numPr>
          <w:ilvl w:val="0"/>
          <w:numId w:val="34"/>
        </w:numPr>
        <w:ind w:left="562" w:hanging="562"/>
        <w:contextualSpacing/>
        <w:rPr>
          <w:color w:val="000000" w:themeColor="text1"/>
        </w:rPr>
      </w:pPr>
      <w:r w:rsidRPr="0058432E">
        <w:rPr>
          <w:color w:val="000000" w:themeColor="text1"/>
        </w:rPr>
        <w:t>Retirez 1 seringue préremplie du plateau et remettez au réfrigérateur la boîte d’origine avec les seringues préremplies inutilisées.</w:t>
      </w:r>
    </w:p>
    <w:p w14:paraId="45C73490" w14:textId="77777777" w:rsidR="002953BE" w:rsidRPr="0058432E" w:rsidRDefault="002953BE" w:rsidP="00E23160">
      <w:pPr>
        <w:pStyle w:val="ListParagraph"/>
        <w:numPr>
          <w:ilvl w:val="0"/>
          <w:numId w:val="34"/>
        </w:numPr>
        <w:ind w:left="562" w:hanging="562"/>
        <w:contextualSpacing/>
        <w:rPr>
          <w:color w:val="000000" w:themeColor="text1"/>
        </w:rPr>
      </w:pPr>
      <w:r w:rsidRPr="0058432E">
        <w:rPr>
          <w:b/>
          <w:color w:val="000000" w:themeColor="text1"/>
        </w:rPr>
        <w:t>N’utilisez pas</w:t>
      </w:r>
      <w:r w:rsidRPr="0058432E">
        <w:rPr>
          <w:color w:val="000000" w:themeColor="text1"/>
        </w:rPr>
        <w:t xml:space="preserve"> votre seringue si elle semble endommagée.</w:t>
      </w:r>
    </w:p>
    <w:p w14:paraId="06385F6B" w14:textId="77777777" w:rsidR="004F4F8F" w:rsidRPr="0058432E" w:rsidRDefault="004F4F8F" w:rsidP="00E23160">
      <w:pPr>
        <w:pStyle w:val="ListParagraph"/>
        <w:numPr>
          <w:ilvl w:val="0"/>
          <w:numId w:val="34"/>
        </w:numPr>
        <w:ind w:left="562" w:hanging="562"/>
        <w:contextualSpacing/>
        <w:rPr>
          <w:color w:val="000000" w:themeColor="text1"/>
        </w:rPr>
      </w:pPr>
      <w:r w:rsidRPr="0058432E">
        <w:rPr>
          <w:color w:val="000000" w:themeColor="text1"/>
        </w:rPr>
        <w:t xml:space="preserve">Votre seringue préremplie peut être utilisée </w:t>
      </w:r>
      <w:r w:rsidR="00B55404" w:rsidRPr="0058432E">
        <w:rPr>
          <w:color w:val="000000" w:themeColor="text1"/>
        </w:rPr>
        <w:t xml:space="preserve">dès la sortie </w:t>
      </w:r>
      <w:r w:rsidRPr="0058432E">
        <w:rPr>
          <w:color w:val="000000" w:themeColor="text1"/>
        </w:rPr>
        <w:t>du réfrigérateur.</w:t>
      </w:r>
    </w:p>
    <w:p w14:paraId="3BB13CF3" w14:textId="77777777" w:rsidR="002953BE" w:rsidRPr="0058432E" w:rsidRDefault="00547DDC" w:rsidP="00FC32E1">
      <w:pPr>
        <w:pStyle w:val="ListParagraph"/>
        <w:numPr>
          <w:ilvl w:val="0"/>
          <w:numId w:val="34"/>
        </w:numPr>
        <w:ind w:left="562" w:hanging="562"/>
        <w:contextualSpacing/>
        <w:rPr>
          <w:color w:val="000000" w:themeColor="text1"/>
        </w:rPr>
      </w:pPr>
      <w:r w:rsidRPr="0058432E">
        <w:rPr>
          <w:color w:val="000000" w:themeColor="text1"/>
        </w:rPr>
        <w:t>Vous constaterez peut-être que l'utilisation de votre seringue préremplie à la température ambiante réduit l</w:t>
      </w:r>
      <w:r w:rsidR="00B55404" w:rsidRPr="0058432E">
        <w:rPr>
          <w:color w:val="000000" w:themeColor="text1"/>
        </w:rPr>
        <w:t>a</w:t>
      </w:r>
      <w:r w:rsidRPr="0058432E">
        <w:rPr>
          <w:color w:val="000000" w:themeColor="text1"/>
        </w:rPr>
        <w:t xml:space="preserve"> </w:t>
      </w:r>
      <w:r w:rsidR="00B55404" w:rsidRPr="0058432E">
        <w:rPr>
          <w:color w:val="000000" w:themeColor="text1"/>
        </w:rPr>
        <w:t>douleur</w:t>
      </w:r>
      <w:r w:rsidRPr="0058432E">
        <w:rPr>
          <w:color w:val="000000" w:themeColor="text1"/>
        </w:rPr>
        <w:t xml:space="preserve"> ou l'inconfort.</w:t>
      </w:r>
      <w:r w:rsidR="002953BE" w:rsidRPr="0058432E">
        <w:rPr>
          <w:color w:val="000000" w:themeColor="text1"/>
        </w:rPr>
        <w:t xml:space="preserve"> </w:t>
      </w:r>
      <w:r w:rsidRPr="0058432E">
        <w:rPr>
          <w:color w:val="000000" w:themeColor="text1"/>
        </w:rPr>
        <w:t>L</w:t>
      </w:r>
      <w:r w:rsidR="002953BE" w:rsidRPr="0058432E">
        <w:rPr>
          <w:color w:val="000000" w:themeColor="text1"/>
        </w:rPr>
        <w:t xml:space="preserve">aissez </w:t>
      </w:r>
      <w:r w:rsidRPr="0058432E">
        <w:rPr>
          <w:color w:val="000000" w:themeColor="text1"/>
        </w:rPr>
        <w:t>votre</w:t>
      </w:r>
      <w:r w:rsidR="002953BE" w:rsidRPr="0058432E">
        <w:rPr>
          <w:color w:val="000000" w:themeColor="text1"/>
        </w:rPr>
        <w:t xml:space="preserve"> seringue préremplie à température ambiante</w:t>
      </w:r>
      <w:r w:rsidRPr="0058432E">
        <w:rPr>
          <w:color w:val="000000" w:themeColor="text1"/>
        </w:rPr>
        <w:t xml:space="preserve"> à l'abri de la lumière directe du soleil</w:t>
      </w:r>
      <w:r w:rsidR="002953BE" w:rsidRPr="0058432E">
        <w:rPr>
          <w:color w:val="000000" w:themeColor="text1"/>
        </w:rPr>
        <w:t xml:space="preserve"> pendant 15 à 30 minutes avant votre injection.</w:t>
      </w:r>
    </w:p>
    <w:p w14:paraId="197C0F25" w14:textId="77777777" w:rsidR="002953BE" w:rsidRPr="0058432E" w:rsidRDefault="002953BE" w:rsidP="00E23160">
      <w:pPr>
        <w:pStyle w:val="ListParagraph"/>
        <w:numPr>
          <w:ilvl w:val="0"/>
          <w:numId w:val="34"/>
        </w:numPr>
        <w:ind w:left="562" w:hanging="562"/>
        <w:contextualSpacing/>
        <w:rPr>
          <w:color w:val="000000" w:themeColor="text1"/>
        </w:rPr>
      </w:pPr>
      <w:r w:rsidRPr="0058432E">
        <w:rPr>
          <w:b/>
          <w:color w:val="000000" w:themeColor="text1"/>
        </w:rPr>
        <w:t>Ne retirez pas</w:t>
      </w:r>
      <w:r w:rsidRPr="0058432E">
        <w:rPr>
          <w:color w:val="000000" w:themeColor="text1"/>
        </w:rPr>
        <w:t xml:space="preserve"> le protège-aiguille de la seringue préremplie avant d’être prêt à procéder à l’injection.</w:t>
      </w:r>
    </w:p>
    <w:p w14:paraId="475DC240" w14:textId="77777777" w:rsidR="002953BE" w:rsidRPr="0058432E" w:rsidRDefault="002953BE" w:rsidP="00982118">
      <w:pPr>
        <w:ind w:left="360"/>
        <w:rPr>
          <w:color w:val="000000" w:themeColor="text1"/>
        </w:rPr>
      </w:pPr>
    </w:p>
    <w:p w14:paraId="72F1F9D9" w14:textId="77777777" w:rsidR="002953BE" w:rsidRPr="0058432E" w:rsidRDefault="002953BE" w:rsidP="003D2782">
      <w:pPr>
        <w:pStyle w:val="ListParagraph"/>
        <w:keepNext/>
        <w:keepLines/>
        <w:ind w:left="562" w:hanging="562"/>
        <w:contextualSpacing/>
        <w:rPr>
          <w:b/>
          <w:color w:val="000000" w:themeColor="text1"/>
        </w:rPr>
      </w:pPr>
      <w:r w:rsidRPr="0058432E">
        <w:rPr>
          <w:b/>
          <w:color w:val="000000" w:themeColor="text1"/>
        </w:rPr>
        <w:lastRenderedPageBreak/>
        <w:t>Tenez toujours la seringue préremplie par le corps de la seringue pour éviter de l’endommager.</w:t>
      </w:r>
    </w:p>
    <w:p w14:paraId="480AE98D" w14:textId="77777777" w:rsidR="002953BE" w:rsidRPr="0058432E" w:rsidRDefault="002953BE" w:rsidP="003D2782">
      <w:pPr>
        <w:keepNext/>
        <w:keepLines/>
        <w:ind w:left="360"/>
        <w:rPr>
          <w:color w:val="000000" w:themeColor="text1"/>
        </w:rPr>
      </w:pPr>
    </w:p>
    <w:p w14:paraId="65AE9977" w14:textId="77777777" w:rsidR="002953BE" w:rsidRPr="0058432E" w:rsidRDefault="002953BE" w:rsidP="003D2782">
      <w:pPr>
        <w:keepNext/>
        <w:keepLines/>
        <w:ind w:left="360"/>
        <w:rPr>
          <w:color w:val="000000" w:themeColor="text1"/>
        </w:rPr>
      </w:pPr>
    </w:p>
    <w:p w14:paraId="764262DD" w14:textId="1E2BA214" w:rsidR="00B55404" w:rsidRPr="0058432E" w:rsidRDefault="009D65D0" w:rsidP="00B55404">
      <w:pPr>
        <w:jc w:val="center"/>
        <w:rPr>
          <w:color w:val="000000" w:themeColor="text1"/>
        </w:rPr>
      </w:pPr>
      <w:r w:rsidRPr="0058432E">
        <w:rPr>
          <w:noProof/>
          <w:color w:val="000000" w:themeColor="text1"/>
        </w:rPr>
        <mc:AlternateContent>
          <mc:Choice Requires="wps">
            <w:drawing>
              <wp:anchor distT="0" distB="0" distL="114300" distR="114300" simplePos="0" relativeHeight="251650560" behindDoc="0" locked="0" layoutInCell="1" allowOverlap="1" wp14:anchorId="2F537AD9" wp14:editId="0C867B0F">
                <wp:simplePos x="0" y="0"/>
                <wp:positionH relativeFrom="column">
                  <wp:posOffset>1508760</wp:posOffset>
                </wp:positionH>
                <wp:positionV relativeFrom="paragraph">
                  <wp:posOffset>53340</wp:posOffset>
                </wp:positionV>
                <wp:extent cx="2223770" cy="289560"/>
                <wp:effectExtent l="0" t="0" r="0" b="0"/>
                <wp:wrapNone/>
                <wp:docPr id="147" name="Zone de texte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289560"/>
                        </a:xfrm>
                        <a:prstGeom prst="rect">
                          <a:avLst/>
                        </a:prstGeom>
                        <a:solidFill>
                          <a:srgbClr val="FFFFFF"/>
                        </a:solidFill>
                        <a:ln>
                          <a:noFill/>
                        </a:ln>
                      </wps:spPr>
                      <wps:txbx>
                        <w:txbxContent>
                          <w:p w14:paraId="0BBC4882" w14:textId="77777777" w:rsidR="009A26D2" w:rsidRPr="00A53E17" w:rsidRDefault="009A26D2" w:rsidP="00E64BC4">
                            <w:pPr>
                              <w:rPr>
                                <w:b/>
                                <w:bCs/>
                                <w:spacing w:val="-4"/>
                                <w:szCs w:val="18"/>
                              </w:rPr>
                            </w:pPr>
                            <w:r w:rsidRPr="00A53E17">
                              <w:rPr>
                                <w:b/>
                                <w:bCs/>
                                <w:spacing w:val="-4"/>
                                <w:szCs w:val="18"/>
                              </w:rPr>
                              <w:t>Vérifiez votre médicament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37AD9" id="Zone de texte 147" o:spid="_x0000_s1092" type="#_x0000_t202" style="position:absolute;left:0;text-align:left;margin-left:118.8pt;margin-top:4.2pt;width:175.1pt;height:22.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" stroked="f">
                <v:textbox>
                  <w:txbxContent>
                    <w:p w14:paraId="0BBC4882" w14:textId="77777777" w:rsidR="009A26D2" w:rsidRPr="00A53E17" w:rsidRDefault="009A26D2" w:rsidP="00E64BC4">
                      <w:pPr>
                        <w:rPr>
                          <w:b/>
                          <w:bCs/>
                          <w:spacing w:val="-4"/>
                          <w:szCs w:val="18"/>
                        </w:rPr>
                      </w:pPr>
                      <w:r w:rsidRPr="00A53E17">
                        <w:rPr>
                          <w:b/>
                          <w:bCs/>
                          <w:spacing w:val="-4"/>
                          <w:szCs w:val="18"/>
                        </w:rPr>
                        <w:t>Vérifiez votre médicament</w:t>
                      </w:r>
                    </w:p>
                  </w:txbxContent>
                </v:textbox>
              </v:shape>
            </w:pict>
          </mc:Fallback>
        </mc:AlternateContent>
      </w:r>
      <w:r w:rsidRPr="0058432E">
        <w:rPr>
          <w:noProof/>
          <w:color w:val="000000" w:themeColor="text1"/>
        </w:rPr>
        <w:drawing>
          <wp:inline distT="0" distB="0" distL="0" distR="0" wp14:anchorId="66ECCDC4" wp14:editId="09DBE566">
            <wp:extent cx="3826510" cy="2482850"/>
            <wp:effectExtent l="0" t="0" r="0" b="0"/>
            <wp:docPr id="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26510" cy="2482850"/>
                    </a:xfrm>
                    <a:prstGeom prst="rect">
                      <a:avLst/>
                    </a:prstGeom>
                    <a:noFill/>
                    <a:ln>
                      <a:noFill/>
                    </a:ln>
                  </pic:spPr>
                </pic:pic>
              </a:graphicData>
            </a:graphic>
          </wp:inline>
        </w:drawing>
      </w:r>
    </w:p>
    <w:p w14:paraId="6BD7A30E" w14:textId="77777777" w:rsidR="002953BE" w:rsidRPr="0058432E" w:rsidRDefault="002953BE" w:rsidP="00982118">
      <w:pPr>
        <w:jc w:val="center"/>
        <w:rPr>
          <w:color w:val="000000" w:themeColor="text1"/>
        </w:rPr>
      </w:pPr>
    </w:p>
    <w:p w14:paraId="4A974A25" w14:textId="77777777" w:rsidR="002953BE" w:rsidRPr="0058432E" w:rsidRDefault="002953BE" w:rsidP="00982118">
      <w:pPr>
        <w:rPr>
          <w:color w:val="000000" w:themeColor="text1"/>
        </w:rPr>
      </w:pPr>
    </w:p>
    <w:p w14:paraId="2904433C" w14:textId="77777777" w:rsidR="002953BE" w:rsidRPr="0058432E" w:rsidRDefault="002953BE" w:rsidP="00982118">
      <w:pPr>
        <w:rPr>
          <w:color w:val="000000" w:themeColor="text1"/>
        </w:rPr>
      </w:pPr>
    </w:p>
    <w:p w14:paraId="23942DD0" w14:textId="77777777" w:rsidR="00547DDC" w:rsidRPr="0058432E" w:rsidRDefault="002953BE" w:rsidP="00E23160">
      <w:pPr>
        <w:pStyle w:val="ListParagraph"/>
        <w:numPr>
          <w:ilvl w:val="0"/>
          <w:numId w:val="36"/>
        </w:numPr>
        <w:ind w:left="562" w:hanging="562"/>
        <w:contextualSpacing/>
        <w:rPr>
          <w:color w:val="000000" w:themeColor="text1"/>
        </w:rPr>
      </w:pPr>
      <w:r w:rsidRPr="0058432E">
        <w:rPr>
          <w:color w:val="000000" w:themeColor="text1"/>
        </w:rPr>
        <w:t>Inspectez attentivement votre médicament grâce à la fenêtre.</w:t>
      </w:r>
    </w:p>
    <w:p w14:paraId="06AE5650" w14:textId="77777777" w:rsidR="00547DDC" w:rsidRPr="0058432E" w:rsidRDefault="00547DDC" w:rsidP="00E23160">
      <w:pPr>
        <w:pStyle w:val="ListParagraph"/>
        <w:numPr>
          <w:ilvl w:val="0"/>
          <w:numId w:val="36"/>
        </w:numPr>
        <w:ind w:left="562" w:hanging="562"/>
        <w:contextualSpacing/>
        <w:rPr>
          <w:color w:val="000000" w:themeColor="text1"/>
        </w:rPr>
      </w:pPr>
      <w:r w:rsidRPr="0058432E">
        <w:rPr>
          <w:color w:val="000000" w:themeColor="text1"/>
        </w:rPr>
        <w:t>Inclinez doucement votre seringue préremplie d'avant en arrière pour vérifier le médicament.</w:t>
      </w:r>
    </w:p>
    <w:p w14:paraId="6931F50E" w14:textId="77777777" w:rsidR="002953BE" w:rsidRPr="0058432E" w:rsidRDefault="00AF1FB3" w:rsidP="00E23160">
      <w:pPr>
        <w:pStyle w:val="ListParagraph"/>
        <w:numPr>
          <w:ilvl w:val="0"/>
          <w:numId w:val="36"/>
        </w:numPr>
        <w:ind w:left="562" w:hanging="562"/>
        <w:contextualSpacing/>
        <w:rPr>
          <w:color w:val="000000" w:themeColor="text1"/>
        </w:rPr>
      </w:pPr>
      <w:r w:rsidRPr="0058432E">
        <w:rPr>
          <w:b/>
          <w:color w:val="000000" w:themeColor="text1"/>
        </w:rPr>
        <w:t>N’agitez pas</w:t>
      </w:r>
      <w:r w:rsidR="00547DDC" w:rsidRPr="0058432E">
        <w:rPr>
          <w:color w:val="000000" w:themeColor="text1"/>
        </w:rPr>
        <w:t xml:space="preserve"> votre seringue préremplie. L'agitation peut endommager votre médicament.</w:t>
      </w:r>
      <w:r w:rsidR="002953BE" w:rsidRPr="0058432E">
        <w:rPr>
          <w:color w:val="000000" w:themeColor="text1"/>
        </w:rPr>
        <w:t xml:space="preserve"> </w:t>
      </w:r>
    </w:p>
    <w:p w14:paraId="3C930A8E" w14:textId="77777777" w:rsidR="002953BE" w:rsidRPr="0058432E" w:rsidRDefault="002953BE" w:rsidP="00E23160">
      <w:pPr>
        <w:pStyle w:val="ListParagraph"/>
        <w:numPr>
          <w:ilvl w:val="0"/>
          <w:numId w:val="36"/>
        </w:numPr>
        <w:ind w:left="562" w:hanging="562"/>
        <w:contextualSpacing/>
        <w:rPr>
          <w:rFonts w:eastAsia="Calibri"/>
          <w:color w:val="000000" w:themeColor="text1"/>
        </w:rPr>
      </w:pPr>
      <w:r w:rsidRPr="0058432E">
        <w:rPr>
          <w:color w:val="000000" w:themeColor="text1"/>
        </w:rPr>
        <w:t>Assurez-vous que le médicament contenu dans la seringue préremplie est limpide et incolore à brun très clair et exempt de flocons ou de particules. Il est normal de voir une ou plusieurs bulles d’air dans la fenêtre.</w:t>
      </w:r>
      <w:r w:rsidR="00B3459C" w:rsidRPr="0058432E">
        <w:rPr>
          <w:color w:val="000000" w:themeColor="text1"/>
        </w:rPr>
        <w:t xml:space="preserve"> </w:t>
      </w:r>
      <w:r w:rsidR="00B3459C" w:rsidRPr="0058432E">
        <w:rPr>
          <w:b/>
          <w:color w:val="000000" w:themeColor="text1"/>
        </w:rPr>
        <w:t>N'essayez pas</w:t>
      </w:r>
      <w:r w:rsidR="00B3459C" w:rsidRPr="0058432E">
        <w:rPr>
          <w:color w:val="000000" w:themeColor="text1"/>
        </w:rPr>
        <w:t xml:space="preserve"> d'éliminer les bulles d'air.</w:t>
      </w:r>
    </w:p>
    <w:p w14:paraId="7008B5B6" w14:textId="77777777" w:rsidR="00E23160" w:rsidRPr="0058432E" w:rsidRDefault="00E23160" w:rsidP="00E23160">
      <w:pPr>
        <w:ind w:left="562" w:hanging="562"/>
        <w:contextualSpacing/>
        <w:rPr>
          <w:bCs/>
          <w:color w:val="000000" w:themeColor="text1"/>
        </w:rPr>
      </w:pPr>
    </w:p>
    <w:p w14:paraId="192FF5F0" w14:textId="77777777" w:rsidR="002953BE" w:rsidRPr="0058432E" w:rsidRDefault="002953BE" w:rsidP="00E23160">
      <w:pPr>
        <w:ind w:left="562" w:hanging="562"/>
        <w:contextualSpacing/>
        <w:rPr>
          <w:color w:val="000000" w:themeColor="text1"/>
        </w:rPr>
      </w:pPr>
      <w:r w:rsidRPr="0058432E">
        <w:rPr>
          <w:color w:val="000000" w:themeColor="text1"/>
        </w:rPr>
        <w:t xml:space="preserve">Pour toutes questions à propos de votre médicament, </w:t>
      </w:r>
      <w:r w:rsidR="00191303" w:rsidRPr="0058432E">
        <w:rPr>
          <w:color w:val="000000" w:themeColor="text1"/>
        </w:rPr>
        <w:t>parlez-en</w:t>
      </w:r>
      <w:r w:rsidRPr="0058432E">
        <w:rPr>
          <w:color w:val="000000" w:themeColor="text1"/>
        </w:rPr>
        <w:t xml:space="preserve"> </w:t>
      </w:r>
      <w:r w:rsidR="00191303" w:rsidRPr="0058432E">
        <w:rPr>
          <w:color w:val="000000" w:themeColor="text1"/>
        </w:rPr>
        <w:t xml:space="preserve">à </w:t>
      </w:r>
      <w:r w:rsidRPr="0058432E">
        <w:rPr>
          <w:color w:val="000000" w:themeColor="text1"/>
        </w:rPr>
        <w:t>votre médecin</w:t>
      </w:r>
      <w:r w:rsidR="00B3459C" w:rsidRPr="0058432E">
        <w:rPr>
          <w:color w:val="000000" w:themeColor="text1"/>
        </w:rPr>
        <w:t>,</w:t>
      </w:r>
      <w:r w:rsidR="001077AA" w:rsidRPr="0058432E">
        <w:rPr>
          <w:color w:val="000000" w:themeColor="text1"/>
        </w:rPr>
        <w:t xml:space="preserve"> votre </w:t>
      </w:r>
      <w:r w:rsidR="00D27AD3" w:rsidRPr="0058432E">
        <w:rPr>
          <w:color w:val="000000" w:themeColor="text1"/>
        </w:rPr>
        <w:t>infirmier/ère</w:t>
      </w:r>
      <w:r w:rsidRPr="0058432E">
        <w:rPr>
          <w:color w:val="000000" w:themeColor="text1"/>
        </w:rPr>
        <w:t xml:space="preserve"> ou votre pharmacien. </w:t>
      </w:r>
    </w:p>
    <w:p w14:paraId="5FFAC48A" w14:textId="77777777" w:rsidR="002953BE" w:rsidRPr="0058432E" w:rsidRDefault="002953BE" w:rsidP="00982118">
      <w:pPr>
        <w:pStyle w:val="ListParagraph"/>
        <w:ind w:left="0"/>
        <w:rPr>
          <w:color w:val="000000" w:themeColor="text1"/>
        </w:rPr>
      </w:pPr>
    </w:p>
    <w:p w14:paraId="3252BF7F" w14:textId="77777777" w:rsidR="002953BE" w:rsidRPr="0058432E" w:rsidRDefault="002953BE" w:rsidP="00982118">
      <w:pPr>
        <w:pStyle w:val="ListParagraph"/>
        <w:ind w:left="0"/>
        <w:rPr>
          <w:color w:val="000000" w:themeColor="text1"/>
        </w:rPr>
      </w:pPr>
    </w:p>
    <w:p w14:paraId="2B892B0D" w14:textId="77777777" w:rsidR="00E64BC4" w:rsidRPr="0058432E" w:rsidRDefault="00E64BC4" w:rsidP="00E64BC4">
      <w:pPr>
        <w:pStyle w:val="ListParagraph"/>
        <w:rPr>
          <w:color w:val="000000" w:themeColor="text1"/>
        </w:rPr>
      </w:pPr>
    </w:p>
    <w:p w14:paraId="4845693D" w14:textId="3792FE92" w:rsidR="00191303" w:rsidRPr="0058432E" w:rsidRDefault="009D65D0" w:rsidP="00191303">
      <w:pPr>
        <w:jc w:val="center"/>
        <w:rPr>
          <w:color w:val="000000" w:themeColor="text1"/>
        </w:rPr>
      </w:pPr>
      <w:r w:rsidRPr="0058432E">
        <w:rPr>
          <w:noProof/>
          <w:color w:val="000000" w:themeColor="text1"/>
        </w:rPr>
        <mc:AlternateContent>
          <mc:Choice Requires="wps">
            <w:drawing>
              <wp:anchor distT="0" distB="0" distL="114300" distR="114300" simplePos="0" relativeHeight="251695616" behindDoc="0" locked="0" layoutInCell="1" allowOverlap="1" wp14:anchorId="309CB638" wp14:editId="65B3A377">
                <wp:simplePos x="0" y="0"/>
                <wp:positionH relativeFrom="column">
                  <wp:posOffset>1052195</wp:posOffset>
                </wp:positionH>
                <wp:positionV relativeFrom="paragraph">
                  <wp:posOffset>35560</wp:posOffset>
                </wp:positionV>
                <wp:extent cx="2665730" cy="288925"/>
                <wp:effectExtent l="0" t="0" r="0" b="0"/>
                <wp:wrapNone/>
                <wp:docPr id="151" name="Zone de texte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288925"/>
                        </a:xfrm>
                        <a:prstGeom prst="rect">
                          <a:avLst/>
                        </a:prstGeom>
                        <a:solidFill>
                          <a:srgbClr val="FFFFFF"/>
                        </a:solidFill>
                        <a:ln>
                          <a:noFill/>
                        </a:ln>
                      </wps:spPr>
                      <wps:txbx>
                        <w:txbxContent>
                          <w:p w14:paraId="2B6437AE" w14:textId="77777777" w:rsidR="009A26D2" w:rsidRPr="00491257" w:rsidRDefault="009A26D2" w:rsidP="00E64BC4">
                            <w:pPr>
                              <w:rPr>
                                <w:b/>
                                <w:bCs/>
                              </w:rPr>
                            </w:pPr>
                            <w:r w:rsidRPr="00491257">
                              <w:rPr>
                                <w:b/>
                                <w:bCs/>
                              </w:rPr>
                              <w:t>Choisissez et préparez le site d’injection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CB638" id="Zone de texte 151" o:spid="_x0000_s1093" type="#_x0000_t202" style="position:absolute;left:0;text-align:left;margin-left:82.85pt;margin-top:2.8pt;width:209.9pt;height:2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" stroked="f">
                <v:textbox>
                  <w:txbxContent>
                    <w:p w14:paraId="2B6437AE" w14:textId="77777777" w:rsidR="009A26D2" w:rsidRPr="00491257" w:rsidRDefault="009A26D2" w:rsidP="00E64BC4">
                      <w:pPr>
                        <w:rPr>
                          <w:b/>
                          <w:bCs/>
                        </w:rPr>
                      </w:pPr>
                      <w:r w:rsidRPr="00491257">
                        <w:rPr>
                          <w:b/>
                          <w:bCs/>
                        </w:rPr>
                        <w:t>Choisissez et préparez le site d’injection</w:t>
                      </w:r>
                    </w:p>
                  </w:txbxContent>
                </v:textbox>
              </v:shape>
            </w:pict>
          </mc:Fallback>
        </mc:AlternateContent>
      </w:r>
      <w:r w:rsidRPr="0058432E">
        <w:rPr>
          <w:noProof/>
          <w:color w:val="000000" w:themeColor="text1"/>
        </w:rPr>
        <mc:AlternateContent>
          <mc:Choice Requires="wps">
            <w:drawing>
              <wp:anchor distT="0" distB="0" distL="114300" distR="114300" simplePos="0" relativeHeight="251694592" behindDoc="0" locked="0" layoutInCell="1" allowOverlap="1" wp14:anchorId="07073E97" wp14:editId="6795A038">
                <wp:simplePos x="0" y="0"/>
                <wp:positionH relativeFrom="column">
                  <wp:posOffset>3281680</wp:posOffset>
                </wp:positionH>
                <wp:positionV relativeFrom="paragraph">
                  <wp:posOffset>1585595</wp:posOffset>
                </wp:positionV>
                <wp:extent cx="1722755" cy="521335"/>
                <wp:effectExtent l="0" t="0" r="0" b="0"/>
                <wp:wrapNone/>
                <wp:docPr id="149" name="Zone de text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51A62634" w14:textId="77777777" w:rsidR="009A26D2" w:rsidRPr="0076293C" w:rsidRDefault="009A26D2" w:rsidP="00E64BC4">
                            <w:pPr>
                              <w:rPr>
                                <w:b/>
                                <w:bCs/>
                                <w:color w:val="C45911"/>
                                <w:szCs w:val="18"/>
                              </w:rPr>
                            </w:pPr>
                            <w:r w:rsidRPr="0076293C">
                              <w:rPr>
                                <w:b/>
                                <w:bCs/>
                                <w:color w:val="C45911"/>
                                <w:szCs w:val="18"/>
                              </w:rPr>
                              <w:t>Cuisses</w:t>
                            </w:r>
                          </w:p>
                          <w:p w14:paraId="6E1472F4" w14:textId="77777777" w:rsidR="009A26D2" w:rsidRPr="0076293C" w:rsidRDefault="009A26D2" w:rsidP="00E64BC4">
                            <w:pPr>
                              <w:rPr>
                                <w:szCs w:val="18"/>
                              </w:rPr>
                            </w:pPr>
                            <w:r w:rsidRPr="0076293C">
                              <w:rPr>
                                <w:szCs w:val="18"/>
                              </w:rPr>
                              <w:t>Sur le haut de la cuisse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73E97" id="Zone de texte 149" o:spid="_x0000_s1094" type="#_x0000_t202" style="position:absolute;left:0;text-align:left;margin-left:258.4pt;margin-top:124.85pt;width:135.65pt;height:41.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" stroked="f">
                <v:textbox>
                  <w:txbxContent>
                    <w:p w14:paraId="51A62634" w14:textId="77777777" w:rsidR="009A26D2" w:rsidRPr="0076293C" w:rsidRDefault="009A26D2" w:rsidP="00E64BC4">
                      <w:pPr>
                        <w:rPr>
                          <w:b/>
                          <w:bCs/>
                          <w:color w:val="C45911"/>
                          <w:szCs w:val="18"/>
                        </w:rPr>
                      </w:pPr>
                      <w:r w:rsidRPr="0076293C">
                        <w:rPr>
                          <w:b/>
                          <w:bCs/>
                          <w:color w:val="C45911"/>
                          <w:szCs w:val="18"/>
                        </w:rPr>
                        <w:t>Cuisses</w:t>
                      </w:r>
                    </w:p>
                    <w:p w14:paraId="6E1472F4" w14:textId="77777777" w:rsidR="009A26D2" w:rsidRPr="0076293C" w:rsidRDefault="009A26D2" w:rsidP="00E64BC4">
                      <w:pPr>
                        <w:rPr>
                          <w:szCs w:val="18"/>
                        </w:rPr>
                      </w:pPr>
                      <w:r w:rsidRPr="0076293C">
                        <w:rPr>
                          <w:szCs w:val="18"/>
                        </w:rPr>
                        <w:t>Sur le haut de la cuisse</w:t>
                      </w:r>
                    </w:p>
                  </w:txbxContent>
                </v:textbox>
              </v:shape>
            </w:pict>
          </mc:Fallback>
        </mc:AlternateContent>
      </w:r>
      <w:r w:rsidRPr="0058432E">
        <w:rPr>
          <w:noProof/>
          <w:color w:val="000000" w:themeColor="text1"/>
        </w:rPr>
        <mc:AlternateContent>
          <mc:Choice Requires="wps">
            <w:drawing>
              <wp:anchor distT="0" distB="0" distL="114300" distR="114300" simplePos="0" relativeHeight="251693568" behindDoc="0" locked="0" layoutInCell="1" allowOverlap="1" wp14:anchorId="3BF8DBD5" wp14:editId="13DDC656">
                <wp:simplePos x="0" y="0"/>
                <wp:positionH relativeFrom="column">
                  <wp:posOffset>3303905</wp:posOffset>
                </wp:positionH>
                <wp:positionV relativeFrom="paragraph">
                  <wp:posOffset>528320</wp:posOffset>
                </wp:positionV>
                <wp:extent cx="1722755" cy="691515"/>
                <wp:effectExtent l="0" t="0" r="0" b="0"/>
                <wp:wrapNone/>
                <wp:docPr id="150" name="Zone de texte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691515"/>
                        </a:xfrm>
                        <a:prstGeom prst="rect">
                          <a:avLst/>
                        </a:prstGeom>
                        <a:solidFill>
                          <a:srgbClr val="FFFFFF"/>
                        </a:solidFill>
                        <a:ln>
                          <a:noFill/>
                        </a:ln>
                      </wps:spPr>
                      <wps:txbx>
                        <w:txbxContent>
                          <w:p w14:paraId="67EEEE71" w14:textId="77777777" w:rsidR="009A26D2" w:rsidRPr="0076293C" w:rsidRDefault="009A26D2" w:rsidP="00E82F97">
                            <w:pPr>
                              <w:rPr>
                                <w:b/>
                                <w:bCs/>
                                <w:color w:val="C45911"/>
                                <w:szCs w:val="18"/>
                              </w:rPr>
                            </w:pPr>
                            <w:r w:rsidRPr="0076293C">
                              <w:rPr>
                                <w:b/>
                                <w:bCs/>
                                <w:color w:val="C45911"/>
                                <w:szCs w:val="18"/>
                              </w:rPr>
                              <w:t>Abdomen</w:t>
                            </w:r>
                          </w:p>
                          <w:p w14:paraId="543E61BB" w14:textId="77777777" w:rsidR="009A26D2" w:rsidRPr="0076293C" w:rsidRDefault="009A26D2" w:rsidP="00E82F97">
                            <w:pPr>
                              <w:rPr>
                                <w:szCs w:val="18"/>
                              </w:rPr>
                            </w:pPr>
                            <w:r w:rsidRPr="0076293C">
                              <w:rPr>
                                <w:szCs w:val="18"/>
                              </w:rPr>
                              <w:t>À au moins 5 cm du nombril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8DBD5" id="Zone de texte 150" o:spid="_x0000_s1095" type="#_x0000_t202" style="position:absolute;left:0;text-align:left;margin-left:260.15pt;margin-top:41.6pt;width:135.65pt;height:54.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" stroked="f">
                <v:textbox>
                  <w:txbxContent>
                    <w:p w14:paraId="67EEEE71" w14:textId="77777777" w:rsidR="009A26D2" w:rsidRPr="0076293C" w:rsidRDefault="009A26D2" w:rsidP="00E82F97">
                      <w:pPr>
                        <w:rPr>
                          <w:b/>
                          <w:bCs/>
                          <w:color w:val="C45911"/>
                          <w:szCs w:val="18"/>
                        </w:rPr>
                      </w:pPr>
                      <w:r w:rsidRPr="0076293C">
                        <w:rPr>
                          <w:b/>
                          <w:bCs/>
                          <w:color w:val="C45911"/>
                          <w:szCs w:val="18"/>
                        </w:rPr>
                        <w:t>Abdomen</w:t>
                      </w:r>
                    </w:p>
                    <w:p w14:paraId="543E61BB" w14:textId="77777777" w:rsidR="009A26D2" w:rsidRPr="0076293C" w:rsidRDefault="009A26D2" w:rsidP="00E82F97">
                      <w:pPr>
                        <w:rPr>
                          <w:szCs w:val="18"/>
                        </w:rPr>
                      </w:pPr>
                      <w:r w:rsidRPr="0076293C">
                        <w:rPr>
                          <w:szCs w:val="18"/>
                        </w:rPr>
                        <w:t>À au moins 5 cm du nombril</w:t>
                      </w:r>
                    </w:p>
                  </w:txbxContent>
                </v:textbox>
              </v:shape>
            </w:pict>
          </mc:Fallback>
        </mc:AlternateContent>
      </w:r>
      <w:r w:rsidRPr="0058432E">
        <w:rPr>
          <w:noProof/>
          <w:color w:val="000000" w:themeColor="text1"/>
        </w:rPr>
        <w:drawing>
          <wp:inline distT="0" distB="0" distL="0" distR="0" wp14:anchorId="259ED749" wp14:editId="37B6F23F">
            <wp:extent cx="4740910" cy="2496820"/>
            <wp:effectExtent l="0" t="0" r="0" b="0"/>
            <wp:docPr id="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40910" cy="2496820"/>
                    </a:xfrm>
                    <a:prstGeom prst="rect">
                      <a:avLst/>
                    </a:prstGeom>
                    <a:noFill/>
                    <a:ln>
                      <a:noFill/>
                    </a:ln>
                  </pic:spPr>
                </pic:pic>
              </a:graphicData>
            </a:graphic>
          </wp:inline>
        </w:drawing>
      </w:r>
    </w:p>
    <w:p w14:paraId="29E328FF" w14:textId="77777777" w:rsidR="002953BE" w:rsidRPr="0058432E" w:rsidRDefault="002953BE" w:rsidP="00982118">
      <w:pPr>
        <w:pStyle w:val="ListParagraph"/>
        <w:ind w:left="0"/>
        <w:rPr>
          <w:color w:val="000000" w:themeColor="text1"/>
        </w:rPr>
      </w:pPr>
    </w:p>
    <w:p w14:paraId="0AA87E54" w14:textId="77777777" w:rsidR="002953BE" w:rsidRPr="0058432E" w:rsidRDefault="002953BE" w:rsidP="00982118">
      <w:pPr>
        <w:pStyle w:val="ListParagraph"/>
        <w:ind w:left="0"/>
        <w:rPr>
          <w:color w:val="000000" w:themeColor="text1"/>
        </w:rPr>
      </w:pPr>
    </w:p>
    <w:p w14:paraId="7D031F20"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Choisissez un site différent à chaque fois que vous pratiquez une auto-injection.</w:t>
      </w:r>
    </w:p>
    <w:p w14:paraId="7BCDFAD1"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b/>
          <w:color w:val="000000" w:themeColor="text1"/>
        </w:rPr>
        <w:t>N’injectez pas</w:t>
      </w:r>
      <w:r w:rsidRPr="0058432E">
        <w:rPr>
          <w:color w:val="000000" w:themeColor="text1"/>
        </w:rPr>
        <w:t xml:space="preserve"> dans les zones osseuses ou les zones de la peau qui sont contusionnées, rouges, douloureuses (sensibles) ou indurées. Évitez d’injecter dans les zones comportant des cicatrices ou des vergetures.</w:t>
      </w:r>
    </w:p>
    <w:p w14:paraId="281C2F38" w14:textId="77777777" w:rsidR="002953BE" w:rsidRPr="0058432E" w:rsidRDefault="002953BE" w:rsidP="00E23160">
      <w:pPr>
        <w:pStyle w:val="ListParagraph"/>
        <w:numPr>
          <w:ilvl w:val="0"/>
          <w:numId w:val="32"/>
        </w:numPr>
        <w:ind w:left="1124" w:hanging="562"/>
        <w:contextualSpacing/>
        <w:rPr>
          <w:color w:val="000000" w:themeColor="text1"/>
        </w:rPr>
      </w:pPr>
      <w:r w:rsidRPr="0058432E">
        <w:rPr>
          <w:color w:val="000000" w:themeColor="text1"/>
        </w:rPr>
        <w:t xml:space="preserve">Si vous souffrez de psoriasis, </w:t>
      </w:r>
      <w:r w:rsidRPr="0058432E">
        <w:rPr>
          <w:b/>
          <w:color w:val="000000" w:themeColor="text1"/>
        </w:rPr>
        <w:t>ne vous injectez pas</w:t>
      </w:r>
      <w:r w:rsidRPr="0058432E">
        <w:rPr>
          <w:color w:val="000000" w:themeColor="text1"/>
        </w:rPr>
        <w:t xml:space="preserve"> directement dans des plaques ou lésions cutanées en relief, épaisses, rouges ou squameuses.</w:t>
      </w:r>
    </w:p>
    <w:p w14:paraId="5C4C4498"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b/>
          <w:bCs/>
          <w:color w:val="000000" w:themeColor="text1"/>
        </w:rPr>
        <w:lastRenderedPageBreak/>
        <w:t>N’injectez pas</w:t>
      </w:r>
      <w:r w:rsidRPr="0058432E">
        <w:rPr>
          <w:color w:val="000000" w:themeColor="text1"/>
        </w:rPr>
        <w:t xml:space="preserve"> à travers vos vêtements.</w:t>
      </w:r>
    </w:p>
    <w:p w14:paraId="74F05F78"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Nettoyez le site d’injection avec le tampon d’alcool.</w:t>
      </w:r>
    </w:p>
    <w:p w14:paraId="448B8025"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Laissez sécher le site d’injection.</w:t>
      </w:r>
    </w:p>
    <w:p w14:paraId="36BFE787" w14:textId="77777777" w:rsidR="002953BE" w:rsidRPr="0058432E" w:rsidRDefault="002953BE" w:rsidP="00982118">
      <w:pPr>
        <w:rPr>
          <w:color w:val="000000" w:themeColor="text1"/>
        </w:rPr>
      </w:pPr>
    </w:p>
    <w:p w14:paraId="7B2208F2" w14:textId="77777777" w:rsidR="002953BE" w:rsidRPr="0058432E" w:rsidRDefault="002953BE" w:rsidP="00E23160">
      <w:pPr>
        <w:pStyle w:val="ListParagraph"/>
        <w:ind w:left="0"/>
        <w:rPr>
          <w:color w:val="000000" w:themeColor="text1"/>
        </w:rPr>
      </w:pPr>
    </w:p>
    <w:p w14:paraId="63BE2320" w14:textId="2B467E8B" w:rsidR="00711344" w:rsidRPr="0058432E" w:rsidRDefault="009D65D0" w:rsidP="00711344">
      <w:pPr>
        <w:jc w:val="center"/>
        <w:rPr>
          <w:color w:val="000000" w:themeColor="text1"/>
        </w:rPr>
      </w:pPr>
      <w:r w:rsidRPr="0058432E">
        <w:rPr>
          <w:noProof/>
          <w:color w:val="000000" w:themeColor="text1"/>
        </w:rPr>
        <mc:AlternateContent>
          <mc:Choice Requires="wps">
            <w:drawing>
              <wp:anchor distT="0" distB="0" distL="114300" distR="114300" simplePos="0" relativeHeight="251696640" behindDoc="0" locked="0" layoutInCell="1" allowOverlap="1" wp14:anchorId="55163DF7" wp14:editId="0ECB609F">
                <wp:simplePos x="0" y="0"/>
                <wp:positionH relativeFrom="column">
                  <wp:posOffset>1485265</wp:posOffset>
                </wp:positionH>
                <wp:positionV relativeFrom="paragraph">
                  <wp:posOffset>59690</wp:posOffset>
                </wp:positionV>
                <wp:extent cx="2155190" cy="303530"/>
                <wp:effectExtent l="0" t="0" r="0" b="0"/>
                <wp:wrapNone/>
                <wp:docPr id="153" name="Zone de texte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303530"/>
                        </a:xfrm>
                        <a:prstGeom prst="rect">
                          <a:avLst/>
                        </a:prstGeom>
                        <a:solidFill>
                          <a:srgbClr val="FFFFFF"/>
                        </a:solidFill>
                        <a:ln>
                          <a:noFill/>
                        </a:ln>
                      </wps:spPr>
                      <wps:txbx>
                        <w:txbxContent>
                          <w:p w14:paraId="1D24990D" w14:textId="77777777" w:rsidR="009A26D2" w:rsidRPr="0076293C" w:rsidRDefault="009A26D2" w:rsidP="00E64BC4">
                            <w:pPr>
                              <w:rPr>
                                <w:b/>
                                <w:bCs/>
                                <w:szCs w:val="18"/>
                              </w:rPr>
                            </w:pPr>
                            <w:r w:rsidRPr="0076293C">
                              <w:rPr>
                                <w:b/>
                                <w:bCs/>
                                <w:szCs w:val="18"/>
                              </w:rPr>
                              <w:t>Retirez le protège-aiguille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63DF7" id="Zone de texte 153" o:spid="_x0000_s1096" type="#_x0000_t202" style="position:absolute;left:0;text-align:left;margin-left:116.95pt;margin-top:4.7pt;width:169.7pt;height:23.9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" stroked="f">
                <v:textbox>
                  <w:txbxContent>
                    <w:p w14:paraId="1D24990D" w14:textId="77777777" w:rsidR="009A26D2" w:rsidRPr="0076293C" w:rsidRDefault="009A26D2" w:rsidP="00E64BC4">
                      <w:pPr>
                        <w:rPr>
                          <w:b/>
                          <w:bCs/>
                          <w:szCs w:val="18"/>
                        </w:rPr>
                      </w:pPr>
                      <w:r w:rsidRPr="0076293C">
                        <w:rPr>
                          <w:b/>
                          <w:bCs/>
                          <w:szCs w:val="18"/>
                        </w:rPr>
                        <w:t>Retirez le protège-aiguille</w:t>
                      </w:r>
                    </w:p>
                  </w:txbxContent>
                </v:textbox>
              </v:shape>
            </w:pict>
          </mc:Fallback>
        </mc:AlternateContent>
      </w:r>
      <w:r w:rsidRPr="0058432E">
        <w:rPr>
          <w:noProof/>
          <w:color w:val="000000" w:themeColor="text1"/>
        </w:rPr>
        <w:drawing>
          <wp:inline distT="0" distB="0" distL="0" distR="0" wp14:anchorId="59B5C164" wp14:editId="429E21BE">
            <wp:extent cx="3819525" cy="2518410"/>
            <wp:effectExtent l="0" t="0" r="0" b="0"/>
            <wp:docPr id="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19525" cy="2518410"/>
                    </a:xfrm>
                    <a:prstGeom prst="rect">
                      <a:avLst/>
                    </a:prstGeom>
                    <a:noFill/>
                    <a:ln>
                      <a:noFill/>
                    </a:ln>
                  </pic:spPr>
                </pic:pic>
              </a:graphicData>
            </a:graphic>
          </wp:inline>
        </w:drawing>
      </w:r>
    </w:p>
    <w:p w14:paraId="10565C2B" w14:textId="77777777" w:rsidR="002953BE" w:rsidRPr="0058432E" w:rsidRDefault="002953BE" w:rsidP="00982118">
      <w:pPr>
        <w:rPr>
          <w:color w:val="000000" w:themeColor="text1"/>
        </w:rPr>
      </w:pPr>
    </w:p>
    <w:p w14:paraId="5C1A936B" w14:textId="77777777" w:rsidR="002953BE" w:rsidRPr="0058432E" w:rsidRDefault="002953BE" w:rsidP="00982118">
      <w:pPr>
        <w:rPr>
          <w:color w:val="000000" w:themeColor="text1"/>
        </w:rPr>
      </w:pPr>
    </w:p>
    <w:p w14:paraId="029659C0"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Tenez la seringue préremplie par le corps de la seringue. Lorsque vous êtes prêt à procéder à l’injection, retirez avec précaution le protège-aiguille en veillant à ne pas vous piquer.</w:t>
      </w:r>
    </w:p>
    <w:p w14:paraId="5CFDC11D"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 xml:space="preserve">Il est normal de voir </w:t>
      </w:r>
      <w:r w:rsidR="00E81D1E" w:rsidRPr="0058432E">
        <w:rPr>
          <w:color w:val="000000" w:themeColor="text1"/>
        </w:rPr>
        <w:t>quelques</w:t>
      </w:r>
      <w:r w:rsidRPr="0058432E">
        <w:rPr>
          <w:color w:val="000000" w:themeColor="text1"/>
        </w:rPr>
        <w:t xml:space="preserve"> goutte</w:t>
      </w:r>
      <w:r w:rsidR="00E81D1E" w:rsidRPr="0058432E">
        <w:rPr>
          <w:color w:val="000000" w:themeColor="text1"/>
        </w:rPr>
        <w:t>s</w:t>
      </w:r>
      <w:r w:rsidRPr="0058432E">
        <w:rPr>
          <w:color w:val="000000" w:themeColor="text1"/>
        </w:rPr>
        <w:t xml:space="preserve"> de </w:t>
      </w:r>
      <w:r w:rsidR="00E81D1E" w:rsidRPr="0058432E">
        <w:rPr>
          <w:color w:val="000000" w:themeColor="text1"/>
        </w:rPr>
        <w:t>médicament</w:t>
      </w:r>
      <w:r w:rsidRPr="0058432E">
        <w:rPr>
          <w:color w:val="000000" w:themeColor="text1"/>
        </w:rPr>
        <w:t xml:space="preserve"> </w:t>
      </w:r>
      <w:r w:rsidR="00E81D1E" w:rsidRPr="0058432E">
        <w:rPr>
          <w:color w:val="000000" w:themeColor="text1"/>
        </w:rPr>
        <w:t>à l'extrémité de l'aiguille lorsque vous enlevez le protège-aiguille.</w:t>
      </w:r>
    </w:p>
    <w:p w14:paraId="0DE64F61" w14:textId="77777777" w:rsidR="002953BE" w:rsidRPr="0058432E" w:rsidRDefault="002953BE" w:rsidP="00E23160">
      <w:pPr>
        <w:pStyle w:val="ListParagraph"/>
        <w:numPr>
          <w:ilvl w:val="0"/>
          <w:numId w:val="35"/>
        </w:numPr>
        <w:ind w:left="562" w:hanging="562"/>
        <w:contextualSpacing/>
        <w:rPr>
          <w:color w:val="000000" w:themeColor="text1"/>
        </w:rPr>
      </w:pPr>
      <w:proofErr w:type="gramStart"/>
      <w:r w:rsidRPr="0058432E">
        <w:rPr>
          <w:color w:val="000000" w:themeColor="text1"/>
        </w:rPr>
        <w:t>Jetez le</w:t>
      </w:r>
      <w:proofErr w:type="gramEnd"/>
      <w:r w:rsidRPr="0058432E">
        <w:rPr>
          <w:color w:val="000000" w:themeColor="text1"/>
        </w:rPr>
        <w:t xml:space="preserve"> protège-aiguille dans un réceptacle destiné aux objets tranchants et pointus.</w:t>
      </w:r>
    </w:p>
    <w:p w14:paraId="577FFE8C" w14:textId="77777777" w:rsidR="002953BE" w:rsidRPr="0058432E" w:rsidRDefault="002953BE"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soyez prudent lorsque vous manipulez votre seringue préremplie pour éviter une blessure accidentelle par piqûre d’aiguille.</w:t>
      </w:r>
    </w:p>
    <w:p w14:paraId="6455378B" w14:textId="77777777" w:rsidR="002953BE" w:rsidRPr="0058432E" w:rsidRDefault="002953BE" w:rsidP="00982118">
      <w:pPr>
        <w:rPr>
          <w:color w:val="000000" w:themeColor="text1"/>
        </w:rPr>
      </w:pPr>
    </w:p>
    <w:p w14:paraId="3440C4E9" w14:textId="77777777" w:rsidR="002953BE" w:rsidRPr="0058432E" w:rsidRDefault="002953BE" w:rsidP="00982118">
      <w:pPr>
        <w:rPr>
          <w:color w:val="000000" w:themeColor="text1"/>
        </w:rPr>
      </w:pPr>
    </w:p>
    <w:p w14:paraId="33CEEA53" w14:textId="77777777" w:rsidR="00E64BC4" w:rsidRPr="0058432E" w:rsidRDefault="00E64BC4" w:rsidP="00E64BC4">
      <w:pPr>
        <w:rPr>
          <w:color w:val="000000" w:themeColor="text1"/>
        </w:rPr>
      </w:pPr>
    </w:p>
    <w:p w14:paraId="2400372A" w14:textId="2B31FFA3" w:rsidR="00043113" w:rsidRPr="0058432E" w:rsidRDefault="009D65D0" w:rsidP="00043113">
      <w:pPr>
        <w:jc w:val="center"/>
        <w:rPr>
          <w:color w:val="000000" w:themeColor="text1"/>
        </w:rPr>
      </w:pPr>
      <w:r w:rsidRPr="0058432E">
        <w:rPr>
          <w:noProof/>
          <w:color w:val="000000" w:themeColor="text1"/>
        </w:rPr>
        <mc:AlternateContent>
          <mc:Choice Requires="wps">
            <w:drawing>
              <wp:anchor distT="0" distB="0" distL="114300" distR="114300" simplePos="0" relativeHeight="251697664" behindDoc="0" locked="0" layoutInCell="1" allowOverlap="1" wp14:anchorId="5154006D" wp14:editId="04EA4A53">
                <wp:simplePos x="0" y="0"/>
                <wp:positionH relativeFrom="column">
                  <wp:posOffset>1520190</wp:posOffset>
                </wp:positionH>
                <wp:positionV relativeFrom="paragraph">
                  <wp:posOffset>40005</wp:posOffset>
                </wp:positionV>
                <wp:extent cx="1290320" cy="303530"/>
                <wp:effectExtent l="0" t="0" r="0" b="0"/>
                <wp:wrapNone/>
                <wp:docPr id="155" name="Zone de text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303530"/>
                        </a:xfrm>
                        <a:prstGeom prst="rect">
                          <a:avLst/>
                        </a:prstGeom>
                        <a:solidFill>
                          <a:srgbClr val="FFFFFF"/>
                        </a:solidFill>
                        <a:ln>
                          <a:noFill/>
                        </a:ln>
                      </wps:spPr>
                      <wps:txbx>
                        <w:txbxContent>
                          <w:p w14:paraId="2B20552A" w14:textId="77777777" w:rsidR="009A26D2" w:rsidRPr="0076293C" w:rsidRDefault="009A26D2" w:rsidP="00E64BC4">
                            <w:pPr>
                              <w:rPr>
                                <w:b/>
                                <w:bCs/>
                                <w:szCs w:val="18"/>
                              </w:rPr>
                            </w:pPr>
                            <w:r w:rsidRPr="0076293C">
                              <w:rPr>
                                <w:b/>
                                <w:bCs/>
                                <w:szCs w:val="18"/>
                              </w:rPr>
                              <w:t>Insérez l’aiguille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4006D" id="Zone de texte 155" o:spid="_x0000_s1097" type="#_x0000_t202" style="position:absolute;left:0;text-align:left;margin-left:119.7pt;margin-top:3.15pt;width:101.6pt;height:23.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" stroked="f">
                <v:textbox>
                  <w:txbxContent>
                    <w:p w14:paraId="2B20552A" w14:textId="77777777" w:rsidR="009A26D2" w:rsidRPr="0076293C" w:rsidRDefault="009A26D2" w:rsidP="00E64BC4">
                      <w:pPr>
                        <w:rPr>
                          <w:b/>
                          <w:bCs/>
                          <w:szCs w:val="18"/>
                        </w:rPr>
                      </w:pPr>
                      <w:r w:rsidRPr="0076293C">
                        <w:rPr>
                          <w:b/>
                          <w:bCs/>
                          <w:szCs w:val="18"/>
                        </w:rPr>
                        <w:t>Insérez l’aiguille</w:t>
                      </w:r>
                    </w:p>
                  </w:txbxContent>
                </v:textbox>
              </v:shape>
            </w:pict>
          </mc:Fallback>
        </mc:AlternateContent>
      </w:r>
      <w:r w:rsidRPr="0058432E">
        <w:rPr>
          <w:noProof/>
          <w:color w:val="000000" w:themeColor="text1"/>
        </w:rPr>
        <w:drawing>
          <wp:inline distT="0" distB="0" distL="0" distR="0" wp14:anchorId="2CC90A2C" wp14:editId="51D412F7">
            <wp:extent cx="3819525" cy="2496820"/>
            <wp:effectExtent l="0" t="0" r="0" b="0"/>
            <wp:docPr id="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9525" cy="2496820"/>
                    </a:xfrm>
                    <a:prstGeom prst="rect">
                      <a:avLst/>
                    </a:prstGeom>
                    <a:noFill/>
                    <a:ln>
                      <a:noFill/>
                    </a:ln>
                  </pic:spPr>
                </pic:pic>
              </a:graphicData>
            </a:graphic>
          </wp:inline>
        </w:drawing>
      </w:r>
    </w:p>
    <w:p w14:paraId="375104E6" w14:textId="77777777" w:rsidR="002953BE" w:rsidRPr="0058432E" w:rsidRDefault="002953BE" w:rsidP="00982118">
      <w:pPr>
        <w:rPr>
          <w:color w:val="000000" w:themeColor="text1"/>
        </w:rPr>
      </w:pPr>
    </w:p>
    <w:p w14:paraId="3A35BFB3" w14:textId="77777777" w:rsidR="002953BE" w:rsidRPr="0058432E" w:rsidRDefault="002953BE" w:rsidP="00982118">
      <w:pPr>
        <w:rPr>
          <w:color w:val="000000" w:themeColor="text1"/>
        </w:rPr>
      </w:pPr>
    </w:p>
    <w:p w14:paraId="3B080F31"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Pincez délicatement un pli de la zone nettoyée du site d’injection.</w:t>
      </w:r>
    </w:p>
    <w:p w14:paraId="3F3BAA7C"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 xml:space="preserve">Insérez l’aiguille jusqu’au bout dans la peau, selon un angle de 45 degrés, comme illustré. </w:t>
      </w:r>
    </w:p>
    <w:p w14:paraId="6F082F29" w14:textId="77777777" w:rsidR="00E81D1E" w:rsidRPr="0058432E" w:rsidRDefault="002953BE" w:rsidP="00E81D1E">
      <w:pPr>
        <w:pStyle w:val="ListParagraph"/>
        <w:numPr>
          <w:ilvl w:val="0"/>
          <w:numId w:val="35"/>
        </w:numPr>
        <w:ind w:left="562" w:hanging="562"/>
        <w:contextualSpacing/>
        <w:rPr>
          <w:color w:val="000000" w:themeColor="text1"/>
        </w:rPr>
      </w:pPr>
      <w:r w:rsidRPr="0058432E">
        <w:rPr>
          <w:color w:val="000000" w:themeColor="text1"/>
        </w:rPr>
        <w:t>Une fois l’aiguille insérée, relâchez la peau pincée.</w:t>
      </w:r>
    </w:p>
    <w:p w14:paraId="2806291D" w14:textId="77777777" w:rsidR="00E81D1E" w:rsidRPr="0058432E" w:rsidRDefault="00E81D1E" w:rsidP="00A53E17">
      <w:pPr>
        <w:pStyle w:val="ListParagraph"/>
        <w:ind w:left="562"/>
        <w:contextualSpacing/>
        <w:rPr>
          <w:color w:val="000000" w:themeColor="text1"/>
        </w:rPr>
      </w:pPr>
      <w:r w:rsidRPr="0058432E">
        <w:rPr>
          <w:b/>
          <w:color w:val="000000" w:themeColor="text1"/>
        </w:rPr>
        <w:t>Important :</w:t>
      </w:r>
      <w:r w:rsidRPr="0058432E">
        <w:rPr>
          <w:color w:val="000000" w:themeColor="text1"/>
        </w:rPr>
        <w:t xml:space="preserve"> </w:t>
      </w:r>
      <w:r w:rsidRPr="0058432E">
        <w:rPr>
          <w:b/>
          <w:color w:val="000000" w:themeColor="text1"/>
        </w:rPr>
        <w:t>Ne réinsérez pas</w:t>
      </w:r>
      <w:r w:rsidRPr="0058432E">
        <w:rPr>
          <w:color w:val="000000" w:themeColor="text1"/>
        </w:rPr>
        <w:t xml:space="preserve"> l'aiguille dans votre peau. Si l'aiguille a déjà été insérée dans la peau et que vous changez d'avis quant à l'endroit où vous devez vous injecter, vous aurez besoin d'une seringue </w:t>
      </w:r>
      <w:r w:rsidR="00043113" w:rsidRPr="0058432E">
        <w:rPr>
          <w:color w:val="000000" w:themeColor="text1"/>
        </w:rPr>
        <w:t xml:space="preserve">préremplie </w:t>
      </w:r>
      <w:r w:rsidRPr="0058432E">
        <w:rPr>
          <w:color w:val="000000" w:themeColor="text1"/>
        </w:rPr>
        <w:t>de remplacement.</w:t>
      </w:r>
    </w:p>
    <w:p w14:paraId="0F6402B2" w14:textId="77777777" w:rsidR="002953BE" w:rsidRPr="0058432E" w:rsidRDefault="002953BE" w:rsidP="00982118">
      <w:pPr>
        <w:rPr>
          <w:color w:val="000000" w:themeColor="text1"/>
        </w:rPr>
      </w:pPr>
    </w:p>
    <w:p w14:paraId="0AC8333F" w14:textId="77777777" w:rsidR="002953BE" w:rsidRPr="0058432E" w:rsidRDefault="002953BE" w:rsidP="00982118">
      <w:pPr>
        <w:rPr>
          <w:color w:val="000000" w:themeColor="text1"/>
        </w:rPr>
      </w:pPr>
    </w:p>
    <w:p w14:paraId="3D629D6D" w14:textId="47E4A695" w:rsidR="00043113" w:rsidRPr="0058432E" w:rsidRDefault="009D65D0" w:rsidP="00043113">
      <w:pPr>
        <w:jc w:val="center"/>
        <w:rPr>
          <w:color w:val="000000" w:themeColor="text1"/>
        </w:rPr>
      </w:pPr>
      <w:r w:rsidRPr="0058432E">
        <w:rPr>
          <w:noProof/>
          <w:color w:val="000000" w:themeColor="text1"/>
        </w:rPr>
        <mc:AlternateContent>
          <mc:Choice Requires="wps">
            <w:drawing>
              <wp:anchor distT="0" distB="0" distL="114300" distR="114300" simplePos="0" relativeHeight="251698688" behindDoc="0" locked="0" layoutInCell="1" allowOverlap="1" wp14:anchorId="1EA12B51" wp14:editId="5C4E6E27">
                <wp:simplePos x="0" y="0"/>
                <wp:positionH relativeFrom="column">
                  <wp:posOffset>1492885</wp:posOffset>
                </wp:positionH>
                <wp:positionV relativeFrom="paragraph">
                  <wp:posOffset>27305</wp:posOffset>
                </wp:positionV>
                <wp:extent cx="1638935" cy="303530"/>
                <wp:effectExtent l="0" t="0" r="0" b="0"/>
                <wp:wrapNone/>
                <wp:docPr id="157" name="Zone de texte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303530"/>
                        </a:xfrm>
                        <a:prstGeom prst="rect">
                          <a:avLst/>
                        </a:prstGeom>
                        <a:solidFill>
                          <a:srgbClr val="FFFFFF"/>
                        </a:solidFill>
                        <a:ln>
                          <a:noFill/>
                        </a:ln>
                      </wps:spPr>
                      <wps:txbx>
                        <w:txbxContent>
                          <w:p w14:paraId="6CBE14BD" w14:textId="77777777" w:rsidR="009A26D2" w:rsidRPr="0076293C" w:rsidRDefault="009A26D2" w:rsidP="00E64BC4">
                            <w:pPr>
                              <w:rPr>
                                <w:b/>
                                <w:bCs/>
                                <w:szCs w:val="18"/>
                              </w:rPr>
                            </w:pPr>
                            <w:r w:rsidRPr="0076293C">
                              <w:rPr>
                                <w:b/>
                                <w:bCs/>
                                <w:szCs w:val="18"/>
                              </w:rPr>
                              <w:t>Injectez le médicament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12B51" id="Zone de texte 157" o:spid="_x0000_s1098" type="#_x0000_t202" style="position:absolute;left:0;text-align:left;margin-left:117.55pt;margin-top:2.15pt;width:129.05pt;height:23.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" stroked="f">
                <v:textbox>
                  <w:txbxContent>
                    <w:p w14:paraId="6CBE14BD" w14:textId="77777777" w:rsidR="009A26D2" w:rsidRPr="0076293C" w:rsidRDefault="009A26D2" w:rsidP="00E64BC4">
                      <w:pPr>
                        <w:rPr>
                          <w:b/>
                          <w:bCs/>
                          <w:szCs w:val="18"/>
                        </w:rPr>
                      </w:pPr>
                      <w:r w:rsidRPr="0076293C">
                        <w:rPr>
                          <w:b/>
                          <w:bCs/>
                          <w:szCs w:val="18"/>
                        </w:rPr>
                        <w:t>Injectez le médicament</w:t>
                      </w:r>
                    </w:p>
                  </w:txbxContent>
                </v:textbox>
              </v:shape>
            </w:pict>
          </mc:Fallback>
        </mc:AlternateContent>
      </w:r>
      <w:r w:rsidRPr="0058432E">
        <w:rPr>
          <w:noProof/>
          <w:color w:val="000000" w:themeColor="text1"/>
        </w:rPr>
        <w:drawing>
          <wp:inline distT="0" distB="0" distL="0" distR="0" wp14:anchorId="37980297" wp14:editId="763A95FD">
            <wp:extent cx="3812540" cy="2468880"/>
            <wp:effectExtent l="0" t="0" r="0" b="0"/>
            <wp:docPr id="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2540" cy="2468880"/>
                    </a:xfrm>
                    <a:prstGeom prst="rect">
                      <a:avLst/>
                    </a:prstGeom>
                    <a:noFill/>
                    <a:ln>
                      <a:noFill/>
                    </a:ln>
                  </pic:spPr>
                </pic:pic>
              </a:graphicData>
            </a:graphic>
          </wp:inline>
        </w:drawing>
      </w:r>
    </w:p>
    <w:p w14:paraId="0B3E3884" w14:textId="77777777" w:rsidR="00E64BC4" w:rsidRPr="0058432E" w:rsidRDefault="00E64BC4" w:rsidP="00E64BC4">
      <w:pPr>
        <w:jc w:val="center"/>
        <w:rPr>
          <w:b/>
          <w:color w:val="000000" w:themeColor="text1"/>
        </w:rPr>
      </w:pPr>
    </w:p>
    <w:p w14:paraId="6D0AD23A" w14:textId="77777777" w:rsidR="002953BE" w:rsidRPr="0058432E" w:rsidRDefault="002953BE" w:rsidP="00982118">
      <w:pPr>
        <w:jc w:val="center"/>
        <w:rPr>
          <w:color w:val="000000" w:themeColor="text1"/>
        </w:rPr>
      </w:pPr>
    </w:p>
    <w:p w14:paraId="532FF6B3" w14:textId="77777777" w:rsidR="002953BE" w:rsidRPr="0058432E" w:rsidRDefault="002953BE" w:rsidP="00982118">
      <w:pPr>
        <w:pStyle w:val="ListParagraph"/>
        <w:rPr>
          <w:color w:val="000000" w:themeColor="text1"/>
        </w:rPr>
      </w:pPr>
    </w:p>
    <w:p w14:paraId="72182623" w14:textId="77777777" w:rsidR="002953BE" w:rsidRPr="0058432E" w:rsidRDefault="002953BE" w:rsidP="00982118">
      <w:pPr>
        <w:pStyle w:val="ListParagraph"/>
        <w:rPr>
          <w:color w:val="000000" w:themeColor="text1"/>
        </w:rPr>
      </w:pPr>
    </w:p>
    <w:p w14:paraId="237C093F"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En appliquant une pression lente et constante, poussez la tige du piston jusqu’au bout, jusqu’à ce que le corps soit vide.</w:t>
      </w:r>
      <w:r w:rsidR="00E81D1E" w:rsidRPr="0058432E">
        <w:rPr>
          <w:color w:val="000000" w:themeColor="text1"/>
        </w:rPr>
        <w:t xml:space="preserve"> Il faut habituellement 2 à 5 secondes pour administrer la dose.</w:t>
      </w:r>
    </w:p>
    <w:p w14:paraId="687B8B87" w14:textId="77777777" w:rsidR="002953BE" w:rsidRPr="0058432E" w:rsidRDefault="002953BE"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il est recommandé de maintenir votre seringue préremplie dans la peau pendant 5 secondes supplémentaires après que le piston </w:t>
      </w:r>
      <w:proofErr w:type="gramStart"/>
      <w:r w:rsidRPr="0058432E">
        <w:rPr>
          <w:color w:val="000000" w:themeColor="text1"/>
        </w:rPr>
        <w:t>ait</w:t>
      </w:r>
      <w:proofErr w:type="gramEnd"/>
      <w:r w:rsidRPr="0058432E">
        <w:rPr>
          <w:color w:val="000000" w:themeColor="text1"/>
        </w:rPr>
        <w:t xml:space="preserve"> été complètement enfoncé.</w:t>
      </w:r>
    </w:p>
    <w:p w14:paraId="66A4AB7B"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Retirez l’aiguille de la peau en la tenant selon le même angle que pour l’insertion.</w:t>
      </w:r>
    </w:p>
    <w:p w14:paraId="56538E09" w14:textId="77777777" w:rsidR="002953BE" w:rsidRPr="0058432E" w:rsidRDefault="002953BE" w:rsidP="00982118">
      <w:pPr>
        <w:rPr>
          <w:color w:val="000000" w:themeColor="text1"/>
        </w:rPr>
      </w:pPr>
    </w:p>
    <w:p w14:paraId="5E7CCEE0" w14:textId="77777777" w:rsidR="002953BE" w:rsidRPr="0058432E" w:rsidRDefault="002953BE" w:rsidP="00982118">
      <w:pPr>
        <w:rPr>
          <w:color w:val="000000" w:themeColor="text1"/>
        </w:rPr>
      </w:pPr>
    </w:p>
    <w:p w14:paraId="75195EE2" w14:textId="0D08444F" w:rsidR="00043113" w:rsidRPr="0058432E" w:rsidRDefault="009D65D0" w:rsidP="00043113">
      <w:pPr>
        <w:jc w:val="center"/>
        <w:rPr>
          <w:color w:val="000000" w:themeColor="text1"/>
        </w:rPr>
      </w:pPr>
      <w:r w:rsidRPr="0058432E">
        <w:rPr>
          <w:noProof/>
          <w:color w:val="000000" w:themeColor="text1"/>
        </w:rPr>
        <mc:AlternateContent>
          <mc:Choice Requires="wps">
            <w:drawing>
              <wp:anchor distT="0" distB="0" distL="114300" distR="114300" simplePos="0" relativeHeight="251699712" behindDoc="0" locked="0" layoutInCell="1" allowOverlap="1" wp14:anchorId="28079479" wp14:editId="19BD44E2">
                <wp:simplePos x="0" y="0"/>
                <wp:positionH relativeFrom="column">
                  <wp:posOffset>1517650</wp:posOffset>
                </wp:positionH>
                <wp:positionV relativeFrom="paragraph">
                  <wp:posOffset>53340</wp:posOffset>
                </wp:positionV>
                <wp:extent cx="1787525" cy="303530"/>
                <wp:effectExtent l="0" t="0" r="0" b="0"/>
                <wp:wrapNone/>
                <wp:docPr id="159" name="Zone de texte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303530"/>
                        </a:xfrm>
                        <a:prstGeom prst="rect">
                          <a:avLst/>
                        </a:prstGeom>
                        <a:solidFill>
                          <a:srgbClr val="FFFFFF"/>
                        </a:solidFill>
                        <a:ln>
                          <a:noFill/>
                        </a:ln>
                      </wps:spPr>
                      <wps:txbx>
                        <w:txbxContent>
                          <w:p w14:paraId="390E9FB2" w14:textId="77777777" w:rsidR="009A26D2" w:rsidRPr="0076293C" w:rsidRDefault="009A26D2" w:rsidP="00E64BC4">
                            <w:pPr>
                              <w:rPr>
                                <w:b/>
                                <w:bCs/>
                                <w:szCs w:val="18"/>
                              </w:rPr>
                            </w:pPr>
                            <w:r w:rsidRPr="0076293C">
                              <w:rPr>
                                <w:b/>
                                <w:bCs/>
                                <w:szCs w:val="18"/>
                              </w:rPr>
                              <w:t>Vérifiez votre seringue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79479" id="Zone de texte 159" o:spid="_x0000_s1099" type="#_x0000_t202" style="position:absolute;left:0;text-align:left;margin-left:119.5pt;margin-top:4.2pt;width:140.75pt;height:23.9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" stroked="f">
                <v:textbox>
                  <w:txbxContent>
                    <w:p w14:paraId="390E9FB2" w14:textId="77777777" w:rsidR="009A26D2" w:rsidRPr="0076293C" w:rsidRDefault="009A26D2" w:rsidP="00E64BC4">
                      <w:pPr>
                        <w:rPr>
                          <w:b/>
                          <w:bCs/>
                          <w:szCs w:val="18"/>
                        </w:rPr>
                      </w:pPr>
                      <w:r w:rsidRPr="0076293C">
                        <w:rPr>
                          <w:b/>
                          <w:bCs/>
                          <w:szCs w:val="18"/>
                        </w:rPr>
                        <w:t>Vérifiez votre seringue</w:t>
                      </w:r>
                    </w:p>
                  </w:txbxContent>
                </v:textbox>
              </v:shape>
            </w:pict>
          </mc:Fallback>
        </mc:AlternateContent>
      </w:r>
      <w:r w:rsidRPr="0058432E">
        <w:rPr>
          <w:noProof/>
          <w:color w:val="000000" w:themeColor="text1"/>
        </w:rPr>
        <w:drawing>
          <wp:inline distT="0" distB="0" distL="0" distR="0" wp14:anchorId="5DA83511" wp14:editId="62F585BF">
            <wp:extent cx="3819525" cy="2503805"/>
            <wp:effectExtent l="0" t="0" r="0" b="0"/>
            <wp:docPr id="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9525" cy="2503805"/>
                    </a:xfrm>
                    <a:prstGeom prst="rect">
                      <a:avLst/>
                    </a:prstGeom>
                    <a:noFill/>
                    <a:ln>
                      <a:noFill/>
                    </a:ln>
                  </pic:spPr>
                </pic:pic>
              </a:graphicData>
            </a:graphic>
          </wp:inline>
        </w:drawing>
      </w:r>
    </w:p>
    <w:p w14:paraId="6959F970" w14:textId="77777777" w:rsidR="002953BE" w:rsidRPr="0058432E" w:rsidRDefault="002953BE" w:rsidP="00982118">
      <w:pPr>
        <w:pStyle w:val="ListParagraph"/>
        <w:rPr>
          <w:color w:val="000000" w:themeColor="text1"/>
        </w:rPr>
      </w:pPr>
    </w:p>
    <w:p w14:paraId="3BC328E9" w14:textId="77777777" w:rsidR="002953BE" w:rsidRPr="0058432E" w:rsidRDefault="002953BE" w:rsidP="00982118">
      <w:pPr>
        <w:pStyle w:val="ListParagraph"/>
        <w:rPr>
          <w:color w:val="000000" w:themeColor="text1"/>
        </w:rPr>
      </w:pPr>
    </w:p>
    <w:p w14:paraId="490549B6"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Vérifiez que votre médicament s’est complètement vidé de sa seringue préremplie.</w:t>
      </w:r>
    </w:p>
    <w:p w14:paraId="6AE9A780" w14:textId="77777777" w:rsidR="002953BE" w:rsidRPr="0058432E" w:rsidRDefault="002953BE" w:rsidP="00E23160">
      <w:pPr>
        <w:pStyle w:val="ListParagraph"/>
        <w:numPr>
          <w:ilvl w:val="0"/>
          <w:numId w:val="35"/>
        </w:numPr>
        <w:ind w:left="562" w:hanging="562"/>
        <w:contextualSpacing/>
        <w:rPr>
          <w:b/>
          <w:color w:val="000000" w:themeColor="text1"/>
        </w:rPr>
      </w:pPr>
      <w:r w:rsidRPr="0058432E">
        <w:rPr>
          <w:b/>
          <w:color w:val="000000" w:themeColor="text1"/>
        </w:rPr>
        <w:t>Ne jamais réinsérer l’aiguille.</w:t>
      </w:r>
    </w:p>
    <w:p w14:paraId="20CBD848" w14:textId="77777777" w:rsidR="002953BE" w:rsidRPr="0058432E" w:rsidRDefault="002953BE" w:rsidP="00E23160">
      <w:pPr>
        <w:pStyle w:val="ListParagraph"/>
        <w:numPr>
          <w:ilvl w:val="0"/>
          <w:numId w:val="35"/>
        </w:numPr>
        <w:ind w:left="562" w:hanging="562"/>
        <w:contextualSpacing/>
        <w:rPr>
          <w:b/>
          <w:color w:val="000000" w:themeColor="text1"/>
        </w:rPr>
      </w:pPr>
      <w:r w:rsidRPr="0058432E">
        <w:rPr>
          <w:b/>
          <w:color w:val="000000" w:themeColor="text1"/>
        </w:rPr>
        <w:t>Ne jamais recapuchonner l’aiguille.</w:t>
      </w:r>
    </w:p>
    <w:p w14:paraId="47350285" w14:textId="77777777" w:rsidR="002953BE" w:rsidRPr="0058432E" w:rsidRDefault="002953BE" w:rsidP="00E23160">
      <w:pPr>
        <w:pStyle w:val="ListParagraph"/>
        <w:ind w:left="562"/>
        <w:contextualSpacing/>
        <w:rPr>
          <w:color w:val="000000" w:themeColor="text1"/>
        </w:rPr>
      </w:pPr>
      <w:r w:rsidRPr="0058432E">
        <w:rPr>
          <w:b/>
          <w:color w:val="000000" w:themeColor="text1"/>
        </w:rPr>
        <w:t>Remarque :</w:t>
      </w:r>
      <w:r w:rsidRPr="0058432E">
        <w:rPr>
          <w:color w:val="000000" w:themeColor="text1"/>
        </w:rPr>
        <w:t xml:space="preserve"> si le bouchon gris n’est pas dans la position indiquée, il se peut que vous n’ayez pas injecté tout votre médicament. </w:t>
      </w:r>
      <w:r w:rsidR="00043113" w:rsidRPr="0058432E">
        <w:rPr>
          <w:color w:val="000000" w:themeColor="text1"/>
        </w:rPr>
        <w:t xml:space="preserve"> Parlez-en</w:t>
      </w:r>
      <w:r w:rsidRPr="0058432E">
        <w:rPr>
          <w:color w:val="000000" w:themeColor="text1"/>
        </w:rPr>
        <w:t xml:space="preserve"> immédiatement</w:t>
      </w:r>
      <w:r w:rsidR="00043113" w:rsidRPr="0058432E">
        <w:rPr>
          <w:color w:val="000000" w:themeColor="text1"/>
        </w:rPr>
        <w:t xml:space="preserve"> à</w:t>
      </w:r>
      <w:r w:rsidRPr="0058432E">
        <w:rPr>
          <w:color w:val="000000" w:themeColor="text1"/>
        </w:rPr>
        <w:t xml:space="preserve"> votre médecin</w:t>
      </w:r>
      <w:r w:rsidR="0053740A" w:rsidRPr="0058432E">
        <w:rPr>
          <w:color w:val="000000" w:themeColor="text1"/>
        </w:rPr>
        <w:t xml:space="preserve">, votre </w:t>
      </w:r>
      <w:r w:rsidR="00D27AD3" w:rsidRPr="0058432E">
        <w:rPr>
          <w:color w:val="000000" w:themeColor="text1"/>
        </w:rPr>
        <w:t>infirmier/ère</w:t>
      </w:r>
      <w:r w:rsidRPr="0058432E">
        <w:rPr>
          <w:color w:val="000000" w:themeColor="text1"/>
        </w:rPr>
        <w:t xml:space="preserve"> ou</w:t>
      </w:r>
      <w:r w:rsidR="00043113" w:rsidRPr="0058432E">
        <w:rPr>
          <w:color w:val="000000" w:themeColor="text1"/>
        </w:rPr>
        <w:t xml:space="preserve"> votre</w:t>
      </w:r>
      <w:r w:rsidRPr="0058432E">
        <w:rPr>
          <w:color w:val="000000" w:themeColor="text1"/>
        </w:rPr>
        <w:t xml:space="preserve"> pharmacien.</w:t>
      </w:r>
    </w:p>
    <w:p w14:paraId="57AE8347" w14:textId="77777777" w:rsidR="002953BE" w:rsidRPr="0058432E" w:rsidRDefault="002953BE" w:rsidP="00E23160">
      <w:pPr>
        <w:pStyle w:val="ListParagraph"/>
        <w:ind w:left="0"/>
        <w:rPr>
          <w:color w:val="000000" w:themeColor="text1"/>
        </w:rPr>
      </w:pPr>
    </w:p>
    <w:p w14:paraId="5CEF2843" w14:textId="77777777" w:rsidR="002953BE" w:rsidRPr="0058432E" w:rsidRDefault="002953BE" w:rsidP="00982118">
      <w:pPr>
        <w:rPr>
          <w:color w:val="000000" w:themeColor="text1"/>
        </w:rPr>
      </w:pPr>
    </w:p>
    <w:p w14:paraId="5DE87AA3" w14:textId="77777777" w:rsidR="00E64BC4" w:rsidRPr="0058432E" w:rsidRDefault="00E64BC4" w:rsidP="00E64BC4">
      <w:pPr>
        <w:pStyle w:val="ListParagraph"/>
        <w:ind w:left="562" w:hanging="562"/>
        <w:contextualSpacing/>
        <w:rPr>
          <w:color w:val="000000" w:themeColor="text1"/>
        </w:rPr>
      </w:pPr>
    </w:p>
    <w:p w14:paraId="3AB5B96C" w14:textId="3BFE81AD" w:rsidR="00043113" w:rsidRPr="0058432E" w:rsidRDefault="009D65D0" w:rsidP="00043113">
      <w:pPr>
        <w:jc w:val="center"/>
        <w:rPr>
          <w:b/>
          <w:color w:val="000000" w:themeColor="text1"/>
        </w:rPr>
      </w:pPr>
      <w:r w:rsidRPr="0058432E">
        <w:rPr>
          <w:noProof/>
          <w:color w:val="000000" w:themeColor="text1"/>
        </w:rPr>
        <w:lastRenderedPageBreak/>
        <mc:AlternateContent>
          <mc:Choice Requires="wps">
            <w:drawing>
              <wp:anchor distT="0" distB="0" distL="114300" distR="114300" simplePos="0" relativeHeight="251700736" behindDoc="0" locked="0" layoutInCell="1" allowOverlap="1" wp14:anchorId="45D7BBD3" wp14:editId="0B83025E">
                <wp:simplePos x="0" y="0"/>
                <wp:positionH relativeFrom="column">
                  <wp:posOffset>1464310</wp:posOffset>
                </wp:positionH>
                <wp:positionV relativeFrom="paragraph">
                  <wp:posOffset>36195</wp:posOffset>
                </wp:positionV>
                <wp:extent cx="1885315" cy="303530"/>
                <wp:effectExtent l="0" t="0" r="0" b="0"/>
                <wp:wrapNone/>
                <wp:docPr id="165" name="Zone de texte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315" cy="303530"/>
                        </a:xfrm>
                        <a:prstGeom prst="rect">
                          <a:avLst/>
                        </a:prstGeom>
                        <a:solidFill>
                          <a:srgbClr val="FFFFFF"/>
                        </a:solidFill>
                        <a:ln>
                          <a:noFill/>
                        </a:ln>
                      </wps:spPr>
                      <wps:txbx>
                        <w:txbxContent>
                          <w:p w14:paraId="0BE7F1F3" w14:textId="77777777" w:rsidR="009A26D2" w:rsidRPr="0076293C" w:rsidRDefault="009A26D2" w:rsidP="00E64BC4">
                            <w:pPr>
                              <w:rPr>
                                <w:b/>
                                <w:bCs/>
                                <w:szCs w:val="18"/>
                              </w:rPr>
                            </w:pPr>
                            <w:r w:rsidRPr="0076293C">
                              <w:rPr>
                                <w:b/>
                                <w:bCs/>
                                <w:szCs w:val="18"/>
                              </w:rPr>
                              <w:t>Jetez la seringue utilisée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7BBD3" id="Zone de texte 165" o:spid="_x0000_s1100" type="#_x0000_t202" style="position:absolute;left:0;text-align:left;margin-left:115.3pt;margin-top:2.85pt;width:148.45pt;height:23.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" stroked="f">
                <v:textbox>
                  <w:txbxContent>
                    <w:p w14:paraId="0BE7F1F3" w14:textId="77777777" w:rsidR="009A26D2" w:rsidRPr="0076293C" w:rsidRDefault="009A26D2" w:rsidP="00E64BC4">
                      <w:pPr>
                        <w:rPr>
                          <w:b/>
                          <w:bCs/>
                          <w:szCs w:val="18"/>
                        </w:rPr>
                      </w:pPr>
                      <w:r w:rsidRPr="0076293C">
                        <w:rPr>
                          <w:b/>
                          <w:bCs/>
                          <w:szCs w:val="18"/>
                        </w:rPr>
                        <w:t>Jetez la seringue utilisée</w:t>
                      </w:r>
                    </w:p>
                  </w:txbxContent>
                </v:textbox>
              </v:shape>
            </w:pict>
          </mc:Fallback>
        </mc:AlternateContent>
      </w:r>
      <w:r w:rsidRPr="0058432E">
        <w:rPr>
          <w:noProof/>
          <w:color w:val="000000" w:themeColor="text1"/>
        </w:rPr>
        <w:drawing>
          <wp:inline distT="0" distB="0" distL="0" distR="0" wp14:anchorId="1908C1B1" wp14:editId="35CE94A1">
            <wp:extent cx="3812540" cy="2496820"/>
            <wp:effectExtent l="0" t="0" r="0" b="0"/>
            <wp:docPr id="5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12540" cy="2496820"/>
                    </a:xfrm>
                    <a:prstGeom prst="rect">
                      <a:avLst/>
                    </a:prstGeom>
                    <a:noFill/>
                    <a:ln>
                      <a:noFill/>
                    </a:ln>
                  </pic:spPr>
                </pic:pic>
              </a:graphicData>
            </a:graphic>
          </wp:inline>
        </w:drawing>
      </w:r>
    </w:p>
    <w:p w14:paraId="689747E3" w14:textId="77777777" w:rsidR="002953BE" w:rsidRPr="0058432E" w:rsidRDefault="002953BE" w:rsidP="00982118">
      <w:pPr>
        <w:rPr>
          <w:color w:val="000000" w:themeColor="text1"/>
        </w:rPr>
      </w:pPr>
    </w:p>
    <w:p w14:paraId="0EADBFA3" w14:textId="77777777" w:rsidR="002953BE" w:rsidRPr="0058432E" w:rsidRDefault="002953BE" w:rsidP="00982118">
      <w:pPr>
        <w:rPr>
          <w:color w:val="000000" w:themeColor="text1"/>
        </w:rPr>
      </w:pPr>
    </w:p>
    <w:p w14:paraId="3A9D8078" w14:textId="77777777" w:rsidR="002953BE" w:rsidRPr="0058432E" w:rsidRDefault="002953BE" w:rsidP="00E23160">
      <w:pPr>
        <w:pStyle w:val="ListParagraph"/>
        <w:numPr>
          <w:ilvl w:val="0"/>
          <w:numId w:val="37"/>
        </w:numPr>
        <w:ind w:left="562" w:hanging="562"/>
        <w:contextualSpacing/>
        <w:rPr>
          <w:color w:val="000000" w:themeColor="text1"/>
        </w:rPr>
      </w:pPr>
      <w:r w:rsidRPr="0058432E">
        <w:rPr>
          <w:color w:val="000000" w:themeColor="text1"/>
        </w:rPr>
        <w:t>Jetez la seringue immédiatement selon les instructions de votre médecin</w:t>
      </w:r>
      <w:r w:rsidR="0053740A" w:rsidRPr="0058432E">
        <w:rPr>
          <w:color w:val="000000" w:themeColor="text1"/>
        </w:rPr>
        <w:t xml:space="preserve">, </w:t>
      </w:r>
      <w:r w:rsidR="002420F3" w:rsidRPr="0058432E">
        <w:rPr>
          <w:color w:val="000000" w:themeColor="text1"/>
        </w:rPr>
        <w:t xml:space="preserve">de </w:t>
      </w:r>
      <w:r w:rsidR="0053740A" w:rsidRPr="0058432E">
        <w:rPr>
          <w:color w:val="000000" w:themeColor="text1"/>
        </w:rPr>
        <w:t>votre</w:t>
      </w:r>
      <w:r w:rsidR="00D27AD3" w:rsidRPr="0058432E">
        <w:rPr>
          <w:color w:val="000000" w:themeColor="text1"/>
        </w:rPr>
        <w:t xml:space="preserve"> infirmier/ère</w:t>
      </w:r>
      <w:r w:rsidR="00D27AD3" w:rsidRPr="0058432E" w:rsidDel="00D27AD3">
        <w:rPr>
          <w:color w:val="000000" w:themeColor="text1"/>
        </w:rPr>
        <w:t xml:space="preserve"> </w:t>
      </w:r>
      <w:r w:rsidRPr="0058432E">
        <w:rPr>
          <w:color w:val="000000" w:themeColor="text1"/>
        </w:rPr>
        <w:t>ou de votre pharmacien et conformément aux lois locales relatives à la santé et à la sécurité.</w:t>
      </w:r>
    </w:p>
    <w:p w14:paraId="47565489" w14:textId="77777777" w:rsidR="002953BE" w:rsidRPr="0058432E" w:rsidRDefault="002953BE" w:rsidP="00982118">
      <w:pPr>
        <w:rPr>
          <w:color w:val="000000" w:themeColor="text1"/>
        </w:rPr>
      </w:pPr>
    </w:p>
    <w:p w14:paraId="55F5D68C" w14:textId="77777777" w:rsidR="002953BE" w:rsidRPr="0058432E" w:rsidRDefault="002953BE" w:rsidP="00982118">
      <w:pPr>
        <w:rPr>
          <w:color w:val="000000" w:themeColor="text1"/>
        </w:rPr>
      </w:pPr>
    </w:p>
    <w:p w14:paraId="53349D56" w14:textId="77777777" w:rsidR="002953BE" w:rsidRPr="0058432E" w:rsidRDefault="002953BE" w:rsidP="00982118">
      <w:pPr>
        <w:jc w:val="center"/>
        <w:rPr>
          <w:color w:val="000000" w:themeColor="text1"/>
        </w:rPr>
      </w:pPr>
    </w:p>
    <w:p w14:paraId="2484DC56" w14:textId="5B3427CA" w:rsidR="00043113" w:rsidRPr="0058432E" w:rsidRDefault="009D65D0" w:rsidP="00043113">
      <w:pPr>
        <w:jc w:val="center"/>
        <w:rPr>
          <w:color w:val="000000" w:themeColor="text1"/>
        </w:rPr>
      </w:pPr>
      <w:r w:rsidRPr="0058432E">
        <w:rPr>
          <w:b/>
          <w:noProof/>
          <w:color w:val="000000" w:themeColor="text1"/>
        </w:rPr>
        <mc:AlternateContent>
          <mc:Choice Requires="wps">
            <w:drawing>
              <wp:anchor distT="0" distB="0" distL="114300" distR="114300" simplePos="0" relativeHeight="251701760" behindDoc="0" locked="0" layoutInCell="1" allowOverlap="1" wp14:anchorId="004D6DA4" wp14:editId="69C8E633">
                <wp:simplePos x="0" y="0"/>
                <wp:positionH relativeFrom="column">
                  <wp:posOffset>1433195</wp:posOffset>
                </wp:positionH>
                <wp:positionV relativeFrom="paragraph">
                  <wp:posOffset>69215</wp:posOffset>
                </wp:positionV>
                <wp:extent cx="1553210" cy="303530"/>
                <wp:effectExtent l="0" t="0" r="0" b="0"/>
                <wp:wrapNone/>
                <wp:docPr id="163" name="Zone de texte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303530"/>
                        </a:xfrm>
                        <a:prstGeom prst="rect">
                          <a:avLst/>
                        </a:prstGeom>
                        <a:solidFill>
                          <a:srgbClr val="FFFFFF"/>
                        </a:solidFill>
                        <a:ln>
                          <a:noFill/>
                        </a:ln>
                      </wps:spPr>
                      <wps:txbx>
                        <w:txbxContent>
                          <w:p w14:paraId="2ABA7267" w14:textId="77777777" w:rsidR="009A26D2" w:rsidRPr="0076293C" w:rsidRDefault="009A26D2" w:rsidP="00E64BC4">
                            <w:pPr>
                              <w:rPr>
                                <w:b/>
                                <w:bCs/>
                                <w:szCs w:val="18"/>
                              </w:rPr>
                            </w:pPr>
                            <w:r w:rsidRPr="0076293C">
                              <w:rPr>
                                <w:b/>
                                <w:bCs/>
                                <w:szCs w:val="18"/>
                              </w:rPr>
                              <w:t>Après votre 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D6DA4" id="Zone de texte 163" o:spid="_x0000_s1101" type="#_x0000_t202" style="position:absolute;left:0;text-align:left;margin-left:112.85pt;margin-top:5.45pt;width:122.3pt;height:23.9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" stroked="f">
                <v:textbox>
                  <w:txbxContent>
                    <w:p w14:paraId="2ABA7267" w14:textId="77777777" w:rsidR="009A26D2" w:rsidRPr="0076293C" w:rsidRDefault="009A26D2" w:rsidP="00E64BC4">
                      <w:pPr>
                        <w:rPr>
                          <w:b/>
                          <w:bCs/>
                          <w:szCs w:val="18"/>
                        </w:rPr>
                      </w:pPr>
                      <w:r w:rsidRPr="0076293C">
                        <w:rPr>
                          <w:b/>
                          <w:bCs/>
                          <w:szCs w:val="18"/>
                        </w:rPr>
                        <w:t>Après votre injection</w:t>
                      </w:r>
                    </w:p>
                  </w:txbxContent>
                </v:textbox>
              </v:shape>
            </w:pict>
          </mc:Fallback>
        </mc:AlternateContent>
      </w:r>
      <w:r w:rsidRPr="0058432E">
        <w:rPr>
          <w:noProof/>
          <w:color w:val="000000" w:themeColor="text1"/>
        </w:rPr>
        <w:drawing>
          <wp:inline distT="0" distB="0" distL="0" distR="0" wp14:anchorId="7FFB6815" wp14:editId="0077E26C">
            <wp:extent cx="3890010" cy="2482850"/>
            <wp:effectExtent l="0" t="0" r="0" b="0"/>
            <wp:docPr id="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90010" cy="2482850"/>
                    </a:xfrm>
                    <a:prstGeom prst="rect">
                      <a:avLst/>
                    </a:prstGeom>
                    <a:noFill/>
                    <a:ln>
                      <a:noFill/>
                    </a:ln>
                  </pic:spPr>
                </pic:pic>
              </a:graphicData>
            </a:graphic>
          </wp:inline>
        </w:drawing>
      </w:r>
    </w:p>
    <w:p w14:paraId="18059EE5" w14:textId="77777777" w:rsidR="002953BE" w:rsidRPr="0058432E" w:rsidRDefault="002953BE" w:rsidP="00982118">
      <w:pPr>
        <w:rPr>
          <w:color w:val="000000" w:themeColor="text1"/>
        </w:rPr>
      </w:pPr>
    </w:p>
    <w:p w14:paraId="2AAD6DE4" w14:textId="77777777" w:rsidR="002953BE" w:rsidRPr="0058432E" w:rsidRDefault="002953BE" w:rsidP="00982118">
      <w:pPr>
        <w:rPr>
          <w:color w:val="000000" w:themeColor="text1"/>
        </w:rPr>
      </w:pPr>
    </w:p>
    <w:p w14:paraId="5A5D8E3B"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color w:val="000000" w:themeColor="text1"/>
        </w:rPr>
        <w:t xml:space="preserve">Examinez attentivement votre site d’injection. En cas de saignement, utilisez une boule de coton ou une compresse propre pour appuyer légèrement sur la zone d’injection pendant quelques secondes. </w:t>
      </w:r>
    </w:p>
    <w:p w14:paraId="5226556F" w14:textId="77777777" w:rsidR="002953BE" w:rsidRPr="0058432E" w:rsidRDefault="002953BE" w:rsidP="00E23160">
      <w:pPr>
        <w:pStyle w:val="ListParagraph"/>
        <w:numPr>
          <w:ilvl w:val="0"/>
          <w:numId w:val="35"/>
        </w:numPr>
        <w:ind w:left="562" w:hanging="562"/>
        <w:contextualSpacing/>
        <w:rPr>
          <w:color w:val="000000" w:themeColor="text1"/>
        </w:rPr>
      </w:pPr>
      <w:r w:rsidRPr="0058432E">
        <w:rPr>
          <w:b/>
          <w:color w:val="000000" w:themeColor="text1"/>
        </w:rPr>
        <w:t>Ne</w:t>
      </w:r>
      <w:r w:rsidRPr="0058432E">
        <w:rPr>
          <w:color w:val="000000" w:themeColor="text1"/>
        </w:rPr>
        <w:t xml:space="preserve"> frottez </w:t>
      </w:r>
      <w:r w:rsidRPr="0058432E">
        <w:rPr>
          <w:b/>
          <w:color w:val="000000" w:themeColor="text1"/>
        </w:rPr>
        <w:t>pas</w:t>
      </w:r>
      <w:r w:rsidRPr="0058432E">
        <w:rPr>
          <w:color w:val="000000" w:themeColor="text1"/>
        </w:rPr>
        <w:t xml:space="preserve"> le site.</w:t>
      </w:r>
    </w:p>
    <w:p w14:paraId="23A861A9" w14:textId="77777777" w:rsidR="002953BE" w:rsidRPr="0058432E" w:rsidRDefault="002953BE" w:rsidP="00E23160">
      <w:pPr>
        <w:pStyle w:val="ListParagraph"/>
        <w:ind w:left="562" w:hanging="562"/>
        <w:contextualSpacing/>
        <w:rPr>
          <w:color w:val="000000" w:themeColor="text1"/>
        </w:rPr>
      </w:pPr>
      <w:r w:rsidRPr="0058432E">
        <w:rPr>
          <w:b/>
          <w:color w:val="000000" w:themeColor="text1"/>
        </w:rPr>
        <w:t xml:space="preserve">Remarque : </w:t>
      </w:r>
      <w:r w:rsidRPr="0058432E">
        <w:rPr>
          <w:color w:val="000000" w:themeColor="text1"/>
        </w:rPr>
        <w:t>conservez les seringues inutilisées au réfrigérateur dans leur boîte d’origine.</w:t>
      </w:r>
    </w:p>
    <w:p w14:paraId="0DB75E2C" w14:textId="77777777" w:rsidR="002953BE" w:rsidRPr="0058432E" w:rsidRDefault="002953BE" w:rsidP="00982118">
      <w:pPr>
        <w:rPr>
          <w:color w:val="000000" w:themeColor="text1"/>
        </w:rPr>
      </w:pPr>
    </w:p>
    <w:p w14:paraId="4EA4864A" w14:textId="77777777" w:rsidR="003E58A8" w:rsidRPr="0058432E" w:rsidRDefault="003E58A8" w:rsidP="00982118">
      <w:pPr>
        <w:rPr>
          <w:color w:val="000000" w:themeColor="text1"/>
        </w:rPr>
      </w:pPr>
      <w:r w:rsidRPr="0058432E">
        <w:rPr>
          <w:color w:val="000000" w:themeColor="text1"/>
        </w:rPr>
        <w:t>Voir au verso</w:t>
      </w:r>
    </w:p>
    <w:p w14:paraId="18C0A997" w14:textId="77777777" w:rsidR="005500A5" w:rsidRPr="0058432E" w:rsidRDefault="003E58A8" w:rsidP="00982118">
      <w:pPr>
        <w:rPr>
          <w:color w:val="000000" w:themeColor="text1"/>
        </w:rPr>
      </w:pPr>
      <w:r w:rsidRPr="0058432E">
        <w:rPr>
          <w:color w:val="000000" w:themeColor="text1"/>
        </w:rPr>
        <w:t>Notice : Information du patient</w:t>
      </w:r>
    </w:p>
    <w:p w14:paraId="3236BE21" w14:textId="77777777" w:rsidR="00920CA5" w:rsidRPr="0058432E" w:rsidRDefault="00BF6B69" w:rsidP="00920CA5">
      <w:pPr>
        <w:jc w:val="center"/>
        <w:rPr>
          <w:b/>
          <w:color w:val="000000" w:themeColor="text1"/>
        </w:rPr>
      </w:pPr>
      <w:r w:rsidRPr="0058432E">
        <w:rPr>
          <w:color w:val="000000" w:themeColor="text1"/>
        </w:rPr>
        <w:br w:type="page"/>
      </w:r>
      <w:r w:rsidR="00920CA5" w:rsidRPr="0058432E">
        <w:rPr>
          <w:b/>
          <w:color w:val="000000" w:themeColor="text1"/>
        </w:rPr>
        <w:lastRenderedPageBreak/>
        <w:t>Notice : Information du patient</w:t>
      </w:r>
    </w:p>
    <w:p w14:paraId="7928BB45" w14:textId="77777777" w:rsidR="00C46587" w:rsidRPr="0058432E" w:rsidRDefault="00C46587" w:rsidP="00982118">
      <w:pPr>
        <w:jc w:val="center"/>
        <w:rPr>
          <w:b/>
          <w:color w:val="000000" w:themeColor="text1"/>
        </w:rPr>
      </w:pPr>
    </w:p>
    <w:p w14:paraId="2AA54A9E" w14:textId="77777777" w:rsidR="00C46587" w:rsidRPr="0058432E" w:rsidRDefault="006A1144" w:rsidP="00982118">
      <w:pPr>
        <w:jc w:val="center"/>
        <w:rPr>
          <w:b/>
          <w:color w:val="000000" w:themeColor="text1"/>
        </w:rPr>
      </w:pPr>
      <w:r w:rsidRPr="0058432E">
        <w:rPr>
          <w:b/>
          <w:color w:val="000000" w:themeColor="text1"/>
        </w:rPr>
        <w:t>Amsparity 40 mg, solution injectable en stylo prérempli</w:t>
      </w:r>
    </w:p>
    <w:p w14:paraId="222C4F50" w14:textId="77777777" w:rsidR="00C46587" w:rsidRPr="0058432E" w:rsidRDefault="00B94ECD" w:rsidP="00982118">
      <w:pPr>
        <w:jc w:val="center"/>
        <w:rPr>
          <w:color w:val="000000" w:themeColor="text1"/>
        </w:rPr>
      </w:pPr>
      <w:r w:rsidRPr="0058432E">
        <w:rPr>
          <w:color w:val="000000" w:themeColor="text1"/>
        </w:rPr>
        <w:t>A</w:t>
      </w:r>
      <w:r w:rsidR="00C46587" w:rsidRPr="0058432E">
        <w:rPr>
          <w:color w:val="000000" w:themeColor="text1"/>
        </w:rPr>
        <w:t>dalimumab</w:t>
      </w:r>
    </w:p>
    <w:p w14:paraId="18EB8795" w14:textId="77777777" w:rsidR="00B94ECD" w:rsidRPr="0058432E" w:rsidRDefault="00B94ECD" w:rsidP="00A53E17">
      <w:pPr>
        <w:rPr>
          <w:color w:val="000000" w:themeColor="text1"/>
        </w:rPr>
      </w:pPr>
    </w:p>
    <w:p w14:paraId="1EBD189A" w14:textId="039BD204" w:rsidR="00B94ECD" w:rsidRPr="0058432E" w:rsidRDefault="009D65D0" w:rsidP="00982118">
      <w:pPr>
        <w:jc w:val="center"/>
        <w:rPr>
          <w:color w:val="000000" w:themeColor="text1"/>
        </w:rPr>
      </w:pPr>
      <w:r w:rsidRPr="0058432E">
        <w:rPr>
          <w:noProof/>
          <w:color w:val="000000" w:themeColor="text1"/>
        </w:rPr>
        <w:drawing>
          <wp:inline distT="0" distB="0" distL="0" distR="0" wp14:anchorId="2C3445CF" wp14:editId="4BC29A07">
            <wp:extent cx="4544060" cy="114681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44060" cy="1146810"/>
                    </a:xfrm>
                    <a:prstGeom prst="rect">
                      <a:avLst/>
                    </a:prstGeom>
                    <a:noFill/>
                    <a:ln>
                      <a:noFill/>
                    </a:ln>
                  </pic:spPr>
                </pic:pic>
              </a:graphicData>
            </a:graphic>
          </wp:inline>
        </w:drawing>
      </w:r>
    </w:p>
    <w:p w14:paraId="57658BA2" w14:textId="77777777" w:rsidR="00C46587" w:rsidRPr="0058432E" w:rsidRDefault="00C46587" w:rsidP="00982118">
      <w:pPr>
        <w:rPr>
          <w:color w:val="000000" w:themeColor="text1"/>
        </w:rPr>
      </w:pPr>
    </w:p>
    <w:p w14:paraId="4801C0D9" w14:textId="77777777" w:rsidR="00934A4A" w:rsidRPr="0058432E" w:rsidRDefault="00934A4A" w:rsidP="00982118">
      <w:pPr>
        <w:rPr>
          <w:b/>
          <w:color w:val="000000" w:themeColor="text1"/>
        </w:rPr>
      </w:pPr>
    </w:p>
    <w:p w14:paraId="065029C4" w14:textId="77777777" w:rsidR="00C46587" w:rsidRPr="0058432E" w:rsidRDefault="00C46587" w:rsidP="00982118">
      <w:pPr>
        <w:rPr>
          <w:b/>
          <w:color w:val="000000" w:themeColor="text1"/>
        </w:rPr>
      </w:pPr>
      <w:r w:rsidRPr="0058432E">
        <w:rPr>
          <w:b/>
          <w:color w:val="000000" w:themeColor="text1"/>
        </w:rPr>
        <w:t xml:space="preserve">Veuillez lire attentivement cette notice avant d’utiliser ce médicament car elle contient des informations importantes pour vous. </w:t>
      </w:r>
    </w:p>
    <w:p w14:paraId="4C5EEB04"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Gardez cette notice. Vous pourriez avoir besoin de la relire. </w:t>
      </w:r>
    </w:p>
    <w:p w14:paraId="706AD5BC"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Votre médecin vous remettra également une </w:t>
      </w:r>
      <w:r w:rsidR="0045425F" w:rsidRPr="0058432E">
        <w:rPr>
          <w:color w:val="000000" w:themeColor="text1"/>
        </w:rPr>
        <w:t>carte de rappel patient</w:t>
      </w:r>
      <w:r w:rsidRPr="0058432E">
        <w:rPr>
          <w:color w:val="000000" w:themeColor="text1"/>
        </w:rPr>
        <w:t xml:space="preserve"> qui comporte d’importantes informations sur la </w:t>
      </w:r>
      <w:r w:rsidR="00B42EC9" w:rsidRPr="0058432E">
        <w:rPr>
          <w:color w:val="000000" w:themeColor="text1"/>
        </w:rPr>
        <w:t>tolérance</w:t>
      </w:r>
      <w:r w:rsidR="00D45EE7" w:rsidRPr="0058432E">
        <w:rPr>
          <w:color w:val="000000" w:themeColor="text1"/>
        </w:rPr>
        <w:t xml:space="preserve"> </w:t>
      </w:r>
      <w:r w:rsidRPr="0058432E">
        <w:rPr>
          <w:color w:val="000000" w:themeColor="text1"/>
        </w:rPr>
        <w:t xml:space="preserve">que vous devez connaître avant que l’on vous administre Amsparity et pendant le traitement. Conservez cette </w:t>
      </w:r>
      <w:r w:rsidR="0045425F" w:rsidRPr="0058432E">
        <w:rPr>
          <w:color w:val="000000" w:themeColor="text1"/>
        </w:rPr>
        <w:t>carte de rappel patient</w:t>
      </w:r>
      <w:r w:rsidRPr="0058432E">
        <w:rPr>
          <w:color w:val="000000" w:themeColor="text1"/>
        </w:rPr>
        <w:t xml:space="preserve"> avec vous. </w:t>
      </w:r>
    </w:p>
    <w:p w14:paraId="4D9692F8" w14:textId="77777777" w:rsidR="00C46587" w:rsidRPr="0058432E" w:rsidRDefault="00C46587" w:rsidP="00982118">
      <w:pPr>
        <w:numPr>
          <w:ilvl w:val="0"/>
          <w:numId w:val="4"/>
        </w:numPr>
        <w:ind w:left="562" w:hanging="562"/>
        <w:rPr>
          <w:color w:val="000000" w:themeColor="text1"/>
        </w:rPr>
      </w:pPr>
      <w:r w:rsidRPr="0058432E">
        <w:rPr>
          <w:color w:val="000000" w:themeColor="text1"/>
        </w:rPr>
        <w:t>Si vous avez d’autres questions, interrogez votre médecin ou pharmacien.</w:t>
      </w:r>
    </w:p>
    <w:p w14:paraId="24910FBC" w14:textId="77777777" w:rsidR="00C46587" w:rsidRPr="0058432E" w:rsidRDefault="00C46587" w:rsidP="00982118">
      <w:pPr>
        <w:numPr>
          <w:ilvl w:val="0"/>
          <w:numId w:val="4"/>
        </w:numPr>
        <w:ind w:left="562" w:hanging="562"/>
        <w:rPr>
          <w:color w:val="000000" w:themeColor="text1"/>
        </w:rPr>
      </w:pPr>
      <w:r w:rsidRPr="0058432E">
        <w:rPr>
          <w:color w:val="000000" w:themeColor="text1"/>
        </w:rPr>
        <w:t>Ce médicament vous a été personnellement prescrit. Ne le donnez pas à d’autres personnes. Il pourrait leur être nocif, même si les signes de leur maladie sont identiques aux vôtres.</w:t>
      </w:r>
    </w:p>
    <w:p w14:paraId="6C155864" w14:textId="77777777" w:rsidR="00C46587" w:rsidRPr="0058432E" w:rsidRDefault="00C46587" w:rsidP="00982118">
      <w:pPr>
        <w:numPr>
          <w:ilvl w:val="0"/>
          <w:numId w:val="4"/>
        </w:numPr>
        <w:ind w:left="562" w:hanging="562"/>
        <w:rPr>
          <w:color w:val="000000" w:themeColor="text1"/>
        </w:rPr>
      </w:pPr>
      <w:r w:rsidRPr="0058432E">
        <w:rPr>
          <w:color w:val="000000" w:themeColor="text1"/>
        </w:rPr>
        <w:t xml:space="preserve">Si vous ressentez un quelconque effet indésirable, parlez-en à votre médecin ou votre pharmacien. Ceci s’applique aussi à tout effet indésirable qui ne serait pas mentionné dans cette notice (voir rubrique 4). </w:t>
      </w:r>
    </w:p>
    <w:p w14:paraId="09ECDDE8" w14:textId="77777777" w:rsidR="00C46587" w:rsidRPr="0058432E" w:rsidRDefault="00C46587" w:rsidP="00982118">
      <w:pPr>
        <w:rPr>
          <w:color w:val="000000" w:themeColor="text1"/>
        </w:rPr>
      </w:pPr>
    </w:p>
    <w:p w14:paraId="5F09BE35" w14:textId="77777777" w:rsidR="00C46587" w:rsidRPr="0058432E" w:rsidRDefault="00C46587" w:rsidP="00982118">
      <w:pPr>
        <w:rPr>
          <w:b/>
          <w:color w:val="000000" w:themeColor="text1"/>
        </w:rPr>
      </w:pPr>
      <w:r w:rsidRPr="0058432E">
        <w:rPr>
          <w:b/>
          <w:color w:val="000000" w:themeColor="text1"/>
        </w:rPr>
        <w:t xml:space="preserve">Que contient cette notice ? </w:t>
      </w:r>
    </w:p>
    <w:p w14:paraId="13D2E88C" w14:textId="77777777" w:rsidR="00C46587" w:rsidRPr="0058432E" w:rsidRDefault="00C46587" w:rsidP="00982118">
      <w:pPr>
        <w:tabs>
          <w:tab w:val="left" w:pos="562"/>
        </w:tabs>
        <w:rPr>
          <w:color w:val="000000" w:themeColor="text1"/>
        </w:rPr>
      </w:pPr>
      <w:r w:rsidRPr="0058432E">
        <w:rPr>
          <w:color w:val="000000" w:themeColor="text1"/>
        </w:rPr>
        <w:t>1.</w:t>
      </w:r>
      <w:r w:rsidRPr="0058432E">
        <w:rPr>
          <w:color w:val="000000" w:themeColor="text1"/>
        </w:rPr>
        <w:tab/>
        <w:t xml:space="preserve">Qu’est-ce qu’Amsparity et dans quels cas est-il utilisé </w:t>
      </w:r>
    </w:p>
    <w:p w14:paraId="1D300EEA" w14:textId="77777777" w:rsidR="00C46587" w:rsidRPr="0058432E" w:rsidRDefault="00C46587" w:rsidP="00982118">
      <w:pPr>
        <w:tabs>
          <w:tab w:val="left" w:pos="562"/>
        </w:tabs>
        <w:rPr>
          <w:color w:val="000000" w:themeColor="text1"/>
        </w:rPr>
      </w:pPr>
      <w:r w:rsidRPr="0058432E">
        <w:rPr>
          <w:color w:val="000000" w:themeColor="text1"/>
        </w:rPr>
        <w:t>2.</w:t>
      </w:r>
      <w:r w:rsidRPr="0058432E">
        <w:rPr>
          <w:color w:val="000000" w:themeColor="text1"/>
        </w:rPr>
        <w:tab/>
        <w:t xml:space="preserve">Quelles sont les informations à connaître avant d’utiliser Amsparity </w:t>
      </w:r>
    </w:p>
    <w:p w14:paraId="57B8E87E" w14:textId="77777777" w:rsidR="00C46587" w:rsidRPr="0058432E" w:rsidRDefault="00C46587" w:rsidP="00982118">
      <w:pPr>
        <w:tabs>
          <w:tab w:val="left" w:pos="562"/>
        </w:tabs>
        <w:rPr>
          <w:color w:val="000000" w:themeColor="text1"/>
        </w:rPr>
      </w:pPr>
      <w:r w:rsidRPr="0058432E">
        <w:rPr>
          <w:color w:val="000000" w:themeColor="text1"/>
        </w:rPr>
        <w:t>3.</w:t>
      </w:r>
      <w:r w:rsidRPr="0058432E">
        <w:rPr>
          <w:color w:val="000000" w:themeColor="text1"/>
        </w:rPr>
        <w:tab/>
        <w:t xml:space="preserve">Comment utiliser Amsparity </w:t>
      </w:r>
    </w:p>
    <w:p w14:paraId="6BBC2088" w14:textId="77777777" w:rsidR="00C46587" w:rsidRPr="0058432E" w:rsidRDefault="00C46587" w:rsidP="00982118">
      <w:pPr>
        <w:tabs>
          <w:tab w:val="left" w:pos="562"/>
        </w:tabs>
        <w:rPr>
          <w:color w:val="000000" w:themeColor="text1"/>
        </w:rPr>
      </w:pPr>
      <w:r w:rsidRPr="0058432E">
        <w:rPr>
          <w:color w:val="000000" w:themeColor="text1"/>
        </w:rPr>
        <w:t>4.</w:t>
      </w:r>
      <w:r w:rsidRPr="0058432E">
        <w:rPr>
          <w:color w:val="000000" w:themeColor="text1"/>
        </w:rPr>
        <w:tab/>
        <w:t xml:space="preserve">Quels sont les effets indésirables éventuels ? </w:t>
      </w:r>
    </w:p>
    <w:p w14:paraId="2B38FDCA" w14:textId="77777777" w:rsidR="00C46587" w:rsidRPr="0058432E" w:rsidRDefault="00C46587" w:rsidP="00982118">
      <w:pPr>
        <w:tabs>
          <w:tab w:val="left" w:pos="562"/>
        </w:tabs>
        <w:rPr>
          <w:color w:val="000000" w:themeColor="text1"/>
        </w:rPr>
      </w:pPr>
      <w:r w:rsidRPr="0058432E">
        <w:rPr>
          <w:color w:val="000000" w:themeColor="text1"/>
        </w:rPr>
        <w:t>5.</w:t>
      </w:r>
      <w:r w:rsidRPr="0058432E">
        <w:rPr>
          <w:color w:val="000000" w:themeColor="text1"/>
        </w:rPr>
        <w:tab/>
        <w:t xml:space="preserve">Comment conserver Amsparity </w:t>
      </w:r>
    </w:p>
    <w:p w14:paraId="446CF5F0" w14:textId="77777777" w:rsidR="00C46587" w:rsidRPr="0058432E" w:rsidRDefault="00C46587" w:rsidP="00982118">
      <w:pPr>
        <w:tabs>
          <w:tab w:val="left" w:pos="562"/>
        </w:tabs>
        <w:rPr>
          <w:color w:val="000000" w:themeColor="text1"/>
        </w:rPr>
      </w:pPr>
      <w:r w:rsidRPr="0058432E">
        <w:rPr>
          <w:color w:val="000000" w:themeColor="text1"/>
        </w:rPr>
        <w:t>6.</w:t>
      </w:r>
      <w:r w:rsidRPr="0058432E">
        <w:rPr>
          <w:color w:val="000000" w:themeColor="text1"/>
        </w:rPr>
        <w:tab/>
        <w:t xml:space="preserve">Contenu de l’emballage et autres informations </w:t>
      </w:r>
    </w:p>
    <w:p w14:paraId="2323E3F0" w14:textId="77777777" w:rsidR="00C46587" w:rsidRPr="0058432E" w:rsidRDefault="00C46587" w:rsidP="00982118">
      <w:pPr>
        <w:rPr>
          <w:color w:val="000000" w:themeColor="text1"/>
        </w:rPr>
      </w:pPr>
    </w:p>
    <w:p w14:paraId="32EC294F" w14:textId="77777777" w:rsidR="00C46587" w:rsidRPr="0058432E" w:rsidRDefault="00C46587" w:rsidP="00982118">
      <w:pPr>
        <w:rPr>
          <w:color w:val="000000" w:themeColor="text1"/>
        </w:rPr>
      </w:pPr>
    </w:p>
    <w:p w14:paraId="28F97B3D" w14:textId="77777777" w:rsidR="00C46587" w:rsidRPr="0058432E" w:rsidRDefault="00C46587" w:rsidP="00982118">
      <w:pPr>
        <w:tabs>
          <w:tab w:val="left" w:pos="562"/>
        </w:tabs>
        <w:rPr>
          <w:b/>
          <w:color w:val="000000" w:themeColor="text1"/>
        </w:rPr>
      </w:pPr>
      <w:r w:rsidRPr="0058432E">
        <w:rPr>
          <w:b/>
          <w:color w:val="000000" w:themeColor="text1"/>
        </w:rPr>
        <w:t>1.</w:t>
      </w:r>
      <w:r w:rsidRPr="0058432E">
        <w:rPr>
          <w:b/>
          <w:color w:val="000000" w:themeColor="text1"/>
        </w:rPr>
        <w:tab/>
        <w:t xml:space="preserve">Qu’est-ce qu’Amsparity et dans quels cas est-il utilisé </w:t>
      </w:r>
    </w:p>
    <w:p w14:paraId="05F9AE34" w14:textId="77777777" w:rsidR="00C46587" w:rsidRPr="0058432E" w:rsidRDefault="00C46587" w:rsidP="00982118">
      <w:pPr>
        <w:rPr>
          <w:color w:val="000000" w:themeColor="text1"/>
        </w:rPr>
      </w:pPr>
    </w:p>
    <w:p w14:paraId="569CA89A" w14:textId="77777777" w:rsidR="00410BCA" w:rsidRPr="0058432E" w:rsidRDefault="006A1144" w:rsidP="00982118">
      <w:pPr>
        <w:rPr>
          <w:color w:val="000000" w:themeColor="text1"/>
        </w:rPr>
      </w:pPr>
      <w:r w:rsidRPr="0058432E">
        <w:rPr>
          <w:color w:val="000000" w:themeColor="text1"/>
        </w:rPr>
        <w:t>Amsparity contient la substance active adalimumab, un médicament qui agit sur le système immunitaire (défense) de votre organisme.</w:t>
      </w:r>
    </w:p>
    <w:p w14:paraId="52FD0020" w14:textId="77777777" w:rsidR="00410BCA" w:rsidRPr="0058432E" w:rsidRDefault="00410BCA" w:rsidP="00982118">
      <w:pPr>
        <w:rPr>
          <w:color w:val="000000" w:themeColor="text1"/>
        </w:rPr>
      </w:pPr>
    </w:p>
    <w:p w14:paraId="4EFA9FD8" w14:textId="77777777" w:rsidR="00410BCA" w:rsidRPr="0058432E" w:rsidRDefault="006A1144" w:rsidP="00982118">
      <w:pPr>
        <w:rPr>
          <w:color w:val="000000" w:themeColor="text1"/>
        </w:rPr>
      </w:pPr>
      <w:r w:rsidRPr="0058432E">
        <w:rPr>
          <w:color w:val="000000" w:themeColor="text1"/>
        </w:rPr>
        <w:t>Amsparity est destiné au traitement des maladies inflammatoires décrites ci-dessous :</w:t>
      </w:r>
    </w:p>
    <w:p w14:paraId="7FD30199"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polyarthrite</w:t>
      </w:r>
      <w:proofErr w:type="gramEnd"/>
      <w:r w:rsidRPr="0058432E">
        <w:rPr>
          <w:color w:val="000000" w:themeColor="text1"/>
        </w:rPr>
        <w:t xml:space="preserve"> rhumatoïde, </w:t>
      </w:r>
    </w:p>
    <w:p w14:paraId="5CF14C82"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juvénile idiopathique polyarticulaire, </w:t>
      </w:r>
    </w:p>
    <w:p w14:paraId="3010EFDE" w14:textId="77777777" w:rsidR="00410BCA" w:rsidRPr="0058432E" w:rsidRDefault="001C0964" w:rsidP="00982118">
      <w:pPr>
        <w:numPr>
          <w:ilvl w:val="0"/>
          <w:numId w:val="20"/>
        </w:numPr>
        <w:ind w:left="360"/>
        <w:rPr>
          <w:color w:val="000000" w:themeColor="text1"/>
        </w:rPr>
      </w:pPr>
      <w:proofErr w:type="gramStart"/>
      <w:r w:rsidRPr="0058432E">
        <w:rPr>
          <w:color w:val="000000" w:themeColor="text1"/>
        </w:rPr>
        <w:t>arthrite</w:t>
      </w:r>
      <w:proofErr w:type="gramEnd"/>
      <w:r w:rsidRPr="0058432E">
        <w:rPr>
          <w:color w:val="000000" w:themeColor="text1"/>
        </w:rPr>
        <w:t xml:space="preserve"> liée à l’enthésite chez l’enfant et l’adolescent, </w:t>
      </w:r>
    </w:p>
    <w:p w14:paraId="14CEECEB"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spondylarthrite</w:t>
      </w:r>
      <w:proofErr w:type="gramEnd"/>
      <w:r w:rsidRPr="0058432E">
        <w:rPr>
          <w:color w:val="000000" w:themeColor="text1"/>
        </w:rPr>
        <w:t xml:space="preserve"> ankylosante, </w:t>
      </w:r>
    </w:p>
    <w:p w14:paraId="6163C1F8"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spondyl</w:t>
      </w:r>
      <w:r w:rsidR="009D048D" w:rsidRPr="0058432E">
        <w:rPr>
          <w:color w:val="000000" w:themeColor="text1"/>
        </w:rPr>
        <w:t>o</w:t>
      </w:r>
      <w:r w:rsidRPr="0058432E">
        <w:rPr>
          <w:color w:val="000000" w:themeColor="text1"/>
        </w:rPr>
        <w:t>arthrite</w:t>
      </w:r>
      <w:proofErr w:type="gramEnd"/>
      <w:r w:rsidRPr="0058432E">
        <w:rPr>
          <w:color w:val="000000" w:themeColor="text1"/>
        </w:rPr>
        <w:t xml:space="preserve"> axiale sans signes radiographiques de spondylarthrite ankylosante, </w:t>
      </w:r>
    </w:p>
    <w:p w14:paraId="4B1535B0"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rhumatisme</w:t>
      </w:r>
      <w:proofErr w:type="gramEnd"/>
      <w:r w:rsidRPr="0058432E">
        <w:rPr>
          <w:color w:val="000000" w:themeColor="text1"/>
        </w:rPr>
        <w:t xml:space="preserve"> psoriasique, </w:t>
      </w:r>
    </w:p>
    <w:p w14:paraId="07B97EAD"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psoriasis</w:t>
      </w:r>
      <w:proofErr w:type="gramEnd"/>
      <w:r w:rsidRPr="0058432E">
        <w:rPr>
          <w:color w:val="000000" w:themeColor="text1"/>
        </w:rPr>
        <w:t xml:space="preserve">, </w:t>
      </w:r>
    </w:p>
    <w:p w14:paraId="723D6F3D"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hidrosadénite</w:t>
      </w:r>
      <w:proofErr w:type="gramEnd"/>
      <w:r w:rsidRPr="0058432E">
        <w:rPr>
          <w:color w:val="000000" w:themeColor="text1"/>
        </w:rPr>
        <w:t xml:space="preserve"> suppurée, </w:t>
      </w:r>
    </w:p>
    <w:p w14:paraId="39E1606F"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maladie</w:t>
      </w:r>
      <w:proofErr w:type="gramEnd"/>
      <w:r w:rsidRPr="0058432E">
        <w:rPr>
          <w:color w:val="000000" w:themeColor="text1"/>
        </w:rPr>
        <w:t xml:space="preserve"> de Crohn, </w:t>
      </w:r>
    </w:p>
    <w:p w14:paraId="163D641C"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rectocolite</w:t>
      </w:r>
      <w:proofErr w:type="gramEnd"/>
      <w:r w:rsidRPr="0058432E">
        <w:rPr>
          <w:color w:val="000000" w:themeColor="text1"/>
        </w:rPr>
        <w:t xml:space="preserve"> hémorragique et </w:t>
      </w:r>
    </w:p>
    <w:p w14:paraId="4C363B38" w14:textId="77777777" w:rsidR="00410BCA" w:rsidRPr="0058432E" w:rsidRDefault="00D01810" w:rsidP="00982118">
      <w:pPr>
        <w:numPr>
          <w:ilvl w:val="0"/>
          <w:numId w:val="20"/>
        </w:numPr>
        <w:ind w:left="360"/>
        <w:rPr>
          <w:color w:val="000000" w:themeColor="text1"/>
        </w:rPr>
      </w:pPr>
      <w:proofErr w:type="gramStart"/>
      <w:r w:rsidRPr="0058432E">
        <w:rPr>
          <w:color w:val="000000" w:themeColor="text1"/>
        </w:rPr>
        <w:t>uvéite</w:t>
      </w:r>
      <w:proofErr w:type="gramEnd"/>
      <w:r w:rsidRPr="0058432E">
        <w:rPr>
          <w:color w:val="000000" w:themeColor="text1"/>
        </w:rPr>
        <w:t xml:space="preserve"> non infectieuse. </w:t>
      </w:r>
    </w:p>
    <w:p w14:paraId="578AC442" w14:textId="77777777" w:rsidR="00410BCA" w:rsidRPr="0058432E" w:rsidRDefault="00410BCA" w:rsidP="00982118">
      <w:pPr>
        <w:rPr>
          <w:color w:val="000000" w:themeColor="text1"/>
        </w:rPr>
      </w:pPr>
    </w:p>
    <w:p w14:paraId="01980DEB" w14:textId="77777777" w:rsidR="00410BCA" w:rsidRPr="0058432E" w:rsidRDefault="00C46587" w:rsidP="00982118">
      <w:pPr>
        <w:rPr>
          <w:color w:val="000000" w:themeColor="text1"/>
        </w:rPr>
      </w:pPr>
      <w:r w:rsidRPr="0058432E">
        <w:rPr>
          <w:color w:val="000000" w:themeColor="text1"/>
        </w:rPr>
        <w:t xml:space="preserve">Le principe actif dans Amsparity, l’adalimumab, est un anticorps monoclonal. Les anticorps monoclonaux sont des protéines qui se lient à une cible spécifique dans l’organisme. </w:t>
      </w:r>
    </w:p>
    <w:p w14:paraId="415AA01A" w14:textId="77777777" w:rsidR="00410BCA" w:rsidRPr="0058432E" w:rsidRDefault="00410BCA" w:rsidP="00982118">
      <w:pPr>
        <w:rPr>
          <w:color w:val="000000" w:themeColor="text1"/>
        </w:rPr>
      </w:pPr>
    </w:p>
    <w:p w14:paraId="4CBCD3F9" w14:textId="77777777" w:rsidR="00C46587" w:rsidRPr="0058432E" w:rsidRDefault="00410BCA" w:rsidP="00982118">
      <w:pPr>
        <w:rPr>
          <w:color w:val="000000" w:themeColor="text1"/>
        </w:rPr>
      </w:pPr>
      <w:r w:rsidRPr="0058432E">
        <w:rPr>
          <w:color w:val="000000" w:themeColor="text1"/>
        </w:rPr>
        <w:t xml:space="preserve">La cible de l’adalimumab est une autre protéine appelée facteur de nécrose tumorale (TNFα) qui est impliquée dans le système immunitaire (défense) et est présente à des taux augmentés dans les maladies inflammatoires mentionnées ci-dessus. En se liant au TNFα, Amsparity </w:t>
      </w:r>
      <w:r w:rsidR="004E7930" w:rsidRPr="0058432E">
        <w:rPr>
          <w:color w:val="000000" w:themeColor="text1"/>
        </w:rPr>
        <w:t xml:space="preserve">bloque cette action et </w:t>
      </w:r>
      <w:r w:rsidRPr="0058432E">
        <w:rPr>
          <w:color w:val="000000" w:themeColor="text1"/>
        </w:rPr>
        <w:t>diminue le processus inflammatoire dans ces maladies.</w:t>
      </w:r>
    </w:p>
    <w:p w14:paraId="031CC430" w14:textId="77777777" w:rsidR="00C46587" w:rsidRPr="0058432E" w:rsidRDefault="00C46587" w:rsidP="00982118">
      <w:pPr>
        <w:rPr>
          <w:color w:val="000000" w:themeColor="text1"/>
        </w:rPr>
      </w:pPr>
    </w:p>
    <w:p w14:paraId="019F18EB" w14:textId="77777777" w:rsidR="00C46587" w:rsidRPr="0058432E" w:rsidRDefault="00C46587" w:rsidP="00982118">
      <w:pPr>
        <w:keepNext/>
        <w:rPr>
          <w:color w:val="000000" w:themeColor="text1"/>
          <w:u w:val="single"/>
        </w:rPr>
      </w:pPr>
      <w:r w:rsidRPr="0058432E">
        <w:rPr>
          <w:color w:val="000000" w:themeColor="text1"/>
          <w:u w:val="single"/>
        </w:rPr>
        <w:t xml:space="preserve">Polyarthrite rhumatoïde </w:t>
      </w:r>
    </w:p>
    <w:p w14:paraId="4F8B9AAE" w14:textId="77777777" w:rsidR="00C46587" w:rsidRPr="0058432E" w:rsidRDefault="00C46587" w:rsidP="00982118">
      <w:pPr>
        <w:rPr>
          <w:color w:val="000000" w:themeColor="text1"/>
        </w:rPr>
      </w:pPr>
    </w:p>
    <w:p w14:paraId="39B9F599" w14:textId="77777777" w:rsidR="00C46587" w:rsidRPr="0058432E" w:rsidRDefault="00C46587" w:rsidP="00982118">
      <w:pPr>
        <w:rPr>
          <w:color w:val="000000" w:themeColor="text1"/>
        </w:rPr>
      </w:pPr>
      <w:r w:rsidRPr="0058432E">
        <w:rPr>
          <w:color w:val="000000" w:themeColor="text1"/>
        </w:rPr>
        <w:t xml:space="preserve">La polyarthrite rhumatoïde est une maladie inflammatoire des articulations. </w:t>
      </w:r>
    </w:p>
    <w:p w14:paraId="2E0FC700" w14:textId="77777777" w:rsidR="00C46587" w:rsidRPr="0058432E" w:rsidRDefault="00C46587" w:rsidP="00982118">
      <w:pPr>
        <w:rPr>
          <w:color w:val="000000" w:themeColor="text1"/>
        </w:rPr>
      </w:pPr>
    </w:p>
    <w:p w14:paraId="2E520B5D" w14:textId="77777777" w:rsidR="00C46587" w:rsidRPr="0058432E" w:rsidRDefault="006A1144" w:rsidP="00982118">
      <w:pPr>
        <w:rPr>
          <w:color w:val="000000" w:themeColor="text1"/>
        </w:rPr>
      </w:pPr>
      <w:r w:rsidRPr="0058432E">
        <w:rPr>
          <w:color w:val="000000" w:themeColor="text1"/>
        </w:rPr>
        <w:t xml:space="preserve">Amsparity est utilisé pour traiter la polyarthrite rhumatoïde chez l’adulte. Si vous avez une polyarthrite rhumatoïde active modérée à sévère, on pourra d’abord vous prescrire des </w:t>
      </w:r>
      <w:r w:rsidR="004E7930" w:rsidRPr="0058432E">
        <w:rPr>
          <w:color w:val="000000" w:themeColor="text1"/>
        </w:rPr>
        <w:t>antirhumatismaux modificateurs de la maladie tels</w:t>
      </w:r>
      <w:r w:rsidRPr="0058432E">
        <w:rPr>
          <w:color w:val="000000" w:themeColor="text1"/>
        </w:rPr>
        <w:t xml:space="preserve"> que du méthotrexate. Si ces traitements ne fonctionnent pas assez bien, on vous prescrira Amsparity pour traiter votre polyarthrite rhumatoïde. </w:t>
      </w:r>
    </w:p>
    <w:p w14:paraId="1C8AC9C0" w14:textId="77777777" w:rsidR="00C46587" w:rsidRPr="0058432E" w:rsidRDefault="00C46587" w:rsidP="00982118">
      <w:pPr>
        <w:rPr>
          <w:color w:val="000000" w:themeColor="text1"/>
        </w:rPr>
      </w:pPr>
    </w:p>
    <w:p w14:paraId="136A91DC" w14:textId="77777777" w:rsidR="00C46587" w:rsidRPr="0058432E" w:rsidRDefault="006A1144" w:rsidP="00982118">
      <w:pPr>
        <w:rPr>
          <w:color w:val="000000" w:themeColor="text1"/>
        </w:rPr>
      </w:pPr>
      <w:r w:rsidRPr="0058432E">
        <w:rPr>
          <w:color w:val="000000" w:themeColor="text1"/>
        </w:rPr>
        <w:t xml:space="preserve">Amsparity peut aussi être utilisé pour traiter la polyarthrite sévère, active et évolutive non traitée préalablement par le méthotrexate. </w:t>
      </w:r>
    </w:p>
    <w:p w14:paraId="7A6A66DB" w14:textId="77777777" w:rsidR="00C46587" w:rsidRPr="0058432E" w:rsidRDefault="00C46587" w:rsidP="00982118">
      <w:pPr>
        <w:rPr>
          <w:color w:val="000000" w:themeColor="text1"/>
        </w:rPr>
      </w:pPr>
    </w:p>
    <w:p w14:paraId="5EF8D9C4" w14:textId="77777777" w:rsidR="00C46587" w:rsidRPr="0058432E" w:rsidRDefault="006A1144" w:rsidP="00982118">
      <w:pPr>
        <w:rPr>
          <w:color w:val="000000" w:themeColor="text1"/>
        </w:rPr>
      </w:pPr>
      <w:r w:rsidRPr="0058432E">
        <w:rPr>
          <w:color w:val="000000" w:themeColor="text1"/>
        </w:rPr>
        <w:t xml:space="preserve">Amsparity peut ralentir les altérations du cartilage et de l’os des articulations dues à la maladie et améliorer les capacités fonctionnelles. </w:t>
      </w:r>
    </w:p>
    <w:p w14:paraId="0BC717F0" w14:textId="77777777" w:rsidR="00C46587" w:rsidRPr="0058432E" w:rsidRDefault="00C46587" w:rsidP="00982118">
      <w:pPr>
        <w:rPr>
          <w:color w:val="000000" w:themeColor="text1"/>
        </w:rPr>
      </w:pPr>
    </w:p>
    <w:p w14:paraId="6FEDFC98" w14:textId="77777777" w:rsidR="00C46587" w:rsidRPr="0058432E" w:rsidRDefault="00C46587" w:rsidP="00982118">
      <w:pPr>
        <w:rPr>
          <w:color w:val="000000" w:themeColor="text1"/>
        </w:rPr>
      </w:pPr>
      <w:r w:rsidRPr="0058432E">
        <w:rPr>
          <w:color w:val="000000" w:themeColor="text1"/>
        </w:rPr>
        <w:t xml:space="preserve">Habituellement, Amsparity est utilisé avec le méthotrexate. Si votre médecin décide que le méthotrexate est inapproprié, Amsparity peut être donné seul. </w:t>
      </w:r>
    </w:p>
    <w:p w14:paraId="18004C15" w14:textId="77777777" w:rsidR="00C46587" w:rsidRPr="0058432E" w:rsidRDefault="00C46587" w:rsidP="00982118">
      <w:pPr>
        <w:rPr>
          <w:color w:val="000000" w:themeColor="text1"/>
        </w:rPr>
      </w:pPr>
    </w:p>
    <w:p w14:paraId="5E7374A7" w14:textId="77777777" w:rsidR="00FC32E1" w:rsidRPr="0058432E" w:rsidRDefault="00C46587" w:rsidP="00982118">
      <w:pPr>
        <w:rPr>
          <w:color w:val="000000" w:themeColor="text1"/>
          <w:u w:val="single"/>
        </w:rPr>
      </w:pPr>
      <w:r w:rsidRPr="0058432E">
        <w:rPr>
          <w:color w:val="000000" w:themeColor="text1"/>
          <w:u w:val="single"/>
        </w:rPr>
        <w:t xml:space="preserve">Arthrite juvénile idiopathique polyarticulaire </w:t>
      </w:r>
    </w:p>
    <w:p w14:paraId="0E4F1F42" w14:textId="77777777" w:rsidR="00FC32E1" w:rsidRPr="0058432E" w:rsidRDefault="00FC32E1" w:rsidP="00982118">
      <w:pPr>
        <w:rPr>
          <w:color w:val="000000" w:themeColor="text1"/>
          <w:u w:val="single"/>
        </w:rPr>
      </w:pPr>
    </w:p>
    <w:p w14:paraId="0C6EF2BC" w14:textId="77777777" w:rsidR="00C46587" w:rsidRPr="0058432E" w:rsidRDefault="00C46587" w:rsidP="00982118">
      <w:pPr>
        <w:rPr>
          <w:color w:val="000000" w:themeColor="text1"/>
        </w:rPr>
      </w:pPr>
      <w:r w:rsidRPr="0058432E">
        <w:rPr>
          <w:color w:val="000000" w:themeColor="text1"/>
        </w:rPr>
        <w:t xml:space="preserve">L’arthrite juvénile idiopathique polyarticulaire </w:t>
      </w:r>
      <w:r w:rsidR="00D31DE1" w:rsidRPr="0058432E">
        <w:rPr>
          <w:color w:val="000000" w:themeColor="text1"/>
        </w:rPr>
        <w:t>est une</w:t>
      </w:r>
      <w:r w:rsidR="00411DFE" w:rsidRPr="0058432E">
        <w:rPr>
          <w:color w:val="000000" w:themeColor="text1"/>
        </w:rPr>
        <w:t xml:space="preserve"> </w:t>
      </w:r>
      <w:r w:rsidR="00FE3CED" w:rsidRPr="0058432E">
        <w:rPr>
          <w:color w:val="000000" w:themeColor="text1"/>
        </w:rPr>
        <w:t xml:space="preserve">maladie inflammatoire </w:t>
      </w:r>
      <w:r w:rsidRPr="0058432E">
        <w:rPr>
          <w:color w:val="000000" w:themeColor="text1"/>
        </w:rPr>
        <w:t xml:space="preserve">des articulations qui </w:t>
      </w:r>
      <w:r w:rsidR="00892E39" w:rsidRPr="0058432E">
        <w:rPr>
          <w:color w:val="000000" w:themeColor="text1"/>
        </w:rPr>
        <w:t>apparaît</w:t>
      </w:r>
      <w:r w:rsidRPr="0058432E">
        <w:rPr>
          <w:color w:val="000000" w:themeColor="text1"/>
        </w:rPr>
        <w:t xml:space="preserve"> habituellement d’abord dans l’enfance. </w:t>
      </w:r>
    </w:p>
    <w:p w14:paraId="1762BBEA" w14:textId="77777777" w:rsidR="005B4817" w:rsidRPr="0058432E" w:rsidRDefault="005B4817" w:rsidP="00982118">
      <w:pPr>
        <w:rPr>
          <w:color w:val="000000" w:themeColor="text1"/>
        </w:rPr>
      </w:pPr>
    </w:p>
    <w:p w14:paraId="41CFBA87" w14:textId="77777777" w:rsidR="00C46587" w:rsidRPr="0058432E" w:rsidRDefault="006A1144" w:rsidP="00982118">
      <w:pPr>
        <w:rPr>
          <w:color w:val="000000" w:themeColor="text1"/>
        </w:rPr>
      </w:pPr>
      <w:r w:rsidRPr="0058432E">
        <w:rPr>
          <w:color w:val="000000" w:themeColor="text1"/>
        </w:rPr>
        <w:t>Amsparity est utilisé pour traiter l’arthrite juvénile idiopathique polyarticulaire chez l</w:t>
      </w:r>
      <w:r w:rsidR="004E7930" w:rsidRPr="0058432E">
        <w:rPr>
          <w:color w:val="000000" w:themeColor="text1"/>
        </w:rPr>
        <w:t xml:space="preserve">es </w:t>
      </w:r>
      <w:r w:rsidRPr="0058432E">
        <w:rPr>
          <w:color w:val="000000" w:themeColor="text1"/>
        </w:rPr>
        <w:t>enfant</w:t>
      </w:r>
      <w:r w:rsidR="004E7930" w:rsidRPr="0058432E">
        <w:rPr>
          <w:color w:val="000000" w:themeColor="text1"/>
        </w:rPr>
        <w:t>s</w:t>
      </w:r>
      <w:r w:rsidRPr="0058432E">
        <w:rPr>
          <w:color w:val="000000" w:themeColor="text1"/>
        </w:rPr>
        <w:t xml:space="preserve"> et l</w:t>
      </w:r>
      <w:r w:rsidR="004E7930" w:rsidRPr="0058432E">
        <w:rPr>
          <w:color w:val="000000" w:themeColor="text1"/>
        </w:rPr>
        <w:t xml:space="preserve">es </w:t>
      </w:r>
      <w:r w:rsidRPr="0058432E">
        <w:rPr>
          <w:color w:val="000000" w:themeColor="text1"/>
        </w:rPr>
        <w:t>adolescent</w:t>
      </w:r>
      <w:r w:rsidR="004E7930" w:rsidRPr="0058432E">
        <w:rPr>
          <w:color w:val="000000" w:themeColor="text1"/>
        </w:rPr>
        <w:t>s âgés</w:t>
      </w:r>
      <w:r w:rsidRPr="0058432E">
        <w:rPr>
          <w:color w:val="000000" w:themeColor="text1"/>
        </w:rPr>
        <w:t xml:space="preserve"> de 2 à 17 ans. On pourra d’abord prescrire aux patients des médicaments de fond tels que du méthotrexate. Si ces </w:t>
      </w:r>
      <w:r w:rsidR="004E7930" w:rsidRPr="0058432E">
        <w:rPr>
          <w:color w:val="000000" w:themeColor="text1"/>
        </w:rPr>
        <w:t xml:space="preserve">tmédicaments </w:t>
      </w:r>
      <w:r w:rsidRPr="0058432E">
        <w:rPr>
          <w:color w:val="000000" w:themeColor="text1"/>
        </w:rPr>
        <w:t xml:space="preserve">ne fonctionnent pas assez bien, les patients peuvent recevoir Amsparity pour traiter leur arthrite juvénile idiopathique polyarticulaire. </w:t>
      </w:r>
    </w:p>
    <w:p w14:paraId="5933A190" w14:textId="77777777" w:rsidR="00892E39" w:rsidRPr="0058432E" w:rsidRDefault="00892E39" w:rsidP="00982118">
      <w:pPr>
        <w:rPr>
          <w:color w:val="000000" w:themeColor="text1"/>
        </w:rPr>
      </w:pPr>
    </w:p>
    <w:p w14:paraId="2CC9E6F5" w14:textId="77777777" w:rsidR="00892E39" w:rsidRPr="0058432E" w:rsidRDefault="00892E39" w:rsidP="00892E39">
      <w:pPr>
        <w:pStyle w:val="BodyText"/>
        <w:widowControl/>
        <w:kinsoku w:val="0"/>
        <w:overflowPunct w:val="0"/>
        <w:ind w:left="0"/>
        <w:rPr>
          <w:color w:val="000000" w:themeColor="text1"/>
          <w:u w:val="single"/>
        </w:rPr>
      </w:pPr>
      <w:r w:rsidRPr="0058432E">
        <w:rPr>
          <w:color w:val="000000" w:themeColor="text1"/>
          <w:u w:val="single"/>
        </w:rPr>
        <w:t xml:space="preserve">Arthrite liée à l'enthésite </w:t>
      </w:r>
      <w:r w:rsidR="004B5EA3" w:rsidRPr="0058432E">
        <w:rPr>
          <w:color w:val="000000" w:themeColor="text1"/>
          <w:u w:val="single"/>
        </w:rPr>
        <w:t>chez l’enfant et l’ado</w:t>
      </w:r>
      <w:r w:rsidR="00C13D5B" w:rsidRPr="0058432E">
        <w:rPr>
          <w:color w:val="000000" w:themeColor="text1"/>
          <w:u w:val="single"/>
        </w:rPr>
        <w:t>lescent</w:t>
      </w:r>
    </w:p>
    <w:p w14:paraId="58AE1015" w14:textId="77777777" w:rsidR="00892E39" w:rsidRPr="0058432E" w:rsidRDefault="00892E39" w:rsidP="00892E39">
      <w:pPr>
        <w:pStyle w:val="BodyText"/>
        <w:widowControl/>
        <w:kinsoku w:val="0"/>
        <w:overflowPunct w:val="0"/>
        <w:ind w:left="0"/>
        <w:rPr>
          <w:color w:val="000000" w:themeColor="text1"/>
        </w:rPr>
      </w:pPr>
    </w:p>
    <w:p w14:paraId="28ABCF9F" w14:textId="77777777" w:rsidR="00892E39" w:rsidRPr="0058432E" w:rsidRDefault="00892E39" w:rsidP="00892E39">
      <w:pPr>
        <w:pStyle w:val="BodyText"/>
        <w:widowControl/>
        <w:kinsoku w:val="0"/>
        <w:overflowPunct w:val="0"/>
        <w:ind w:left="0"/>
        <w:rPr>
          <w:color w:val="000000" w:themeColor="text1"/>
        </w:rPr>
      </w:pPr>
      <w:r w:rsidRPr="0058432E">
        <w:rPr>
          <w:color w:val="000000" w:themeColor="text1"/>
        </w:rPr>
        <w:t>L’arthrite liée à l’enthésite pédiatrique est une maladie inflammatoire des articulations et des points d’attache entre les tendons et les os.</w:t>
      </w:r>
    </w:p>
    <w:p w14:paraId="6248C001" w14:textId="77777777" w:rsidR="00892E39" w:rsidRPr="0058432E" w:rsidRDefault="00892E39" w:rsidP="00892E39">
      <w:pPr>
        <w:pStyle w:val="BodyText"/>
        <w:widowControl/>
        <w:kinsoku w:val="0"/>
        <w:overflowPunct w:val="0"/>
        <w:ind w:left="0"/>
        <w:rPr>
          <w:color w:val="000000" w:themeColor="text1"/>
        </w:rPr>
      </w:pPr>
    </w:p>
    <w:p w14:paraId="1BFADDE0" w14:textId="77777777" w:rsidR="00892E39" w:rsidRPr="0058432E" w:rsidRDefault="00892E39" w:rsidP="00892E39">
      <w:pPr>
        <w:pStyle w:val="BodyText"/>
        <w:widowControl/>
        <w:kinsoku w:val="0"/>
        <w:overflowPunct w:val="0"/>
        <w:ind w:left="0"/>
        <w:rPr>
          <w:color w:val="000000" w:themeColor="text1"/>
        </w:rPr>
      </w:pPr>
      <w:r w:rsidRPr="0058432E">
        <w:rPr>
          <w:color w:val="000000" w:themeColor="text1"/>
        </w:rPr>
        <w:t>Amsparity est utilisé pour traiter l’arthrite liée à l’enthésite chez les</w:t>
      </w:r>
      <w:r w:rsidR="004E7930" w:rsidRPr="0058432E">
        <w:rPr>
          <w:color w:val="000000" w:themeColor="text1"/>
        </w:rPr>
        <w:t xml:space="preserve"> enfants et les adolescents âgés</w:t>
      </w:r>
      <w:r w:rsidRPr="0058432E">
        <w:rPr>
          <w:color w:val="000000" w:themeColor="text1"/>
        </w:rPr>
        <w:t xml:space="preserve"> de 6 à 17 ans. </w:t>
      </w:r>
      <w:r w:rsidR="00EB1BC1" w:rsidRPr="0058432E">
        <w:rPr>
          <w:color w:val="000000" w:themeColor="text1"/>
        </w:rPr>
        <w:t>Les patients</w:t>
      </w:r>
      <w:r w:rsidRPr="0058432E">
        <w:rPr>
          <w:color w:val="000000" w:themeColor="text1"/>
        </w:rPr>
        <w:t xml:space="preserve"> peu</w:t>
      </w:r>
      <w:r w:rsidR="00EB1BC1" w:rsidRPr="0058432E">
        <w:rPr>
          <w:color w:val="000000" w:themeColor="text1"/>
        </w:rPr>
        <w:t>ven</w:t>
      </w:r>
      <w:r w:rsidRPr="0058432E">
        <w:rPr>
          <w:color w:val="000000" w:themeColor="text1"/>
        </w:rPr>
        <w:t xml:space="preserve">t d’abord recevoir d’autres traitements de fond tels que du méthotrexate. Si ces traitements ne fonctionnent pas assez bien, </w:t>
      </w:r>
      <w:r w:rsidR="00EB1BC1" w:rsidRPr="0058432E">
        <w:rPr>
          <w:color w:val="000000" w:themeColor="text1"/>
        </w:rPr>
        <w:t>les patients</w:t>
      </w:r>
      <w:r w:rsidRPr="0058432E">
        <w:rPr>
          <w:color w:val="000000" w:themeColor="text1"/>
        </w:rPr>
        <w:t xml:space="preserve"> peu</w:t>
      </w:r>
      <w:r w:rsidR="00EB1BC1" w:rsidRPr="0058432E">
        <w:rPr>
          <w:color w:val="000000" w:themeColor="text1"/>
        </w:rPr>
        <w:t>ven</w:t>
      </w:r>
      <w:r w:rsidRPr="0058432E">
        <w:rPr>
          <w:color w:val="000000" w:themeColor="text1"/>
        </w:rPr>
        <w:t xml:space="preserve">t recevoir Amsparity pour traiter </w:t>
      </w:r>
      <w:r w:rsidR="00EB1BC1" w:rsidRPr="0058432E">
        <w:rPr>
          <w:color w:val="000000" w:themeColor="text1"/>
        </w:rPr>
        <w:t>leur</w:t>
      </w:r>
      <w:r w:rsidRPr="0058432E">
        <w:rPr>
          <w:color w:val="000000" w:themeColor="text1"/>
        </w:rPr>
        <w:t xml:space="preserve"> arthrite liée à l’enthésite</w:t>
      </w:r>
      <w:r w:rsidR="00FC32E1" w:rsidRPr="0058432E">
        <w:rPr>
          <w:color w:val="000000" w:themeColor="text1"/>
        </w:rPr>
        <w:t>.</w:t>
      </w:r>
    </w:p>
    <w:p w14:paraId="021EA95B" w14:textId="77777777" w:rsidR="00C46587" w:rsidRPr="0058432E" w:rsidRDefault="00C46587" w:rsidP="00982118">
      <w:pPr>
        <w:rPr>
          <w:color w:val="000000" w:themeColor="text1"/>
        </w:rPr>
      </w:pPr>
    </w:p>
    <w:p w14:paraId="6D53A667" w14:textId="77777777" w:rsidR="00C46587" w:rsidRPr="0058432E" w:rsidRDefault="00C46587" w:rsidP="00982118">
      <w:pPr>
        <w:rPr>
          <w:color w:val="000000" w:themeColor="text1"/>
          <w:u w:val="single"/>
        </w:rPr>
      </w:pPr>
      <w:r w:rsidRPr="0058432E">
        <w:rPr>
          <w:color w:val="000000" w:themeColor="text1"/>
          <w:u w:val="single"/>
        </w:rPr>
        <w:t>Spondylarthrite ankylosante et spondyl</w:t>
      </w:r>
      <w:r w:rsidR="009D048D" w:rsidRPr="0058432E">
        <w:rPr>
          <w:color w:val="000000" w:themeColor="text1"/>
          <w:u w:val="single"/>
        </w:rPr>
        <w:t>o</w:t>
      </w:r>
      <w:r w:rsidRPr="0058432E">
        <w:rPr>
          <w:color w:val="000000" w:themeColor="text1"/>
          <w:u w:val="single"/>
        </w:rPr>
        <w:t xml:space="preserve">arthrite axiale sans signes radiographiques de spondylarthrite ankylosante </w:t>
      </w:r>
    </w:p>
    <w:p w14:paraId="3D23ACEA" w14:textId="77777777" w:rsidR="00C46587" w:rsidRPr="0058432E" w:rsidRDefault="00C46587" w:rsidP="00982118">
      <w:pPr>
        <w:rPr>
          <w:color w:val="000000" w:themeColor="text1"/>
        </w:rPr>
      </w:pPr>
    </w:p>
    <w:p w14:paraId="1CAD625B" w14:textId="77777777" w:rsidR="00C46587" w:rsidRPr="0058432E" w:rsidRDefault="00C46587" w:rsidP="00982118">
      <w:pPr>
        <w:rPr>
          <w:color w:val="000000" w:themeColor="text1"/>
        </w:rPr>
      </w:pPr>
      <w:r w:rsidRPr="0058432E">
        <w:rPr>
          <w:color w:val="000000" w:themeColor="text1"/>
        </w:rPr>
        <w:t>La spondylarthrite ankylosante et la spondyl</w:t>
      </w:r>
      <w:r w:rsidR="009D048D" w:rsidRPr="0058432E">
        <w:rPr>
          <w:color w:val="000000" w:themeColor="text1"/>
        </w:rPr>
        <w:t>o</w:t>
      </w:r>
      <w:r w:rsidRPr="0058432E">
        <w:rPr>
          <w:color w:val="000000" w:themeColor="text1"/>
        </w:rPr>
        <w:t xml:space="preserve">arthrite axiale sans signes radiographiques de spondylarthrite ankylosante sont des maladies inflammatoires de la colonne vertébrale. </w:t>
      </w:r>
    </w:p>
    <w:p w14:paraId="42A2EC43" w14:textId="77777777" w:rsidR="00C46587" w:rsidRPr="0058432E" w:rsidRDefault="00C46587" w:rsidP="00982118">
      <w:pPr>
        <w:rPr>
          <w:color w:val="000000" w:themeColor="text1"/>
        </w:rPr>
      </w:pPr>
    </w:p>
    <w:p w14:paraId="7F4EB0CF" w14:textId="77777777" w:rsidR="00C46587" w:rsidRPr="0058432E" w:rsidRDefault="00593D53" w:rsidP="00982118">
      <w:pPr>
        <w:rPr>
          <w:color w:val="000000" w:themeColor="text1"/>
        </w:rPr>
      </w:pPr>
      <w:r w:rsidRPr="0058432E">
        <w:rPr>
          <w:color w:val="000000" w:themeColor="text1"/>
        </w:rPr>
        <w:t>Amsparity est utilisé chez les adultes pour traiter ces maladies. Si vous avez une spondylarthrite ankylosante ou une spondyl</w:t>
      </w:r>
      <w:r w:rsidR="009D048D" w:rsidRPr="0058432E">
        <w:rPr>
          <w:color w:val="000000" w:themeColor="text1"/>
        </w:rPr>
        <w:t>o</w:t>
      </w:r>
      <w:r w:rsidRPr="0058432E">
        <w:rPr>
          <w:color w:val="000000" w:themeColor="text1"/>
        </w:rPr>
        <w:t xml:space="preserve">arthrite axiale sans signes radiographiques de spondylarthrite ankylosante, on vous prescrira d’abord d’autres médicaments. Si ces </w:t>
      </w:r>
      <w:r w:rsidR="00EB1BC1" w:rsidRPr="0058432E">
        <w:rPr>
          <w:color w:val="000000" w:themeColor="text1"/>
        </w:rPr>
        <w:t xml:space="preserve">médicaments </w:t>
      </w:r>
      <w:r w:rsidRPr="0058432E">
        <w:rPr>
          <w:color w:val="000000" w:themeColor="text1"/>
        </w:rPr>
        <w:t xml:space="preserve">ne fonctionnent pas assez bien, vous pourrez recevoir Amsparity pour réduire les signes et symptômes de votre maladie. </w:t>
      </w:r>
    </w:p>
    <w:p w14:paraId="08E1F9AD" w14:textId="77777777" w:rsidR="00C46587" w:rsidRPr="0058432E" w:rsidRDefault="00C46587" w:rsidP="00982118">
      <w:pPr>
        <w:rPr>
          <w:color w:val="000000" w:themeColor="text1"/>
        </w:rPr>
      </w:pPr>
    </w:p>
    <w:p w14:paraId="60341AB7" w14:textId="77777777" w:rsidR="00C46587" w:rsidRPr="0058432E" w:rsidRDefault="00C46587" w:rsidP="00920CA5">
      <w:pPr>
        <w:keepNext/>
        <w:keepLines/>
        <w:rPr>
          <w:color w:val="000000" w:themeColor="text1"/>
          <w:u w:val="single"/>
        </w:rPr>
      </w:pPr>
      <w:r w:rsidRPr="0058432E">
        <w:rPr>
          <w:color w:val="000000" w:themeColor="text1"/>
          <w:u w:val="single"/>
        </w:rPr>
        <w:t xml:space="preserve">Rhumatisme psoriasique </w:t>
      </w:r>
    </w:p>
    <w:p w14:paraId="49F1D983" w14:textId="77777777" w:rsidR="00C46587" w:rsidRPr="0058432E" w:rsidRDefault="00C46587" w:rsidP="00982118">
      <w:pPr>
        <w:rPr>
          <w:color w:val="000000" w:themeColor="text1"/>
        </w:rPr>
      </w:pPr>
    </w:p>
    <w:p w14:paraId="5E325A2B" w14:textId="77777777" w:rsidR="00C46587" w:rsidRPr="0058432E" w:rsidRDefault="00C46587" w:rsidP="00982118">
      <w:pPr>
        <w:rPr>
          <w:color w:val="000000" w:themeColor="text1"/>
        </w:rPr>
      </w:pPr>
      <w:r w:rsidRPr="0058432E">
        <w:rPr>
          <w:color w:val="000000" w:themeColor="text1"/>
        </w:rPr>
        <w:lastRenderedPageBreak/>
        <w:t xml:space="preserve">Le rhumatisme psoriasique est une inflammation des articulations associée au psoriasis. </w:t>
      </w:r>
    </w:p>
    <w:p w14:paraId="4CBA0CD2" w14:textId="77777777" w:rsidR="00C46587" w:rsidRPr="0058432E" w:rsidRDefault="00C46587" w:rsidP="00982118">
      <w:pPr>
        <w:rPr>
          <w:color w:val="000000" w:themeColor="text1"/>
        </w:rPr>
      </w:pPr>
    </w:p>
    <w:p w14:paraId="188AAF08" w14:textId="77777777" w:rsidR="00C46587" w:rsidRPr="0058432E" w:rsidRDefault="006A1144" w:rsidP="00982118">
      <w:pPr>
        <w:rPr>
          <w:color w:val="000000" w:themeColor="text1"/>
        </w:rPr>
      </w:pPr>
      <w:r w:rsidRPr="0058432E">
        <w:rPr>
          <w:color w:val="000000" w:themeColor="text1"/>
        </w:rPr>
        <w:t xml:space="preserve">Amsparity est utilisé pour traiter le rhumatisme psoriasique chez l’adulte. Amsparity peut ralentir les altérations du cartilage et de l’os des articulations dues à la maladie et améliorer les capacités fonctionnelles. </w:t>
      </w:r>
    </w:p>
    <w:p w14:paraId="1B69781C" w14:textId="77777777" w:rsidR="00C46587" w:rsidRPr="0058432E" w:rsidRDefault="00C46587" w:rsidP="00982118">
      <w:pPr>
        <w:rPr>
          <w:color w:val="000000" w:themeColor="text1"/>
        </w:rPr>
      </w:pPr>
    </w:p>
    <w:p w14:paraId="38319879" w14:textId="77777777" w:rsidR="00C46587" w:rsidRPr="0058432E" w:rsidRDefault="00C46587" w:rsidP="00982118">
      <w:pPr>
        <w:keepNext/>
        <w:rPr>
          <w:color w:val="000000" w:themeColor="text1"/>
          <w:u w:val="single"/>
        </w:rPr>
      </w:pPr>
      <w:r w:rsidRPr="0058432E">
        <w:rPr>
          <w:color w:val="000000" w:themeColor="text1"/>
          <w:u w:val="single"/>
        </w:rPr>
        <w:t xml:space="preserve">Psoriasis en plaques chez l’adulte et l’enfant </w:t>
      </w:r>
    </w:p>
    <w:p w14:paraId="61B32CAD" w14:textId="77777777" w:rsidR="00C46587" w:rsidRPr="0058432E" w:rsidRDefault="00C46587" w:rsidP="00982118">
      <w:pPr>
        <w:keepNext/>
        <w:rPr>
          <w:color w:val="000000" w:themeColor="text1"/>
        </w:rPr>
      </w:pPr>
    </w:p>
    <w:p w14:paraId="31C5D712" w14:textId="77777777" w:rsidR="00C46587" w:rsidRPr="0058432E" w:rsidRDefault="00C46587" w:rsidP="00982118">
      <w:pPr>
        <w:keepNext/>
        <w:rPr>
          <w:color w:val="000000" w:themeColor="text1"/>
        </w:rPr>
      </w:pPr>
      <w:r w:rsidRPr="0058432E">
        <w:rPr>
          <w:color w:val="000000" w:themeColor="text1"/>
        </w:rPr>
        <w:t>Le psoriasis en plaques est une maladie de peau inflammatoire qui provoque la formation de plaques squameuses rouges croûteuses couvertes d</w:t>
      </w:r>
      <w:r w:rsidR="006D0A32" w:rsidRPr="0058432E">
        <w:rPr>
          <w:color w:val="000000" w:themeColor="text1"/>
        </w:rPr>
        <w:t>’</w:t>
      </w:r>
      <w:r w:rsidR="003B1D2A" w:rsidRPr="0058432E">
        <w:rPr>
          <w:color w:val="000000" w:themeColor="text1"/>
        </w:rPr>
        <w:t>écailles</w:t>
      </w:r>
      <w:r w:rsidRPr="0058432E">
        <w:rPr>
          <w:color w:val="000000" w:themeColor="text1"/>
        </w:rPr>
        <w:t xml:space="preserve"> argentées. Le psoriasis en plaques peut aussi toucher les ongles, entrainant leur effritement, leur épaississement et leur décollement du lit de l’ongle, ce qui peut être douloureux. On pense que le psoriasis est causé par un dérèglement du système immunitaire de l’organisme qui entraîne une augmentation de la production de cellules cutanées. </w:t>
      </w:r>
    </w:p>
    <w:p w14:paraId="0DD88870" w14:textId="77777777" w:rsidR="00C46587" w:rsidRPr="0058432E" w:rsidRDefault="00C46587" w:rsidP="00982118">
      <w:pPr>
        <w:rPr>
          <w:color w:val="000000" w:themeColor="text1"/>
        </w:rPr>
      </w:pPr>
    </w:p>
    <w:p w14:paraId="46F6DB52" w14:textId="77777777" w:rsidR="00C46587" w:rsidRPr="0058432E" w:rsidRDefault="006A1144" w:rsidP="00982118">
      <w:pPr>
        <w:rPr>
          <w:color w:val="000000" w:themeColor="text1"/>
        </w:rPr>
      </w:pPr>
      <w:r w:rsidRPr="0058432E">
        <w:rPr>
          <w:color w:val="000000" w:themeColor="text1"/>
        </w:rPr>
        <w:t xml:space="preserve">Amsparity est utilisé pour traiter le psoriasis en plaques modéré à sévère chez l’adulte. Amsparity est également utilisé pour traiter le psoriasis en plaques sévère chez les enfants et adolescents âgés de 4 à 17 ans pour lesquels un traitement topique et les photothérapies n’ont pas été assez efficaces ou ne sont pas adaptés. </w:t>
      </w:r>
    </w:p>
    <w:p w14:paraId="0748C032" w14:textId="77777777" w:rsidR="00C46587" w:rsidRPr="0058432E" w:rsidRDefault="00C46587" w:rsidP="00982118">
      <w:pPr>
        <w:rPr>
          <w:color w:val="000000" w:themeColor="text1"/>
        </w:rPr>
      </w:pPr>
    </w:p>
    <w:p w14:paraId="0D01E4C1" w14:textId="77777777" w:rsidR="00C46587" w:rsidRPr="0058432E" w:rsidRDefault="00C46587" w:rsidP="00982118">
      <w:pPr>
        <w:keepNext/>
        <w:rPr>
          <w:color w:val="000000" w:themeColor="text1"/>
          <w:u w:val="single"/>
        </w:rPr>
      </w:pPr>
      <w:r w:rsidRPr="0058432E">
        <w:rPr>
          <w:color w:val="000000" w:themeColor="text1"/>
          <w:u w:val="single"/>
        </w:rPr>
        <w:t xml:space="preserve">Hidrosadénite suppurée chez l’adulte et l’adolescent </w:t>
      </w:r>
    </w:p>
    <w:p w14:paraId="1CB1887F" w14:textId="77777777" w:rsidR="00C46587" w:rsidRPr="0058432E" w:rsidRDefault="00C46587" w:rsidP="00982118">
      <w:pPr>
        <w:rPr>
          <w:color w:val="000000" w:themeColor="text1"/>
        </w:rPr>
      </w:pPr>
    </w:p>
    <w:p w14:paraId="61CE3572" w14:textId="77777777" w:rsidR="00C46587" w:rsidRPr="0058432E" w:rsidRDefault="00C46587" w:rsidP="00982118">
      <w:pPr>
        <w:rPr>
          <w:color w:val="000000" w:themeColor="text1"/>
        </w:rPr>
      </w:pPr>
      <w:r w:rsidRPr="0058432E">
        <w:rPr>
          <w:color w:val="000000" w:themeColor="text1"/>
        </w:rPr>
        <w:t>L’hidrosadénite suppurée (également appelée maladie de Verneuil</w:t>
      </w:r>
      <w:r w:rsidR="00EB1BC1" w:rsidRPr="0058432E">
        <w:rPr>
          <w:color w:val="000000" w:themeColor="text1"/>
        </w:rPr>
        <w:t>, acné inverse</w:t>
      </w:r>
      <w:r w:rsidRPr="0058432E">
        <w:rPr>
          <w:color w:val="000000" w:themeColor="text1"/>
        </w:rPr>
        <w:t>) est une maladie inflammatoire</w:t>
      </w:r>
      <w:r w:rsidR="00B42EC9" w:rsidRPr="0058432E">
        <w:rPr>
          <w:color w:val="000000" w:themeColor="text1"/>
        </w:rPr>
        <w:t xml:space="preserve"> chronique</w:t>
      </w:r>
      <w:r w:rsidRPr="0058432E">
        <w:rPr>
          <w:color w:val="000000" w:themeColor="text1"/>
        </w:rPr>
        <w:t xml:space="preserve"> de la peau, souvent douloureuse. Les symptômes peuvent inclure des nodules sensibles (bosses) et des abcès (furoncles) avec éventuellement écoulement de pus. Elle touche le plus souvent des zones spécifiques de la peau, telles que les plis sous les seins, les aisselles, l’intérieur des cuisses, l’aine et les fesses. Des cicatrices peuvent également apparaître sur les zones concernées. </w:t>
      </w:r>
    </w:p>
    <w:p w14:paraId="3EE530EE" w14:textId="77777777" w:rsidR="00C46587" w:rsidRPr="0058432E" w:rsidRDefault="00C46587" w:rsidP="00982118">
      <w:pPr>
        <w:rPr>
          <w:color w:val="000000" w:themeColor="text1"/>
        </w:rPr>
      </w:pPr>
    </w:p>
    <w:p w14:paraId="7992DE1E" w14:textId="77777777" w:rsidR="00C46587" w:rsidRPr="0058432E" w:rsidRDefault="006A1144" w:rsidP="00982118">
      <w:pPr>
        <w:rPr>
          <w:color w:val="000000" w:themeColor="text1"/>
        </w:rPr>
      </w:pPr>
      <w:r w:rsidRPr="0058432E">
        <w:rPr>
          <w:color w:val="000000" w:themeColor="text1"/>
        </w:rPr>
        <w:t xml:space="preserve">Amsparity est utilisé pour traiter l’hidrosadénite suppurée chez l’adulte et l’adolescent à partir de 12 ans. Amsparity peut réduire le nombre de nodules et d’abcès que vous avez, et la douleur souvent associée à la maladie. D’autres médicaments pourront d’abord vous être prescrits. Si ces médicaments ne fonctionnent pas assez bien, Amsparity vous sera prescrit. </w:t>
      </w:r>
    </w:p>
    <w:p w14:paraId="126025EE" w14:textId="77777777" w:rsidR="00A457FE" w:rsidRPr="0058432E" w:rsidRDefault="00A457FE" w:rsidP="00982118">
      <w:pPr>
        <w:rPr>
          <w:color w:val="000000" w:themeColor="text1"/>
          <w:u w:val="single"/>
        </w:rPr>
      </w:pPr>
    </w:p>
    <w:p w14:paraId="0D9BC6D9" w14:textId="77777777" w:rsidR="00C46587" w:rsidRPr="0058432E" w:rsidRDefault="00C46587" w:rsidP="00982118">
      <w:pPr>
        <w:rPr>
          <w:color w:val="000000" w:themeColor="text1"/>
          <w:u w:val="single"/>
        </w:rPr>
      </w:pPr>
      <w:r w:rsidRPr="0058432E">
        <w:rPr>
          <w:color w:val="000000" w:themeColor="text1"/>
          <w:u w:val="single"/>
        </w:rPr>
        <w:t xml:space="preserve">Maladie de Crohn chez l’adulte et l’enfant </w:t>
      </w:r>
    </w:p>
    <w:p w14:paraId="2C282CD4" w14:textId="77777777" w:rsidR="00C46587" w:rsidRPr="0058432E" w:rsidRDefault="00C46587" w:rsidP="00982118">
      <w:pPr>
        <w:rPr>
          <w:color w:val="000000" w:themeColor="text1"/>
        </w:rPr>
      </w:pPr>
    </w:p>
    <w:p w14:paraId="1C4C8B1F" w14:textId="77777777" w:rsidR="00C46587" w:rsidRPr="0058432E" w:rsidRDefault="00C46587" w:rsidP="00982118">
      <w:pPr>
        <w:rPr>
          <w:color w:val="000000" w:themeColor="text1"/>
        </w:rPr>
      </w:pPr>
      <w:r w:rsidRPr="0058432E">
        <w:rPr>
          <w:color w:val="000000" w:themeColor="text1"/>
        </w:rPr>
        <w:t xml:space="preserve">La maladie de Crohn est une maladie inflammatoire de l’intestin. </w:t>
      </w:r>
    </w:p>
    <w:p w14:paraId="3F81F064" w14:textId="77777777" w:rsidR="00C46587" w:rsidRPr="0058432E" w:rsidRDefault="00C46587" w:rsidP="00982118">
      <w:pPr>
        <w:rPr>
          <w:color w:val="000000" w:themeColor="text1"/>
        </w:rPr>
      </w:pPr>
    </w:p>
    <w:p w14:paraId="76EFF4C8" w14:textId="77777777" w:rsidR="00764B9A" w:rsidRPr="0058432E" w:rsidRDefault="006A1144" w:rsidP="00982118">
      <w:pPr>
        <w:rPr>
          <w:color w:val="000000" w:themeColor="text1"/>
        </w:rPr>
      </w:pPr>
      <w:r w:rsidRPr="0058432E">
        <w:rPr>
          <w:color w:val="000000" w:themeColor="text1"/>
        </w:rPr>
        <w:t xml:space="preserve">Amsparity est utilisé pour traiter la maladie de Crohn chez l’adulte et l’enfant de 6 à 17 ans. </w:t>
      </w:r>
    </w:p>
    <w:p w14:paraId="6E8E8F4B" w14:textId="77777777" w:rsidR="00764B9A" w:rsidRPr="0058432E" w:rsidRDefault="00764B9A" w:rsidP="00982118">
      <w:pPr>
        <w:rPr>
          <w:color w:val="000000" w:themeColor="text1"/>
        </w:rPr>
      </w:pPr>
    </w:p>
    <w:p w14:paraId="6E1C2D26" w14:textId="77777777" w:rsidR="00C46587" w:rsidRPr="0058432E" w:rsidRDefault="00C46587" w:rsidP="00982118">
      <w:pPr>
        <w:rPr>
          <w:color w:val="000000" w:themeColor="text1"/>
        </w:rPr>
      </w:pPr>
      <w:r w:rsidRPr="0058432E">
        <w:rPr>
          <w:color w:val="000000" w:themeColor="text1"/>
        </w:rPr>
        <w:t xml:space="preserve">Si vous êtes atteint de la maladie de Crohn, on vous prescrira d’abord d’autres médicaments. Si votre réponse à ces traitements n’est pas assez bonne, on vous prescrira Amsparity afin d’atténuer les signes et symptômes de votre maladie de Crohn. </w:t>
      </w:r>
    </w:p>
    <w:p w14:paraId="49FD0337" w14:textId="77777777" w:rsidR="00C46587" w:rsidRPr="0058432E" w:rsidRDefault="00C46587" w:rsidP="00982118">
      <w:pPr>
        <w:rPr>
          <w:color w:val="000000" w:themeColor="text1"/>
        </w:rPr>
      </w:pPr>
    </w:p>
    <w:p w14:paraId="0A712AED" w14:textId="77777777" w:rsidR="00C46587" w:rsidRPr="0058432E" w:rsidRDefault="00C46587" w:rsidP="00982118">
      <w:pPr>
        <w:rPr>
          <w:color w:val="000000" w:themeColor="text1"/>
        </w:rPr>
      </w:pPr>
      <w:r w:rsidRPr="0058432E">
        <w:rPr>
          <w:color w:val="000000" w:themeColor="text1"/>
          <w:u w:val="single"/>
        </w:rPr>
        <w:t>Rectocolite hémorragique</w:t>
      </w:r>
      <w:r w:rsidR="006E03C1" w:rsidRPr="0058432E">
        <w:rPr>
          <w:color w:val="000000" w:themeColor="text1"/>
          <w:u w:val="single"/>
        </w:rPr>
        <w:t xml:space="preserve"> chez l’adulte et l’enfant</w:t>
      </w:r>
      <w:r w:rsidRPr="0058432E">
        <w:rPr>
          <w:color w:val="000000" w:themeColor="text1"/>
        </w:rPr>
        <w:t xml:space="preserve"> </w:t>
      </w:r>
    </w:p>
    <w:p w14:paraId="328886B0" w14:textId="77777777" w:rsidR="00C46587" w:rsidRPr="0058432E" w:rsidRDefault="00C46587" w:rsidP="00982118">
      <w:pPr>
        <w:rPr>
          <w:color w:val="000000" w:themeColor="text1"/>
        </w:rPr>
      </w:pPr>
    </w:p>
    <w:p w14:paraId="3AA3D771" w14:textId="77777777" w:rsidR="00D64D24" w:rsidRPr="0058432E" w:rsidRDefault="00C46587" w:rsidP="00982118">
      <w:pPr>
        <w:rPr>
          <w:color w:val="000000" w:themeColor="text1"/>
        </w:rPr>
      </w:pPr>
      <w:r w:rsidRPr="0058432E">
        <w:rPr>
          <w:color w:val="000000" w:themeColor="text1"/>
        </w:rPr>
        <w:t xml:space="preserve">La rectocolite hémorragique est une maladie inflammatoire </w:t>
      </w:r>
      <w:r w:rsidR="00031465" w:rsidRPr="0058432E">
        <w:rPr>
          <w:color w:val="000000" w:themeColor="text1"/>
        </w:rPr>
        <w:t xml:space="preserve">du gros </w:t>
      </w:r>
      <w:r w:rsidRPr="0058432E">
        <w:rPr>
          <w:color w:val="000000" w:themeColor="text1"/>
        </w:rPr>
        <w:t xml:space="preserve">intestin. </w:t>
      </w:r>
    </w:p>
    <w:p w14:paraId="3A8CEB29" w14:textId="77777777" w:rsidR="00D64D24" w:rsidRPr="0058432E" w:rsidRDefault="00D64D24" w:rsidP="00982118">
      <w:pPr>
        <w:rPr>
          <w:color w:val="000000" w:themeColor="text1"/>
        </w:rPr>
      </w:pPr>
    </w:p>
    <w:p w14:paraId="4B2646F4" w14:textId="77777777" w:rsidR="00C46587" w:rsidRPr="0058432E" w:rsidRDefault="006A1144" w:rsidP="00982118">
      <w:pPr>
        <w:rPr>
          <w:color w:val="000000" w:themeColor="text1"/>
        </w:rPr>
      </w:pPr>
      <w:r w:rsidRPr="0058432E">
        <w:rPr>
          <w:color w:val="000000" w:themeColor="text1"/>
        </w:rPr>
        <w:t xml:space="preserve">Amsparity est utilisé pour traiter la rectocolite hémorragique </w:t>
      </w:r>
      <w:r w:rsidR="006E03C1" w:rsidRPr="0058432E">
        <w:rPr>
          <w:color w:val="000000" w:themeColor="text1"/>
        </w:rPr>
        <w:t xml:space="preserve">modérée à sévère </w:t>
      </w:r>
      <w:r w:rsidRPr="0058432E">
        <w:rPr>
          <w:color w:val="000000" w:themeColor="text1"/>
        </w:rPr>
        <w:t>chez l</w:t>
      </w:r>
      <w:r w:rsidR="006E03C1" w:rsidRPr="0058432E">
        <w:rPr>
          <w:color w:val="000000" w:themeColor="text1"/>
        </w:rPr>
        <w:t xml:space="preserve">es </w:t>
      </w:r>
      <w:r w:rsidRPr="0058432E">
        <w:rPr>
          <w:color w:val="000000" w:themeColor="text1"/>
        </w:rPr>
        <w:t>adulte</w:t>
      </w:r>
      <w:r w:rsidR="006E03C1" w:rsidRPr="0058432E">
        <w:rPr>
          <w:color w:val="000000" w:themeColor="text1"/>
        </w:rPr>
        <w:t>s et les enfants âgés de 6 à 17 ans</w:t>
      </w:r>
      <w:r w:rsidRPr="0058432E">
        <w:rPr>
          <w:color w:val="000000" w:themeColor="text1"/>
        </w:rPr>
        <w:t xml:space="preserve">. Si vous souffrez de rectocolite hémorragique, on </w:t>
      </w:r>
      <w:r w:rsidR="006E03C1" w:rsidRPr="0058432E">
        <w:rPr>
          <w:color w:val="000000" w:themeColor="text1"/>
        </w:rPr>
        <w:t xml:space="preserve">pourra </w:t>
      </w:r>
      <w:r w:rsidRPr="0058432E">
        <w:rPr>
          <w:color w:val="000000" w:themeColor="text1"/>
        </w:rPr>
        <w:t xml:space="preserve">vous </w:t>
      </w:r>
      <w:r w:rsidR="006E03C1" w:rsidRPr="0058432E">
        <w:rPr>
          <w:color w:val="000000" w:themeColor="text1"/>
        </w:rPr>
        <w:t xml:space="preserve">prescrire </w:t>
      </w:r>
      <w:r w:rsidRPr="0058432E">
        <w:rPr>
          <w:color w:val="000000" w:themeColor="text1"/>
        </w:rPr>
        <w:t xml:space="preserve">d’abord d’autres médicaments. Si ces </w:t>
      </w:r>
      <w:r w:rsidR="00EB1BC1" w:rsidRPr="0058432E">
        <w:rPr>
          <w:color w:val="000000" w:themeColor="text1"/>
        </w:rPr>
        <w:t xml:space="preserve">médicaments </w:t>
      </w:r>
      <w:r w:rsidRPr="0058432E">
        <w:rPr>
          <w:color w:val="000000" w:themeColor="text1"/>
        </w:rPr>
        <w:t xml:space="preserve">ne fonctionnent pas assez bien, vous pourrez recevoir Amsparity pour réduire les signes et symptômes de votre maladie. </w:t>
      </w:r>
    </w:p>
    <w:p w14:paraId="167CEE49" w14:textId="77777777" w:rsidR="00C46587" w:rsidRPr="0058432E" w:rsidRDefault="00C46587" w:rsidP="00982118">
      <w:pPr>
        <w:rPr>
          <w:color w:val="000000" w:themeColor="text1"/>
        </w:rPr>
      </w:pPr>
    </w:p>
    <w:p w14:paraId="51CE32B9" w14:textId="77777777" w:rsidR="00C46587" w:rsidRPr="0058432E" w:rsidRDefault="00C87F8F" w:rsidP="006D1A33">
      <w:pPr>
        <w:keepNext/>
        <w:keepLines/>
        <w:rPr>
          <w:color w:val="000000" w:themeColor="text1"/>
          <w:u w:val="single"/>
        </w:rPr>
      </w:pPr>
      <w:r w:rsidRPr="0058432E">
        <w:rPr>
          <w:color w:val="000000" w:themeColor="text1"/>
          <w:u w:val="single"/>
        </w:rPr>
        <w:t>Uvéite non infectieuse chez l’adulte et l’enfant</w:t>
      </w:r>
    </w:p>
    <w:p w14:paraId="6E7CB2A1" w14:textId="77777777" w:rsidR="00250F9D" w:rsidRPr="0058432E" w:rsidRDefault="00250F9D" w:rsidP="006D1A33">
      <w:pPr>
        <w:keepNext/>
        <w:keepLines/>
        <w:rPr>
          <w:color w:val="000000" w:themeColor="text1"/>
        </w:rPr>
      </w:pPr>
    </w:p>
    <w:p w14:paraId="40DDB902" w14:textId="77777777" w:rsidR="00C46587" w:rsidRPr="0058432E" w:rsidRDefault="00C46587" w:rsidP="00982118">
      <w:pPr>
        <w:rPr>
          <w:color w:val="000000" w:themeColor="text1"/>
        </w:rPr>
      </w:pPr>
      <w:r w:rsidRPr="0058432E">
        <w:rPr>
          <w:color w:val="000000" w:themeColor="text1"/>
        </w:rPr>
        <w:t>L’uvéite non infectieuse est une maladie inflammatoire touch</w:t>
      </w:r>
      <w:r w:rsidR="00EB1BC1" w:rsidRPr="0058432E">
        <w:rPr>
          <w:color w:val="000000" w:themeColor="text1"/>
        </w:rPr>
        <w:t>ant</w:t>
      </w:r>
      <w:r w:rsidRPr="0058432E">
        <w:rPr>
          <w:color w:val="000000" w:themeColor="text1"/>
        </w:rPr>
        <w:t xml:space="preserve"> certaines parties de l’œil. Cette inflammation peut entraîner une baisse de la vision et/ou la présence de particules flottant dans l’œil (points noirs ou filaments qui se déplacent dans le champ de vision). Amsparity agit en réduisant cette inflammation.</w:t>
      </w:r>
    </w:p>
    <w:p w14:paraId="150F5892" w14:textId="77777777" w:rsidR="00C46587" w:rsidRPr="0058432E" w:rsidRDefault="00C46587" w:rsidP="00982118">
      <w:pPr>
        <w:rPr>
          <w:color w:val="000000" w:themeColor="text1"/>
        </w:rPr>
      </w:pPr>
    </w:p>
    <w:p w14:paraId="08C5A086" w14:textId="77777777" w:rsidR="00C87F8F" w:rsidRPr="0058432E" w:rsidRDefault="006A1144" w:rsidP="00982118">
      <w:pPr>
        <w:rPr>
          <w:color w:val="000000" w:themeColor="text1"/>
        </w:rPr>
      </w:pPr>
      <w:r w:rsidRPr="0058432E">
        <w:rPr>
          <w:color w:val="000000" w:themeColor="text1"/>
        </w:rPr>
        <w:t>Amsparity est utilisé pour traiter :</w:t>
      </w:r>
    </w:p>
    <w:p w14:paraId="20ABF319" w14:textId="77777777" w:rsidR="00C87F8F" w:rsidRPr="0058432E" w:rsidRDefault="00D64D24"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les</w:t>
      </w:r>
      <w:proofErr w:type="gramEnd"/>
      <w:r w:rsidRPr="0058432E">
        <w:rPr>
          <w:color w:val="000000" w:themeColor="text1"/>
        </w:rPr>
        <w:t xml:space="preserve"> adultes atteints d’uvéite non infectieuse présentant une inflammation de la partie arrière de l’œil ;</w:t>
      </w:r>
    </w:p>
    <w:p w14:paraId="7F99C551" w14:textId="77777777" w:rsidR="00250F9D" w:rsidRPr="0058432E" w:rsidRDefault="00D64D24"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les</w:t>
      </w:r>
      <w:proofErr w:type="gramEnd"/>
      <w:r w:rsidRPr="0058432E">
        <w:rPr>
          <w:color w:val="000000" w:themeColor="text1"/>
        </w:rPr>
        <w:t xml:space="preserve"> enfants à partir de 2 ans atteints d’uvéite chronique non infectieuse présentant une inflammation de la partie avant de l’œil. </w:t>
      </w:r>
    </w:p>
    <w:p w14:paraId="4933C051" w14:textId="77777777" w:rsidR="00C87F8F" w:rsidRPr="0058432E" w:rsidRDefault="00C87F8F" w:rsidP="00982118">
      <w:pPr>
        <w:rPr>
          <w:color w:val="000000" w:themeColor="text1"/>
        </w:rPr>
      </w:pPr>
    </w:p>
    <w:p w14:paraId="6165C20F" w14:textId="77777777" w:rsidR="001C0964" w:rsidRPr="0058432E" w:rsidRDefault="001C0964" w:rsidP="00982118">
      <w:pPr>
        <w:pStyle w:val="BodyText"/>
        <w:widowControl/>
        <w:kinsoku w:val="0"/>
        <w:overflowPunct w:val="0"/>
        <w:ind w:left="0" w:right="354"/>
        <w:rPr>
          <w:color w:val="000000" w:themeColor="text1"/>
        </w:rPr>
      </w:pPr>
      <w:r w:rsidRPr="0058432E">
        <w:rPr>
          <w:color w:val="000000" w:themeColor="text1"/>
        </w:rPr>
        <w:t xml:space="preserve">D’autres médicaments pourront d’abord vous être prescrits. Si ces </w:t>
      </w:r>
      <w:r w:rsidR="00EB1BC1" w:rsidRPr="0058432E">
        <w:rPr>
          <w:color w:val="000000" w:themeColor="text1"/>
        </w:rPr>
        <w:t xml:space="preserve">médicaments </w:t>
      </w:r>
      <w:r w:rsidRPr="0058432E">
        <w:rPr>
          <w:color w:val="000000" w:themeColor="text1"/>
        </w:rPr>
        <w:t>ne fonctionnent pas assez bien, vous pourrez recevoir Amsparity pour réduire les signes et symptômes de votre maladie.</w:t>
      </w:r>
    </w:p>
    <w:p w14:paraId="17D2A31A" w14:textId="77777777" w:rsidR="00C46587" w:rsidRPr="0058432E" w:rsidRDefault="00C46587" w:rsidP="00982118">
      <w:pPr>
        <w:rPr>
          <w:color w:val="000000" w:themeColor="text1"/>
        </w:rPr>
      </w:pPr>
    </w:p>
    <w:p w14:paraId="06C7D445" w14:textId="77777777" w:rsidR="00C46587" w:rsidRPr="0058432E" w:rsidRDefault="00C46587" w:rsidP="00982118">
      <w:pPr>
        <w:rPr>
          <w:color w:val="000000" w:themeColor="text1"/>
        </w:rPr>
      </w:pPr>
    </w:p>
    <w:p w14:paraId="3B271AE8" w14:textId="77777777" w:rsidR="00C46587" w:rsidRPr="0058432E" w:rsidRDefault="00C46587" w:rsidP="00982118">
      <w:pPr>
        <w:tabs>
          <w:tab w:val="left" w:pos="562"/>
        </w:tabs>
        <w:rPr>
          <w:b/>
          <w:color w:val="000000" w:themeColor="text1"/>
        </w:rPr>
      </w:pPr>
      <w:r w:rsidRPr="0058432E">
        <w:rPr>
          <w:b/>
          <w:color w:val="000000" w:themeColor="text1"/>
        </w:rPr>
        <w:t>2.</w:t>
      </w:r>
      <w:r w:rsidRPr="0058432E">
        <w:rPr>
          <w:b/>
          <w:color w:val="000000" w:themeColor="text1"/>
        </w:rPr>
        <w:tab/>
        <w:t xml:space="preserve">Quelles sont les informations à connaître avant d’utiliser Amsparity </w:t>
      </w:r>
    </w:p>
    <w:p w14:paraId="664006D4" w14:textId="77777777" w:rsidR="00C46587" w:rsidRPr="0058432E" w:rsidRDefault="00C46587" w:rsidP="00982118">
      <w:pPr>
        <w:rPr>
          <w:color w:val="000000" w:themeColor="text1"/>
        </w:rPr>
      </w:pPr>
    </w:p>
    <w:p w14:paraId="4152D6F8" w14:textId="77777777" w:rsidR="00C46587" w:rsidRPr="0058432E" w:rsidRDefault="00C46587" w:rsidP="00982118">
      <w:pPr>
        <w:rPr>
          <w:b/>
          <w:color w:val="000000" w:themeColor="text1"/>
        </w:rPr>
      </w:pPr>
      <w:r w:rsidRPr="0058432E">
        <w:rPr>
          <w:b/>
          <w:color w:val="000000" w:themeColor="text1"/>
        </w:rPr>
        <w:t xml:space="preserve">N’utilisez jamais Amsparity </w:t>
      </w:r>
    </w:p>
    <w:p w14:paraId="220DCDC6" w14:textId="77777777" w:rsidR="00C46587" w:rsidRPr="0058432E" w:rsidRDefault="00C46587" w:rsidP="00982118">
      <w:pPr>
        <w:rPr>
          <w:color w:val="000000" w:themeColor="text1"/>
        </w:rPr>
      </w:pPr>
    </w:p>
    <w:p w14:paraId="069BEB11" w14:textId="77777777" w:rsidR="00C46587" w:rsidRPr="0058432E" w:rsidRDefault="00D64D24"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êtes allergique à l’adalimumab ou à l’un des autres composants contenus dans ce médicament (mentionnés dans la rubrique 6). </w:t>
      </w:r>
    </w:p>
    <w:p w14:paraId="26959F41" w14:textId="77777777" w:rsidR="00C46587" w:rsidRPr="0058432E" w:rsidRDefault="00C46587" w:rsidP="00764B9A">
      <w:pPr>
        <w:pStyle w:val="BodyText"/>
        <w:widowControl/>
        <w:kinsoku w:val="0"/>
        <w:overflowPunct w:val="0"/>
        <w:autoSpaceDE w:val="0"/>
        <w:autoSpaceDN w:val="0"/>
        <w:adjustRightInd w:val="0"/>
        <w:ind w:left="562"/>
        <w:rPr>
          <w:color w:val="000000" w:themeColor="text1"/>
        </w:rPr>
      </w:pPr>
    </w:p>
    <w:p w14:paraId="550B3D4E" w14:textId="77777777" w:rsidR="00C46587" w:rsidRPr="0058432E" w:rsidRDefault="00D64D24"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présentez une infection grave, y compris une tuberculose active, un</w:t>
      </w:r>
      <w:r w:rsidR="00C564BD" w:rsidRPr="0058432E">
        <w:rPr>
          <w:color w:val="000000" w:themeColor="text1"/>
        </w:rPr>
        <w:t>e</w:t>
      </w:r>
      <w:r w:rsidRPr="0058432E">
        <w:rPr>
          <w:color w:val="000000" w:themeColor="text1"/>
        </w:rPr>
        <w:t xml:space="preserve"> </w:t>
      </w:r>
      <w:r w:rsidR="00C564BD" w:rsidRPr="0058432E">
        <w:rPr>
          <w:color w:val="000000" w:themeColor="text1"/>
        </w:rPr>
        <w:t>septicémie</w:t>
      </w:r>
      <w:r w:rsidRPr="0058432E">
        <w:rPr>
          <w:color w:val="000000" w:themeColor="text1"/>
        </w:rPr>
        <w:t xml:space="preserve"> (empoisonnement du sang) ou des infections opportunistes (infections inhabituelles associées à un système immunitaire affaibli). Il est important de signaler à votre médecin si vous présentez des symptômes d’infections,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de la fièvre, des plaies, une sensation de fatigue, des problèmes dentaire</w:t>
      </w:r>
      <w:r w:rsidR="004D18F6" w:rsidRPr="0058432E">
        <w:rPr>
          <w:color w:val="000000" w:themeColor="text1"/>
        </w:rPr>
        <w:t>s</w:t>
      </w:r>
      <w:r w:rsidRPr="0058432E">
        <w:rPr>
          <w:color w:val="000000" w:themeColor="text1"/>
        </w:rPr>
        <w:t xml:space="preserve"> (voir « Avertissements et précautions »). </w:t>
      </w:r>
    </w:p>
    <w:p w14:paraId="2B3BB81F" w14:textId="77777777" w:rsidR="00C46587" w:rsidRPr="0058432E" w:rsidRDefault="00C46587" w:rsidP="00764B9A">
      <w:pPr>
        <w:pStyle w:val="BodyText"/>
        <w:widowControl/>
        <w:kinsoku w:val="0"/>
        <w:overflowPunct w:val="0"/>
        <w:autoSpaceDE w:val="0"/>
        <w:autoSpaceDN w:val="0"/>
        <w:adjustRightInd w:val="0"/>
        <w:ind w:left="562"/>
        <w:rPr>
          <w:color w:val="000000" w:themeColor="text1"/>
        </w:rPr>
      </w:pPr>
    </w:p>
    <w:p w14:paraId="2D134E7C" w14:textId="77777777" w:rsidR="00C46587" w:rsidRPr="0058432E" w:rsidRDefault="00D64D24" w:rsidP="00764B9A">
      <w:pPr>
        <w:pStyle w:val="BodyText"/>
        <w:widowControl/>
        <w:numPr>
          <w:ilvl w:val="1"/>
          <w:numId w:val="22"/>
        </w:numPr>
        <w:kinsoku w:val="0"/>
        <w:overflowPunct w:val="0"/>
        <w:autoSpaceDE w:val="0"/>
        <w:autoSpaceDN w:val="0"/>
        <w:adjustRightInd w:val="0"/>
        <w:ind w:left="562" w:hanging="562"/>
        <w:rPr>
          <w:color w:val="000000" w:themeColor="text1"/>
        </w:rPr>
      </w:pPr>
      <w:proofErr w:type="gramStart"/>
      <w:r w:rsidRPr="0058432E">
        <w:rPr>
          <w:color w:val="000000" w:themeColor="text1"/>
        </w:rPr>
        <w:t>si</w:t>
      </w:r>
      <w:proofErr w:type="gramEnd"/>
      <w:r w:rsidRPr="0058432E">
        <w:rPr>
          <w:color w:val="000000" w:themeColor="text1"/>
        </w:rPr>
        <w:t xml:space="preserve"> vous souffrez d’insuffisance cardiaque modérée ou sévère. Il est important d’informer votre médecin si vous avez eu ou si vous avez des problèmes cardiaques graves (voir « Avertissements et précautions »). </w:t>
      </w:r>
    </w:p>
    <w:p w14:paraId="58B6C0FD" w14:textId="77777777" w:rsidR="00C46587" w:rsidRPr="0058432E" w:rsidRDefault="00C46587" w:rsidP="00982118">
      <w:pPr>
        <w:rPr>
          <w:color w:val="000000" w:themeColor="text1"/>
        </w:rPr>
      </w:pPr>
    </w:p>
    <w:p w14:paraId="761690DC" w14:textId="77777777" w:rsidR="00C46587" w:rsidRPr="0058432E" w:rsidRDefault="00C46587" w:rsidP="00982118">
      <w:pPr>
        <w:keepNext/>
        <w:rPr>
          <w:b/>
          <w:color w:val="000000" w:themeColor="text1"/>
        </w:rPr>
      </w:pPr>
      <w:r w:rsidRPr="0058432E">
        <w:rPr>
          <w:b/>
          <w:color w:val="000000" w:themeColor="text1"/>
        </w:rPr>
        <w:t xml:space="preserve">Avertissements et précautions </w:t>
      </w:r>
    </w:p>
    <w:p w14:paraId="5AC037CA" w14:textId="77777777" w:rsidR="00C46587" w:rsidRPr="0058432E" w:rsidRDefault="00C46587" w:rsidP="00982118">
      <w:pPr>
        <w:keepNext/>
        <w:rPr>
          <w:color w:val="000000" w:themeColor="text1"/>
        </w:rPr>
      </w:pPr>
    </w:p>
    <w:p w14:paraId="1B292191" w14:textId="77777777" w:rsidR="00C46587" w:rsidRPr="0058432E" w:rsidRDefault="00C46587" w:rsidP="00982118">
      <w:pPr>
        <w:rPr>
          <w:color w:val="000000" w:themeColor="text1"/>
        </w:rPr>
      </w:pPr>
      <w:r w:rsidRPr="0058432E">
        <w:rPr>
          <w:color w:val="000000" w:themeColor="text1"/>
        </w:rPr>
        <w:t xml:space="preserve">Adressez-vous à votre médecin ou pharmacien avant d’utiliser Amsparity. </w:t>
      </w:r>
    </w:p>
    <w:p w14:paraId="13F981B5" w14:textId="77777777" w:rsidR="00C46587" w:rsidRPr="0058432E" w:rsidRDefault="00C46587" w:rsidP="00982118">
      <w:pPr>
        <w:rPr>
          <w:color w:val="000000" w:themeColor="text1"/>
        </w:rPr>
      </w:pPr>
    </w:p>
    <w:p w14:paraId="65F1C1E9" w14:textId="77777777" w:rsidR="005123EE" w:rsidRPr="0058432E" w:rsidRDefault="005123EE" w:rsidP="00764B9A">
      <w:pPr>
        <w:pStyle w:val="BodyText"/>
        <w:widowControl/>
        <w:ind w:left="0" w:right="-3"/>
        <w:rPr>
          <w:color w:val="000000" w:themeColor="text1"/>
        </w:rPr>
      </w:pPr>
      <w:r w:rsidRPr="0058432E">
        <w:rPr>
          <w:color w:val="000000" w:themeColor="text1"/>
        </w:rPr>
        <w:t>Il est primordial que vous et votre médecin conserviez le nom de marque et le numéro de lot de votre médicament.</w:t>
      </w:r>
    </w:p>
    <w:p w14:paraId="06A8FA97" w14:textId="77777777" w:rsidR="005123EE" w:rsidRPr="0058432E" w:rsidRDefault="005123EE" w:rsidP="00982118">
      <w:pPr>
        <w:rPr>
          <w:color w:val="000000" w:themeColor="text1"/>
        </w:rPr>
      </w:pPr>
    </w:p>
    <w:p w14:paraId="1BA21866" w14:textId="77777777" w:rsidR="00D64D24" w:rsidRPr="0058432E" w:rsidRDefault="00D64D24" w:rsidP="00982118">
      <w:pPr>
        <w:rPr>
          <w:color w:val="000000" w:themeColor="text1"/>
          <w:u w:val="single"/>
        </w:rPr>
      </w:pPr>
      <w:r w:rsidRPr="0058432E">
        <w:rPr>
          <w:color w:val="000000" w:themeColor="text1"/>
          <w:u w:val="single"/>
        </w:rPr>
        <w:t>Réactions allergiques</w:t>
      </w:r>
    </w:p>
    <w:p w14:paraId="348EB49B" w14:textId="77777777" w:rsidR="00D64D24" w:rsidRPr="0058432E" w:rsidRDefault="00D64D24" w:rsidP="00982118">
      <w:pPr>
        <w:rPr>
          <w:color w:val="000000" w:themeColor="text1"/>
        </w:rPr>
      </w:pPr>
    </w:p>
    <w:p w14:paraId="61B376F2" w14:textId="77777777" w:rsidR="00C46587" w:rsidRPr="0058432E" w:rsidRDefault="00C46587" w:rsidP="00764B9A">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vous avez des réactions allergiques avec des symptômes tels qu’oppression dans la poitrine, respiration sifflante, sensations vertigineuses, gonflement ou éruption cutanée, arrêtez les injections d’Amsparity et contactez votre médecin immédiatement car, dans de rares cas, ces réactions peuvent menacer le pronostic vital. </w:t>
      </w:r>
    </w:p>
    <w:p w14:paraId="3CE71D8C" w14:textId="77777777" w:rsidR="00C46587" w:rsidRPr="0058432E" w:rsidRDefault="00C46587" w:rsidP="00982118">
      <w:pPr>
        <w:rPr>
          <w:color w:val="000000" w:themeColor="text1"/>
        </w:rPr>
      </w:pPr>
    </w:p>
    <w:p w14:paraId="09655276" w14:textId="77777777" w:rsidR="00D64D24" w:rsidRPr="0058432E" w:rsidRDefault="00D64D24" w:rsidP="00982118">
      <w:pPr>
        <w:rPr>
          <w:color w:val="000000" w:themeColor="text1"/>
          <w:u w:val="single"/>
        </w:rPr>
      </w:pPr>
      <w:r w:rsidRPr="0058432E">
        <w:rPr>
          <w:color w:val="000000" w:themeColor="text1"/>
          <w:u w:val="single"/>
        </w:rPr>
        <w:t>Infections</w:t>
      </w:r>
    </w:p>
    <w:p w14:paraId="0F19411A" w14:textId="77777777" w:rsidR="00D64D24" w:rsidRPr="0058432E" w:rsidRDefault="00D64D24" w:rsidP="00982118">
      <w:pPr>
        <w:rPr>
          <w:color w:val="000000" w:themeColor="text1"/>
        </w:rPr>
      </w:pPr>
    </w:p>
    <w:p w14:paraId="56E339D1" w14:textId="77777777" w:rsidR="00C46587" w:rsidRPr="0058432E" w:rsidRDefault="00C46587" w:rsidP="000B37DD">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Si vous avez une infection, y compris une infection de longue durée ou une infection sur une partie du corps (par </w:t>
      </w:r>
      <w:r w:rsidR="001946D2" w:rsidRPr="0058432E">
        <w:rPr>
          <w:color w:val="000000" w:themeColor="text1"/>
        </w:rPr>
        <w:t>ex</w:t>
      </w:r>
      <w:r w:rsidR="00A67736" w:rsidRPr="0058432E">
        <w:rPr>
          <w:color w:val="000000" w:themeColor="text1"/>
        </w:rPr>
        <w:t>emple</w:t>
      </w:r>
      <w:r w:rsidRPr="0058432E">
        <w:rPr>
          <w:color w:val="000000" w:themeColor="text1"/>
        </w:rPr>
        <w:t xml:space="preserve">, ulcère de jambe), consultez votre médecin avant de commencer Amsparity. En cas de doute, veuillez contacter votre médecin. </w:t>
      </w:r>
    </w:p>
    <w:p w14:paraId="662DE9AE" w14:textId="77777777" w:rsidR="00C46587" w:rsidRPr="0058432E" w:rsidRDefault="00C46587" w:rsidP="00982118">
      <w:pPr>
        <w:ind w:left="720"/>
        <w:rPr>
          <w:color w:val="000000" w:themeColor="text1"/>
        </w:rPr>
      </w:pPr>
    </w:p>
    <w:p w14:paraId="0A6AA17D" w14:textId="77777777" w:rsidR="00C46587" w:rsidRPr="0058432E" w:rsidRDefault="00C46587" w:rsidP="00B42EC9">
      <w:pPr>
        <w:pStyle w:val="BodyText"/>
        <w:widowControl/>
        <w:numPr>
          <w:ilvl w:val="1"/>
          <w:numId w:val="22"/>
        </w:numPr>
        <w:kinsoku w:val="0"/>
        <w:overflowPunct w:val="0"/>
        <w:autoSpaceDE w:val="0"/>
        <w:autoSpaceDN w:val="0"/>
        <w:adjustRightInd w:val="0"/>
        <w:ind w:left="562" w:hanging="562"/>
        <w:rPr>
          <w:color w:val="000000" w:themeColor="text1"/>
        </w:rPr>
      </w:pPr>
      <w:r w:rsidRPr="0058432E">
        <w:rPr>
          <w:color w:val="000000" w:themeColor="text1"/>
        </w:rPr>
        <w:t xml:space="preserve">Vous pouvez développer plus facilement des infections au cours du traitement par Amsparity. Ce risque peut augmenter si vous avez des problèmes au niveau des poumons. Ces infections peuvent être graves et elles incluent tuberculose, infections causées par des virus, des champignons, des parasites ou des bactéries, ou autres infections opportunistes (agents infectieux inhabituels) et </w:t>
      </w:r>
      <w:r w:rsidR="00C564BD" w:rsidRPr="0058432E">
        <w:rPr>
          <w:color w:val="000000" w:themeColor="text1"/>
        </w:rPr>
        <w:t>septicémie</w:t>
      </w:r>
      <w:r w:rsidRPr="0058432E">
        <w:rPr>
          <w:color w:val="000000" w:themeColor="text1"/>
        </w:rPr>
        <w:t xml:space="preserve"> (empoisonnement du sang). Dans de rares cas, ces infections peuvent menacer </w:t>
      </w:r>
      <w:r w:rsidR="00EB4321" w:rsidRPr="0058432E">
        <w:rPr>
          <w:color w:val="000000" w:themeColor="text1"/>
        </w:rPr>
        <w:t>le pronostic vital</w:t>
      </w:r>
      <w:r w:rsidRPr="0058432E">
        <w:rPr>
          <w:color w:val="000000" w:themeColor="text1"/>
        </w:rPr>
        <w:t xml:space="preserve">. Il est important de prévenir votre médecin si vous avez des symptômes tels que de la fièvre, si vous avez des plaies, si vous vous sentez fatigué ou </w:t>
      </w:r>
      <w:r w:rsidRPr="0058432E">
        <w:rPr>
          <w:color w:val="000000" w:themeColor="text1"/>
        </w:rPr>
        <w:lastRenderedPageBreak/>
        <w:t xml:space="preserve">si vous avez des problèmes dentaires. Votre médecin peut recommander d’arrêter temporairement Amsparity. </w:t>
      </w:r>
    </w:p>
    <w:p w14:paraId="37C1F3C1" w14:textId="77777777" w:rsidR="00C46587" w:rsidRPr="0058432E" w:rsidRDefault="00C46587" w:rsidP="00982118">
      <w:pPr>
        <w:rPr>
          <w:color w:val="000000" w:themeColor="text1"/>
        </w:rPr>
      </w:pPr>
    </w:p>
    <w:p w14:paraId="26B1078F" w14:textId="77777777" w:rsidR="00D64D24" w:rsidRPr="0058432E" w:rsidRDefault="00D64D24" w:rsidP="00982118">
      <w:pPr>
        <w:rPr>
          <w:color w:val="000000" w:themeColor="text1"/>
          <w:u w:val="single"/>
        </w:rPr>
      </w:pPr>
      <w:r w:rsidRPr="0058432E">
        <w:rPr>
          <w:color w:val="000000" w:themeColor="text1"/>
          <w:u w:val="single"/>
        </w:rPr>
        <w:t>Tuberculose (TB)</w:t>
      </w:r>
    </w:p>
    <w:p w14:paraId="707BC79F" w14:textId="77777777" w:rsidR="00D64D24" w:rsidRPr="0058432E" w:rsidRDefault="00D64D24" w:rsidP="00982118">
      <w:pPr>
        <w:rPr>
          <w:color w:val="000000" w:themeColor="text1"/>
        </w:rPr>
      </w:pPr>
    </w:p>
    <w:p w14:paraId="57A61453" w14:textId="77777777" w:rsidR="00AA4681"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Comme des cas de tuberculose ont été rapportés chez des patients traités </w:t>
      </w:r>
      <w:r w:rsidR="008E7545" w:rsidRPr="0058432E">
        <w:rPr>
          <w:color w:val="000000" w:themeColor="text1"/>
        </w:rPr>
        <w:t>par adalimumab</w:t>
      </w:r>
      <w:r w:rsidRPr="0058432E">
        <w:rPr>
          <w:color w:val="000000" w:themeColor="text1"/>
        </w:rPr>
        <w:t xml:space="preserve">, votre médecin recherchera tout signe ou symptôme de tuberculose avant de débuter le traitement par Amsparity. Ceci comprendra une évaluation médicale approfondie incluant vos antécédents médicaux et </w:t>
      </w:r>
      <w:r w:rsidR="00383A9D" w:rsidRPr="0058432E">
        <w:rPr>
          <w:color w:val="000000" w:themeColor="text1"/>
        </w:rPr>
        <w:t xml:space="preserve">des </w:t>
      </w:r>
      <w:r w:rsidRPr="0058432E">
        <w:rPr>
          <w:color w:val="000000" w:themeColor="text1"/>
        </w:rPr>
        <w:t xml:space="preserve">examens de dépistage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radiographie pulmonaire et test tuberculinique). La réalisation et les résultats de ces tests devront être enregistrés sur votre </w:t>
      </w:r>
      <w:r w:rsidR="0045425F" w:rsidRPr="0058432E">
        <w:rPr>
          <w:color w:val="000000" w:themeColor="text1"/>
        </w:rPr>
        <w:t>carte de rappel patient</w:t>
      </w:r>
      <w:r w:rsidRPr="0058432E">
        <w:rPr>
          <w:color w:val="000000" w:themeColor="text1"/>
        </w:rPr>
        <w:t xml:space="preserve">. </w:t>
      </w:r>
    </w:p>
    <w:p w14:paraId="19668DD8" w14:textId="77777777" w:rsidR="00AA4681" w:rsidRPr="0058432E" w:rsidRDefault="00AA4681" w:rsidP="00AA4681">
      <w:pPr>
        <w:kinsoku w:val="0"/>
        <w:overflowPunct w:val="0"/>
        <w:autoSpaceDE w:val="0"/>
        <w:autoSpaceDN w:val="0"/>
        <w:adjustRightInd w:val="0"/>
        <w:rPr>
          <w:color w:val="000000" w:themeColor="text1"/>
        </w:rPr>
      </w:pPr>
    </w:p>
    <w:p w14:paraId="0E5C5B35" w14:textId="77777777" w:rsidR="00AA4681"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Il est très important de dire à votre médecin si vous avez déjà contracté la tuberculose ou si vous avez été en contact étroit avec quelqu’un qui a eu la tuberculose. </w:t>
      </w:r>
    </w:p>
    <w:p w14:paraId="0823BB87" w14:textId="77777777" w:rsidR="00AA4681" w:rsidRPr="0058432E" w:rsidRDefault="00AA4681" w:rsidP="00AA4681">
      <w:pPr>
        <w:kinsoku w:val="0"/>
        <w:overflowPunct w:val="0"/>
        <w:autoSpaceDE w:val="0"/>
        <w:autoSpaceDN w:val="0"/>
        <w:adjustRightInd w:val="0"/>
        <w:rPr>
          <w:color w:val="000000" w:themeColor="text1"/>
        </w:rPr>
      </w:pPr>
    </w:p>
    <w:p w14:paraId="5DDDD127" w14:textId="77777777" w:rsidR="00AA4681"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Une tuberculose peut se développer pendant le traitement, même si vous avez reçu un traitement préventif de la tuberculose. </w:t>
      </w:r>
    </w:p>
    <w:p w14:paraId="21ADBE54" w14:textId="77777777" w:rsidR="00AA4681" w:rsidRPr="0058432E" w:rsidRDefault="00AA4681" w:rsidP="00AA4681">
      <w:pPr>
        <w:kinsoku w:val="0"/>
        <w:overflowPunct w:val="0"/>
        <w:autoSpaceDE w:val="0"/>
        <w:autoSpaceDN w:val="0"/>
        <w:adjustRightInd w:val="0"/>
        <w:rPr>
          <w:color w:val="000000" w:themeColor="text1"/>
        </w:rPr>
      </w:pPr>
    </w:p>
    <w:p w14:paraId="216B6B58" w14:textId="77777777" w:rsidR="00C46587" w:rsidRPr="0058432E" w:rsidRDefault="00C46587" w:rsidP="000B37DD">
      <w:pPr>
        <w:numPr>
          <w:ilvl w:val="0"/>
          <w:numId w:val="5"/>
        </w:numPr>
        <w:kinsoku w:val="0"/>
        <w:overflowPunct w:val="0"/>
        <w:autoSpaceDE w:val="0"/>
        <w:autoSpaceDN w:val="0"/>
        <w:adjustRightInd w:val="0"/>
        <w:ind w:left="562" w:hanging="562"/>
        <w:rPr>
          <w:color w:val="000000" w:themeColor="text1"/>
        </w:rPr>
      </w:pPr>
      <w:r w:rsidRPr="0058432E">
        <w:rPr>
          <w:color w:val="000000" w:themeColor="text1"/>
        </w:rPr>
        <w:t xml:space="preserve">Si des symptômes de tuberculose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toux qui ne part pas, perte de poids, manque d’énergie, légère fièvre) ou si d’autres infections apparaissent durant ou après le traitement, prévenez votre médecin immédiatement. </w:t>
      </w:r>
    </w:p>
    <w:p w14:paraId="3101C5BE" w14:textId="77777777" w:rsidR="00C46587" w:rsidRPr="0058432E" w:rsidRDefault="00C46587" w:rsidP="00982118">
      <w:pPr>
        <w:rPr>
          <w:color w:val="000000" w:themeColor="text1"/>
        </w:rPr>
      </w:pPr>
    </w:p>
    <w:p w14:paraId="2C0BDB66" w14:textId="77777777" w:rsidR="00286BBD" w:rsidRPr="0058432E" w:rsidRDefault="00286BBD" w:rsidP="00982118">
      <w:pPr>
        <w:keepNext/>
        <w:rPr>
          <w:color w:val="000000" w:themeColor="text1"/>
          <w:u w:val="single"/>
        </w:rPr>
      </w:pPr>
      <w:r w:rsidRPr="0058432E">
        <w:rPr>
          <w:color w:val="000000" w:themeColor="text1"/>
          <w:u w:val="single"/>
        </w:rPr>
        <w:t>Voyage/infection récurrente</w:t>
      </w:r>
    </w:p>
    <w:p w14:paraId="5DEC9592" w14:textId="77777777" w:rsidR="00286BBD" w:rsidRPr="0058432E" w:rsidRDefault="00286BBD" w:rsidP="00982118">
      <w:pPr>
        <w:keepNext/>
        <w:rPr>
          <w:color w:val="000000" w:themeColor="text1"/>
        </w:rPr>
      </w:pPr>
    </w:p>
    <w:p w14:paraId="5832E0BF" w14:textId="77777777" w:rsidR="00C46587" w:rsidRPr="0058432E" w:rsidRDefault="00286BBD" w:rsidP="00AA4681">
      <w:pPr>
        <w:numPr>
          <w:ilvl w:val="0"/>
          <w:numId w:val="5"/>
        </w:numPr>
        <w:ind w:left="562" w:hanging="562"/>
        <w:rPr>
          <w:color w:val="000000" w:themeColor="text1"/>
        </w:rPr>
      </w:pPr>
      <w:r w:rsidRPr="0058432E">
        <w:rPr>
          <w:color w:val="000000" w:themeColor="text1"/>
        </w:rPr>
        <w:t xml:space="preserve">Avertissez votre médecin si vous </w:t>
      </w:r>
      <w:r w:rsidR="00383A9D" w:rsidRPr="0058432E">
        <w:rPr>
          <w:color w:val="000000" w:themeColor="text1"/>
        </w:rPr>
        <w:t xml:space="preserve">avez </w:t>
      </w:r>
      <w:r w:rsidRPr="0058432E">
        <w:rPr>
          <w:color w:val="000000" w:themeColor="text1"/>
        </w:rPr>
        <w:t>habit</w:t>
      </w:r>
      <w:r w:rsidR="00383A9D" w:rsidRPr="0058432E">
        <w:rPr>
          <w:color w:val="000000" w:themeColor="text1"/>
        </w:rPr>
        <w:t>é</w:t>
      </w:r>
      <w:r w:rsidRPr="0058432E">
        <w:rPr>
          <w:color w:val="000000" w:themeColor="text1"/>
        </w:rPr>
        <w:t xml:space="preserve"> ou voyag</w:t>
      </w:r>
      <w:r w:rsidR="00383A9D" w:rsidRPr="0058432E">
        <w:rPr>
          <w:color w:val="000000" w:themeColor="text1"/>
        </w:rPr>
        <w:t>é</w:t>
      </w:r>
      <w:r w:rsidRPr="0058432E">
        <w:rPr>
          <w:color w:val="000000" w:themeColor="text1"/>
        </w:rPr>
        <w:t xml:space="preserve"> dans des régions où les infections fongiques telles qu’histoplasmose, coccidioïdomycose ou blastomycose sont endémiques (détectées). </w:t>
      </w:r>
    </w:p>
    <w:p w14:paraId="32E4F001" w14:textId="77777777" w:rsidR="00C46587" w:rsidRPr="0058432E" w:rsidRDefault="00C46587" w:rsidP="00AA4681">
      <w:pPr>
        <w:ind w:left="562" w:hanging="562"/>
        <w:rPr>
          <w:color w:val="000000" w:themeColor="text1"/>
        </w:rPr>
      </w:pPr>
    </w:p>
    <w:p w14:paraId="13D8306E" w14:textId="77777777" w:rsidR="00C46587" w:rsidRPr="0058432E" w:rsidRDefault="00286BBD" w:rsidP="00AA4681">
      <w:pPr>
        <w:numPr>
          <w:ilvl w:val="0"/>
          <w:numId w:val="5"/>
        </w:numPr>
        <w:ind w:left="562" w:hanging="562"/>
        <w:rPr>
          <w:color w:val="000000" w:themeColor="text1"/>
        </w:rPr>
      </w:pPr>
      <w:r w:rsidRPr="0058432E">
        <w:rPr>
          <w:color w:val="000000" w:themeColor="text1"/>
        </w:rPr>
        <w:t xml:space="preserve">Informez votre médecin si vous avez des infections qui reviennent ou d’autres problèmes de santé qui augmentent le risque d’infection. </w:t>
      </w:r>
    </w:p>
    <w:p w14:paraId="67C6AC2C" w14:textId="77777777" w:rsidR="006A0B43" w:rsidRPr="0058432E" w:rsidRDefault="006A0B43" w:rsidP="00AA4681">
      <w:pPr>
        <w:ind w:left="562" w:hanging="562"/>
        <w:rPr>
          <w:color w:val="000000" w:themeColor="text1"/>
        </w:rPr>
      </w:pPr>
    </w:p>
    <w:p w14:paraId="4BC80760" w14:textId="77777777" w:rsidR="006A0B43" w:rsidRPr="0058432E" w:rsidRDefault="006A0B43" w:rsidP="00AA4681">
      <w:pPr>
        <w:numPr>
          <w:ilvl w:val="0"/>
          <w:numId w:val="5"/>
        </w:numPr>
        <w:ind w:left="562" w:hanging="562"/>
        <w:rPr>
          <w:color w:val="000000" w:themeColor="text1"/>
        </w:rPr>
      </w:pPr>
      <w:r w:rsidRPr="0058432E">
        <w:rPr>
          <w:color w:val="000000" w:themeColor="text1"/>
        </w:rPr>
        <w:t>Vous devez apporter une attention particulière aux signes d’infection lorsque vous êtes traité par Amsparity. Il est important de signaler à votre médecin si vous avez des signes d’infection tels que de la fièvre, des plaies, une sensation de fatigue ou des problèmes dentaires.</w:t>
      </w:r>
    </w:p>
    <w:p w14:paraId="53CFBD39" w14:textId="77777777" w:rsidR="00C46587" w:rsidRPr="0058432E" w:rsidRDefault="00C46587" w:rsidP="00AA4681">
      <w:pPr>
        <w:ind w:left="562" w:hanging="562"/>
        <w:rPr>
          <w:color w:val="000000" w:themeColor="text1"/>
        </w:rPr>
      </w:pPr>
    </w:p>
    <w:p w14:paraId="639B1B42" w14:textId="77777777" w:rsidR="00286BBD" w:rsidRPr="0058432E" w:rsidRDefault="00286BBD" w:rsidP="00982118">
      <w:pPr>
        <w:keepNext/>
        <w:rPr>
          <w:color w:val="000000" w:themeColor="text1"/>
          <w:u w:val="single"/>
        </w:rPr>
      </w:pPr>
      <w:r w:rsidRPr="0058432E">
        <w:rPr>
          <w:color w:val="000000" w:themeColor="text1"/>
          <w:u w:val="single"/>
        </w:rPr>
        <w:t>Virus de l’hépatite B</w:t>
      </w:r>
    </w:p>
    <w:p w14:paraId="50718DDD" w14:textId="77777777" w:rsidR="00286BBD" w:rsidRPr="0058432E" w:rsidRDefault="00286BBD" w:rsidP="00982118">
      <w:pPr>
        <w:rPr>
          <w:color w:val="000000" w:themeColor="text1"/>
        </w:rPr>
      </w:pPr>
    </w:p>
    <w:p w14:paraId="2F5C3DCA" w14:textId="77777777" w:rsidR="00C46587" w:rsidRPr="0058432E" w:rsidRDefault="00286BBD" w:rsidP="00AA4681">
      <w:pPr>
        <w:numPr>
          <w:ilvl w:val="0"/>
          <w:numId w:val="5"/>
        </w:numPr>
        <w:ind w:left="562" w:hanging="562"/>
        <w:rPr>
          <w:color w:val="000000" w:themeColor="text1"/>
        </w:rPr>
      </w:pPr>
      <w:r w:rsidRPr="0058432E">
        <w:rPr>
          <w:color w:val="000000" w:themeColor="text1"/>
        </w:rPr>
        <w:t xml:space="preserve">Informez votre médecin si vous êtes porteur du virus de l’hépatite B (VHB), si vous avez une infection active par le VHB ou si vous pensez pouvoir avoir un risque d’attraper le VHB. Votre médecin devra effectuer un dépistage du VHB. L’adalimumab peut réactiver l’infection par le VHB chez les personnes porteuses de ce virus. Dans de rares cas, particulièrement si vous prenez d’autres médicaments qui diminuent le système immunitaire, une réactivation de l’infection par le VHB peut </w:t>
      </w:r>
      <w:r w:rsidR="0035281B" w:rsidRPr="0058432E">
        <w:rPr>
          <w:color w:val="000000" w:themeColor="text1"/>
        </w:rPr>
        <w:t>menacer le pronostic vital</w:t>
      </w:r>
      <w:r w:rsidRPr="0058432E">
        <w:rPr>
          <w:color w:val="000000" w:themeColor="text1"/>
        </w:rPr>
        <w:t xml:space="preserve">. </w:t>
      </w:r>
    </w:p>
    <w:p w14:paraId="00BB3472" w14:textId="77777777" w:rsidR="00C46587" w:rsidRPr="0058432E" w:rsidRDefault="00C46587" w:rsidP="00982118">
      <w:pPr>
        <w:rPr>
          <w:color w:val="000000" w:themeColor="text1"/>
        </w:rPr>
      </w:pPr>
    </w:p>
    <w:p w14:paraId="28D7A686" w14:textId="77777777" w:rsidR="00773E7E" w:rsidRPr="0058432E" w:rsidRDefault="00773E7E" w:rsidP="00982118">
      <w:pPr>
        <w:keepNext/>
        <w:rPr>
          <w:color w:val="000000" w:themeColor="text1"/>
          <w:u w:val="single"/>
        </w:rPr>
      </w:pPr>
      <w:r w:rsidRPr="0058432E">
        <w:rPr>
          <w:color w:val="000000" w:themeColor="text1"/>
          <w:u w:val="single"/>
        </w:rPr>
        <w:t>Au-delà de 65 ans</w:t>
      </w:r>
    </w:p>
    <w:p w14:paraId="741C237E" w14:textId="77777777" w:rsidR="00773E7E" w:rsidRPr="0058432E" w:rsidRDefault="00773E7E" w:rsidP="00982118">
      <w:pPr>
        <w:rPr>
          <w:color w:val="000000" w:themeColor="text1"/>
        </w:rPr>
      </w:pPr>
    </w:p>
    <w:p w14:paraId="768A82AE"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avez plus de 65 ans, vous pouvez être plus sensible aux infections pendant le traitement par Amsparity. Vous et votre médecin devez apporter une attention particulière aux signes d’infection lorsque vous êtes traité par Amsparity. Il est important de signaler à votre médecin si vous avez des signes d’infection tels que de la fièvre, des plaies, une sensation de fatigue ou des problèmes dentaires. </w:t>
      </w:r>
    </w:p>
    <w:p w14:paraId="3AC45701" w14:textId="77777777" w:rsidR="00C46587" w:rsidRPr="0058432E" w:rsidRDefault="00C46587" w:rsidP="00982118">
      <w:pPr>
        <w:rPr>
          <w:color w:val="000000" w:themeColor="text1"/>
        </w:rPr>
      </w:pPr>
    </w:p>
    <w:p w14:paraId="194A9CB4" w14:textId="77777777" w:rsidR="00773E7E" w:rsidRPr="0058432E" w:rsidRDefault="00383A9D" w:rsidP="006B001C">
      <w:pPr>
        <w:keepNext/>
        <w:rPr>
          <w:color w:val="000000" w:themeColor="text1"/>
          <w:u w:val="single"/>
        </w:rPr>
      </w:pPr>
      <w:r w:rsidRPr="0058432E">
        <w:rPr>
          <w:color w:val="000000" w:themeColor="text1"/>
          <w:u w:val="single"/>
        </w:rPr>
        <w:lastRenderedPageBreak/>
        <w:t>Intervention c</w:t>
      </w:r>
      <w:r w:rsidR="00773E7E" w:rsidRPr="0058432E">
        <w:rPr>
          <w:color w:val="000000" w:themeColor="text1"/>
          <w:u w:val="single"/>
        </w:rPr>
        <w:t>hirurg</w:t>
      </w:r>
      <w:r w:rsidR="006D0A32" w:rsidRPr="0058432E">
        <w:rPr>
          <w:color w:val="000000" w:themeColor="text1"/>
          <w:u w:val="single"/>
        </w:rPr>
        <w:t>ic</w:t>
      </w:r>
      <w:r w:rsidRPr="0058432E">
        <w:rPr>
          <w:color w:val="000000" w:themeColor="text1"/>
          <w:u w:val="single"/>
        </w:rPr>
        <w:t>ale</w:t>
      </w:r>
      <w:r w:rsidR="00773E7E" w:rsidRPr="0058432E">
        <w:rPr>
          <w:color w:val="000000" w:themeColor="text1"/>
          <w:u w:val="single"/>
        </w:rPr>
        <w:t xml:space="preserve"> ou dentaire</w:t>
      </w:r>
    </w:p>
    <w:p w14:paraId="5E6A68F9" w14:textId="77777777" w:rsidR="00773E7E" w:rsidRPr="0058432E" w:rsidRDefault="00773E7E" w:rsidP="006B001C">
      <w:pPr>
        <w:keepNext/>
        <w:rPr>
          <w:color w:val="000000" w:themeColor="text1"/>
        </w:rPr>
      </w:pPr>
    </w:p>
    <w:p w14:paraId="334A1284"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devez </w:t>
      </w:r>
      <w:r w:rsidR="00D6435F" w:rsidRPr="0058432E">
        <w:rPr>
          <w:color w:val="000000" w:themeColor="text1"/>
        </w:rPr>
        <w:t xml:space="preserve">subir </w:t>
      </w:r>
      <w:r w:rsidRPr="0058432E">
        <w:rPr>
          <w:color w:val="000000" w:themeColor="text1"/>
        </w:rPr>
        <w:t xml:space="preserve">une intervention chirurgicale ou dentaire, informez votre médecin que vous êtes traité par Amsparity. Votre médecin peut recommander d’arrêter temporairement Amsparity. </w:t>
      </w:r>
    </w:p>
    <w:p w14:paraId="3BB527AC" w14:textId="77777777" w:rsidR="00C46587" w:rsidRPr="0058432E" w:rsidRDefault="00C46587" w:rsidP="00982118">
      <w:pPr>
        <w:rPr>
          <w:color w:val="000000" w:themeColor="text1"/>
        </w:rPr>
      </w:pPr>
    </w:p>
    <w:p w14:paraId="2FBFC388" w14:textId="77777777" w:rsidR="00773E7E" w:rsidRPr="0058432E" w:rsidRDefault="00773E7E" w:rsidP="00982118">
      <w:pPr>
        <w:keepNext/>
        <w:rPr>
          <w:color w:val="000000" w:themeColor="text1"/>
          <w:u w:val="single"/>
        </w:rPr>
      </w:pPr>
      <w:r w:rsidRPr="0058432E">
        <w:rPr>
          <w:color w:val="000000" w:themeColor="text1"/>
          <w:u w:val="single"/>
        </w:rPr>
        <w:t>Maladie démyélinisante</w:t>
      </w:r>
    </w:p>
    <w:p w14:paraId="6ABD0E46" w14:textId="77777777" w:rsidR="00773E7E" w:rsidRPr="0058432E" w:rsidRDefault="00773E7E" w:rsidP="00982118">
      <w:pPr>
        <w:rPr>
          <w:color w:val="000000" w:themeColor="text1"/>
        </w:rPr>
      </w:pPr>
    </w:p>
    <w:p w14:paraId="71D97369"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Si vous avez ou développez une maladie démyélinisante (maladie qui affecte la gaine </w:t>
      </w:r>
      <w:r w:rsidR="00D6435F" w:rsidRPr="0058432E">
        <w:rPr>
          <w:color w:val="000000" w:themeColor="text1"/>
        </w:rPr>
        <w:t xml:space="preserve">isolante </w:t>
      </w:r>
      <w:r w:rsidRPr="0058432E">
        <w:rPr>
          <w:color w:val="000000" w:themeColor="text1"/>
        </w:rPr>
        <w:t xml:space="preserve">entourant les nerfs, telle que la sclérose en plaques), votre médecin évaluera si vous devez recevoir Amsparity ou continuer de recevoir Amsparity. Informez immédiatement votre médecin si vous présentez des symptômes tels que des modifications de votre vision, une faiblesse dans les bras ou les jambes, ou un engourdissement ou des fourmillements dans une partie de votre corps. </w:t>
      </w:r>
    </w:p>
    <w:p w14:paraId="3E2D7722" w14:textId="77777777" w:rsidR="00C46587" w:rsidRPr="0058432E" w:rsidRDefault="00C46587" w:rsidP="00982118">
      <w:pPr>
        <w:rPr>
          <w:color w:val="000000" w:themeColor="text1"/>
        </w:rPr>
      </w:pPr>
    </w:p>
    <w:p w14:paraId="71403415" w14:textId="77777777" w:rsidR="008C4629" w:rsidRPr="0058432E" w:rsidRDefault="008C4629" w:rsidP="00982118">
      <w:pPr>
        <w:keepNext/>
        <w:rPr>
          <w:color w:val="000000" w:themeColor="text1"/>
          <w:u w:val="single"/>
        </w:rPr>
      </w:pPr>
      <w:r w:rsidRPr="0058432E">
        <w:rPr>
          <w:color w:val="000000" w:themeColor="text1"/>
          <w:u w:val="single"/>
        </w:rPr>
        <w:t>Vaccin</w:t>
      </w:r>
      <w:r w:rsidR="00892E39" w:rsidRPr="0058432E">
        <w:rPr>
          <w:color w:val="000000" w:themeColor="text1"/>
          <w:u w:val="single"/>
        </w:rPr>
        <w:t>ation</w:t>
      </w:r>
    </w:p>
    <w:p w14:paraId="471AF693" w14:textId="77777777" w:rsidR="008C4629" w:rsidRPr="0058432E" w:rsidRDefault="008C4629" w:rsidP="00982118">
      <w:pPr>
        <w:rPr>
          <w:color w:val="000000" w:themeColor="text1"/>
        </w:rPr>
      </w:pPr>
    </w:p>
    <w:p w14:paraId="7072436F"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Certains vaccins contiennent des formes vivantes mais affaiblies de bactéries ou de virus pathogènes qui peuvent </w:t>
      </w:r>
      <w:r w:rsidR="00B42EC9" w:rsidRPr="0058432E">
        <w:rPr>
          <w:color w:val="000000" w:themeColor="text1"/>
        </w:rPr>
        <w:t>entraîner</w:t>
      </w:r>
      <w:r w:rsidRPr="0058432E">
        <w:rPr>
          <w:color w:val="000000" w:themeColor="text1"/>
        </w:rPr>
        <w:t xml:space="preserve"> des infections et ne doivent pas être administrés pendant le traitement par Amsparity. Vérifiez avec votre médecin avant toute vaccination. Il est recommandé, si possible, que les enfants aient reçu les vaccinations prévues pour leur âge avant le début du traitement par Amsparity. Si vous recevez Amsparity alors que vous êtes enceinte, votre enfant peut présenter un risque plus élevé d’avoir une infection pendant environ cinq mois après la dernière dose reçue pendant la grossesse. Il est important de dire aux médecins de votre bébé et aux autres professionnels de santé que vous avez reçu Amsparity pendant votre grossesse ; ils pourront ainsi décider quand votre bébé devra recevoir ses vaccins. </w:t>
      </w:r>
    </w:p>
    <w:p w14:paraId="6A91F7F3" w14:textId="77777777" w:rsidR="00C46587" w:rsidRPr="0058432E" w:rsidRDefault="00C46587" w:rsidP="00982118">
      <w:pPr>
        <w:rPr>
          <w:color w:val="000000" w:themeColor="text1"/>
        </w:rPr>
      </w:pPr>
    </w:p>
    <w:p w14:paraId="7CE22494" w14:textId="77777777" w:rsidR="001A798D" w:rsidRPr="0058432E" w:rsidRDefault="001A798D" w:rsidP="00982118">
      <w:pPr>
        <w:keepNext/>
        <w:rPr>
          <w:color w:val="000000" w:themeColor="text1"/>
          <w:u w:val="single"/>
        </w:rPr>
      </w:pPr>
      <w:r w:rsidRPr="0058432E">
        <w:rPr>
          <w:color w:val="000000" w:themeColor="text1"/>
          <w:u w:val="single"/>
        </w:rPr>
        <w:t>Troubles cardiaques</w:t>
      </w:r>
    </w:p>
    <w:p w14:paraId="0AA232E9" w14:textId="77777777" w:rsidR="001A798D" w:rsidRPr="0058432E" w:rsidRDefault="001A798D" w:rsidP="00982118">
      <w:pPr>
        <w:keepNext/>
        <w:rPr>
          <w:color w:val="000000" w:themeColor="text1"/>
        </w:rPr>
      </w:pPr>
    </w:p>
    <w:p w14:paraId="0B87D2EA" w14:textId="77777777" w:rsidR="00C46587" w:rsidRPr="0058432E" w:rsidRDefault="001A798D" w:rsidP="00AA4681">
      <w:pPr>
        <w:numPr>
          <w:ilvl w:val="0"/>
          <w:numId w:val="5"/>
        </w:numPr>
        <w:ind w:left="562" w:hanging="562"/>
        <w:rPr>
          <w:color w:val="000000" w:themeColor="text1"/>
        </w:rPr>
      </w:pPr>
      <w:r w:rsidRPr="0058432E">
        <w:rPr>
          <w:color w:val="000000" w:themeColor="text1"/>
        </w:rPr>
        <w:t xml:space="preserve">Il est important d’informer votre médecin si vous avez ou si vous avez eu des problèmes cardiaques graves. Si vous avez une insuffisance cardiaque légère et que vous êtes traité par Amsparity, l’état de votre insuffisance cardiaque doit être étroitement surveillé par votre médecin. Si vous développez de nouveaux symptômes ou si ceux de votre insuffisance cardiaque s’aggravent (par </w:t>
      </w:r>
      <w:r w:rsidR="001946D2" w:rsidRPr="0058432E">
        <w:rPr>
          <w:color w:val="000000" w:themeColor="text1"/>
        </w:rPr>
        <w:t>ex</w:t>
      </w:r>
      <w:r w:rsidR="00A67736" w:rsidRPr="0058432E">
        <w:rPr>
          <w:color w:val="000000" w:themeColor="text1"/>
        </w:rPr>
        <w:t>emple</w:t>
      </w:r>
      <w:r w:rsidRPr="0058432E">
        <w:rPr>
          <w:color w:val="000000" w:themeColor="text1"/>
        </w:rPr>
        <w:t xml:space="preserve">, </w:t>
      </w:r>
      <w:r w:rsidR="00BF7BFC" w:rsidRPr="0058432E">
        <w:rPr>
          <w:color w:val="000000" w:themeColor="text1"/>
        </w:rPr>
        <w:t>essoufflement</w:t>
      </w:r>
      <w:r w:rsidRPr="0058432E">
        <w:rPr>
          <w:color w:val="000000" w:themeColor="text1"/>
        </w:rPr>
        <w:t xml:space="preserve"> ou gonflement des pieds), vous devez contacter immédiatement votre médecin. </w:t>
      </w:r>
    </w:p>
    <w:p w14:paraId="74B30C4F" w14:textId="77777777" w:rsidR="00C46587" w:rsidRPr="0058432E" w:rsidRDefault="00C46587" w:rsidP="00982118">
      <w:pPr>
        <w:rPr>
          <w:color w:val="000000" w:themeColor="text1"/>
        </w:rPr>
      </w:pPr>
    </w:p>
    <w:p w14:paraId="13EC2079" w14:textId="77777777" w:rsidR="001A798D" w:rsidRPr="0058432E" w:rsidRDefault="001A798D" w:rsidP="00D46BF7">
      <w:pPr>
        <w:keepNext/>
        <w:rPr>
          <w:color w:val="000000" w:themeColor="text1"/>
          <w:u w:val="single"/>
        </w:rPr>
      </w:pPr>
      <w:r w:rsidRPr="0058432E">
        <w:rPr>
          <w:color w:val="000000" w:themeColor="text1"/>
          <w:u w:val="single"/>
        </w:rPr>
        <w:t xml:space="preserve">Fièvre, </w:t>
      </w:r>
      <w:r w:rsidR="00D6435F" w:rsidRPr="0058432E">
        <w:rPr>
          <w:color w:val="000000" w:themeColor="text1"/>
          <w:u w:val="single"/>
        </w:rPr>
        <w:t>contusions</w:t>
      </w:r>
      <w:r w:rsidRPr="0058432E">
        <w:rPr>
          <w:color w:val="000000" w:themeColor="text1"/>
          <w:u w:val="single"/>
        </w:rPr>
        <w:t>, saignement ou aspect pâle</w:t>
      </w:r>
    </w:p>
    <w:p w14:paraId="64A6797A" w14:textId="77777777" w:rsidR="001A798D" w:rsidRPr="0058432E" w:rsidRDefault="001A798D" w:rsidP="00D46BF7">
      <w:pPr>
        <w:keepNext/>
        <w:rPr>
          <w:color w:val="000000" w:themeColor="text1"/>
        </w:rPr>
      </w:pPr>
    </w:p>
    <w:p w14:paraId="618F2E03"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Chez certains patients, l’organisme peut ne pas parvenir à fabriquer assez de </w:t>
      </w:r>
      <w:r w:rsidR="00FB440E" w:rsidRPr="0058432E">
        <w:rPr>
          <w:color w:val="000000" w:themeColor="text1"/>
        </w:rPr>
        <w:t>globules</w:t>
      </w:r>
      <w:r w:rsidRPr="0058432E">
        <w:rPr>
          <w:color w:val="000000" w:themeColor="text1"/>
        </w:rPr>
        <w:t xml:space="preserve"> sanguins qui aident votre organisme à lutter contre les infections ou à arrêter les hémorragies. Si vous avez une fièvre qui ne disparaît pas, si vous avez des contusions ou saignez très facilement, ou si vous présentez une pâleur, contactez tout de suite votre médecin. Votre médecin pourrait décider d’arrêter le traitement. </w:t>
      </w:r>
    </w:p>
    <w:p w14:paraId="4CE50A1F" w14:textId="77777777" w:rsidR="00C46587" w:rsidRPr="0058432E" w:rsidRDefault="00C46587" w:rsidP="00982118">
      <w:pPr>
        <w:rPr>
          <w:color w:val="000000" w:themeColor="text1"/>
        </w:rPr>
      </w:pPr>
    </w:p>
    <w:p w14:paraId="09C229B9" w14:textId="77777777" w:rsidR="00166693" w:rsidRPr="0058432E" w:rsidRDefault="00166693" w:rsidP="00982118">
      <w:pPr>
        <w:keepNext/>
        <w:rPr>
          <w:color w:val="000000" w:themeColor="text1"/>
          <w:u w:val="single"/>
        </w:rPr>
      </w:pPr>
      <w:r w:rsidRPr="0058432E">
        <w:rPr>
          <w:color w:val="000000" w:themeColor="text1"/>
          <w:u w:val="single"/>
        </w:rPr>
        <w:t>Cancer</w:t>
      </w:r>
    </w:p>
    <w:p w14:paraId="78C7453E" w14:textId="77777777" w:rsidR="00166693" w:rsidRPr="0058432E" w:rsidRDefault="00166693" w:rsidP="00982118">
      <w:pPr>
        <w:rPr>
          <w:color w:val="000000" w:themeColor="text1"/>
        </w:rPr>
      </w:pPr>
    </w:p>
    <w:p w14:paraId="0FB84DB8" w14:textId="77777777" w:rsidR="00166693" w:rsidRPr="0058432E" w:rsidRDefault="00C46587" w:rsidP="00AA4681">
      <w:pPr>
        <w:numPr>
          <w:ilvl w:val="0"/>
          <w:numId w:val="5"/>
        </w:numPr>
        <w:ind w:left="562" w:hanging="562"/>
        <w:rPr>
          <w:color w:val="000000" w:themeColor="text1"/>
        </w:rPr>
      </w:pPr>
      <w:r w:rsidRPr="0058432E">
        <w:rPr>
          <w:color w:val="000000" w:themeColor="text1"/>
        </w:rPr>
        <w:t xml:space="preserve">Il y a eu de très rares cas de certains types de cancers chez des enfants et des adultes traités par adalimumab ou par d’autres anti-TNFα. Les sujets avec une polyarthrite rhumatoïde plus grave et qui ont développé la maladie depuis longtemps </w:t>
      </w:r>
      <w:r w:rsidR="00D6435F" w:rsidRPr="0058432E">
        <w:rPr>
          <w:color w:val="000000" w:themeColor="text1"/>
        </w:rPr>
        <w:t xml:space="preserve">peuvent avoir </w:t>
      </w:r>
      <w:r w:rsidRPr="0058432E">
        <w:rPr>
          <w:color w:val="000000" w:themeColor="text1"/>
        </w:rPr>
        <w:t xml:space="preserve">un risque plus élevé que la moyenne de développer un lymphome et une leucémie (cancers qui touchent les </w:t>
      </w:r>
      <w:r w:rsidR="00FB440E" w:rsidRPr="0058432E">
        <w:rPr>
          <w:color w:val="000000" w:themeColor="text1"/>
        </w:rPr>
        <w:t>globules</w:t>
      </w:r>
      <w:r w:rsidRPr="0058432E">
        <w:rPr>
          <w:color w:val="000000" w:themeColor="text1"/>
        </w:rPr>
        <w:t xml:space="preserve"> sanguins et la moelle osseuse). Si vous prenez Amsparity, le risque d’avoir un lymphome, une leucémie ou d’autres cancers peut augmenter. Dans de rares cas, une forme rare et sévère de lymphome a été observée chez des patients prenant l’adalimumab. Certains de ces patients étaient également traités par les médicaments azathioprine ou mercaptopurine. Indiquez à votre médecin si vous prenez de l’azathioprine ou de la mercaptopurine avec Amsparity. </w:t>
      </w:r>
    </w:p>
    <w:p w14:paraId="2C8A386D" w14:textId="77777777" w:rsidR="00166693" w:rsidRPr="0058432E" w:rsidRDefault="00166693" w:rsidP="00AA4681">
      <w:pPr>
        <w:ind w:left="562" w:hanging="562"/>
        <w:rPr>
          <w:color w:val="000000" w:themeColor="text1"/>
        </w:rPr>
      </w:pPr>
    </w:p>
    <w:p w14:paraId="4DA38A5C" w14:textId="77777777" w:rsidR="00C46587" w:rsidRPr="0058432E" w:rsidRDefault="00166693" w:rsidP="002F19E7">
      <w:pPr>
        <w:numPr>
          <w:ilvl w:val="0"/>
          <w:numId w:val="5"/>
        </w:numPr>
        <w:ind w:left="562" w:hanging="562"/>
        <w:rPr>
          <w:color w:val="000000" w:themeColor="text1"/>
        </w:rPr>
      </w:pPr>
      <w:r w:rsidRPr="0058432E">
        <w:rPr>
          <w:color w:val="000000" w:themeColor="text1"/>
        </w:rPr>
        <w:lastRenderedPageBreak/>
        <w:t xml:space="preserve">De plus, des cas de cancers de la peau </w:t>
      </w:r>
      <w:proofErr w:type="gramStart"/>
      <w:r w:rsidRPr="0058432E">
        <w:rPr>
          <w:color w:val="000000" w:themeColor="text1"/>
        </w:rPr>
        <w:t>non mélanomes</w:t>
      </w:r>
      <w:proofErr w:type="gramEnd"/>
      <w:r w:rsidRPr="0058432E">
        <w:rPr>
          <w:color w:val="000000" w:themeColor="text1"/>
        </w:rPr>
        <w:t xml:space="preserve"> ont été observés chez des patients prenant de l’adalimumab. Si de nouvelles zones de peau lésée apparaissent pendant ou après le traitement ou si des marques existantes ou des zones lésées changent d’apparence, dites-le à votre médecin. </w:t>
      </w:r>
    </w:p>
    <w:p w14:paraId="15FFC052" w14:textId="77777777" w:rsidR="00C46587" w:rsidRPr="0058432E" w:rsidRDefault="00C46587" w:rsidP="00AA4681">
      <w:pPr>
        <w:ind w:left="562" w:hanging="562"/>
        <w:rPr>
          <w:color w:val="000000" w:themeColor="text1"/>
        </w:rPr>
      </w:pPr>
    </w:p>
    <w:p w14:paraId="0F81B58D" w14:textId="77777777" w:rsidR="00C46587" w:rsidRPr="0058432E" w:rsidRDefault="00C46587" w:rsidP="00AA4681">
      <w:pPr>
        <w:numPr>
          <w:ilvl w:val="0"/>
          <w:numId w:val="5"/>
        </w:numPr>
        <w:ind w:left="562" w:hanging="562"/>
        <w:rPr>
          <w:color w:val="000000" w:themeColor="text1"/>
        </w:rPr>
      </w:pPr>
      <w:r w:rsidRPr="0058432E">
        <w:rPr>
          <w:color w:val="000000" w:themeColor="text1"/>
        </w:rPr>
        <w:t xml:space="preserve">Des cas de cancers autres que des lymphomes ont été signalés chez des patients </w:t>
      </w:r>
      <w:r w:rsidR="00D546C9" w:rsidRPr="0058432E">
        <w:rPr>
          <w:color w:val="000000" w:themeColor="text1"/>
        </w:rPr>
        <w:t>atteints</w:t>
      </w:r>
      <w:r w:rsidRPr="0058432E">
        <w:rPr>
          <w:color w:val="000000" w:themeColor="text1"/>
        </w:rPr>
        <w:t xml:space="preserve"> d’une maladie pulmonaire spécifique appelée broncho-pneumopathie chronique obstructive (BPCO) et traités par un autre anti-TNFα. Si vous souffrez de BPCO ou êtes un gros fumeur, vous devriez discuter avec votre médecin si un traitement par un anti-TNFα est adapté pour vous. </w:t>
      </w:r>
    </w:p>
    <w:p w14:paraId="7E1E98B1" w14:textId="77777777" w:rsidR="00ED39CA" w:rsidRPr="0058432E" w:rsidRDefault="00ED39CA" w:rsidP="00AA4681">
      <w:pPr>
        <w:ind w:left="562" w:hanging="562"/>
        <w:rPr>
          <w:color w:val="000000" w:themeColor="text1"/>
        </w:rPr>
      </w:pPr>
    </w:p>
    <w:p w14:paraId="76D4C086" w14:textId="77777777" w:rsidR="0083756D" w:rsidRPr="0058432E" w:rsidRDefault="0083756D" w:rsidP="00982118">
      <w:pPr>
        <w:pStyle w:val="BodyText"/>
        <w:widowControl/>
        <w:kinsoku w:val="0"/>
        <w:overflowPunct w:val="0"/>
        <w:ind w:left="110"/>
        <w:rPr>
          <w:color w:val="000000" w:themeColor="text1"/>
        </w:rPr>
      </w:pPr>
      <w:r w:rsidRPr="0058432E">
        <w:rPr>
          <w:color w:val="000000" w:themeColor="text1"/>
          <w:u w:val="single"/>
        </w:rPr>
        <w:t>Maladie auto-immune</w:t>
      </w:r>
    </w:p>
    <w:p w14:paraId="5AEAC931" w14:textId="77777777" w:rsidR="0083756D" w:rsidRPr="0058432E" w:rsidRDefault="0083756D" w:rsidP="00982118">
      <w:pPr>
        <w:rPr>
          <w:color w:val="000000" w:themeColor="text1"/>
        </w:rPr>
      </w:pPr>
    </w:p>
    <w:p w14:paraId="7C354805" w14:textId="77777777" w:rsidR="00ED39CA" w:rsidRPr="0058432E" w:rsidRDefault="00ED39CA" w:rsidP="00AA4681">
      <w:pPr>
        <w:numPr>
          <w:ilvl w:val="0"/>
          <w:numId w:val="5"/>
        </w:numPr>
        <w:ind w:left="562" w:hanging="562"/>
        <w:rPr>
          <w:color w:val="000000" w:themeColor="text1"/>
        </w:rPr>
      </w:pPr>
      <w:r w:rsidRPr="0058432E">
        <w:rPr>
          <w:color w:val="000000" w:themeColor="text1"/>
        </w:rPr>
        <w:t>Dans de rares cas, le traitement par Amsparity peut entrainer un syndrome de type lupus. Contactez votre médecin si des symptômes tels qu</w:t>
      </w:r>
      <w:r w:rsidR="00E82F97" w:rsidRPr="0058432E">
        <w:rPr>
          <w:color w:val="000000" w:themeColor="text1"/>
        </w:rPr>
        <w:t>’une</w:t>
      </w:r>
      <w:r w:rsidRPr="0058432E">
        <w:rPr>
          <w:color w:val="000000" w:themeColor="text1"/>
        </w:rPr>
        <w:t xml:space="preserve"> </w:t>
      </w:r>
      <w:r w:rsidR="00BF7BFC" w:rsidRPr="0058432E">
        <w:rPr>
          <w:color w:val="000000" w:themeColor="text1"/>
        </w:rPr>
        <w:t xml:space="preserve">éruption cutanée </w:t>
      </w:r>
      <w:r w:rsidRPr="0058432E">
        <w:rPr>
          <w:color w:val="000000" w:themeColor="text1"/>
        </w:rPr>
        <w:t>persistant</w:t>
      </w:r>
      <w:r w:rsidR="00E82F97" w:rsidRPr="0058432E">
        <w:rPr>
          <w:color w:val="000000" w:themeColor="text1"/>
        </w:rPr>
        <w:t>e</w:t>
      </w:r>
      <w:r w:rsidRPr="0058432E">
        <w:rPr>
          <w:color w:val="000000" w:themeColor="text1"/>
        </w:rPr>
        <w:t xml:space="preserve"> inexpliqué</w:t>
      </w:r>
      <w:r w:rsidR="00E82F97" w:rsidRPr="0058432E">
        <w:rPr>
          <w:color w:val="000000" w:themeColor="text1"/>
        </w:rPr>
        <w:t>e</w:t>
      </w:r>
      <w:r w:rsidRPr="0058432E">
        <w:rPr>
          <w:color w:val="000000" w:themeColor="text1"/>
        </w:rPr>
        <w:t>, fièvre, douleur articulaire ou fatigue surviennent.</w:t>
      </w:r>
    </w:p>
    <w:p w14:paraId="2318E540" w14:textId="77777777" w:rsidR="009A2B86" w:rsidRPr="0058432E" w:rsidRDefault="009A2B86" w:rsidP="00982118">
      <w:pPr>
        <w:keepNext/>
        <w:rPr>
          <w:color w:val="000000" w:themeColor="text1"/>
        </w:rPr>
      </w:pPr>
    </w:p>
    <w:p w14:paraId="0D1F7E6D" w14:textId="77777777" w:rsidR="00C46587" w:rsidRPr="0058432E" w:rsidRDefault="00C46587" w:rsidP="00982118">
      <w:pPr>
        <w:keepNext/>
        <w:rPr>
          <w:b/>
          <w:color w:val="000000" w:themeColor="text1"/>
        </w:rPr>
      </w:pPr>
      <w:r w:rsidRPr="0058432E">
        <w:rPr>
          <w:b/>
          <w:color w:val="000000" w:themeColor="text1"/>
        </w:rPr>
        <w:t xml:space="preserve">Autres médicaments et Amsparity </w:t>
      </w:r>
    </w:p>
    <w:p w14:paraId="0C41DB97" w14:textId="77777777" w:rsidR="00C46587" w:rsidRPr="0058432E" w:rsidRDefault="00C46587" w:rsidP="00982118">
      <w:pPr>
        <w:keepNext/>
        <w:rPr>
          <w:color w:val="000000" w:themeColor="text1"/>
        </w:rPr>
      </w:pPr>
    </w:p>
    <w:p w14:paraId="5591E7FA" w14:textId="77777777" w:rsidR="00C46587" w:rsidRPr="0058432E" w:rsidRDefault="00C46587" w:rsidP="00982118">
      <w:pPr>
        <w:rPr>
          <w:color w:val="000000" w:themeColor="text1"/>
        </w:rPr>
      </w:pPr>
      <w:r w:rsidRPr="0058432E">
        <w:rPr>
          <w:color w:val="000000" w:themeColor="text1"/>
        </w:rPr>
        <w:t xml:space="preserve">Informez votre médecin ou pharmacien si vous prenez, avez récemment pris ou pourriez prendre tout autre médicament. </w:t>
      </w:r>
    </w:p>
    <w:p w14:paraId="597D3D88" w14:textId="77777777" w:rsidR="00C46587" w:rsidRPr="0058432E" w:rsidRDefault="00C46587" w:rsidP="00982118">
      <w:pPr>
        <w:rPr>
          <w:color w:val="000000" w:themeColor="text1"/>
        </w:rPr>
      </w:pPr>
    </w:p>
    <w:p w14:paraId="34AE70D6" w14:textId="77777777" w:rsidR="00C46587" w:rsidRPr="0058432E" w:rsidRDefault="006A1144" w:rsidP="00982118">
      <w:pPr>
        <w:rPr>
          <w:color w:val="000000" w:themeColor="text1"/>
        </w:rPr>
      </w:pPr>
      <w:r w:rsidRPr="0058432E">
        <w:rPr>
          <w:color w:val="000000" w:themeColor="text1"/>
        </w:rPr>
        <w:t xml:space="preserve">Amsparity peut être pris en association avec le méthotrexate ou certains traitements de fond </w:t>
      </w:r>
      <w:r w:rsidR="00E86A8F" w:rsidRPr="0058432E">
        <w:rPr>
          <w:color w:val="000000" w:themeColor="text1"/>
        </w:rPr>
        <w:t>antirhumatismaux</w:t>
      </w:r>
      <w:r w:rsidRPr="0058432E">
        <w:rPr>
          <w:color w:val="000000" w:themeColor="text1"/>
        </w:rPr>
        <w:t xml:space="preserv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sulfasalazine, hydroxychloroquine, léflunomide et préparations injectables à base de sels d’or), corticoïdes ou médicaments contre la douleur y compris les anti-inflammatoires non stéroïdiens (AINS). </w:t>
      </w:r>
    </w:p>
    <w:p w14:paraId="232B80D5" w14:textId="77777777" w:rsidR="00C46587" w:rsidRPr="0058432E" w:rsidRDefault="00C46587" w:rsidP="00982118">
      <w:pPr>
        <w:rPr>
          <w:color w:val="000000" w:themeColor="text1"/>
        </w:rPr>
      </w:pPr>
    </w:p>
    <w:p w14:paraId="56FA42F8" w14:textId="77777777" w:rsidR="00C46587" w:rsidRPr="0058432E" w:rsidRDefault="00C46587" w:rsidP="00982118">
      <w:pPr>
        <w:rPr>
          <w:color w:val="000000" w:themeColor="text1"/>
        </w:rPr>
      </w:pPr>
      <w:r w:rsidRPr="0058432E">
        <w:rPr>
          <w:color w:val="000000" w:themeColor="text1"/>
        </w:rPr>
        <w:t xml:space="preserve">Vous ne devriez pas prendre Amsparity en association avec des médicaments contenant les substances actives anakinra ou abatacept en raison du risque accru d’infection grave. L’association de l’adalimumab et d’autres </w:t>
      </w:r>
      <w:r w:rsidR="00533435" w:rsidRPr="0058432E">
        <w:rPr>
          <w:color w:val="000000" w:themeColor="text1"/>
        </w:rPr>
        <w:t>antagoniste</w:t>
      </w:r>
      <w:r w:rsidR="00D6435F" w:rsidRPr="0058432E">
        <w:rPr>
          <w:color w:val="000000" w:themeColor="text1"/>
        </w:rPr>
        <w:t>s</w:t>
      </w:r>
      <w:r w:rsidR="00533435" w:rsidRPr="0058432E">
        <w:rPr>
          <w:color w:val="000000" w:themeColor="text1"/>
        </w:rPr>
        <w:t xml:space="preserve"> du TNF</w:t>
      </w:r>
      <w:r w:rsidR="00D6435F" w:rsidRPr="0058432E">
        <w:rPr>
          <w:color w:val="000000" w:themeColor="text1"/>
        </w:rPr>
        <w:t xml:space="preserve"> </w:t>
      </w:r>
      <w:r w:rsidRPr="0058432E">
        <w:rPr>
          <w:color w:val="000000" w:themeColor="text1"/>
        </w:rPr>
        <w:t xml:space="preserve">avec l’anakinra ou l’abatacept n’est pas recommandée en raison de l’augmentation possible du risque d’infections, y compris d’infections graves, et d’autres interactions pharmacologiques potentielles. Si vous vous posez des questions, consultez votre médecin. </w:t>
      </w:r>
    </w:p>
    <w:p w14:paraId="59E80AE5" w14:textId="77777777" w:rsidR="00C46587" w:rsidRPr="0058432E" w:rsidRDefault="00C46587" w:rsidP="00982118">
      <w:pPr>
        <w:rPr>
          <w:color w:val="000000" w:themeColor="text1"/>
        </w:rPr>
      </w:pPr>
    </w:p>
    <w:p w14:paraId="35F6D520" w14:textId="77777777" w:rsidR="00C46587" w:rsidRPr="0058432E" w:rsidRDefault="00C46587" w:rsidP="00982118">
      <w:pPr>
        <w:rPr>
          <w:b/>
          <w:color w:val="000000" w:themeColor="text1"/>
        </w:rPr>
      </w:pPr>
      <w:r w:rsidRPr="0058432E">
        <w:rPr>
          <w:b/>
          <w:color w:val="000000" w:themeColor="text1"/>
        </w:rPr>
        <w:t xml:space="preserve">Grossesse et allaitement </w:t>
      </w:r>
    </w:p>
    <w:p w14:paraId="595AEF9C" w14:textId="77777777" w:rsidR="00C46587" w:rsidRPr="0058432E" w:rsidRDefault="00C46587" w:rsidP="00982118">
      <w:pPr>
        <w:rPr>
          <w:color w:val="000000" w:themeColor="text1"/>
        </w:rPr>
      </w:pPr>
    </w:p>
    <w:p w14:paraId="10A71C5A" w14:textId="77777777" w:rsidR="00A65294" w:rsidRPr="0058432E" w:rsidRDefault="00A65294" w:rsidP="00EF065D">
      <w:pPr>
        <w:autoSpaceDE w:val="0"/>
        <w:autoSpaceDN w:val="0"/>
        <w:adjustRightInd w:val="0"/>
        <w:rPr>
          <w:color w:val="000000" w:themeColor="text1"/>
        </w:rPr>
      </w:pPr>
      <w:r w:rsidRPr="0058432E">
        <w:rPr>
          <w:color w:val="000000" w:themeColor="text1"/>
        </w:rPr>
        <w:t>Vous devez envisager l’utilisation d’une contraception efficace pour éviter toute grossesse et poursuivre son utilisation pendant au moins 5 mois après l’arrêt du traitement par Amsparity.</w:t>
      </w:r>
    </w:p>
    <w:p w14:paraId="75F752A7" w14:textId="77777777" w:rsidR="00EF065D" w:rsidRPr="0058432E" w:rsidRDefault="00EF065D" w:rsidP="00EF065D">
      <w:pPr>
        <w:autoSpaceDE w:val="0"/>
        <w:autoSpaceDN w:val="0"/>
        <w:adjustRightInd w:val="0"/>
        <w:rPr>
          <w:color w:val="000000" w:themeColor="text1"/>
        </w:rPr>
      </w:pPr>
    </w:p>
    <w:p w14:paraId="2C2AC615" w14:textId="77777777" w:rsidR="00A65294" w:rsidRPr="0058432E" w:rsidRDefault="00A65294" w:rsidP="00EF065D">
      <w:pPr>
        <w:autoSpaceDE w:val="0"/>
        <w:autoSpaceDN w:val="0"/>
        <w:adjustRightInd w:val="0"/>
        <w:rPr>
          <w:color w:val="000000" w:themeColor="text1"/>
        </w:rPr>
      </w:pPr>
      <w:r w:rsidRPr="0058432E">
        <w:rPr>
          <w:color w:val="000000" w:themeColor="text1"/>
        </w:rPr>
        <w:t>Si vous êtes enceinte, si vous pensez être enceinte ou planifiez une grossesse, demandez conseil à votre médecin avant de prendre ce médicament.</w:t>
      </w:r>
    </w:p>
    <w:p w14:paraId="7FFDDF61" w14:textId="77777777" w:rsidR="00EF065D" w:rsidRPr="0058432E" w:rsidRDefault="00EF065D" w:rsidP="00EF065D">
      <w:pPr>
        <w:autoSpaceDE w:val="0"/>
        <w:autoSpaceDN w:val="0"/>
        <w:adjustRightInd w:val="0"/>
        <w:rPr>
          <w:color w:val="000000" w:themeColor="text1"/>
        </w:rPr>
      </w:pPr>
    </w:p>
    <w:p w14:paraId="496F7E94" w14:textId="77777777" w:rsidR="00A65294" w:rsidRPr="0058432E" w:rsidRDefault="006A1144" w:rsidP="00EF065D">
      <w:pPr>
        <w:autoSpaceDE w:val="0"/>
        <w:autoSpaceDN w:val="0"/>
        <w:adjustRightInd w:val="0"/>
        <w:rPr>
          <w:color w:val="000000" w:themeColor="text1"/>
        </w:rPr>
      </w:pPr>
      <w:r w:rsidRPr="0058432E">
        <w:rPr>
          <w:color w:val="000000" w:themeColor="text1"/>
        </w:rPr>
        <w:t>Amsparity doit être utilisé pendant la grossesse seulement si nécessaire.</w:t>
      </w:r>
    </w:p>
    <w:p w14:paraId="5557D4CC" w14:textId="77777777" w:rsidR="00EF065D" w:rsidRPr="0058432E" w:rsidRDefault="00EF065D" w:rsidP="00EF065D">
      <w:pPr>
        <w:autoSpaceDE w:val="0"/>
        <w:autoSpaceDN w:val="0"/>
        <w:adjustRightInd w:val="0"/>
        <w:rPr>
          <w:color w:val="000000" w:themeColor="text1"/>
        </w:rPr>
      </w:pPr>
    </w:p>
    <w:p w14:paraId="258B7891" w14:textId="77777777" w:rsidR="00A65294" w:rsidRPr="0058432E" w:rsidRDefault="00A65294" w:rsidP="00EF065D">
      <w:pPr>
        <w:autoSpaceDE w:val="0"/>
        <w:autoSpaceDN w:val="0"/>
        <w:adjustRightInd w:val="0"/>
        <w:rPr>
          <w:color w:val="000000" w:themeColor="text1"/>
        </w:rPr>
      </w:pPr>
      <w:r w:rsidRPr="0058432E">
        <w:rPr>
          <w:color w:val="000000" w:themeColor="text1"/>
        </w:rPr>
        <w:t>D’après une étude sur la grossesse, il n’existait pas de risque plus élevé d’anomalies congénitales lorsque la mère avait reçu de l’adalimumab pendant la grossesse par rapport aux mères ayant la même maladie et n’ayant pas reçu d’adalimumab pendant la grossesse.</w:t>
      </w:r>
    </w:p>
    <w:p w14:paraId="729D2013" w14:textId="77777777" w:rsidR="00EF065D" w:rsidRPr="0058432E" w:rsidRDefault="00EF065D" w:rsidP="00EF065D">
      <w:pPr>
        <w:autoSpaceDE w:val="0"/>
        <w:autoSpaceDN w:val="0"/>
        <w:adjustRightInd w:val="0"/>
        <w:rPr>
          <w:color w:val="000000" w:themeColor="text1"/>
        </w:rPr>
      </w:pPr>
    </w:p>
    <w:p w14:paraId="10E46B19" w14:textId="77777777" w:rsidR="00A65294" w:rsidRPr="0058432E" w:rsidRDefault="006A1144" w:rsidP="00EF065D">
      <w:pPr>
        <w:autoSpaceDE w:val="0"/>
        <w:autoSpaceDN w:val="0"/>
        <w:adjustRightInd w:val="0"/>
        <w:rPr>
          <w:color w:val="000000" w:themeColor="text1"/>
        </w:rPr>
      </w:pPr>
      <w:r w:rsidRPr="0058432E">
        <w:rPr>
          <w:color w:val="000000" w:themeColor="text1"/>
        </w:rPr>
        <w:t>Amsparity peut être utilisé pendant l’allaitement.</w:t>
      </w:r>
    </w:p>
    <w:p w14:paraId="25ED4AAB" w14:textId="77777777" w:rsidR="00EF065D" w:rsidRPr="0058432E" w:rsidRDefault="00EF065D" w:rsidP="00EF065D">
      <w:pPr>
        <w:autoSpaceDE w:val="0"/>
        <w:autoSpaceDN w:val="0"/>
        <w:adjustRightInd w:val="0"/>
        <w:rPr>
          <w:color w:val="000000" w:themeColor="text1"/>
        </w:rPr>
      </w:pPr>
    </w:p>
    <w:p w14:paraId="1B563886" w14:textId="77777777" w:rsidR="00A65294" w:rsidRPr="0058432E" w:rsidRDefault="00A65294" w:rsidP="00EF065D">
      <w:pPr>
        <w:autoSpaceDE w:val="0"/>
        <w:autoSpaceDN w:val="0"/>
        <w:adjustRightInd w:val="0"/>
        <w:rPr>
          <w:color w:val="000000" w:themeColor="text1"/>
        </w:rPr>
      </w:pPr>
      <w:r w:rsidRPr="0058432E">
        <w:rPr>
          <w:color w:val="000000" w:themeColor="text1"/>
        </w:rPr>
        <w:t xml:space="preserve">Si vous recevez Amsparity pendant votre grossesse, votre bébé peut présenter un risque plus élevé d’avoir une infection. Il est important de prévenir les médecins de votre bébé ainsi que les autres professionnels de santé que vous avez </w:t>
      </w:r>
      <w:proofErr w:type="gramStart"/>
      <w:r w:rsidRPr="0058432E">
        <w:rPr>
          <w:color w:val="000000" w:themeColor="text1"/>
        </w:rPr>
        <w:t>reçu</w:t>
      </w:r>
      <w:proofErr w:type="gramEnd"/>
      <w:r w:rsidRPr="0058432E">
        <w:rPr>
          <w:color w:val="000000" w:themeColor="text1"/>
        </w:rPr>
        <w:t xml:space="preserve"> Amsparity pendant votre grossesse et ceci, avant que votre bébé ne reçoive ses vaccins. Pour plus d’informations concernant les vaccins, voir rubrique « Avertissements et précautions ».</w:t>
      </w:r>
    </w:p>
    <w:p w14:paraId="55C31B36" w14:textId="77777777" w:rsidR="00C46587" w:rsidRPr="0058432E" w:rsidRDefault="00C46587" w:rsidP="00982118">
      <w:pPr>
        <w:rPr>
          <w:color w:val="000000" w:themeColor="text1"/>
        </w:rPr>
      </w:pPr>
    </w:p>
    <w:p w14:paraId="38F7B8BD" w14:textId="77777777" w:rsidR="00C46587" w:rsidRPr="0058432E" w:rsidRDefault="00C46587" w:rsidP="00E936BC">
      <w:pPr>
        <w:keepNext/>
        <w:rPr>
          <w:b/>
          <w:color w:val="000000" w:themeColor="text1"/>
        </w:rPr>
      </w:pPr>
      <w:r w:rsidRPr="0058432E">
        <w:rPr>
          <w:b/>
          <w:color w:val="000000" w:themeColor="text1"/>
        </w:rPr>
        <w:lastRenderedPageBreak/>
        <w:t xml:space="preserve">Conduite de véhicules et utilisation de machines </w:t>
      </w:r>
    </w:p>
    <w:p w14:paraId="12770780" w14:textId="77777777" w:rsidR="00C46587" w:rsidRPr="0058432E" w:rsidRDefault="00C46587" w:rsidP="00E936BC">
      <w:pPr>
        <w:keepNext/>
        <w:rPr>
          <w:color w:val="000000" w:themeColor="text1"/>
        </w:rPr>
      </w:pPr>
    </w:p>
    <w:p w14:paraId="7B676EFF" w14:textId="77777777" w:rsidR="00C46587" w:rsidRPr="0058432E" w:rsidRDefault="006A1144" w:rsidP="00982118">
      <w:pPr>
        <w:rPr>
          <w:color w:val="000000" w:themeColor="text1"/>
        </w:rPr>
      </w:pPr>
      <w:r w:rsidRPr="0058432E">
        <w:rPr>
          <w:color w:val="000000" w:themeColor="text1"/>
        </w:rPr>
        <w:t xml:space="preserve">Amsparity peut </w:t>
      </w:r>
      <w:proofErr w:type="gramStart"/>
      <w:r w:rsidRPr="0058432E">
        <w:rPr>
          <w:color w:val="000000" w:themeColor="text1"/>
        </w:rPr>
        <w:t>avoir</w:t>
      </w:r>
      <w:proofErr w:type="gramEnd"/>
      <w:r w:rsidRPr="0058432E">
        <w:rPr>
          <w:color w:val="000000" w:themeColor="text1"/>
        </w:rPr>
        <w:t xml:space="preserve"> un</w:t>
      </w:r>
      <w:r w:rsidR="00D6435F" w:rsidRPr="0058432E">
        <w:rPr>
          <w:color w:val="000000" w:themeColor="text1"/>
        </w:rPr>
        <w:t>e</w:t>
      </w:r>
      <w:r w:rsidRPr="0058432E">
        <w:rPr>
          <w:color w:val="000000" w:themeColor="text1"/>
        </w:rPr>
        <w:t xml:space="preserve"> </w:t>
      </w:r>
      <w:r w:rsidR="00D6435F" w:rsidRPr="0058432E">
        <w:rPr>
          <w:color w:val="000000" w:themeColor="text1"/>
        </w:rPr>
        <w:t>influence mineure</w:t>
      </w:r>
      <w:r w:rsidRPr="0058432E">
        <w:rPr>
          <w:color w:val="000000" w:themeColor="text1"/>
        </w:rPr>
        <w:t xml:space="preserve"> sur votre aptitude à conduire, à faire du vélo ou à utiliser des machines. Des sensations d’étourdissement (vertiges) et des troubles de la vision peuvent survenir après l’injection d’Amsparity. </w:t>
      </w:r>
    </w:p>
    <w:p w14:paraId="4A1A2100" w14:textId="77777777" w:rsidR="00ED39CA" w:rsidRPr="0058432E" w:rsidRDefault="00ED39CA" w:rsidP="00982118">
      <w:pPr>
        <w:rPr>
          <w:color w:val="000000" w:themeColor="text1"/>
        </w:rPr>
      </w:pPr>
    </w:p>
    <w:p w14:paraId="15A30522" w14:textId="77777777" w:rsidR="00253214" w:rsidRPr="0058432E" w:rsidRDefault="00253214" w:rsidP="00253214">
      <w:pPr>
        <w:rPr>
          <w:b/>
          <w:color w:val="000000" w:themeColor="text1"/>
        </w:rPr>
      </w:pPr>
      <w:r w:rsidRPr="0058432E">
        <w:rPr>
          <w:b/>
          <w:color w:val="000000" w:themeColor="text1"/>
        </w:rPr>
        <w:t>Amsparity contient du polysorbate 80</w:t>
      </w:r>
    </w:p>
    <w:p w14:paraId="2A0897BC" w14:textId="77777777" w:rsidR="00253214" w:rsidRPr="0058432E" w:rsidRDefault="00253214" w:rsidP="00253214">
      <w:pPr>
        <w:rPr>
          <w:bCs/>
          <w:color w:val="000000" w:themeColor="text1"/>
        </w:rPr>
      </w:pPr>
    </w:p>
    <w:p w14:paraId="26B1CB7C" w14:textId="479CBF3A" w:rsidR="00253214" w:rsidRPr="0058432E" w:rsidRDefault="00253214" w:rsidP="00253214">
      <w:pPr>
        <w:rPr>
          <w:color w:val="000000" w:themeColor="text1"/>
        </w:rPr>
      </w:pPr>
      <w:r w:rsidRPr="0058432E">
        <w:rPr>
          <w:color w:val="000000" w:themeColor="text1"/>
        </w:rPr>
        <w:t xml:space="preserve">Ce médicament contient 0,16 mg de polysorbate 80 </w:t>
      </w:r>
      <w:r w:rsidR="009A5D59" w:rsidRPr="0058432E">
        <w:rPr>
          <w:color w:val="000000" w:themeColor="text1"/>
        </w:rPr>
        <w:t xml:space="preserve">par </w:t>
      </w:r>
      <w:r w:rsidRPr="0058432E">
        <w:rPr>
          <w:color w:val="000000" w:themeColor="text1"/>
        </w:rPr>
        <w:t>stylo prérempli unidose de 0,8 ml, équiva</w:t>
      </w:r>
      <w:r w:rsidR="00F76803" w:rsidRPr="0058432E">
        <w:rPr>
          <w:color w:val="000000" w:themeColor="text1"/>
        </w:rPr>
        <w:t>lant</w:t>
      </w:r>
      <w:r w:rsidRPr="0058432E">
        <w:rPr>
          <w:color w:val="000000" w:themeColor="text1"/>
        </w:rPr>
        <w:t xml:space="preserve"> à 0,2 mg/ml de polysorbate 80. Les polysorbates peuvent provoquer des réactions allergiques. Informez votre médecin si </w:t>
      </w:r>
      <w:r w:rsidR="00F76803" w:rsidRPr="0058432E">
        <w:rPr>
          <w:color w:val="000000" w:themeColor="text1"/>
        </w:rPr>
        <w:t xml:space="preserve">vous avez </w:t>
      </w:r>
      <w:r w:rsidRPr="0058432E">
        <w:rPr>
          <w:color w:val="000000" w:themeColor="text1"/>
        </w:rPr>
        <w:t>déjà présenté une allergie.</w:t>
      </w:r>
    </w:p>
    <w:p w14:paraId="26D5E91B" w14:textId="77777777" w:rsidR="00253214" w:rsidRPr="0058432E" w:rsidRDefault="00253214" w:rsidP="00982118">
      <w:pPr>
        <w:rPr>
          <w:color w:val="000000" w:themeColor="text1"/>
        </w:rPr>
      </w:pPr>
    </w:p>
    <w:p w14:paraId="6770DA49" w14:textId="77777777" w:rsidR="00ED39CA" w:rsidRPr="0058432E" w:rsidRDefault="006A1144" w:rsidP="00982118">
      <w:pPr>
        <w:rPr>
          <w:b/>
          <w:color w:val="000000" w:themeColor="text1"/>
        </w:rPr>
      </w:pPr>
      <w:r w:rsidRPr="0058432E">
        <w:rPr>
          <w:b/>
          <w:color w:val="000000" w:themeColor="text1"/>
        </w:rPr>
        <w:t>Amsparity contient du sodium</w:t>
      </w:r>
    </w:p>
    <w:p w14:paraId="6F7301D3" w14:textId="77777777" w:rsidR="00ED39CA" w:rsidRPr="0058432E" w:rsidRDefault="00ED39CA" w:rsidP="00982118">
      <w:pPr>
        <w:rPr>
          <w:color w:val="000000" w:themeColor="text1"/>
        </w:rPr>
      </w:pPr>
    </w:p>
    <w:p w14:paraId="2A19FDA8" w14:textId="77777777" w:rsidR="00ED39CA" w:rsidRPr="0058432E" w:rsidRDefault="00ED39CA" w:rsidP="00982118">
      <w:pPr>
        <w:rPr>
          <w:color w:val="000000" w:themeColor="text1"/>
        </w:rPr>
      </w:pPr>
      <w:r w:rsidRPr="0058432E">
        <w:rPr>
          <w:color w:val="000000" w:themeColor="text1"/>
        </w:rPr>
        <w:t>Ce médicament contient moins de 1 mmol (23 mg) de sodium par dose de 0,8 ml, c.-à-d. qu’il est essentiellement « sans sodium ».</w:t>
      </w:r>
    </w:p>
    <w:p w14:paraId="4224CF34" w14:textId="77777777" w:rsidR="00C46587" w:rsidRPr="0058432E" w:rsidRDefault="00C46587" w:rsidP="00982118">
      <w:pPr>
        <w:rPr>
          <w:color w:val="000000" w:themeColor="text1"/>
        </w:rPr>
      </w:pPr>
    </w:p>
    <w:p w14:paraId="192DC813" w14:textId="77777777" w:rsidR="00C46587" w:rsidRPr="0058432E" w:rsidRDefault="00C46587" w:rsidP="00982118">
      <w:pPr>
        <w:rPr>
          <w:color w:val="000000" w:themeColor="text1"/>
        </w:rPr>
      </w:pPr>
    </w:p>
    <w:p w14:paraId="0C612DA3" w14:textId="77777777" w:rsidR="00C46587" w:rsidRPr="0058432E" w:rsidRDefault="00C46587" w:rsidP="00982118">
      <w:pPr>
        <w:keepNext/>
        <w:tabs>
          <w:tab w:val="left" w:pos="562"/>
        </w:tabs>
        <w:rPr>
          <w:b/>
          <w:color w:val="000000" w:themeColor="text1"/>
        </w:rPr>
      </w:pPr>
      <w:r w:rsidRPr="0058432E">
        <w:rPr>
          <w:b/>
          <w:color w:val="000000" w:themeColor="text1"/>
        </w:rPr>
        <w:t>3.</w:t>
      </w:r>
      <w:r w:rsidRPr="0058432E">
        <w:rPr>
          <w:b/>
          <w:color w:val="000000" w:themeColor="text1"/>
        </w:rPr>
        <w:tab/>
        <w:t xml:space="preserve">Comment utiliser Amsparity </w:t>
      </w:r>
    </w:p>
    <w:p w14:paraId="07208A8E" w14:textId="77777777" w:rsidR="00C46587" w:rsidRPr="0058432E" w:rsidRDefault="00C46587" w:rsidP="00982118">
      <w:pPr>
        <w:keepNext/>
        <w:rPr>
          <w:color w:val="000000" w:themeColor="text1"/>
        </w:rPr>
      </w:pPr>
    </w:p>
    <w:p w14:paraId="06700FE1" w14:textId="77777777" w:rsidR="00ED39CA" w:rsidRPr="0058432E" w:rsidRDefault="00C46587" w:rsidP="00982118">
      <w:pPr>
        <w:keepNext/>
        <w:rPr>
          <w:color w:val="000000" w:themeColor="text1"/>
        </w:rPr>
      </w:pPr>
      <w:r w:rsidRPr="0058432E">
        <w:rPr>
          <w:color w:val="000000" w:themeColor="text1"/>
        </w:rPr>
        <w:t>Veillez à toujours utiliser ce médicament en suivant exactement les indications de votre médecin ou pharmacien. Vérifiez auprès de votre médecin ou pharmacien en cas de doute. Votre médecin pourra vous prescrire un autre dosage d’Amsparity si vous avez besoin d’une dose différente.</w:t>
      </w:r>
    </w:p>
    <w:p w14:paraId="141DD740" w14:textId="77777777" w:rsidR="00C46587" w:rsidRPr="0058432E" w:rsidRDefault="00C46587" w:rsidP="00982118">
      <w:pPr>
        <w:rPr>
          <w:color w:val="000000" w:themeColor="text1"/>
        </w:rPr>
      </w:pPr>
    </w:p>
    <w:p w14:paraId="57D761AE" w14:textId="77777777" w:rsidR="00C46587" w:rsidRPr="0058432E" w:rsidRDefault="0010036E" w:rsidP="00982118">
      <w:pPr>
        <w:rPr>
          <w:color w:val="000000" w:themeColor="text1"/>
        </w:rPr>
      </w:pPr>
      <w:r w:rsidRPr="0058432E">
        <w:rPr>
          <w:color w:val="000000" w:themeColor="text1"/>
        </w:rPr>
        <w:t>Amsparity est injecté sous la peau (voie sous-cutanée).</w:t>
      </w:r>
    </w:p>
    <w:p w14:paraId="7CCB2939" w14:textId="77777777" w:rsidR="0010036E" w:rsidRPr="0058432E" w:rsidRDefault="0010036E" w:rsidP="00982118">
      <w:pPr>
        <w:rPr>
          <w:color w:val="000000" w:themeColor="text1"/>
        </w:rPr>
      </w:pPr>
    </w:p>
    <w:p w14:paraId="18F967D2" w14:textId="77777777" w:rsidR="00C46587" w:rsidRPr="0058432E" w:rsidRDefault="00C46587" w:rsidP="00982118">
      <w:pPr>
        <w:rPr>
          <w:color w:val="000000" w:themeColor="text1"/>
          <w:u w:val="single"/>
        </w:rPr>
      </w:pPr>
      <w:r w:rsidRPr="0058432E">
        <w:rPr>
          <w:color w:val="000000" w:themeColor="text1"/>
          <w:u w:val="single"/>
        </w:rPr>
        <w:t>Adultes atteints de polyarthrite rhumatoïde, de rhumatisme psoriasique, de spondylarthrite ankylosante ou de spondyl</w:t>
      </w:r>
      <w:r w:rsidR="009D048D" w:rsidRPr="0058432E">
        <w:rPr>
          <w:color w:val="000000" w:themeColor="text1"/>
          <w:u w:val="single"/>
        </w:rPr>
        <w:t>o</w:t>
      </w:r>
      <w:r w:rsidRPr="0058432E">
        <w:rPr>
          <w:color w:val="000000" w:themeColor="text1"/>
          <w:u w:val="single"/>
        </w:rPr>
        <w:t>arthrite axiale sans signes radiographiques de spondylarthrite ankylosante</w:t>
      </w:r>
    </w:p>
    <w:p w14:paraId="33109D5C" w14:textId="77777777" w:rsidR="00C46587" w:rsidRPr="0058432E" w:rsidRDefault="00C46587" w:rsidP="00982118">
      <w:pPr>
        <w:rPr>
          <w:color w:val="000000" w:themeColor="text1"/>
        </w:rPr>
      </w:pPr>
    </w:p>
    <w:p w14:paraId="1F71A37F" w14:textId="77777777" w:rsidR="00C46587" w:rsidRPr="0058432E" w:rsidRDefault="00C46587" w:rsidP="00982118">
      <w:pPr>
        <w:rPr>
          <w:color w:val="000000" w:themeColor="text1"/>
        </w:rPr>
      </w:pPr>
      <w:r w:rsidRPr="0058432E">
        <w:rPr>
          <w:color w:val="000000" w:themeColor="text1"/>
        </w:rPr>
        <w:t xml:space="preserve">La </w:t>
      </w:r>
      <w:r w:rsidR="00D6435F" w:rsidRPr="0058432E">
        <w:rPr>
          <w:color w:val="000000" w:themeColor="text1"/>
        </w:rPr>
        <w:t>posologie habituelle</w:t>
      </w:r>
      <w:r w:rsidRPr="0058432E">
        <w:rPr>
          <w:color w:val="000000" w:themeColor="text1"/>
        </w:rPr>
        <w:t xml:space="preserve"> pour les adultes présentant une polyarthrite rhumatoïde, une spondylarthrite ankylosante, une spondyl</w:t>
      </w:r>
      <w:r w:rsidR="009D048D" w:rsidRPr="0058432E">
        <w:rPr>
          <w:color w:val="000000" w:themeColor="text1"/>
        </w:rPr>
        <w:t>o</w:t>
      </w:r>
      <w:r w:rsidRPr="0058432E">
        <w:rPr>
          <w:color w:val="000000" w:themeColor="text1"/>
        </w:rPr>
        <w:t xml:space="preserve">arthrite axiale sans signes radiographiques de spondylarthrite ankylosante et pour les patients atteints de rhumatisme psoriasique est de 40 mg d’adalimumab, </w:t>
      </w:r>
      <w:r w:rsidR="001B430D" w:rsidRPr="0058432E">
        <w:rPr>
          <w:color w:val="000000" w:themeColor="text1"/>
        </w:rPr>
        <w:t>toutes les deux semaines</w:t>
      </w:r>
      <w:r w:rsidRPr="0058432E">
        <w:rPr>
          <w:color w:val="000000" w:themeColor="text1"/>
        </w:rPr>
        <w:t xml:space="preserve"> en dose unique. </w:t>
      </w:r>
    </w:p>
    <w:p w14:paraId="659A0724" w14:textId="77777777" w:rsidR="00C46587" w:rsidRPr="0058432E" w:rsidRDefault="00C46587" w:rsidP="00982118">
      <w:pPr>
        <w:rPr>
          <w:color w:val="000000" w:themeColor="text1"/>
        </w:rPr>
      </w:pPr>
    </w:p>
    <w:p w14:paraId="6110DF45" w14:textId="77777777" w:rsidR="00C46587" w:rsidRPr="0058432E" w:rsidRDefault="00C46587" w:rsidP="00982118">
      <w:pPr>
        <w:rPr>
          <w:color w:val="000000" w:themeColor="text1"/>
        </w:rPr>
      </w:pPr>
      <w:r w:rsidRPr="0058432E">
        <w:rPr>
          <w:color w:val="000000" w:themeColor="text1"/>
        </w:rPr>
        <w:t xml:space="preserve">Dans la polyarthrite rhumatoïde, le traitement par méthotrexate est poursuivi avec celui par Amsparity. Si votre médecin juge que le méthotrexate est inapproprié, Amsparity peut être donné seul. </w:t>
      </w:r>
    </w:p>
    <w:p w14:paraId="5F52492F" w14:textId="77777777" w:rsidR="00C46587" w:rsidRPr="0058432E" w:rsidRDefault="00C46587" w:rsidP="00982118">
      <w:pPr>
        <w:rPr>
          <w:color w:val="000000" w:themeColor="text1"/>
        </w:rPr>
      </w:pPr>
    </w:p>
    <w:p w14:paraId="72CE7839" w14:textId="77777777" w:rsidR="00C46587" w:rsidRPr="0058432E" w:rsidRDefault="00C46587" w:rsidP="00982118">
      <w:pPr>
        <w:rPr>
          <w:color w:val="000000" w:themeColor="text1"/>
        </w:rPr>
      </w:pPr>
      <w:r w:rsidRPr="0058432E">
        <w:rPr>
          <w:color w:val="000000" w:themeColor="text1"/>
        </w:rPr>
        <w:t xml:space="preserve">Si vous avez une polyarthrite rhumatoïde et ne recevez pas de méthotrexate avec votre traitement par Amsparity, votre médecin peut décider de vous prescrire 40 mg d’adalimumab toutes les semaines ou 80 mg toutes les deux semaines. </w:t>
      </w:r>
    </w:p>
    <w:p w14:paraId="75E70EFA" w14:textId="77777777" w:rsidR="00C46587" w:rsidRPr="0058432E" w:rsidRDefault="00C46587" w:rsidP="00982118">
      <w:pPr>
        <w:rPr>
          <w:color w:val="000000" w:themeColor="text1"/>
        </w:rPr>
      </w:pPr>
    </w:p>
    <w:p w14:paraId="3C3678CB" w14:textId="77777777" w:rsidR="00C46587" w:rsidRPr="0058432E" w:rsidRDefault="00C46587" w:rsidP="00982118">
      <w:pPr>
        <w:keepNext/>
        <w:rPr>
          <w:color w:val="000000" w:themeColor="text1"/>
          <w:u w:val="single"/>
        </w:rPr>
      </w:pPr>
      <w:r w:rsidRPr="0058432E">
        <w:rPr>
          <w:color w:val="000000" w:themeColor="text1"/>
          <w:u w:val="single"/>
        </w:rPr>
        <w:t xml:space="preserve">Enfants, adolescents et adultes atteints d’arthrite juvénile idiopathique polyarticulaire </w:t>
      </w:r>
    </w:p>
    <w:p w14:paraId="10C4D3D9" w14:textId="77777777" w:rsidR="00C46587" w:rsidRPr="0058432E" w:rsidRDefault="00C46587" w:rsidP="00982118">
      <w:pPr>
        <w:keepNext/>
        <w:rPr>
          <w:color w:val="000000" w:themeColor="text1"/>
        </w:rPr>
      </w:pPr>
    </w:p>
    <w:p w14:paraId="69FFE5F9" w14:textId="77777777" w:rsidR="00ED39CA" w:rsidRPr="0058432E" w:rsidRDefault="00ED39CA" w:rsidP="00982118">
      <w:pPr>
        <w:keepNext/>
        <w:rPr>
          <w:i/>
          <w:color w:val="000000" w:themeColor="text1"/>
        </w:rPr>
      </w:pPr>
      <w:r w:rsidRPr="0058432E">
        <w:rPr>
          <w:i/>
          <w:color w:val="000000" w:themeColor="text1"/>
        </w:rPr>
        <w:t>Enfants et adolescents à partir de 2 ans et pesant 10 kg à moins de 30 kg</w:t>
      </w:r>
    </w:p>
    <w:p w14:paraId="19267FDD" w14:textId="77777777" w:rsidR="00ED39CA" w:rsidRPr="0058432E" w:rsidRDefault="00ED39CA" w:rsidP="00982118">
      <w:pPr>
        <w:keepNext/>
        <w:rPr>
          <w:color w:val="000000" w:themeColor="text1"/>
        </w:rPr>
      </w:pPr>
    </w:p>
    <w:p w14:paraId="7504052B" w14:textId="77777777" w:rsidR="00C46587" w:rsidRPr="0058432E" w:rsidRDefault="00C46587"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 xml:space="preserve">. </w:t>
      </w:r>
    </w:p>
    <w:p w14:paraId="36473231" w14:textId="77777777" w:rsidR="00ED39CA" w:rsidRPr="0058432E" w:rsidRDefault="00ED39CA" w:rsidP="00982118">
      <w:pPr>
        <w:rPr>
          <w:i/>
          <w:color w:val="000000" w:themeColor="text1"/>
        </w:rPr>
      </w:pPr>
    </w:p>
    <w:p w14:paraId="645D471C" w14:textId="77777777" w:rsidR="00ED39CA" w:rsidRPr="0058432E" w:rsidRDefault="00ED39CA" w:rsidP="0017564C">
      <w:pPr>
        <w:keepNext/>
        <w:rPr>
          <w:i/>
          <w:color w:val="000000" w:themeColor="text1"/>
        </w:rPr>
      </w:pPr>
      <w:r w:rsidRPr="0058432E">
        <w:rPr>
          <w:i/>
          <w:color w:val="000000" w:themeColor="text1"/>
        </w:rPr>
        <w:t>Enfants, adolescents, et adultes à partir de 2 ans et pesant 30 kg et plus</w:t>
      </w:r>
    </w:p>
    <w:p w14:paraId="697DD7AF" w14:textId="77777777" w:rsidR="00ED39CA" w:rsidRPr="0058432E" w:rsidRDefault="00ED39CA" w:rsidP="0017564C">
      <w:pPr>
        <w:keepNext/>
        <w:rPr>
          <w:color w:val="000000" w:themeColor="text1"/>
        </w:rPr>
      </w:pPr>
    </w:p>
    <w:p w14:paraId="1BC83E9A" w14:textId="77777777" w:rsidR="00C46587" w:rsidRPr="0058432E" w:rsidRDefault="00C46587" w:rsidP="0017564C">
      <w:pPr>
        <w:keepNext/>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6C164E3E" w14:textId="77777777" w:rsidR="00C46587" w:rsidRPr="0058432E" w:rsidRDefault="00C46587" w:rsidP="00982118">
      <w:pPr>
        <w:rPr>
          <w:color w:val="000000" w:themeColor="text1"/>
        </w:rPr>
      </w:pPr>
    </w:p>
    <w:p w14:paraId="2EC4987C" w14:textId="77777777" w:rsidR="00C46587" w:rsidRPr="0058432E" w:rsidRDefault="00C46587" w:rsidP="00982118">
      <w:pPr>
        <w:rPr>
          <w:color w:val="000000" w:themeColor="text1"/>
          <w:u w:val="single"/>
        </w:rPr>
      </w:pPr>
      <w:r w:rsidRPr="0058432E">
        <w:rPr>
          <w:color w:val="000000" w:themeColor="text1"/>
          <w:u w:val="single"/>
        </w:rPr>
        <w:t xml:space="preserve">Enfants, adolescents et adultes atteints d’arthrite liée à l’enthésite </w:t>
      </w:r>
    </w:p>
    <w:p w14:paraId="471A9F8B" w14:textId="77777777" w:rsidR="00C46587" w:rsidRPr="0058432E" w:rsidRDefault="00C46587" w:rsidP="00982118">
      <w:pPr>
        <w:rPr>
          <w:color w:val="000000" w:themeColor="text1"/>
        </w:rPr>
      </w:pPr>
    </w:p>
    <w:p w14:paraId="636770CF" w14:textId="77777777" w:rsidR="00ED39CA" w:rsidRPr="0058432E" w:rsidRDefault="00ED39CA" w:rsidP="00982118">
      <w:pPr>
        <w:rPr>
          <w:i/>
          <w:color w:val="000000" w:themeColor="text1"/>
        </w:rPr>
      </w:pPr>
      <w:r w:rsidRPr="0058432E">
        <w:rPr>
          <w:i/>
          <w:color w:val="000000" w:themeColor="text1"/>
        </w:rPr>
        <w:t>Enfants et adolescents à partir de 6 ans et pesant 15 kg à moins de 30 kg</w:t>
      </w:r>
    </w:p>
    <w:p w14:paraId="125FA2D3" w14:textId="77777777" w:rsidR="00ED39CA" w:rsidRPr="0058432E" w:rsidRDefault="00ED39CA" w:rsidP="00982118">
      <w:pPr>
        <w:rPr>
          <w:color w:val="000000" w:themeColor="text1"/>
        </w:rPr>
      </w:pPr>
    </w:p>
    <w:p w14:paraId="79F62229" w14:textId="77777777" w:rsidR="00ED39CA" w:rsidRPr="0058432E" w:rsidRDefault="00ED39CA" w:rsidP="00982118">
      <w:pPr>
        <w:rPr>
          <w:color w:val="000000" w:themeColor="text1"/>
        </w:rPr>
      </w:pPr>
      <w:r w:rsidRPr="0058432E">
        <w:rPr>
          <w:color w:val="000000" w:themeColor="text1"/>
        </w:rPr>
        <w:t xml:space="preserve">La posologie recommandée d’Amsparity est de 20 mg </w:t>
      </w:r>
      <w:r w:rsidR="001B430D" w:rsidRPr="0058432E">
        <w:rPr>
          <w:color w:val="000000" w:themeColor="text1"/>
        </w:rPr>
        <w:t>toutes les deux semaines</w:t>
      </w:r>
      <w:r w:rsidRPr="0058432E">
        <w:rPr>
          <w:color w:val="000000" w:themeColor="text1"/>
        </w:rPr>
        <w:t>.</w:t>
      </w:r>
    </w:p>
    <w:p w14:paraId="728970DC" w14:textId="77777777" w:rsidR="00ED39CA" w:rsidRPr="0058432E" w:rsidRDefault="00ED39CA" w:rsidP="00982118">
      <w:pPr>
        <w:rPr>
          <w:color w:val="000000" w:themeColor="text1"/>
        </w:rPr>
      </w:pPr>
    </w:p>
    <w:p w14:paraId="1DBB8C67" w14:textId="77777777" w:rsidR="00ED39CA" w:rsidRPr="0058432E" w:rsidRDefault="00ED39CA" w:rsidP="00982118">
      <w:pPr>
        <w:rPr>
          <w:i/>
          <w:color w:val="000000" w:themeColor="text1"/>
        </w:rPr>
      </w:pPr>
      <w:r w:rsidRPr="0058432E">
        <w:rPr>
          <w:i/>
          <w:color w:val="000000" w:themeColor="text1"/>
        </w:rPr>
        <w:lastRenderedPageBreak/>
        <w:t>Enfants, adolescents, et adultes à partir de 6 ans et pesant 30 kg et plus</w:t>
      </w:r>
    </w:p>
    <w:p w14:paraId="3F061539" w14:textId="77777777" w:rsidR="00ED39CA" w:rsidRPr="0058432E" w:rsidRDefault="00ED39CA" w:rsidP="00982118">
      <w:pPr>
        <w:rPr>
          <w:color w:val="000000" w:themeColor="text1"/>
        </w:rPr>
      </w:pPr>
    </w:p>
    <w:p w14:paraId="67690252" w14:textId="77777777" w:rsidR="00C46587" w:rsidRPr="0058432E" w:rsidRDefault="00C46587" w:rsidP="00982118">
      <w:pPr>
        <w:rPr>
          <w:color w:val="000000" w:themeColor="text1"/>
        </w:rPr>
      </w:pPr>
      <w:r w:rsidRPr="0058432E">
        <w:rPr>
          <w:color w:val="000000" w:themeColor="text1"/>
        </w:rPr>
        <w:t xml:space="preserve">La posologie recommandée d’Amsparity est de 40 mg </w:t>
      </w:r>
      <w:r w:rsidR="001B430D" w:rsidRPr="0058432E">
        <w:rPr>
          <w:color w:val="000000" w:themeColor="text1"/>
        </w:rPr>
        <w:t>toutes les deux semaines</w:t>
      </w:r>
      <w:r w:rsidRPr="0058432E">
        <w:rPr>
          <w:color w:val="000000" w:themeColor="text1"/>
        </w:rPr>
        <w:t xml:space="preserve">. </w:t>
      </w:r>
    </w:p>
    <w:p w14:paraId="428B0318" w14:textId="77777777" w:rsidR="00C46587" w:rsidRPr="0058432E" w:rsidRDefault="00C46587" w:rsidP="00982118">
      <w:pPr>
        <w:rPr>
          <w:color w:val="000000" w:themeColor="text1"/>
        </w:rPr>
      </w:pPr>
    </w:p>
    <w:p w14:paraId="6A027A7F" w14:textId="77777777" w:rsidR="00C46587" w:rsidRPr="0058432E" w:rsidRDefault="00C46587" w:rsidP="006B001C">
      <w:pPr>
        <w:keepNext/>
        <w:rPr>
          <w:color w:val="000000" w:themeColor="text1"/>
          <w:u w:val="single"/>
        </w:rPr>
      </w:pPr>
      <w:r w:rsidRPr="0058432E">
        <w:rPr>
          <w:color w:val="000000" w:themeColor="text1"/>
          <w:u w:val="single"/>
        </w:rPr>
        <w:t>Adultes atteints de psoriasis</w:t>
      </w:r>
    </w:p>
    <w:p w14:paraId="7C223E9D" w14:textId="77777777" w:rsidR="00C46587" w:rsidRPr="0058432E" w:rsidRDefault="00C46587" w:rsidP="006B001C">
      <w:pPr>
        <w:keepNext/>
        <w:rPr>
          <w:color w:val="000000" w:themeColor="text1"/>
        </w:rPr>
      </w:pPr>
    </w:p>
    <w:p w14:paraId="48C8FD21" w14:textId="77777777" w:rsidR="00C46587" w:rsidRPr="0058432E" w:rsidRDefault="00C46587" w:rsidP="00982118">
      <w:pPr>
        <w:rPr>
          <w:color w:val="000000" w:themeColor="text1"/>
        </w:rPr>
      </w:pPr>
      <w:r w:rsidRPr="0058432E">
        <w:rPr>
          <w:color w:val="000000" w:themeColor="text1"/>
        </w:rPr>
        <w:t xml:space="preserve">La posologie habituelle chez l’adulte atteint de psoriasis est une dose initiale de 80 mg (administrée sous forme de deux injections de 40 mg sur un jour), suivie de 40 mg administrés </w:t>
      </w:r>
      <w:r w:rsidR="001B430D" w:rsidRPr="0058432E">
        <w:rPr>
          <w:color w:val="000000" w:themeColor="text1"/>
        </w:rPr>
        <w:t>toutes les deux semaines</w:t>
      </w:r>
      <w:r w:rsidRPr="0058432E">
        <w:rPr>
          <w:color w:val="000000" w:themeColor="text1"/>
        </w:rPr>
        <w:t xml:space="preserve"> en commençant une semaine après la dose initiale. Vous devez continuer le traitement par Amsparity aussi longtemps que vous l’a indiqué votre médecin. Si cette dose ne fonctionne pas assez bien, votre médecin pourra augmenter la posologie à 40 mg toutes les semaines ou à 80 mg toutes les deux semaines. </w:t>
      </w:r>
    </w:p>
    <w:p w14:paraId="61A3AAA3" w14:textId="77777777" w:rsidR="00C46587" w:rsidRPr="0058432E" w:rsidRDefault="00C46587" w:rsidP="00982118">
      <w:pPr>
        <w:rPr>
          <w:color w:val="000000" w:themeColor="text1"/>
        </w:rPr>
      </w:pPr>
    </w:p>
    <w:p w14:paraId="5ED60C46" w14:textId="77777777" w:rsidR="00C46587" w:rsidRPr="0058432E" w:rsidRDefault="00C46587" w:rsidP="00982118">
      <w:pPr>
        <w:rPr>
          <w:color w:val="000000" w:themeColor="text1"/>
          <w:u w:val="single"/>
        </w:rPr>
      </w:pPr>
      <w:r w:rsidRPr="0058432E">
        <w:rPr>
          <w:color w:val="000000" w:themeColor="text1"/>
          <w:u w:val="single"/>
        </w:rPr>
        <w:t xml:space="preserve">Enfants et adolescents atteints de psoriasis en plaques </w:t>
      </w:r>
    </w:p>
    <w:p w14:paraId="54A1CA32" w14:textId="77777777" w:rsidR="00C46587" w:rsidRPr="0058432E" w:rsidRDefault="00C46587" w:rsidP="00982118">
      <w:pPr>
        <w:rPr>
          <w:color w:val="000000" w:themeColor="text1"/>
        </w:rPr>
      </w:pPr>
    </w:p>
    <w:p w14:paraId="5DD6C82A" w14:textId="77777777" w:rsidR="00ED39CA" w:rsidRPr="0058432E" w:rsidRDefault="00ED39CA" w:rsidP="00982118">
      <w:pPr>
        <w:rPr>
          <w:i/>
          <w:color w:val="000000" w:themeColor="text1"/>
        </w:rPr>
      </w:pPr>
      <w:r w:rsidRPr="0058432E">
        <w:rPr>
          <w:i/>
          <w:color w:val="000000" w:themeColor="text1"/>
        </w:rPr>
        <w:t>Enfants et adolescents de 4 à 17 ans et pesant 15 kg à moins de 30 kg</w:t>
      </w:r>
    </w:p>
    <w:p w14:paraId="13C9D198" w14:textId="77777777" w:rsidR="00ED39CA" w:rsidRPr="0058432E" w:rsidRDefault="00ED39CA" w:rsidP="00982118">
      <w:pPr>
        <w:rPr>
          <w:color w:val="000000" w:themeColor="text1"/>
        </w:rPr>
      </w:pPr>
    </w:p>
    <w:p w14:paraId="407A81FF" w14:textId="77777777" w:rsidR="00ED39CA" w:rsidRPr="0058432E" w:rsidRDefault="00C46587" w:rsidP="00982118">
      <w:pPr>
        <w:rPr>
          <w:color w:val="000000" w:themeColor="text1"/>
        </w:rPr>
      </w:pPr>
      <w:r w:rsidRPr="0058432E">
        <w:rPr>
          <w:color w:val="000000" w:themeColor="text1"/>
        </w:rPr>
        <w:t xml:space="preserve">La posologie recommandée d’Amsparity est une dose initiale de 20 mg, suivie d’une dose de 20 mg une semaine plus tard. Par la suite, la posologie habituelle est de 20 mg </w:t>
      </w:r>
      <w:r w:rsidR="001B430D" w:rsidRPr="0058432E">
        <w:rPr>
          <w:color w:val="000000" w:themeColor="text1"/>
        </w:rPr>
        <w:t>toutes les deux semaines</w:t>
      </w:r>
      <w:r w:rsidRPr="0058432E">
        <w:rPr>
          <w:color w:val="000000" w:themeColor="text1"/>
        </w:rPr>
        <w:t xml:space="preserve">. </w:t>
      </w:r>
    </w:p>
    <w:p w14:paraId="36D9DBF2" w14:textId="77777777" w:rsidR="00ED39CA" w:rsidRPr="0058432E" w:rsidRDefault="00ED39CA" w:rsidP="00982118">
      <w:pPr>
        <w:rPr>
          <w:color w:val="000000" w:themeColor="text1"/>
        </w:rPr>
      </w:pPr>
    </w:p>
    <w:p w14:paraId="5ED79141" w14:textId="77777777" w:rsidR="00ED39CA" w:rsidRPr="0058432E" w:rsidRDefault="00ED39CA" w:rsidP="00982118">
      <w:pPr>
        <w:rPr>
          <w:i/>
          <w:color w:val="000000" w:themeColor="text1"/>
        </w:rPr>
      </w:pPr>
      <w:r w:rsidRPr="0058432E">
        <w:rPr>
          <w:color w:val="000000" w:themeColor="text1"/>
        </w:rPr>
        <w:t xml:space="preserve"> </w:t>
      </w:r>
      <w:r w:rsidRPr="0058432E">
        <w:rPr>
          <w:i/>
          <w:color w:val="000000" w:themeColor="text1"/>
        </w:rPr>
        <w:t>Enfants et adolescents de 4 à 17 ans et pesant 30 kg et plus</w:t>
      </w:r>
    </w:p>
    <w:p w14:paraId="0EEC4940" w14:textId="77777777" w:rsidR="00ED39CA" w:rsidRPr="0058432E" w:rsidRDefault="00ED39CA" w:rsidP="00982118">
      <w:pPr>
        <w:rPr>
          <w:color w:val="000000" w:themeColor="text1"/>
        </w:rPr>
      </w:pPr>
    </w:p>
    <w:p w14:paraId="19C2DF8A" w14:textId="77777777" w:rsidR="00ED39CA" w:rsidRPr="0058432E" w:rsidRDefault="00ED39CA" w:rsidP="00982118">
      <w:pPr>
        <w:rPr>
          <w:color w:val="000000" w:themeColor="text1"/>
        </w:rPr>
      </w:pPr>
      <w:r w:rsidRPr="0058432E">
        <w:rPr>
          <w:color w:val="000000" w:themeColor="text1"/>
        </w:rPr>
        <w:t xml:space="preserve">La posologie recommandée d’Amsparity est une dose initiale de 40 mg, suivie d’une dose de 40 mg une semaine plus tard. Par la suite, la posologie habituelle est de 40 mg </w:t>
      </w:r>
      <w:r w:rsidR="001B430D" w:rsidRPr="0058432E">
        <w:rPr>
          <w:color w:val="000000" w:themeColor="text1"/>
        </w:rPr>
        <w:t>toutes les deux semaines</w:t>
      </w:r>
      <w:r w:rsidRPr="0058432E">
        <w:rPr>
          <w:color w:val="000000" w:themeColor="text1"/>
        </w:rPr>
        <w:t>.</w:t>
      </w:r>
    </w:p>
    <w:p w14:paraId="640668F4" w14:textId="77777777" w:rsidR="00C46587" w:rsidRPr="0058432E" w:rsidRDefault="00C46587" w:rsidP="00982118">
      <w:pPr>
        <w:rPr>
          <w:color w:val="000000" w:themeColor="text1"/>
        </w:rPr>
      </w:pPr>
    </w:p>
    <w:p w14:paraId="64F53ED7" w14:textId="77777777" w:rsidR="00C46587" w:rsidRPr="0058432E" w:rsidRDefault="00C46587" w:rsidP="00982118">
      <w:pPr>
        <w:rPr>
          <w:color w:val="000000" w:themeColor="text1"/>
          <w:u w:val="single"/>
        </w:rPr>
      </w:pPr>
      <w:r w:rsidRPr="0058432E">
        <w:rPr>
          <w:color w:val="000000" w:themeColor="text1"/>
          <w:u w:val="single"/>
        </w:rPr>
        <w:t xml:space="preserve">Adultes atteints d’hidrosadénite suppurée </w:t>
      </w:r>
    </w:p>
    <w:p w14:paraId="2F78B505" w14:textId="77777777" w:rsidR="00C46587" w:rsidRPr="0058432E" w:rsidRDefault="00C46587" w:rsidP="00982118">
      <w:pPr>
        <w:rPr>
          <w:color w:val="000000" w:themeColor="text1"/>
        </w:rPr>
      </w:pPr>
    </w:p>
    <w:p w14:paraId="44C53E68" w14:textId="77777777" w:rsidR="00C46587" w:rsidRPr="0058432E" w:rsidRDefault="00530409" w:rsidP="00982118">
      <w:pPr>
        <w:rPr>
          <w:color w:val="000000" w:themeColor="text1"/>
        </w:rPr>
      </w:pPr>
      <w:r w:rsidRPr="0058432E">
        <w:rPr>
          <w:color w:val="000000" w:themeColor="text1"/>
        </w:rPr>
        <w:t>Le schéma posologique habituel</w:t>
      </w:r>
      <w:r w:rsidR="00C46587" w:rsidRPr="0058432E">
        <w:rPr>
          <w:color w:val="000000" w:themeColor="text1"/>
        </w:rPr>
        <w:t xml:space="preserve"> dans l’hidrosadénite suppurée est une dose initiale de 160 mg (administrée sous forme de quatre injections de 40 mg sur un jour ou de deux injections de 40 mg par jour pendant deux jours consécutifs), suivie d’une dose de 80 mg deux semaines après (administrée sous forme de deux injections de 40 mg sur un jour). Après deux semaines supplémentaires, le traitement doit être poursuivi à raison d'une posologie de 40 mg toutes les semaines ou de 80 mg toutes les deux semaines, suivant la prescription de votre médecin. Il est recommandé de laver quotidiennement les zones concernées avec un antiseptique local. </w:t>
      </w:r>
    </w:p>
    <w:p w14:paraId="5DF80175" w14:textId="77777777" w:rsidR="00C46587" w:rsidRPr="0058432E" w:rsidRDefault="00C46587" w:rsidP="00982118">
      <w:pPr>
        <w:rPr>
          <w:color w:val="000000" w:themeColor="text1"/>
        </w:rPr>
      </w:pPr>
    </w:p>
    <w:p w14:paraId="0E5CD201" w14:textId="77777777" w:rsidR="00C46587" w:rsidRPr="0058432E" w:rsidRDefault="00C46587" w:rsidP="00982118">
      <w:pPr>
        <w:keepNext/>
        <w:rPr>
          <w:color w:val="000000" w:themeColor="text1"/>
          <w:u w:val="single"/>
        </w:rPr>
      </w:pPr>
      <w:r w:rsidRPr="0058432E">
        <w:rPr>
          <w:color w:val="000000" w:themeColor="text1"/>
          <w:u w:val="single"/>
        </w:rPr>
        <w:t xml:space="preserve">Adolescents atteints d’hidrosadénite suppurée âgés de 12 à 17 ans et pesant 30 kg et plus </w:t>
      </w:r>
    </w:p>
    <w:p w14:paraId="19F12471" w14:textId="77777777" w:rsidR="00C46587" w:rsidRPr="0058432E" w:rsidRDefault="00C46587" w:rsidP="00982118">
      <w:pPr>
        <w:keepNext/>
        <w:rPr>
          <w:color w:val="000000" w:themeColor="text1"/>
        </w:rPr>
      </w:pPr>
    </w:p>
    <w:p w14:paraId="530FBFBE" w14:textId="77777777" w:rsidR="00C46587" w:rsidRPr="0058432E" w:rsidRDefault="00C46587" w:rsidP="00982118">
      <w:pPr>
        <w:rPr>
          <w:color w:val="000000" w:themeColor="text1"/>
        </w:rPr>
      </w:pPr>
      <w:r w:rsidRPr="0058432E">
        <w:rPr>
          <w:color w:val="000000" w:themeColor="text1"/>
        </w:rPr>
        <w:t xml:space="preserve">La posologie recommandée d’Amsparity est une dose initiale de 80 mg (administrée sous forme de deux injections de 40 mg sur un jour), suivie d’une dose de 40 mg toutes les deux semaines à partir de la semaine suivante. Si cette dose ne fonctionne pas assez bien, votre médecin pourra augmenter la posologie à 40 mg toutes les semaines ou à 80 mg toutes les deux semaines. </w:t>
      </w:r>
    </w:p>
    <w:p w14:paraId="1E3BBACF" w14:textId="77777777" w:rsidR="00C46587" w:rsidRPr="0058432E" w:rsidRDefault="00C46587" w:rsidP="00982118">
      <w:pPr>
        <w:rPr>
          <w:color w:val="000000" w:themeColor="text1"/>
        </w:rPr>
      </w:pPr>
    </w:p>
    <w:p w14:paraId="747A686B" w14:textId="77777777" w:rsidR="00C46587" w:rsidRPr="0058432E" w:rsidRDefault="00C46587" w:rsidP="00982118">
      <w:pPr>
        <w:rPr>
          <w:color w:val="000000" w:themeColor="text1"/>
        </w:rPr>
      </w:pPr>
      <w:r w:rsidRPr="0058432E">
        <w:rPr>
          <w:color w:val="000000" w:themeColor="text1"/>
        </w:rPr>
        <w:t xml:space="preserve">Il est recommandé de laver quotidiennement les zones concernées avec un antiseptique local. </w:t>
      </w:r>
    </w:p>
    <w:p w14:paraId="1704CD2E" w14:textId="77777777" w:rsidR="00C46587" w:rsidRPr="0058432E" w:rsidRDefault="00C46587" w:rsidP="00982118">
      <w:pPr>
        <w:rPr>
          <w:color w:val="000000" w:themeColor="text1"/>
        </w:rPr>
      </w:pPr>
    </w:p>
    <w:p w14:paraId="2E401E60" w14:textId="77777777" w:rsidR="00C46587" w:rsidRPr="0058432E" w:rsidRDefault="00C46587" w:rsidP="00982118">
      <w:pPr>
        <w:keepNext/>
        <w:rPr>
          <w:color w:val="000000" w:themeColor="text1"/>
        </w:rPr>
      </w:pPr>
      <w:r w:rsidRPr="0058432E">
        <w:rPr>
          <w:color w:val="000000" w:themeColor="text1"/>
          <w:u w:val="single"/>
        </w:rPr>
        <w:t>Adultes atteints de maladie de Crohn</w:t>
      </w:r>
      <w:r w:rsidRPr="0058432E">
        <w:rPr>
          <w:color w:val="000000" w:themeColor="text1"/>
        </w:rPr>
        <w:t xml:space="preserve"> </w:t>
      </w:r>
    </w:p>
    <w:p w14:paraId="6CDA1958" w14:textId="77777777" w:rsidR="00C46587" w:rsidRPr="0058432E" w:rsidRDefault="00C46587" w:rsidP="00982118">
      <w:pPr>
        <w:keepNext/>
        <w:rPr>
          <w:color w:val="000000" w:themeColor="text1"/>
        </w:rPr>
      </w:pPr>
    </w:p>
    <w:p w14:paraId="060B4852" w14:textId="77777777" w:rsidR="00C46587" w:rsidRPr="0058432E" w:rsidRDefault="00C46587" w:rsidP="00982118">
      <w:pPr>
        <w:rPr>
          <w:color w:val="000000" w:themeColor="text1"/>
        </w:rPr>
      </w:pPr>
      <w:r w:rsidRPr="0058432E">
        <w:rPr>
          <w:color w:val="000000" w:themeColor="text1"/>
        </w:rPr>
        <w:t xml:space="preserve">Le schéma posologique habituel pour la maladie de Crohn est </w:t>
      </w:r>
      <w:r w:rsidR="007A5D3D" w:rsidRPr="0058432E">
        <w:rPr>
          <w:color w:val="000000" w:themeColor="text1"/>
        </w:rPr>
        <w:t xml:space="preserve">initialement </w:t>
      </w:r>
      <w:r w:rsidRPr="0058432E">
        <w:rPr>
          <w:color w:val="000000" w:themeColor="text1"/>
        </w:rPr>
        <w:t xml:space="preserve">de 80 mg (administré sous forme de deux injections de 40 mg sur un jour) suivi deux semaines plus tard de 40 mg </w:t>
      </w:r>
      <w:r w:rsidR="001B430D" w:rsidRPr="0058432E">
        <w:rPr>
          <w:color w:val="000000" w:themeColor="text1"/>
        </w:rPr>
        <w:t>toutes les deux semaines</w:t>
      </w:r>
      <w:r w:rsidRPr="0058432E">
        <w:rPr>
          <w:color w:val="000000" w:themeColor="text1"/>
        </w:rPr>
        <w:t xml:space="preserve">. S’il est nécessaire d’obtenir une réponse plus rapide, votre médecin pourra vous prescrire une dose initiale de 160 mg (sous forme de quatre injections de 40 mg le même jour ou de deux injections de 40 mg par jour pendant deux jours consécutifs), suivie deux semaines plus tard de 80 mg (administrée sous forme de deux injections de 40 mg sur un jour), puis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79E2354C" w14:textId="77777777" w:rsidR="00C46587" w:rsidRPr="0058432E" w:rsidRDefault="00C46587" w:rsidP="00982118">
      <w:pPr>
        <w:rPr>
          <w:color w:val="000000" w:themeColor="text1"/>
        </w:rPr>
      </w:pPr>
    </w:p>
    <w:p w14:paraId="762397B2" w14:textId="77777777" w:rsidR="00C46587" w:rsidRPr="0058432E" w:rsidRDefault="00C46587" w:rsidP="00982118">
      <w:pPr>
        <w:rPr>
          <w:color w:val="000000" w:themeColor="text1"/>
        </w:rPr>
      </w:pPr>
      <w:r w:rsidRPr="0058432E">
        <w:rPr>
          <w:color w:val="000000" w:themeColor="text1"/>
          <w:u w:val="single"/>
        </w:rPr>
        <w:t>Enfants et adolescents atteints de la maladie de Crohn</w:t>
      </w:r>
      <w:r w:rsidRPr="0058432E">
        <w:rPr>
          <w:color w:val="000000" w:themeColor="text1"/>
        </w:rPr>
        <w:t xml:space="preserve"> </w:t>
      </w:r>
    </w:p>
    <w:p w14:paraId="4E7F87DE" w14:textId="77777777" w:rsidR="00C46587" w:rsidRPr="0058432E" w:rsidRDefault="00C46587" w:rsidP="00982118">
      <w:pPr>
        <w:rPr>
          <w:color w:val="000000" w:themeColor="text1"/>
        </w:rPr>
      </w:pPr>
    </w:p>
    <w:p w14:paraId="0D8C2166" w14:textId="77777777" w:rsidR="00C46587" w:rsidRPr="0058432E" w:rsidRDefault="00C46587" w:rsidP="00982118">
      <w:pPr>
        <w:rPr>
          <w:i/>
          <w:color w:val="000000" w:themeColor="text1"/>
        </w:rPr>
      </w:pPr>
      <w:r w:rsidRPr="0058432E">
        <w:rPr>
          <w:i/>
          <w:color w:val="000000" w:themeColor="text1"/>
        </w:rPr>
        <w:lastRenderedPageBreak/>
        <w:t xml:space="preserve">Enfants et adolescents de 6 à 17 ans et pesant moins de 40 kg </w:t>
      </w:r>
    </w:p>
    <w:p w14:paraId="53EA000C" w14:textId="77777777" w:rsidR="00C46587" w:rsidRPr="0058432E" w:rsidRDefault="00C46587" w:rsidP="00982118">
      <w:pPr>
        <w:rPr>
          <w:color w:val="000000" w:themeColor="text1"/>
        </w:rPr>
      </w:pPr>
    </w:p>
    <w:p w14:paraId="5310BCD3" w14:textId="77777777" w:rsidR="00ED39CA" w:rsidRPr="0058432E" w:rsidRDefault="00530409" w:rsidP="00982118">
      <w:pPr>
        <w:rPr>
          <w:color w:val="000000" w:themeColor="text1"/>
        </w:rPr>
      </w:pPr>
      <w:r w:rsidRPr="0058432E">
        <w:rPr>
          <w:color w:val="000000" w:themeColor="text1"/>
        </w:rPr>
        <w:t>Le schéma posologique habituel</w:t>
      </w:r>
      <w:r w:rsidR="00C46587" w:rsidRPr="0058432E">
        <w:rPr>
          <w:color w:val="000000" w:themeColor="text1"/>
        </w:rPr>
        <w:t xml:space="preserve"> est </w:t>
      </w:r>
      <w:r w:rsidRPr="0058432E">
        <w:rPr>
          <w:color w:val="000000" w:themeColor="text1"/>
        </w:rPr>
        <w:t xml:space="preserve">initialement </w:t>
      </w:r>
      <w:r w:rsidR="00C46587" w:rsidRPr="0058432E">
        <w:rPr>
          <w:color w:val="000000" w:themeColor="text1"/>
        </w:rPr>
        <w:t xml:space="preserve">de 40 mg, suivie de 20 mg deux semaines plus tard. Si une réponse plus rapide est nécessaire, votre médecin pourra vous prescrire une dose initiale de 80 mg (administrée sous forme de deux injections de 40 mg sur un jour), suivie de 40 mg deux semaines plus tard. </w:t>
      </w:r>
    </w:p>
    <w:p w14:paraId="4428DD25" w14:textId="77777777" w:rsidR="00ED39CA" w:rsidRPr="0058432E" w:rsidRDefault="00ED39CA" w:rsidP="00982118">
      <w:pPr>
        <w:rPr>
          <w:color w:val="000000" w:themeColor="text1"/>
        </w:rPr>
      </w:pPr>
    </w:p>
    <w:p w14:paraId="6EB89CE5" w14:textId="77777777" w:rsidR="00C46587" w:rsidRPr="0058432E" w:rsidRDefault="00C46587" w:rsidP="00982118">
      <w:pPr>
        <w:rPr>
          <w:color w:val="000000" w:themeColor="text1"/>
        </w:rPr>
      </w:pPr>
      <w:r w:rsidRPr="0058432E">
        <w:rPr>
          <w:color w:val="000000" w:themeColor="text1"/>
        </w:rPr>
        <w:t xml:space="preserve">Par la suite, la posologie habituelle est de 20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20 mg toutes les semaines. </w:t>
      </w:r>
    </w:p>
    <w:p w14:paraId="3B67EFD5" w14:textId="77777777" w:rsidR="00C46587" w:rsidRPr="0058432E" w:rsidRDefault="00C46587" w:rsidP="00982118">
      <w:pPr>
        <w:rPr>
          <w:color w:val="000000" w:themeColor="text1"/>
        </w:rPr>
      </w:pPr>
    </w:p>
    <w:p w14:paraId="1D6894EC" w14:textId="77777777" w:rsidR="00C46587" w:rsidRPr="0058432E" w:rsidRDefault="00C46587" w:rsidP="00982118">
      <w:pPr>
        <w:rPr>
          <w:i/>
          <w:color w:val="000000" w:themeColor="text1"/>
        </w:rPr>
      </w:pPr>
      <w:r w:rsidRPr="0058432E">
        <w:rPr>
          <w:i/>
          <w:color w:val="000000" w:themeColor="text1"/>
        </w:rPr>
        <w:t>Enfants et adolescents de 6 à 17 ans et pesant 40 kg et plus</w:t>
      </w:r>
    </w:p>
    <w:p w14:paraId="5025F3B5" w14:textId="77777777" w:rsidR="00C46587" w:rsidRPr="0058432E" w:rsidRDefault="00C46587" w:rsidP="00982118">
      <w:pPr>
        <w:rPr>
          <w:color w:val="000000" w:themeColor="text1"/>
        </w:rPr>
      </w:pPr>
    </w:p>
    <w:p w14:paraId="5B0335A7" w14:textId="77777777" w:rsidR="00C46587" w:rsidRPr="0058432E" w:rsidRDefault="00530409" w:rsidP="00982118">
      <w:pPr>
        <w:rPr>
          <w:color w:val="000000" w:themeColor="text1"/>
        </w:rPr>
      </w:pPr>
      <w:r w:rsidRPr="0058432E">
        <w:rPr>
          <w:color w:val="000000" w:themeColor="text1"/>
        </w:rPr>
        <w:t>Le schéma posologique habituel</w:t>
      </w:r>
      <w:r w:rsidR="00C46587" w:rsidRPr="0058432E">
        <w:rPr>
          <w:color w:val="000000" w:themeColor="text1"/>
        </w:rPr>
        <w:t xml:space="preserve"> est </w:t>
      </w:r>
      <w:r w:rsidRPr="0058432E">
        <w:rPr>
          <w:color w:val="000000" w:themeColor="text1"/>
        </w:rPr>
        <w:t xml:space="preserve">initialement </w:t>
      </w:r>
      <w:r w:rsidR="00C46587" w:rsidRPr="0058432E">
        <w:rPr>
          <w:color w:val="000000" w:themeColor="text1"/>
        </w:rPr>
        <w:t xml:space="preserve">de 80 mg (administrée sous forme de deux injections de 40 mg sur un jour), suivie de 40 mg deux semaines plus tard. Si une réponse plus rapide est nécessaire, votre médecin pourra vous prescrire une dose initiale de 160 mg (administrée sous forme de quatre injections de 40 mg sur un jour ou de deux injections de 40 mg par jour pendant deux jours consécutifs), suivie de 80 mg (administrée sous forme de deux injections de 40 mg sur un jour) deux semaines plus tard. </w:t>
      </w:r>
    </w:p>
    <w:p w14:paraId="252E2BC6" w14:textId="77777777" w:rsidR="00C46587" w:rsidRPr="0058432E" w:rsidRDefault="00C46587" w:rsidP="00982118">
      <w:pPr>
        <w:rPr>
          <w:color w:val="000000" w:themeColor="text1"/>
        </w:rPr>
      </w:pPr>
    </w:p>
    <w:p w14:paraId="7752182D" w14:textId="77777777" w:rsidR="00C46587" w:rsidRPr="0058432E" w:rsidRDefault="00C46587" w:rsidP="00982118">
      <w:pPr>
        <w:rPr>
          <w:color w:val="000000" w:themeColor="text1"/>
        </w:rPr>
      </w:pPr>
      <w:r w:rsidRPr="0058432E">
        <w:rPr>
          <w:color w:val="000000" w:themeColor="text1"/>
        </w:rPr>
        <w:t xml:space="preserve">Par la suite, la posologie habituelle est de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237680F8" w14:textId="77777777" w:rsidR="00C46587" w:rsidRPr="0058432E" w:rsidRDefault="00C46587" w:rsidP="00982118">
      <w:pPr>
        <w:rPr>
          <w:color w:val="000000" w:themeColor="text1"/>
        </w:rPr>
      </w:pPr>
    </w:p>
    <w:p w14:paraId="143E5F12" w14:textId="77777777" w:rsidR="00C46587" w:rsidRPr="0058432E" w:rsidRDefault="00C46587" w:rsidP="00982118">
      <w:pPr>
        <w:rPr>
          <w:color w:val="000000" w:themeColor="text1"/>
          <w:u w:val="single"/>
        </w:rPr>
      </w:pPr>
      <w:r w:rsidRPr="0058432E">
        <w:rPr>
          <w:color w:val="000000" w:themeColor="text1"/>
          <w:u w:val="single"/>
        </w:rPr>
        <w:t>Adultes atteints de rectocolite hémorragique</w:t>
      </w:r>
    </w:p>
    <w:p w14:paraId="37D1F920" w14:textId="77777777" w:rsidR="00C46587" w:rsidRPr="0058432E" w:rsidRDefault="00C46587" w:rsidP="00982118">
      <w:pPr>
        <w:rPr>
          <w:color w:val="000000" w:themeColor="text1"/>
        </w:rPr>
      </w:pPr>
    </w:p>
    <w:p w14:paraId="0D4F1453" w14:textId="77777777" w:rsidR="00C46587" w:rsidRPr="0058432E" w:rsidRDefault="00C46587" w:rsidP="00982118">
      <w:pPr>
        <w:rPr>
          <w:color w:val="000000" w:themeColor="text1"/>
        </w:rPr>
      </w:pPr>
      <w:r w:rsidRPr="0058432E">
        <w:rPr>
          <w:color w:val="000000" w:themeColor="text1"/>
        </w:rPr>
        <w:t>La posologie habituelle d’Amsparity chez l’adulte atteint de rectocolite hémorragique est initialement de 160 mg (administrée sous forme de quatre injections de 40 mg sur un jour ou de deux injections de 40 mg par jour pendant deux jours consécutifs), puis de 80 mg (</w:t>
      </w:r>
      <w:r w:rsidR="00B42EC9" w:rsidRPr="0058432E">
        <w:rPr>
          <w:color w:val="000000" w:themeColor="text1"/>
        </w:rPr>
        <w:t>en</w:t>
      </w:r>
      <w:r w:rsidRPr="0058432E">
        <w:rPr>
          <w:color w:val="000000" w:themeColor="text1"/>
        </w:rPr>
        <w:t xml:space="preserve"> deux injections de 40 mg sur </w:t>
      </w:r>
      <w:r w:rsidR="00B42EC9" w:rsidRPr="0058432E">
        <w:rPr>
          <w:color w:val="000000" w:themeColor="text1"/>
        </w:rPr>
        <w:t>le même</w:t>
      </w:r>
      <w:r w:rsidRPr="0058432E">
        <w:rPr>
          <w:color w:val="000000" w:themeColor="text1"/>
        </w:rPr>
        <w:t xml:space="preserve"> jour) deux semaines plus tard, puis de 40 mg </w:t>
      </w:r>
      <w:r w:rsidR="001B430D" w:rsidRPr="0058432E">
        <w:rPr>
          <w:color w:val="000000" w:themeColor="text1"/>
        </w:rPr>
        <w:t>toutes les deux semaines</w:t>
      </w:r>
      <w:r w:rsidRPr="0058432E">
        <w:rPr>
          <w:color w:val="000000" w:themeColor="text1"/>
        </w:rPr>
        <w:t xml:space="preserve">. Si cette dose ne fonctionne pas assez bien, votre médecin pourra augmenter la posologie à 40 mg toutes les semaines ou à 80 mg toutes les deux semaines. </w:t>
      </w:r>
    </w:p>
    <w:p w14:paraId="2DCB6382" w14:textId="77777777" w:rsidR="009A4E8B" w:rsidRPr="0058432E" w:rsidRDefault="009A4E8B" w:rsidP="009A4E8B">
      <w:pPr>
        <w:rPr>
          <w:color w:val="000000" w:themeColor="text1"/>
        </w:rPr>
      </w:pPr>
    </w:p>
    <w:p w14:paraId="6EB54445" w14:textId="77777777" w:rsidR="009A4E8B" w:rsidRPr="0058432E" w:rsidRDefault="009A4E8B" w:rsidP="009A4E8B">
      <w:pPr>
        <w:rPr>
          <w:color w:val="000000" w:themeColor="text1"/>
          <w:u w:val="single"/>
        </w:rPr>
      </w:pPr>
      <w:r w:rsidRPr="0058432E">
        <w:rPr>
          <w:color w:val="000000" w:themeColor="text1"/>
          <w:u w:val="single"/>
        </w:rPr>
        <w:t>Enfants et adolescents atteints de rectocolite hémorragique</w:t>
      </w:r>
    </w:p>
    <w:p w14:paraId="3B09074C" w14:textId="77777777" w:rsidR="009A4E8B" w:rsidRPr="0058432E" w:rsidRDefault="009A4E8B" w:rsidP="009A4E8B">
      <w:pPr>
        <w:rPr>
          <w:color w:val="000000" w:themeColor="text1"/>
        </w:rPr>
      </w:pPr>
    </w:p>
    <w:p w14:paraId="6469CEBE" w14:textId="77777777" w:rsidR="009A4E8B" w:rsidRPr="0058432E" w:rsidRDefault="009A4E8B" w:rsidP="009A4E8B">
      <w:pPr>
        <w:rPr>
          <w:i/>
          <w:color w:val="000000" w:themeColor="text1"/>
        </w:rPr>
      </w:pPr>
      <w:r w:rsidRPr="0058432E">
        <w:rPr>
          <w:i/>
          <w:color w:val="000000" w:themeColor="text1"/>
        </w:rPr>
        <w:t>Enfants et adolescents à partir de 6 ans pesant moins de 40 kg</w:t>
      </w:r>
    </w:p>
    <w:p w14:paraId="4A2D2A96" w14:textId="77777777" w:rsidR="009A4E8B" w:rsidRPr="0058432E" w:rsidRDefault="009A4E8B" w:rsidP="009A4E8B">
      <w:pPr>
        <w:rPr>
          <w:color w:val="000000" w:themeColor="text1"/>
        </w:rPr>
      </w:pPr>
    </w:p>
    <w:p w14:paraId="41C794FC" w14:textId="77777777" w:rsidR="009A4E8B" w:rsidRPr="0058432E" w:rsidRDefault="009A4E8B" w:rsidP="009A4E8B">
      <w:pPr>
        <w:rPr>
          <w:color w:val="000000" w:themeColor="text1"/>
        </w:rPr>
      </w:pPr>
      <w:r w:rsidRPr="0058432E">
        <w:rPr>
          <w:color w:val="000000" w:themeColor="text1"/>
        </w:rPr>
        <w:t>La dose initiale habituelle d’Amsparity est de 80 mg (administrée sous forme de deux injections de 40 mg sur un jour), suivie de 40 mg (administrés en une seule injection de 40 mg) deux semaines plus tard. Ensuite, la dose habituelle est de 40 mg une semaine sur deux.</w:t>
      </w:r>
    </w:p>
    <w:p w14:paraId="20AB4EE1" w14:textId="77777777" w:rsidR="009A4E8B" w:rsidRPr="0058432E" w:rsidRDefault="009A4E8B" w:rsidP="009A4E8B">
      <w:pPr>
        <w:rPr>
          <w:color w:val="000000" w:themeColor="text1"/>
        </w:rPr>
      </w:pPr>
    </w:p>
    <w:p w14:paraId="66FDE494" w14:textId="77777777" w:rsidR="009A4E8B" w:rsidRPr="0058432E" w:rsidRDefault="009A4E8B" w:rsidP="009A4E8B">
      <w:pPr>
        <w:rPr>
          <w:color w:val="000000" w:themeColor="text1"/>
        </w:rPr>
      </w:pPr>
      <w:r w:rsidRPr="0058432E">
        <w:rPr>
          <w:color w:val="000000" w:themeColor="text1"/>
        </w:rPr>
        <w:t>Les patients atteignant l’âge de 18 ans alors qu’ils reçoivent une dose de 40 mg toutes les deux semaines doivent poursuivre leur traitement à la dose prescrite.</w:t>
      </w:r>
    </w:p>
    <w:p w14:paraId="3536EF9D" w14:textId="77777777" w:rsidR="009A4E8B" w:rsidRPr="0058432E" w:rsidRDefault="009A4E8B" w:rsidP="009A4E8B">
      <w:pPr>
        <w:rPr>
          <w:color w:val="000000" w:themeColor="text1"/>
        </w:rPr>
      </w:pPr>
    </w:p>
    <w:p w14:paraId="17931874" w14:textId="77777777" w:rsidR="009A4E8B" w:rsidRPr="0058432E" w:rsidRDefault="009A4E8B" w:rsidP="009A4E8B">
      <w:pPr>
        <w:rPr>
          <w:i/>
          <w:color w:val="000000" w:themeColor="text1"/>
        </w:rPr>
      </w:pPr>
      <w:r w:rsidRPr="0058432E">
        <w:rPr>
          <w:i/>
          <w:color w:val="000000" w:themeColor="text1"/>
        </w:rPr>
        <w:t>Enfants et adolescents à partir de 6 ans pesant 40 kg et plus</w:t>
      </w:r>
    </w:p>
    <w:p w14:paraId="011DD962" w14:textId="77777777" w:rsidR="009A4E8B" w:rsidRPr="0058432E" w:rsidRDefault="009A4E8B" w:rsidP="009A4E8B">
      <w:pPr>
        <w:rPr>
          <w:color w:val="000000" w:themeColor="text1"/>
        </w:rPr>
      </w:pPr>
    </w:p>
    <w:p w14:paraId="712943C3" w14:textId="77777777" w:rsidR="009A4E8B" w:rsidRPr="0058432E" w:rsidRDefault="009A4E8B" w:rsidP="009A4E8B">
      <w:pPr>
        <w:rPr>
          <w:color w:val="000000" w:themeColor="text1"/>
        </w:rPr>
      </w:pPr>
      <w:r w:rsidRPr="0058432E">
        <w:rPr>
          <w:color w:val="000000" w:themeColor="text1"/>
        </w:rPr>
        <w:t>La dose initiale habituelle d’Amsparity est de 160 mg (administrée sous forme de quatre injections de 40 mg sur un jour ou de deux injections de 40 mg par jour pendant deux jours consécutifs), suivie de 80 mg (administrés sous forme de deux injections de 40 mg sur un jour) deux semaines plus tard. Ensuite, la dose habituelle est de 80 mg une semaine sur deux.</w:t>
      </w:r>
    </w:p>
    <w:p w14:paraId="571994C3" w14:textId="77777777" w:rsidR="009A4E8B" w:rsidRPr="0058432E" w:rsidRDefault="009A4E8B" w:rsidP="009A4E8B">
      <w:pPr>
        <w:rPr>
          <w:color w:val="000000" w:themeColor="text1"/>
        </w:rPr>
      </w:pPr>
    </w:p>
    <w:p w14:paraId="0B6CEB10" w14:textId="77777777" w:rsidR="009A4E8B" w:rsidRPr="0058432E" w:rsidRDefault="009A4E8B" w:rsidP="009A4E8B">
      <w:pPr>
        <w:rPr>
          <w:color w:val="000000" w:themeColor="text1"/>
        </w:rPr>
      </w:pPr>
      <w:r w:rsidRPr="0058432E">
        <w:rPr>
          <w:color w:val="000000" w:themeColor="text1"/>
        </w:rPr>
        <w:t>Les patients atteignant l’âge de 18 ans alors qu’ils reçoivent une dose de 80 mg toutes les deux semaines doivent poursuivre leur traitement à la dose prescrite.</w:t>
      </w:r>
    </w:p>
    <w:p w14:paraId="6C827FB4" w14:textId="77777777" w:rsidR="006E03C1" w:rsidRPr="0058432E" w:rsidRDefault="006E03C1" w:rsidP="00982118">
      <w:pPr>
        <w:rPr>
          <w:color w:val="000000" w:themeColor="text1"/>
        </w:rPr>
      </w:pPr>
    </w:p>
    <w:p w14:paraId="656A13C0" w14:textId="77777777" w:rsidR="00C46587" w:rsidRPr="0058432E" w:rsidRDefault="00C46587" w:rsidP="00982118">
      <w:pPr>
        <w:keepNext/>
        <w:rPr>
          <w:color w:val="000000" w:themeColor="text1"/>
          <w:u w:val="single"/>
        </w:rPr>
      </w:pPr>
      <w:r w:rsidRPr="0058432E">
        <w:rPr>
          <w:color w:val="000000" w:themeColor="text1"/>
          <w:u w:val="single"/>
        </w:rPr>
        <w:t>Adultes atteints d’uvéite non infectieuse</w:t>
      </w:r>
    </w:p>
    <w:p w14:paraId="3184943A" w14:textId="77777777" w:rsidR="00C46587" w:rsidRPr="0058432E" w:rsidRDefault="00C46587" w:rsidP="00982118">
      <w:pPr>
        <w:keepNext/>
        <w:rPr>
          <w:color w:val="000000" w:themeColor="text1"/>
        </w:rPr>
      </w:pPr>
    </w:p>
    <w:p w14:paraId="463748FD" w14:textId="77777777" w:rsidR="00C46587" w:rsidRPr="0058432E" w:rsidRDefault="00C46587" w:rsidP="00982118">
      <w:pPr>
        <w:keepNext/>
        <w:rPr>
          <w:color w:val="000000" w:themeColor="text1"/>
        </w:rPr>
      </w:pPr>
      <w:r w:rsidRPr="0058432E">
        <w:rPr>
          <w:color w:val="000000" w:themeColor="text1"/>
        </w:rPr>
        <w:t xml:space="preserve">La posologie habituelle chez l’adulte atteint d’uvéite non infectieuse est une dose initiale de 80 mg (administrée sous forme de deux injections de 40 mg sur un jour), suivie de 40 mg administrés </w:t>
      </w:r>
      <w:r w:rsidR="001B430D" w:rsidRPr="0058432E">
        <w:rPr>
          <w:color w:val="000000" w:themeColor="text1"/>
        </w:rPr>
        <w:t xml:space="preserve">toutes </w:t>
      </w:r>
      <w:r w:rsidR="001B430D" w:rsidRPr="0058432E">
        <w:rPr>
          <w:color w:val="000000" w:themeColor="text1"/>
        </w:rPr>
        <w:lastRenderedPageBreak/>
        <w:t>les deux semaines</w:t>
      </w:r>
      <w:r w:rsidRPr="0058432E">
        <w:rPr>
          <w:color w:val="000000" w:themeColor="text1"/>
        </w:rPr>
        <w:t xml:space="preserve"> en commençant une semaine après la dose initiale. Vous devez continuer le traitement par Amsparity aussi longtemps que vous l’a indiqué votre médecin. </w:t>
      </w:r>
    </w:p>
    <w:p w14:paraId="51F7FC88" w14:textId="77777777" w:rsidR="00C46587" w:rsidRPr="0058432E" w:rsidRDefault="00C46587" w:rsidP="00982118">
      <w:pPr>
        <w:rPr>
          <w:color w:val="000000" w:themeColor="text1"/>
        </w:rPr>
      </w:pPr>
    </w:p>
    <w:p w14:paraId="319FD974" w14:textId="77777777" w:rsidR="00C46587" w:rsidRPr="0058432E" w:rsidRDefault="00C46587" w:rsidP="00982118">
      <w:pPr>
        <w:rPr>
          <w:color w:val="000000" w:themeColor="text1"/>
        </w:rPr>
      </w:pPr>
      <w:r w:rsidRPr="0058432E">
        <w:rPr>
          <w:color w:val="000000" w:themeColor="text1"/>
        </w:rPr>
        <w:t xml:space="preserve">Dans l’uvéite non infectieuse, l’administration de corticoïdes ou d’autres immunomodulateurs peut être poursuivie au cours du traitement par Amsparity. Amsparity peut aussi être administré seul. </w:t>
      </w:r>
    </w:p>
    <w:p w14:paraId="5C660E22" w14:textId="77777777" w:rsidR="00C46587" w:rsidRPr="0058432E" w:rsidRDefault="00C46587" w:rsidP="00982118">
      <w:pPr>
        <w:rPr>
          <w:color w:val="000000" w:themeColor="text1"/>
        </w:rPr>
      </w:pPr>
    </w:p>
    <w:p w14:paraId="523903C5" w14:textId="77777777" w:rsidR="00143CBB" w:rsidRPr="0058432E" w:rsidRDefault="00143CBB" w:rsidP="00982118">
      <w:pPr>
        <w:keepNext/>
        <w:rPr>
          <w:color w:val="000000" w:themeColor="text1"/>
          <w:u w:val="single"/>
        </w:rPr>
      </w:pPr>
      <w:r w:rsidRPr="0058432E">
        <w:rPr>
          <w:color w:val="000000" w:themeColor="text1"/>
          <w:u w:val="single"/>
        </w:rPr>
        <w:t>Enfants et adolescents atteints d’uvéite chronique non infectieuse à partir de 2 ans</w:t>
      </w:r>
    </w:p>
    <w:p w14:paraId="7052791A" w14:textId="77777777" w:rsidR="00143CBB" w:rsidRPr="0058432E" w:rsidRDefault="00143CBB" w:rsidP="00982118">
      <w:pPr>
        <w:keepNext/>
        <w:rPr>
          <w:color w:val="000000" w:themeColor="text1"/>
          <w:u w:val="single"/>
        </w:rPr>
      </w:pPr>
    </w:p>
    <w:p w14:paraId="26FCC0CD" w14:textId="77777777" w:rsidR="00143CBB" w:rsidRPr="0058432E" w:rsidRDefault="00143CBB" w:rsidP="00982118">
      <w:pPr>
        <w:rPr>
          <w:i/>
          <w:color w:val="000000" w:themeColor="text1"/>
        </w:rPr>
      </w:pPr>
      <w:r w:rsidRPr="0058432E">
        <w:rPr>
          <w:i/>
          <w:color w:val="000000" w:themeColor="text1"/>
        </w:rPr>
        <w:t>Enfants et adolescents à partir de 2 ans et pesant moins de 30 kg</w:t>
      </w:r>
    </w:p>
    <w:p w14:paraId="497D30BE" w14:textId="77777777" w:rsidR="00143CBB" w:rsidRPr="0058432E" w:rsidRDefault="00143CBB" w:rsidP="00982118">
      <w:pPr>
        <w:rPr>
          <w:color w:val="000000" w:themeColor="text1"/>
        </w:rPr>
      </w:pPr>
    </w:p>
    <w:p w14:paraId="62C3D2AC" w14:textId="77777777" w:rsidR="00143CBB" w:rsidRPr="0058432E" w:rsidRDefault="00143CBB" w:rsidP="00982118">
      <w:pPr>
        <w:rPr>
          <w:color w:val="000000" w:themeColor="text1"/>
        </w:rPr>
      </w:pPr>
      <w:r w:rsidRPr="0058432E">
        <w:rPr>
          <w:color w:val="000000" w:themeColor="text1"/>
        </w:rPr>
        <w:t xml:space="preserve">La dose </w:t>
      </w:r>
      <w:r w:rsidR="00530409" w:rsidRPr="0058432E">
        <w:rPr>
          <w:color w:val="000000" w:themeColor="text1"/>
        </w:rPr>
        <w:t xml:space="preserve">habituelle </w:t>
      </w:r>
      <w:r w:rsidRPr="0058432E">
        <w:rPr>
          <w:color w:val="000000" w:themeColor="text1"/>
        </w:rPr>
        <w:t>d’Amsparity est de 20 mg toutes les deux semaines,</w:t>
      </w:r>
      <w:r w:rsidR="00F41F6C" w:rsidRPr="0058432E">
        <w:rPr>
          <w:color w:val="000000" w:themeColor="text1"/>
        </w:rPr>
        <w:t xml:space="preserve"> </w:t>
      </w:r>
      <w:r w:rsidRPr="0058432E">
        <w:rPr>
          <w:color w:val="000000" w:themeColor="text1"/>
        </w:rPr>
        <w:t>en association au méthotrexate.</w:t>
      </w:r>
    </w:p>
    <w:p w14:paraId="0D75EEAC" w14:textId="77777777" w:rsidR="00143CBB" w:rsidRPr="0058432E" w:rsidRDefault="00143CBB" w:rsidP="00982118">
      <w:pPr>
        <w:rPr>
          <w:color w:val="000000" w:themeColor="text1"/>
        </w:rPr>
      </w:pPr>
    </w:p>
    <w:p w14:paraId="0051FC54" w14:textId="77777777" w:rsidR="00143CBB" w:rsidRPr="0058432E" w:rsidRDefault="00143CBB" w:rsidP="00982118">
      <w:pPr>
        <w:rPr>
          <w:color w:val="000000" w:themeColor="text1"/>
        </w:rPr>
      </w:pPr>
      <w:r w:rsidRPr="0058432E">
        <w:rPr>
          <w:color w:val="000000" w:themeColor="text1"/>
        </w:rPr>
        <w:t>Votre médecin peut également prescrire une dose initiale de 40 mg qui pourra être administrée une semaine avant le début de la dose usuelle.</w:t>
      </w:r>
    </w:p>
    <w:p w14:paraId="6449CCB3" w14:textId="77777777" w:rsidR="00143CBB" w:rsidRPr="0058432E" w:rsidRDefault="00143CBB" w:rsidP="00982118">
      <w:pPr>
        <w:rPr>
          <w:color w:val="000000" w:themeColor="text1"/>
          <w:u w:val="single"/>
        </w:rPr>
      </w:pPr>
    </w:p>
    <w:p w14:paraId="7E3ED2FB" w14:textId="77777777" w:rsidR="00143CBB" w:rsidRPr="0058432E" w:rsidRDefault="00143CBB" w:rsidP="00982118">
      <w:pPr>
        <w:keepNext/>
        <w:rPr>
          <w:i/>
          <w:color w:val="000000" w:themeColor="text1"/>
        </w:rPr>
      </w:pPr>
      <w:r w:rsidRPr="0058432E">
        <w:rPr>
          <w:i/>
          <w:color w:val="000000" w:themeColor="text1"/>
        </w:rPr>
        <w:t>Enfants et adolescents à partir de 2 ans et pesant 30 kg et plus</w:t>
      </w:r>
    </w:p>
    <w:p w14:paraId="4B30DB3F" w14:textId="77777777" w:rsidR="00143CBB" w:rsidRPr="0058432E" w:rsidRDefault="00143CBB" w:rsidP="00982118">
      <w:pPr>
        <w:keepNext/>
        <w:rPr>
          <w:color w:val="000000" w:themeColor="text1"/>
        </w:rPr>
      </w:pPr>
    </w:p>
    <w:p w14:paraId="2C57E7AA" w14:textId="77777777" w:rsidR="00143CBB" w:rsidRPr="0058432E" w:rsidRDefault="00143CBB" w:rsidP="00982118">
      <w:pPr>
        <w:rPr>
          <w:color w:val="000000" w:themeColor="text1"/>
        </w:rPr>
      </w:pPr>
      <w:r w:rsidRPr="0058432E">
        <w:rPr>
          <w:color w:val="000000" w:themeColor="text1"/>
        </w:rPr>
        <w:t>La dose usuelle d’Amsparity est de 40</w:t>
      </w:r>
      <w:r w:rsidR="0001410E" w:rsidRPr="0058432E">
        <w:rPr>
          <w:color w:val="000000" w:themeColor="text1"/>
        </w:rPr>
        <w:t> </w:t>
      </w:r>
      <w:r w:rsidRPr="0058432E">
        <w:rPr>
          <w:color w:val="000000" w:themeColor="text1"/>
        </w:rPr>
        <w:t>mg toutes les deux semaines,</w:t>
      </w:r>
      <w:r w:rsidR="00F41F6C" w:rsidRPr="0058432E">
        <w:rPr>
          <w:color w:val="000000" w:themeColor="text1"/>
        </w:rPr>
        <w:t xml:space="preserve"> </w:t>
      </w:r>
      <w:r w:rsidRPr="0058432E">
        <w:rPr>
          <w:color w:val="000000" w:themeColor="text1"/>
        </w:rPr>
        <w:t>en association au méthotrexate.</w:t>
      </w:r>
    </w:p>
    <w:p w14:paraId="435F2E30" w14:textId="77777777" w:rsidR="00143CBB" w:rsidRPr="0058432E" w:rsidRDefault="00143CBB" w:rsidP="00982118">
      <w:pPr>
        <w:rPr>
          <w:color w:val="000000" w:themeColor="text1"/>
        </w:rPr>
      </w:pPr>
    </w:p>
    <w:p w14:paraId="357BC194" w14:textId="77777777" w:rsidR="00143CBB" w:rsidRPr="0058432E" w:rsidRDefault="00143CBB" w:rsidP="00982118">
      <w:pPr>
        <w:rPr>
          <w:color w:val="000000" w:themeColor="text1"/>
        </w:rPr>
      </w:pPr>
      <w:r w:rsidRPr="0058432E">
        <w:rPr>
          <w:color w:val="000000" w:themeColor="text1"/>
        </w:rPr>
        <w:t>Votre médecin peut également prescrire une dose initiale de 80</w:t>
      </w:r>
      <w:r w:rsidR="0001410E" w:rsidRPr="0058432E">
        <w:rPr>
          <w:color w:val="000000" w:themeColor="text1"/>
        </w:rPr>
        <w:t> </w:t>
      </w:r>
      <w:r w:rsidRPr="0058432E">
        <w:rPr>
          <w:color w:val="000000" w:themeColor="text1"/>
        </w:rPr>
        <w:t xml:space="preserve">mg qui pourra être administrée une semaine avant le début de la dose </w:t>
      </w:r>
      <w:r w:rsidR="00530409" w:rsidRPr="0058432E">
        <w:rPr>
          <w:color w:val="000000" w:themeColor="text1"/>
        </w:rPr>
        <w:t>habituelle</w:t>
      </w:r>
      <w:r w:rsidRPr="0058432E">
        <w:rPr>
          <w:color w:val="000000" w:themeColor="text1"/>
        </w:rPr>
        <w:t>.</w:t>
      </w:r>
    </w:p>
    <w:p w14:paraId="67BE11F2" w14:textId="77777777" w:rsidR="00C46587" w:rsidRPr="0058432E" w:rsidRDefault="00C46587" w:rsidP="00982118">
      <w:pPr>
        <w:rPr>
          <w:color w:val="000000" w:themeColor="text1"/>
        </w:rPr>
      </w:pPr>
    </w:p>
    <w:p w14:paraId="01C36030" w14:textId="77777777" w:rsidR="00C46587" w:rsidRPr="0058432E" w:rsidRDefault="00C46587" w:rsidP="00982118">
      <w:pPr>
        <w:keepNext/>
        <w:rPr>
          <w:b/>
          <w:color w:val="000000" w:themeColor="text1"/>
        </w:rPr>
      </w:pPr>
      <w:r w:rsidRPr="0058432E">
        <w:rPr>
          <w:b/>
          <w:color w:val="000000" w:themeColor="text1"/>
        </w:rPr>
        <w:t xml:space="preserve">Mode et voie d’administration </w:t>
      </w:r>
    </w:p>
    <w:p w14:paraId="3F4DBACC" w14:textId="77777777" w:rsidR="00C46587" w:rsidRPr="0058432E" w:rsidRDefault="00C46587" w:rsidP="00982118">
      <w:pPr>
        <w:keepNext/>
        <w:rPr>
          <w:color w:val="000000" w:themeColor="text1"/>
        </w:rPr>
      </w:pPr>
    </w:p>
    <w:p w14:paraId="24040825" w14:textId="77777777" w:rsidR="00C46587" w:rsidRPr="0058432E" w:rsidRDefault="006A1144" w:rsidP="00982118">
      <w:pPr>
        <w:rPr>
          <w:color w:val="000000" w:themeColor="text1"/>
        </w:rPr>
      </w:pPr>
      <w:r w:rsidRPr="0058432E">
        <w:rPr>
          <w:color w:val="000000" w:themeColor="text1"/>
        </w:rPr>
        <w:t>Amsparity est administré par injection sous la peau (</w:t>
      </w:r>
      <w:r w:rsidR="00530409" w:rsidRPr="0058432E">
        <w:rPr>
          <w:color w:val="000000" w:themeColor="text1"/>
        </w:rPr>
        <w:t xml:space="preserve">par </w:t>
      </w:r>
      <w:r w:rsidRPr="0058432E">
        <w:rPr>
          <w:color w:val="000000" w:themeColor="text1"/>
        </w:rPr>
        <w:t xml:space="preserve">injection sous-cutanée). </w:t>
      </w:r>
    </w:p>
    <w:p w14:paraId="49B92A5D" w14:textId="77777777" w:rsidR="00C46587" w:rsidRPr="0058432E" w:rsidRDefault="00C46587" w:rsidP="00982118">
      <w:pPr>
        <w:rPr>
          <w:color w:val="000000" w:themeColor="text1"/>
        </w:rPr>
      </w:pPr>
    </w:p>
    <w:p w14:paraId="5F9B1118" w14:textId="77777777" w:rsidR="005D12B7" w:rsidRPr="0058432E" w:rsidRDefault="005D12B7" w:rsidP="00C831C4">
      <w:pPr>
        <w:rPr>
          <w:b/>
          <w:color w:val="000000" w:themeColor="text1"/>
        </w:rPr>
      </w:pPr>
      <w:r w:rsidRPr="0058432E">
        <w:rPr>
          <w:b/>
          <w:color w:val="000000" w:themeColor="text1"/>
        </w:rPr>
        <w:t xml:space="preserve">Des instructions détaillées sur la façon d’injecter Amsparity, les instructions d’utilisation, sont fournies à la fin de cette notice. </w:t>
      </w:r>
    </w:p>
    <w:p w14:paraId="5AEBA15B" w14:textId="77777777" w:rsidR="00C33D47" w:rsidRPr="0058432E" w:rsidRDefault="00C33D47" w:rsidP="00982118">
      <w:pPr>
        <w:rPr>
          <w:b/>
          <w:color w:val="000000" w:themeColor="text1"/>
        </w:rPr>
      </w:pPr>
    </w:p>
    <w:p w14:paraId="1C99FF85" w14:textId="77777777" w:rsidR="00C46587" w:rsidRPr="0058432E" w:rsidRDefault="00C46587" w:rsidP="00C831C4">
      <w:pPr>
        <w:rPr>
          <w:b/>
          <w:color w:val="000000" w:themeColor="text1"/>
        </w:rPr>
      </w:pPr>
      <w:r w:rsidRPr="0058432E">
        <w:rPr>
          <w:b/>
          <w:color w:val="000000" w:themeColor="text1"/>
        </w:rPr>
        <w:t>Si vous avez utilisé plus d’Amsparity que vous n’auriez dû</w:t>
      </w:r>
    </w:p>
    <w:p w14:paraId="5AEC5487" w14:textId="77777777" w:rsidR="00C46587" w:rsidRPr="0058432E" w:rsidRDefault="00C46587" w:rsidP="00982118">
      <w:pPr>
        <w:rPr>
          <w:color w:val="000000" w:themeColor="text1"/>
        </w:rPr>
      </w:pPr>
    </w:p>
    <w:p w14:paraId="37739643" w14:textId="77777777" w:rsidR="00C46587" w:rsidRPr="0058432E" w:rsidRDefault="00C46587" w:rsidP="00982118">
      <w:pPr>
        <w:rPr>
          <w:color w:val="000000" w:themeColor="text1"/>
        </w:rPr>
      </w:pPr>
      <w:r w:rsidRPr="0058432E">
        <w:rPr>
          <w:color w:val="000000" w:themeColor="text1"/>
        </w:rPr>
        <w:t xml:space="preserve">Si vous avez injecté accidentellement Amsparity plus souvent que vous ne l’auriez dû, appelez votre médecin ou pharmacien et expliquez-lui que vous en avez pris plus que nécessaire. Gardez toujours avec vous la boîte du médicament, même si elle est vide. </w:t>
      </w:r>
    </w:p>
    <w:p w14:paraId="68584C4C" w14:textId="77777777" w:rsidR="00C46587" w:rsidRPr="0058432E" w:rsidRDefault="00C46587" w:rsidP="00982118">
      <w:pPr>
        <w:rPr>
          <w:color w:val="000000" w:themeColor="text1"/>
        </w:rPr>
      </w:pPr>
    </w:p>
    <w:p w14:paraId="1E73F626" w14:textId="77777777" w:rsidR="00C46587" w:rsidRPr="0058432E" w:rsidRDefault="00C46587" w:rsidP="00982118">
      <w:pPr>
        <w:rPr>
          <w:b/>
          <w:color w:val="000000" w:themeColor="text1"/>
        </w:rPr>
      </w:pPr>
      <w:r w:rsidRPr="0058432E">
        <w:rPr>
          <w:b/>
          <w:color w:val="000000" w:themeColor="text1"/>
        </w:rPr>
        <w:t>Si vous oubliez d’utiliser Amsparity</w:t>
      </w:r>
    </w:p>
    <w:p w14:paraId="61B6D0EA" w14:textId="77777777" w:rsidR="00C46587" w:rsidRPr="0058432E" w:rsidRDefault="00C46587" w:rsidP="00982118">
      <w:pPr>
        <w:rPr>
          <w:color w:val="000000" w:themeColor="text1"/>
        </w:rPr>
      </w:pPr>
    </w:p>
    <w:p w14:paraId="3D799B4B" w14:textId="77777777" w:rsidR="00C46587" w:rsidRPr="0058432E" w:rsidRDefault="00C46587" w:rsidP="00982118">
      <w:pPr>
        <w:rPr>
          <w:color w:val="000000" w:themeColor="text1"/>
        </w:rPr>
      </w:pPr>
      <w:r w:rsidRPr="0058432E">
        <w:rPr>
          <w:color w:val="000000" w:themeColor="text1"/>
        </w:rPr>
        <w:t xml:space="preserve">Si vous oubliez de vous faire une injection, vous devez vous injecter Amsparity dès que vous vous en rendez compte. Puis injectez la dose suivante à la date qui avait été initialement prévue si vous n’aviez pas oublié une dose. </w:t>
      </w:r>
    </w:p>
    <w:p w14:paraId="7D475081" w14:textId="77777777" w:rsidR="00C46587" w:rsidRPr="0058432E" w:rsidRDefault="00C46587" w:rsidP="00982118">
      <w:pPr>
        <w:rPr>
          <w:color w:val="000000" w:themeColor="text1"/>
        </w:rPr>
      </w:pPr>
    </w:p>
    <w:p w14:paraId="33E850E9" w14:textId="77777777" w:rsidR="00C46587" w:rsidRPr="0058432E" w:rsidRDefault="00C46587" w:rsidP="00982118">
      <w:pPr>
        <w:keepNext/>
        <w:rPr>
          <w:b/>
          <w:color w:val="000000" w:themeColor="text1"/>
        </w:rPr>
      </w:pPr>
      <w:r w:rsidRPr="0058432E">
        <w:rPr>
          <w:b/>
          <w:color w:val="000000" w:themeColor="text1"/>
        </w:rPr>
        <w:t>Si vous arrêtez d’utiliser Amsparity</w:t>
      </w:r>
    </w:p>
    <w:p w14:paraId="7274D1C9" w14:textId="77777777" w:rsidR="00C46587" w:rsidRPr="0058432E" w:rsidRDefault="00C46587" w:rsidP="00982118">
      <w:pPr>
        <w:keepNext/>
        <w:rPr>
          <w:color w:val="000000" w:themeColor="text1"/>
        </w:rPr>
      </w:pPr>
    </w:p>
    <w:p w14:paraId="06A0EF61" w14:textId="77777777" w:rsidR="00C46587" w:rsidRPr="0058432E" w:rsidRDefault="00C46587" w:rsidP="00982118">
      <w:pPr>
        <w:keepNext/>
        <w:rPr>
          <w:color w:val="000000" w:themeColor="text1"/>
        </w:rPr>
      </w:pPr>
      <w:r w:rsidRPr="0058432E">
        <w:rPr>
          <w:color w:val="000000" w:themeColor="text1"/>
        </w:rPr>
        <w:t xml:space="preserve">La décision d’arrêter d’utiliser Amsparity doit être discutée avec votre médecin. Vos symptômes peuvent revenir à l’arrêt du traitement. </w:t>
      </w:r>
    </w:p>
    <w:p w14:paraId="670C0A51" w14:textId="77777777" w:rsidR="00C46587" w:rsidRPr="0058432E" w:rsidRDefault="00C46587" w:rsidP="00982118">
      <w:pPr>
        <w:rPr>
          <w:color w:val="000000" w:themeColor="text1"/>
        </w:rPr>
      </w:pPr>
    </w:p>
    <w:p w14:paraId="53F4BA76" w14:textId="77777777" w:rsidR="00C46587" w:rsidRPr="0058432E" w:rsidRDefault="00C46587" w:rsidP="00982118">
      <w:pPr>
        <w:rPr>
          <w:color w:val="000000" w:themeColor="text1"/>
        </w:rPr>
      </w:pPr>
      <w:r w:rsidRPr="0058432E">
        <w:rPr>
          <w:color w:val="000000" w:themeColor="text1"/>
        </w:rPr>
        <w:t xml:space="preserve">Si vous avez d’autres questions sur l’utilisation de ce médicament, demandez plus d’informations à votre médecin ou à votre pharmacien. </w:t>
      </w:r>
    </w:p>
    <w:p w14:paraId="6EA2366D" w14:textId="77777777" w:rsidR="00C46587" w:rsidRPr="0058432E" w:rsidRDefault="00C46587" w:rsidP="00982118">
      <w:pPr>
        <w:rPr>
          <w:color w:val="000000" w:themeColor="text1"/>
        </w:rPr>
      </w:pPr>
    </w:p>
    <w:p w14:paraId="600EF393" w14:textId="77777777" w:rsidR="00C46587" w:rsidRPr="0058432E" w:rsidRDefault="00C46587" w:rsidP="00982118">
      <w:pPr>
        <w:rPr>
          <w:color w:val="000000" w:themeColor="text1"/>
        </w:rPr>
      </w:pPr>
    </w:p>
    <w:p w14:paraId="38A33189" w14:textId="77777777" w:rsidR="00C46587" w:rsidRPr="0058432E" w:rsidRDefault="00C46587" w:rsidP="00982118">
      <w:pPr>
        <w:keepNext/>
        <w:tabs>
          <w:tab w:val="left" w:pos="562"/>
        </w:tabs>
        <w:rPr>
          <w:b/>
          <w:color w:val="000000" w:themeColor="text1"/>
        </w:rPr>
      </w:pPr>
      <w:r w:rsidRPr="0058432E">
        <w:rPr>
          <w:b/>
          <w:color w:val="000000" w:themeColor="text1"/>
        </w:rPr>
        <w:t>4.</w:t>
      </w:r>
      <w:r w:rsidRPr="0058432E">
        <w:rPr>
          <w:b/>
          <w:color w:val="000000" w:themeColor="text1"/>
        </w:rPr>
        <w:tab/>
        <w:t xml:space="preserve">Quels sont les effets indésirables éventuels ? </w:t>
      </w:r>
    </w:p>
    <w:p w14:paraId="67B01428" w14:textId="77777777" w:rsidR="00C46587" w:rsidRPr="0058432E" w:rsidRDefault="00C46587" w:rsidP="00982118">
      <w:pPr>
        <w:rPr>
          <w:color w:val="000000" w:themeColor="text1"/>
        </w:rPr>
      </w:pPr>
    </w:p>
    <w:p w14:paraId="690235FE" w14:textId="77777777" w:rsidR="00C46587" w:rsidRPr="0058432E" w:rsidRDefault="00C46587" w:rsidP="00982118">
      <w:pPr>
        <w:rPr>
          <w:color w:val="000000" w:themeColor="text1"/>
        </w:rPr>
      </w:pPr>
      <w:r w:rsidRPr="0058432E">
        <w:rPr>
          <w:color w:val="000000" w:themeColor="text1"/>
        </w:rPr>
        <w:t xml:space="preserve">Comme tous les médicaments, ce médicament peut provoquer des effets indésirables, mais ils ne surviennent pas systématiquement chez tout le monde. La plupart sont légers ou </w:t>
      </w:r>
      <w:r w:rsidR="00530409" w:rsidRPr="0058432E">
        <w:rPr>
          <w:color w:val="000000" w:themeColor="text1"/>
        </w:rPr>
        <w:t>modérés</w:t>
      </w:r>
      <w:r w:rsidRPr="0058432E">
        <w:rPr>
          <w:color w:val="000000" w:themeColor="text1"/>
        </w:rPr>
        <w:t xml:space="preserve">. Cependant, certains peuvent être graves et nécessiter un traitement. Les effets indésirables peuvent survenir au moins encore 4 mois après la dernière injection d’Amsparity. </w:t>
      </w:r>
    </w:p>
    <w:p w14:paraId="14DE4DF5" w14:textId="77777777" w:rsidR="00C46587" w:rsidRPr="0058432E" w:rsidRDefault="00C46587" w:rsidP="00982118">
      <w:pPr>
        <w:rPr>
          <w:color w:val="000000" w:themeColor="text1"/>
        </w:rPr>
      </w:pPr>
    </w:p>
    <w:p w14:paraId="2F616D12" w14:textId="77777777" w:rsidR="00C46587" w:rsidRPr="0058432E" w:rsidRDefault="00833EAC" w:rsidP="00982118">
      <w:pPr>
        <w:rPr>
          <w:color w:val="000000" w:themeColor="text1"/>
        </w:rPr>
      </w:pPr>
      <w:r w:rsidRPr="0058432E">
        <w:rPr>
          <w:b/>
          <w:color w:val="000000" w:themeColor="text1"/>
        </w:rPr>
        <w:lastRenderedPageBreak/>
        <w:t>Vous devez consulter un médecin en urgence</w:t>
      </w:r>
      <w:r w:rsidRPr="0058432E">
        <w:rPr>
          <w:color w:val="000000" w:themeColor="text1"/>
        </w:rPr>
        <w:t xml:space="preserve"> si vous remarquez l’un des signes suivants :</w:t>
      </w:r>
    </w:p>
    <w:p w14:paraId="47A226CD" w14:textId="77777777" w:rsidR="00194625" w:rsidRPr="0058432E" w:rsidRDefault="00194625" w:rsidP="00982118">
      <w:pPr>
        <w:rPr>
          <w:color w:val="000000" w:themeColor="text1"/>
        </w:rPr>
      </w:pPr>
    </w:p>
    <w:p w14:paraId="32B76974"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cutanée sévère, urticaire ou autres signes de réaction allergique ; </w:t>
      </w:r>
    </w:p>
    <w:p w14:paraId="41555EF5"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gonflement</w:t>
      </w:r>
      <w:proofErr w:type="gramEnd"/>
      <w:r w:rsidRPr="0058432E">
        <w:rPr>
          <w:color w:val="000000" w:themeColor="text1"/>
        </w:rPr>
        <w:t xml:space="preserve"> de la face, des mains, des pieds ; </w:t>
      </w:r>
    </w:p>
    <w:p w14:paraId="0328B25A"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gêne</w:t>
      </w:r>
      <w:proofErr w:type="gramEnd"/>
      <w:r w:rsidRPr="0058432E">
        <w:rPr>
          <w:color w:val="000000" w:themeColor="text1"/>
        </w:rPr>
        <w:t xml:space="preserve"> respiratoire, gêne en avalant ; </w:t>
      </w:r>
    </w:p>
    <w:p w14:paraId="4B4ED5E6"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essoufflement</w:t>
      </w:r>
      <w:proofErr w:type="gramEnd"/>
      <w:r w:rsidRPr="0058432E">
        <w:rPr>
          <w:color w:val="000000" w:themeColor="text1"/>
        </w:rPr>
        <w:t xml:space="preserve"> à l’effort ou en position allongée ou gonflement des pieds. </w:t>
      </w:r>
    </w:p>
    <w:p w14:paraId="2A70C308" w14:textId="77777777" w:rsidR="00F1050B" w:rsidRPr="0058432E" w:rsidRDefault="00F1050B" w:rsidP="00982118">
      <w:pPr>
        <w:rPr>
          <w:color w:val="000000" w:themeColor="text1"/>
        </w:rPr>
      </w:pPr>
    </w:p>
    <w:p w14:paraId="42F6D8A8" w14:textId="77777777" w:rsidR="00C46587" w:rsidRPr="0058432E" w:rsidRDefault="00C46587" w:rsidP="00982118">
      <w:pPr>
        <w:rPr>
          <w:color w:val="000000" w:themeColor="text1"/>
        </w:rPr>
      </w:pPr>
      <w:r w:rsidRPr="0058432E">
        <w:rPr>
          <w:b/>
          <w:color w:val="000000" w:themeColor="text1"/>
        </w:rPr>
        <w:t>Informez votre médecin dès que possible</w:t>
      </w:r>
      <w:r w:rsidRPr="0058432E">
        <w:rPr>
          <w:color w:val="000000" w:themeColor="text1"/>
        </w:rPr>
        <w:t xml:space="preserve"> si vous constatez l’un des effets suivants :</w:t>
      </w:r>
    </w:p>
    <w:p w14:paraId="12E27B34" w14:textId="77777777" w:rsidR="00194625" w:rsidRPr="0058432E" w:rsidRDefault="00194625" w:rsidP="00982118">
      <w:pPr>
        <w:rPr>
          <w:color w:val="000000" w:themeColor="text1"/>
        </w:rPr>
      </w:pPr>
    </w:p>
    <w:p w14:paraId="159D2906"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w:t>
      </w:r>
      <w:r w:rsidR="00530409" w:rsidRPr="0058432E">
        <w:rPr>
          <w:color w:val="000000" w:themeColor="text1"/>
        </w:rPr>
        <w:t xml:space="preserve">et symptômes </w:t>
      </w:r>
      <w:r w:rsidRPr="0058432E">
        <w:rPr>
          <w:color w:val="000000" w:themeColor="text1"/>
        </w:rPr>
        <w:t xml:space="preserve">d’infection tels que fièvre, nausées, plaies, problèmes dentaires, brûlures en urinant, sensation de faiblesse ou de fatigue ou toux ; </w:t>
      </w:r>
    </w:p>
    <w:p w14:paraId="493B8852" w14:textId="77777777" w:rsidR="00C46587" w:rsidRPr="0058432E" w:rsidRDefault="00833EAC" w:rsidP="00982118">
      <w:pPr>
        <w:numPr>
          <w:ilvl w:val="0"/>
          <w:numId w:val="7"/>
        </w:numPr>
        <w:ind w:left="562" w:hanging="562"/>
        <w:rPr>
          <w:color w:val="000000" w:themeColor="text1"/>
        </w:rPr>
      </w:pPr>
      <w:proofErr w:type="gramStart"/>
      <w:r w:rsidRPr="0058432E">
        <w:rPr>
          <w:color w:val="000000" w:themeColor="text1"/>
        </w:rPr>
        <w:t>symptômes</w:t>
      </w:r>
      <w:proofErr w:type="gramEnd"/>
      <w:r w:rsidRPr="0058432E">
        <w:rPr>
          <w:color w:val="000000" w:themeColor="text1"/>
        </w:rPr>
        <w:t xml:space="preserve"> de problèmes nerveux tels que picotements, engourdissement, vision double, ou faiblesse des bras ou des jambes ; </w:t>
      </w:r>
    </w:p>
    <w:p w14:paraId="0BE99406" w14:textId="77777777" w:rsidR="00C46587" w:rsidRPr="0058432E" w:rsidRDefault="00766ABD" w:rsidP="00982118">
      <w:pPr>
        <w:numPr>
          <w:ilvl w:val="0"/>
          <w:numId w:val="7"/>
        </w:numPr>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de cancer de la peau tels qu’un</w:t>
      </w:r>
      <w:r w:rsidR="00530409" w:rsidRPr="0058432E">
        <w:rPr>
          <w:color w:val="000000" w:themeColor="text1"/>
        </w:rPr>
        <w:t>e bosse</w:t>
      </w:r>
      <w:r w:rsidRPr="0058432E">
        <w:rPr>
          <w:color w:val="000000" w:themeColor="text1"/>
        </w:rPr>
        <w:t xml:space="preserve"> ou une plaie ouverte qui ne cicatrise pas ; </w:t>
      </w:r>
    </w:p>
    <w:p w14:paraId="1AE062AE"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signes</w:t>
      </w:r>
      <w:proofErr w:type="gramEnd"/>
      <w:r w:rsidRPr="0058432E">
        <w:rPr>
          <w:color w:val="000000" w:themeColor="text1"/>
        </w:rPr>
        <w:t xml:space="preserve"> et symptômes évocateurs de troubles sanguins tels que fièvre persistante, contusions, saignements, pâleur. </w:t>
      </w:r>
    </w:p>
    <w:p w14:paraId="2D365F0A" w14:textId="77777777" w:rsidR="00C46587" w:rsidRPr="0058432E" w:rsidRDefault="00C46587" w:rsidP="00982118">
      <w:pPr>
        <w:rPr>
          <w:color w:val="000000" w:themeColor="text1"/>
        </w:rPr>
      </w:pPr>
    </w:p>
    <w:p w14:paraId="19E8D475" w14:textId="77777777" w:rsidR="00C46587" w:rsidRPr="0058432E" w:rsidRDefault="0023665E" w:rsidP="00982118">
      <w:pPr>
        <w:rPr>
          <w:color w:val="000000" w:themeColor="text1"/>
        </w:rPr>
      </w:pPr>
      <w:r w:rsidRPr="0058432E">
        <w:rPr>
          <w:color w:val="000000" w:themeColor="text1"/>
        </w:rPr>
        <w:t xml:space="preserve">Les signes et symptômes décrits ci-dessus peuvent représenter les effets indésirables listés ci-dessous, qui ont été observés avec l’adalimumab : </w:t>
      </w:r>
    </w:p>
    <w:p w14:paraId="142B4D78" w14:textId="77777777" w:rsidR="00F1050B" w:rsidRPr="0058432E" w:rsidRDefault="00F1050B" w:rsidP="00982118">
      <w:pPr>
        <w:rPr>
          <w:color w:val="000000" w:themeColor="text1"/>
        </w:rPr>
      </w:pPr>
    </w:p>
    <w:p w14:paraId="5C47BA93" w14:textId="77777777" w:rsidR="00C46587" w:rsidRPr="0058432E" w:rsidRDefault="00C46587" w:rsidP="00982118">
      <w:pPr>
        <w:rPr>
          <w:color w:val="000000" w:themeColor="text1"/>
        </w:rPr>
      </w:pPr>
      <w:r w:rsidRPr="0058432E">
        <w:rPr>
          <w:b/>
          <w:color w:val="000000" w:themeColor="text1"/>
        </w:rPr>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w:t>
      </w:r>
    </w:p>
    <w:p w14:paraId="46CD8C44" w14:textId="77777777" w:rsidR="00C46587" w:rsidRPr="0058432E" w:rsidRDefault="00C46587" w:rsidP="00982118">
      <w:pPr>
        <w:rPr>
          <w:color w:val="000000" w:themeColor="text1"/>
        </w:rPr>
      </w:pPr>
    </w:p>
    <w:p w14:paraId="568AF80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au point d’injection (dont douleur, tuméfaction, rougeur ou démangeaison) ; </w:t>
      </w:r>
    </w:p>
    <w:p w14:paraId="2C58F60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voies respiratoires (y compris rhume, nez qui coule, sinusite, pneumonie) ; </w:t>
      </w:r>
    </w:p>
    <w:p w14:paraId="6BE38F8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maux</w:t>
      </w:r>
      <w:proofErr w:type="gramEnd"/>
      <w:r w:rsidRPr="0058432E">
        <w:rPr>
          <w:color w:val="000000" w:themeColor="text1"/>
        </w:rPr>
        <w:t xml:space="preserve"> de tête ; </w:t>
      </w:r>
    </w:p>
    <w:p w14:paraId="1406539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abdominales (au ventre) ; </w:t>
      </w:r>
    </w:p>
    <w:p w14:paraId="51C0783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nausées</w:t>
      </w:r>
      <w:proofErr w:type="gramEnd"/>
      <w:r w:rsidRPr="0058432E">
        <w:rPr>
          <w:color w:val="000000" w:themeColor="text1"/>
        </w:rPr>
        <w:t xml:space="preserve"> et vomissements ; </w:t>
      </w:r>
    </w:p>
    <w:p w14:paraId="5FD13CC2"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w:t>
      </w:r>
      <w:proofErr w:type="gramStart"/>
      <w:r w:rsidRPr="0058432E">
        <w:rPr>
          <w:color w:val="000000" w:themeColor="text1"/>
        </w:rPr>
        <w:t xml:space="preserve">cutanée </w:t>
      </w:r>
      <w:r w:rsidR="00C46587" w:rsidRPr="0058432E">
        <w:rPr>
          <w:color w:val="000000" w:themeColor="text1"/>
        </w:rPr>
        <w:t> ;</w:t>
      </w:r>
      <w:proofErr w:type="gramEnd"/>
      <w:r w:rsidR="00C46587" w:rsidRPr="0058432E">
        <w:rPr>
          <w:color w:val="000000" w:themeColor="text1"/>
        </w:rPr>
        <w:t xml:space="preserve"> </w:t>
      </w:r>
    </w:p>
    <w:p w14:paraId="7914C9B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douleurs</w:t>
      </w:r>
      <w:proofErr w:type="gramEnd"/>
      <w:r w:rsidRPr="0058432E">
        <w:rPr>
          <w:color w:val="000000" w:themeColor="text1"/>
        </w:rPr>
        <w:t xml:space="preserve"> dans les muscles ou les articulations. </w:t>
      </w:r>
    </w:p>
    <w:p w14:paraId="2D8AAF18" w14:textId="77777777" w:rsidR="00C46587" w:rsidRPr="0058432E" w:rsidRDefault="00C46587" w:rsidP="00982118">
      <w:pPr>
        <w:ind w:left="562"/>
        <w:rPr>
          <w:color w:val="000000" w:themeColor="text1"/>
        </w:rPr>
      </w:pPr>
    </w:p>
    <w:p w14:paraId="3C6C0841" w14:textId="77777777" w:rsidR="00C46587" w:rsidRPr="0058432E" w:rsidRDefault="00C46587" w:rsidP="00982118">
      <w:pPr>
        <w:rPr>
          <w:color w:val="000000" w:themeColor="text1"/>
        </w:rPr>
      </w:pPr>
      <w:r w:rsidRPr="0058432E">
        <w:rPr>
          <w:b/>
          <w:color w:val="000000" w:themeColor="text1"/>
        </w:rPr>
        <w:t>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w:t>
      </w:r>
    </w:p>
    <w:p w14:paraId="17858BF8" w14:textId="77777777" w:rsidR="00C46587" w:rsidRPr="0058432E" w:rsidRDefault="00C46587" w:rsidP="00982118">
      <w:pPr>
        <w:rPr>
          <w:color w:val="000000" w:themeColor="text1"/>
        </w:rPr>
      </w:pPr>
    </w:p>
    <w:p w14:paraId="79576136" w14:textId="77777777" w:rsidR="00C46587" w:rsidRPr="0058432E" w:rsidRDefault="000D75B1"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graves (y compris empoisonnement du sang et grippe) ; </w:t>
      </w:r>
    </w:p>
    <w:p w14:paraId="283956B2" w14:textId="77777777" w:rsidR="00BC4E87" w:rsidRPr="0058432E" w:rsidRDefault="00BC4E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intestinales (y compris gastroentérite) ;</w:t>
      </w:r>
    </w:p>
    <w:p w14:paraId="3ABFAAB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cutanées (y compris cellulite et zona) ; </w:t>
      </w:r>
    </w:p>
    <w:p w14:paraId="6605870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 l’oreille ; </w:t>
      </w:r>
    </w:p>
    <w:p w14:paraId="7D19C8C4" w14:textId="77777777" w:rsidR="00C46587" w:rsidRPr="0058432E" w:rsidRDefault="00766ABD"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buccales (y compris infections dentaires et boutons de fièvre) ; </w:t>
      </w:r>
    </w:p>
    <w:p w14:paraId="6138145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des organes de reproduction ; </w:t>
      </w:r>
    </w:p>
    <w:p w14:paraId="3F723C1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w:t>
      </w:r>
      <w:r w:rsidR="00530409" w:rsidRPr="0058432E">
        <w:rPr>
          <w:color w:val="000000" w:themeColor="text1"/>
        </w:rPr>
        <w:t xml:space="preserve">des voies </w:t>
      </w:r>
      <w:r w:rsidRPr="0058432E">
        <w:rPr>
          <w:color w:val="000000" w:themeColor="text1"/>
        </w:rPr>
        <w:t xml:space="preserve">urinaires ; </w:t>
      </w:r>
    </w:p>
    <w:p w14:paraId="1C77B49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fongiques ; </w:t>
      </w:r>
    </w:p>
    <w:p w14:paraId="3758D3B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articulaires ; </w:t>
      </w:r>
    </w:p>
    <w:p w14:paraId="65BEBD7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tumeurs</w:t>
      </w:r>
      <w:proofErr w:type="gramEnd"/>
      <w:r w:rsidRPr="0058432E">
        <w:rPr>
          <w:color w:val="000000" w:themeColor="text1"/>
        </w:rPr>
        <w:t xml:space="preserve"> bénignes ; </w:t>
      </w:r>
    </w:p>
    <w:p w14:paraId="6176671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de la peau ; </w:t>
      </w:r>
    </w:p>
    <w:p w14:paraId="165E1C2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(y compris allergie saisonnière) ; </w:t>
      </w:r>
    </w:p>
    <w:p w14:paraId="3369BCA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déshydratation</w:t>
      </w:r>
      <w:proofErr w:type="gramEnd"/>
      <w:r w:rsidRPr="0058432E">
        <w:rPr>
          <w:color w:val="000000" w:themeColor="text1"/>
        </w:rPr>
        <w:t xml:space="preserve"> ; </w:t>
      </w:r>
    </w:p>
    <w:p w14:paraId="7A7677D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l’humeur (y compris dépression) ; </w:t>
      </w:r>
    </w:p>
    <w:p w14:paraId="2DE0E0B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anxiété</w:t>
      </w:r>
      <w:proofErr w:type="gramEnd"/>
      <w:r w:rsidRPr="0058432E">
        <w:rPr>
          <w:color w:val="000000" w:themeColor="text1"/>
        </w:rPr>
        <w:t xml:space="preserve"> ; </w:t>
      </w:r>
    </w:p>
    <w:p w14:paraId="271932A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difficile ; </w:t>
      </w:r>
    </w:p>
    <w:p w14:paraId="0CB8312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sensitifs tels que fourmillements, picotements ou engourdissement ; </w:t>
      </w:r>
    </w:p>
    <w:p w14:paraId="1142061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migraine</w:t>
      </w:r>
      <w:proofErr w:type="gramEnd"/>
      <w:r w:rsidRPr="0058432E">
        <w:rPr>
          <w:color w:val="000000" w:themeColor="text1"/>
        </w:rPr>
        <w:t xml:space="preserve"> ; </w:t>
      </w:r>
    </w:p>
    <w:p w14:paraId="2CEFD222" w14:textId="77777777" w:rsidR="00C46587" w:rsidRPr="0058432E" w:rsidRDefault="00766ABD" w:rsidP="00982118">
      <w:pPr>
        <w:numPr>
          <w:ilvl w:val="0"/>
          <w:numId w:val="7"/>
        </w:numPr>
        <w:ind w:left="562" w:hanging="562"/>
        <w:rPr>
          <w:color w:val="000000" w:themeColor="text1"/>
        </w:rPr>
      </w:pPr>
      <w:proofErr w:type="gramStart"/>
      <w:r w:rsidRPr="0058432E">
        <w:rPr>
          <w:color w:val="000000" w:themeColor="text1"/>
        </w:rPr>
        <w:t>symptômes</w:t>
      </w:r>
      <w:proofErr w:type="gramEnd"/>
      <w:r w:rsidRPr="0058432E">
        <w:rPr>
          <w:color w:val="000000" w:themeColor="text1"/>
        </w:rPr>
        <w:t xml:space="preserve"> de compression des racines nerveuses (y compris douleurs au bas du dos et douleurs dans les jambes) ; </w:t>
      </w:r>
    </w:p>
    <w:p w14:paraId="075D23E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de la vision ; </w:t>
      </w:r>
    </w:p>
    <w:p w14:paraId="1B379F6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oculaire ; </w:t>
      </w:r>
    </w:p>
    <w:p w14:paraId="3FE9F7C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paupière et gonflement des yeux ; </w:t>
      </w:r>
    </w:p>
    <w:p w14:paraId="0DD32ED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lastRenderedPageBreak/>
        <w:t>vertiges</w:t>
      </w:r>
      <w:proofErr w:type="gramEnd"/>
      <w:r w:rsidRPr="0058432E">
        <w:rPr>
          <w:color w:val="000000" w:themeColor="text1"/>
        </w:rPr>
        <w:t xml:space="preserve"> (sensation d’étourdissement) ; </w:t>
      </w:r>
    </w:p>
    <w:p w14:paraId="79B9962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de cœur rapides ; </w:t>
      </w:r>
    </w:p>
    <w:p w14:paraId="5FC1FCA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hypertension</w:t>
      </w:r>
      <w:proofErr w:type="gramEnd"/>
      <w:r w:rsidRPr="0058432E">
        <w:rPr>
          <w:color w:val="000000" w:themeColor="text1"/>
        </w:rPr>
        <w:t xml:space="preserve"> ; </w:t>
      </w:r>
    </w:p>
    <w:p w14:paraId="3007872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bouffées</w:t>
      </w:r>
      <w:proofErr w:type="gramEnd"/>
      <w:r w:rsidRPr="0058432E">
        <w:rPr>
          <w:color w:val="000000" w:themeColor="text1"/>
        </w:rPr>
        <w:t xml:space="preserve"> de chaleur ; </w:t>
      </w:r>
    </w:p>
    <w:p w14:paraId="2BD8211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hématome</w:t>
      </w:r>
      <w:proofErr w:type="gramEnd"/>
      <w:r w:rsidRPr="0058432E">
        <w:rPr>
          <w:color w:val="000000" w:themeColor="text1"/>
        </w:rPr>
        <w:t xml:space="preserve"> (gonflement solide avec sang coagulé) ; </w:t>
      </w:r>
    </w:p>
    <w:p w14:paraId="1D79F48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toux</w:t>
      </w:r>
      <w:proofErr w:type="gramEnd"/>
      <w:r w:rsidRPr="0058432E">
        <w:rPr>
          <w:color w:val="000000" w:themeColor="text1"/>
        </w:rPr>
        <w:t xml:space="preserve"> ; </w:t>
      </w:r>
    </w:p>
    <w:p w14:paraId="6AA6A6F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asthme</w:t>
      </w:r>
      <w:proofErr w:type="gramEnd"/>
      <w:r w:rsidRPr="0058432E">
        <w:rPr>
          <w:color w:val="000000" w:themeColor="text1"/>
        </w:rPr>
        <w:t xml:space="preserve"> ; </w:t>
      </w:r>
    </w:p>
    <w:p w14:paraId="166086AF"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essoufflement</w:t>
      </w:r>
      <w:proofErr w:type="gramEnd"/>
      <w:r w:rsidR="00C46587" w:rsidRPr="0058432E">
        <w:rPr>
          <w:color w:val="000000" w:themeColor="text1"/>
        </w:rPr>
        <w:t xml:space="preserve"> ; </w:t>
      </w:r>
    </w:p>
    <w:p w14:paraId="101BB47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saignements</w:t>
      </w:r>
      <w:proofErr w:type="gramEnd"/>
      <w:r w:rsidRPr="0058432E">
        <w:rPr>
          <w:color w:val="000000" w:themeColor="text1"/>
        </w:rPr>
        <w:t xml:space="preserve"> gastro-intestinaux ; </w:t>
      </w:r>
    </w:p>
    <w:p w14:paraId="11E6878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dyspepsie</w:t>
      </w:r>
      <w:proofErr w:type="gramEnd"/>
      <w:r w:rsidRPr="0058432E">
        <w:rPr>
          <w:color w:val="000000" w:themeColor="text1"/>
        </w:rPr>
        <w:t xml:space="preserve"> (indigestion, ballonnement, brûlure gastrique) ; </w:t>
      </w:r>
    </w:p>
    <w:p w14:paraId="53EB1C0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reflux</w:t>
      </w:r>
      <w:proofErr w:type="gramEnd"/>
      <w:r w:rsidRPr="0058432E">
        <w:rPr>
          <w:color w:val="000000" w:themeColor="text1"/>
        </w:rPr>
        <w:t xml:space="preserve"> acide ; </w:t>
      </w:r>
    </w:p>
    <w:p w14:paraId="7D9E9F9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Gougerot-Sjögren (y compris sècheresse des yeux et de la bouche) ; </w:t>
      </w:r>
    </w:p>
    <w:p w14:paraId="495D516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démangeaisons</w:t>
      </w:r>
      <w:proofErr w:type="gramEnd"/>
      <w:r w:rsidRPr="0058432E">
        <w:rPr>
          <w:color w:val="000000" w:themeColor="text1"/>
        </w:rPr>
        <w:t xml:space="preserve"> ; </w:t>
      </w:r>
    </w:p>
    <w:p w14:paraId="1C08A57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éruption</w:t>
      </w:r>
      <w:proofErr w:type="gramEnd"/>
      <w:r w:rsidRPr="0058432E">
        <w:rPr>
          <w:color w:val="000000" w:themeColor="text1"/>
        </w:rPr>
        <w:t xml:space="preserve"> cutanée avec démangeaisons ; </w:t>
      </w:r>
    </w:p>
    <w:p w14:paraId="12C0F09F" w14:textId="77777777" w:rsidR="00C46587" w:rsidRPr="0058432E" w:rsidRDefault="00BF7BFC" w:rsidP="00982118">
      <w:pPr>
        <w:numPr>
          <w:ilvl w:val="0"/>
          <w:numId w:val="7"/>
        </w:numPr>
        <w:ind w:left="562" w:hanging="562"/>
        <w:rPr>
          <w:color w:val="000000" w:themeColor="text1"/>
        </w:rPr>
      </w:pPr>
      <w:proofErr w:type="gramStart"/>
      <w:r w:rsidRPr="0058432E">
        <w:rPr>
          <w:color w:val="000000" w:themeColor="text1"/>
        </w:rPr>
        <w:t>contusions</w:t>
      </w:r>
      <w:proofErr w:type="gramEnd"/>
      <w:r w:rsidR="00C46587" w:rsidRPr="0058432E">
        <w:rPr>
          <w:color w:val="000000" w:themeColor="text1"/>
        </w:rPr>
        <w:t xml:space="preserve"> ; </w:t>
      </w:r>
    </w:p>
    <w:p w14:paraId="0EDBB93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cutanée (telle qu’eczéma) ; </w:t>
      </w:r>
    </w:p>
    <w:p w14:paraId="1E5C2D7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cassure</w:t>
      </w:r>
      <w:proofErr w:type="gramEnd"/>
      <w:r w:rsidRPr="0058432E">
        <w:rPr>
          <w:color w:val="000000" w:themeColor="text1"/>
        </w:rPr>
        <w:t xml:space="preserve"> des ongles des mains et des pieds ; </w:t>
      </w:r>
    </w:p>
    <w:p w14:paraId="514935E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transpiration</w:t>
      </w:r>
      <w:proofErr w:type="gramEnd"/>
      <w:r w:rsidRPr="0058432E">
        <w:rPr>
          <w:color w:val="000000" w:themeColor="text1"/>
        </w:rPr>
        <w:t xml:space="preserve"> excessive ; </w:t>
      </w:r>
    </w:p>
    <w:p w14:paraId="00A69D1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chute</w:t>
      </w:r>
      <w:proofErr w:type="gramEnd"/>
      <w:r w:rsidRPr="0058432E">
        <w:rPr>
          <w:color w:val="000000" w:themeColor="text1"/>
        </w:rPr>
        <w:t xml:space="preserve"> des cheveux ; </w:t>
      </w:r>
    </w:p>
    <w:p w14:paraId="12E4521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apparition</w:t>
      </w:r>
      <w:proofErr w:type="gramEnd"/>
      <w:r w:rsidRPr="0058432E">
        <w:rPr>
          <w:color w:val="000000" w:themeColor="text1"/>
        </w:rPr>
        <w:t xml:space="preserve"> ou aggravation d’un psoriasis ; </w:t>
      </w:r>
    </w:p>
    <w:p w14:paraId="5C2E300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spasmes</w:t>
      </w:r>
      <w:proofErr w:type="gramEnd"/>
      <w:r w:rsidRPr="0058432E">
        <w:rPr>
          <w:color w:val="000000" w:themeColor="text1"/>
        </w:rPr>
        <w:t xml:space="preserve"> musculaires ; </w:t>
      </w:r>
    </w:p>
    <w:p w14:paraId="72F60CB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de sang dans les urines ; </w:t>
      </w:r>
    </w:p>
    <w:p w14:paraId="6452D49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problèmes</w:t>
      </w:r>
      <w:proofErr w:type="gramEnd"/>
      <w:r w:rsidRPr="0058432E">
        <w:rPr>
          <w:color w:val="000000" w:themeColor="text1"/>
        </w:rPr>
        <w:t xml:space="preserve"> rénaux ; </w:t>
      </w:r>
    </w:p>
    <w:p w14:paraId="58B2BED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douleur</w:t>
      </w:r>
      <w:proofErr w:type="gramEnd"/>
      <w:r w:rsidRPr="0058432E">
        <w:rPr>
          <w:color w:val="000000" w:themeColor="text1"/>
        </w:rPr>
        <w:t xml:space="preserve"> thoracique ; </w:t>
      </w:r>
    </w:p>
    <w:p w14:paraId="5C4FD5A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(accumulation de liquide dans l’organisme qui provoque le gonflement des tissus affectés) ; </w:t>
      </w:r>
    </w:p>
    <w:p w14:paraId="7DC3830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fièvre</w:t>
      </w:r>
      <w:proofErr w:type="gramEnd"/>
      <w:r w:rsidRPr="0058432E">
        <w:rPr>
          <w:color w:val="000000" w:themeColor="text1"/>
        </w:rPr>
        <w:t xml:space="preserve"> ; </w:t>
      </w:r>
    </w:p>
    <w:p w14:paraId="5086F2A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diminution</w:t>
      </w:r>
      <w:proofErr w:type="gramEnd"/>
      <w:r w:rsidRPr="0058432E">
        <w:rPr>
          <w:color w:val="000000" w:themeColor="text1"/>
        </w:rPr>
        <w:t xml:space="preserve"> du nombre de plaquettes sanguines, ce qui augmente le risque de saignements ou </w:t>
      </w:r>
      <w:r w:rsidR="00530409" w:rsidRPr="0058432E">
        <w:rPr>
          <w:color w:val="000000" w:themeColor="text1"/>
        </w:rPr>
        <w:t>de contusions </w:t>
      </w:r>
      <w:r w:rsidRPr="0058432E">
        <w:rPr>
          <w:color w:val="000000" w:themeColor="text1"/>
        </w:rPr>
        <w:t xml:space="preserve">; </w:t>
      </w:r>
    </w:p>
    <w:p w14:paraId="64177FE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mauvaise</w:t>
      </w:r>
      <w:proofErr w:type="gramEnd"/>
      <w:r w:rsidRPr="0058432E">
        <w:rPr>
          <w:color w:val="000000" w:themeColor="text1"/>
        </w:rPr>
        <w:t xml:space="preserve"> cicatrisation. </w:t>
      </w:r>
    </w:p>
    <w:p w14:paraId="7491AFB4" w14:textId="77777777" w:rsidR="00C46587" w:rsidRPr="0058432E" w:rsidRDefault="00C46587" w:rsidP="00982118">
      <w:pPr>
        <w:rPr>
          <w:color w:val="000000" w:themeColor="text1"/>
        </w:rPr>
      </w:pPr>
    </w:p>
    <w:p w14:paraId="140E8BD9" w14:textId="77777777" w:rsidR="00C46587" w:rsidRPr="0058432E" w:rsidRDefault="00C46587" w:rsidP="00982118">
      <w:pPr>
        <w:keepNext/>
        <w:rPr>
          <w:color w:val="000000" w:themeColor="text1"/>
        </w:rPr>
      </w:pPr>
      <w:r w:rsidRPr="0058432E">
        <w:rPr>
          <w:b/>
          <w:color w:val="000000" w:themeColor="text1"/>
        </w:rPr>
        <w:t>Peu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100)</w:t>
      </w:r>
    </w:p>
    <w:p w14:paraId="0D17B643" w14:textId="77777777" w:rsidR="00C46587" w:rsidRPr="0058432E" w:rsidRDefault="00C46587" w:rsidP="00982118">
      <w:pPr>
        <w:rPr>
          <w:color w:val="000000" w:themeColor="text1"/>
        </w:rPr>
      </w:pPr>
    </w:p>
    <w:p w14:paraId="61B7E52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opportunistes (inhabituelles) (incluant la tuberculose et d’autres infections) qui surviennent lorsque la résistance aux maladies est diminuée ; </w:t>
      </w:r>
    </w:p>
    <w:p w14:paraId="66E0026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neurologiques (y compris méningite virale) ; </w:t>
      </w:r>
    </w:p>
    <w:p w14:paraId="3ACA254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oculaires ; </w:t>
      </w:r>
    </w:p>
    <w:p w14:paraId="7805F80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infections</w:t>
      </w:r>
      <w:proofErr w:type="gramEnd"/>
      <w:r w:rsidRPr="0058432E">
        <w:rPr>
          <w:color w:val="000000" w:themeColor="text1"/>
        </w:rPr>
        <w:t xml:space="preserve"> bactériennes ; </w:t>
      </w:r>
    </w:p>
    <w:p w14:paraId="1809047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diverticulite</w:t>
      </w:r>
      <w:proofErr w:type="gramEnd"/>
      <w:r w:rsidRPr="0058432E">
        <w:rPr>
          <w:color w:val="000000" w:themeColor="text1"/>
        </w:rPr>
        <w:t xml:space="preserve"> (inflammation et infection du gros intestin) ; </w:t>
      </w:r>
    </w:p>
    <w:p w14:paraId="2CFC9CC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cancer</w:t>
      </w:r>
      <w:proofErr w:type="gramEnd"/>
      <w:r w:rsidRPr="0058432E">
        <w:rPr>
          <w:color w:val="000000" w:themeColor="text1"/>
        </w:rPr>
        <w:t xml:space="preserve">, y compris cancer qui affecte le système lymphatique (lymphome) et mélanome (un type de cancer de la peau) ; </w:t>
      </w:r>
    </w:p>
    <w:p w14:paraId="721822F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immunitaires qui peuvent affecter les poumons, la peau et les ganglions lymphatiques (le plus souvent une maladie appelée sarcoïdose) ; </w:t>
      </w:r>
    </w:p>
    <w:p w14:paraId="230223F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(inflammation des vaisseaux sanguins) ; </w:t>
      </w:r>
    </w:p>
    <w:p w14:paraId="24298FA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tremblements</w:t>
      </w:r>
      <w:proofErr w:type="gramEnd"/>
      <w:r w:rsidRPr="0058432E">
        <w:rPr>
          <w:color w:val="000000" w:themeColor="text1"/>
        </w:rPr>
        <w:t xml:space="preserve"> (frissons) ; </w:t>
      </w:r>
    </w:p>
    <w:p w14:paraId="6979790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neuropathie</w:t>
      </w:r>
      <w:proofErr w:type="gramEnd"/>
      <w:r w:rsidRPr="0058432E">
        <w:rPr>
          <w:color w:val="000000" w:themeColor="text1"/>
        </w:rPr>
        <w:t xml:space="preserve"> (atteinte nerveuse) ; </w:t>
      </w:r>
    </w:p>
    <w:p w14:paraId="7424B637" w14:textId="77777777" w:rsidR="00EC6EEB" w:rsidRPr="0058432E" w:rsidRDefault="00C46587" w:rsidP="00982118">
      <w:pPr>
        <w:numPr>
          <w:ilvl w:val="0"/>
          <w:numId w:val="7"/>
        </w:numPr>
        <w:ind w:left="562" w:hanging="562"/>
        <w:rPr>
          <w:color w:val="000000" w:themeColor="text1"/>
        </w:rPr>
      </w:pPr>
      <w:proofErr w:type="gramStart"/>
      <w:r w:rsidRPr="0058432E">
        <w:rPr>
          <w:color w:val="000000" w:themeColor="text1"/>
        </w:rPr>
        <w:t>accident</w:t>
      </w:r>
      <w:proofErr w:type="gramEnd"/>
      <w:r w:rsidRPr="0058432E">
        <w:rPr>
          <w:color w:val="000000" w:themeColor="text1"/>
        </w:rPr>
        <w:t xml:space="preserve"> vasculaire cérébral ;</w:t>
      </w:r>
    </w:p>
    <w:p w14:paraId="3F6F506B" w14:textId="77777777" w:rsidR="00C46587" w:rsidRPr="0058432E" w:rsidRDefault="00EC6EEB" w:rsidP="00982118">
      <w:pPr>
        <w:numPr>
          <w:ilvl w:val="0"/>
          <w:numId w:val="7"/>
        </w:numPr>
        <w:ind w:left="562" w:hanging="562"/>
        <w:rPr>
          <w:color w:val="000000" w:themeColor="text1"/>
        </w:rPr>
      </w:pPr>
      <w:proofErr w:type="gramStart"/>
      <w:r w:rsidRPr="0058432E">
        <w:rPr>
          <w:color w:val="000000" w:themeColor="text1"/>
        </w:rPr>
        <w:t>vision</w:t>
      </w:r>
      <w:proofErr w:type="gramEnd"/>
      <w:r w:rsidRPr="0058432E">
        <w:rPr>
          <w:color w:val="000000" w:themeColor="text1"/>
        </w:rPr>
        <w:t xml:space="preserve"> double ; </w:t>
      </w:r>
    </w:p>
    <w:p w14:paraId="2C6CFD3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perte</w:t>
      </w:r>
      <w:proofErr w:type="gramEnd"/>
      <w:r w:rsidRPr="0058432E">
        <w:rPr>
          <w:color w:val="000000" w:themeColor="text1"/>
        </w:rPr>
        <w:t xml:space="preserve"> d’audition, bourdonnements d’oreilles ; </w:t>
      </w:r>
    </w:p>
    <w:p w14:paraId="6C3A6FA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sensation</w:t>
      </w:r>
      <w:proofErr w:type="gramEnd"/>
      <w:r w:rsidRPr="0058432E">
        <w:rPr>
          <w:color w:val="000000" w:themeColor="text1"/>
        </w:rPr>
        <w:t xml:space="preserve"> de battements cardiaques irréguliers tels que </w:t>
      </w:r>
      <w:r w:rsidR="00FB440E" w:rsidRPr="0058432E">
        <w:rPr>
          <w:color w:val="000000" w:themeColor="text1"/>
        </w:rPr>
        <w:t xml:space="preserve">battements de cœur manqués </w:t>
      </w:r>
      <w:r w:rsidRPr="0058432E">
        <w:rPr>
          <w:color w:val="000000" w:themeColor="text1"/>
        </w:rPr>
        <w:t xml:space="preserve">; </w:t>
      </w:r>
    </w:p>
    <w:p w14:paraId="18DB647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cardiaques qui peuvent provoquer un essoufflement ou un œdème des chevilles ; </w:t>
      </w:r>
    </w:p>
    <w:p w14:paraId="33AA059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crise</w:t>
      </w:r>
      <w:proofErr w:type="gramEnd"/>
      <w:r w:rsidRPr="0058432E">
        <w:rPr>
          <w:color w:val="000000" w:themeColor="text1"/>
        </w:rPr>
        <w:t xml:space="preserve"> cardiaque ; </w:t>
      </w:r>
    </w:p>
    <w:p w14:paraId="1CA656D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poche</w:t>
      </w:r>
      <w:proofErr w:type="gramEnd"/>
      <w:r w:rsidRPr="0058432E">
        <w:rPr>
          <w:color w:val="000000" w:themeColor="text1"/>
        </w:rPr>
        <w:t xml:space="preserve"> dans la paroi d’une grosse artère, inflammation et caillot dans une veine, obstruction d’un vaisseau sanguin ; </w:t>
      </w:r>
    </w:p>
    <w:p w14:paraId="345D504A"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lastRenderedPageBreak/>
        <w:t>maladie</w:t>
      </w:r>
      <w:proofErr w:type="gramEnd"/>
      <w:r w:rsidRPr="0058432E">
        <w:rPr>
          <w:color w:val="000000" w:themeColor="text1"/>
        </w:rPr>
        <w:t xml:space="preserve"> pulmonaire entraîn</w:t>
      </w:r>
      <w:r w:rsidR="00B55C5D" w:rsidRPr="0058432E">
        <w:rPr>
          <w:color w:val="000000" w:themeColor="text1"/>
        </w:rPr>
        <w:t>ant</w:t>
      </w:r>
      <w:r w:rsidRPr="0058432E">
        <w:rPr>
          <w:color w:val="000000" w:themeColor="text1"/>
        </w:rPr>
        <w:t xml:space="preserve"> un essoufflement (y compris inflammation) ; </w:t>
      </w:r>
    </w:p>
    <w:p w14:paraId="7ADE01D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embolie</w:t>
      </w:r>
      <w:proofErr w:type="gramEnd"/>
      <w:r w:rsidRPr="0058432E">
        <w:rPr>
          <w:color w:val="000000" w:themeColor="text1"/>
        </w:rPr>
        <w:t xml:space="preserve"> pulmonaire (obstruction d’une artère du poumon) ; </w:t>
      </w:r>
    </w:p>
    <w:p w14:paraId="31F9A8F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épanchement</w:t>
      </w:r>
      <w:proofErr w:type="gramEnd"/>
      <w:r w:rsidRPr="0058432E">
        <w:rPr>
          <w:color w:val="000000" w:themeColor="text1"/>
        </w:rPr>
        <w:t xml:space="preserve"> pleural (accumulation anormale de liquide dans la cavité pleurale) ; </w:t>
      </w:r>
    </w:p>
    <w:p w14:paraId="51D2E79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du pancréas qui provoque une douleur intense dans l’abdomen et le dos ; </w:t>
      </w:r>
    </w:p>
    <w:p w14:paraId="230A5A2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difficulté</w:t>
      </w:r>
      <w:proofErr w:type="gramEnd"/>
      <w:r w:rsidRPr="0058432E">
        <w:rPr>
          <w:color w:val="000000" w:themeColor="text1"/>
        </w:rPr>
        <w:t xml:space="preserve"> à avaler ; </w:t>
      </w:r>
    </w:p>
    <w:p w14:paraId="5F305D28"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 </w:t>
      </w:r>
    </w:p>
    <w:p w14:paraId="5D72B812"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w:t>
      </w:r>
      <w:proofErr w:type="gramEnd"/>
      <w:r w:rsidRPr="0058432E">
        <w:rPr>
          <w:color w:val="000000" w:themeColor="text1"/>
        </w:rPr>
        <w:t xml:space="preserve"> de la vésicule biliaire, calculs dans la vésicule biliaire ; </w:t>
      </w:r>
    </w:p>
    <w:p w14:paraId="150C840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stéatose</w:t>
      </w:r>
      <w:proofErr w:type="gramEnd"/>
      <w:r w:rsidRPr="0058432E">
        <w:rPr>
          <w:color w:val="000000" w:themeColor="text1"/>
        </w:rPr>
        <w:t xml:space="preserve"> du foie (accumulation de graisse dans les cellules hépatiques) ; </w:t>
      </w:r>
    </w:p>
    <w:p w14:paraId="1C30B85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sueurs</w:t>
      </w:r>
      <w:proofErr w:type="gramEnd"/>
      <w:r w:rsidRPr="0058432E">
        <w:rPr>
          <w:color w:val="000000" w:themeColor="text1"/>
        </w:rPr>
        <w:t xml:space="preserve"> nocturnes ; </w:t>
      </w:r>
    </w:p>
    <w:p w14:paraId="141C87E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cicatrice</w:t>
      </w:r>
      <w:proofErr w:type="gramEnd"/>
      <w:r w:rsidRPr="0058432E">
        <w:rPr>
          <w:color w:val="000000" w:themeColor="text1"/>
        </w:rPr>
        <w:t xml:space="preserve"> ; </w:t>
      </w:r>
    </w:p>
    <w:p w14:paraId="25962F1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faiblesse</w:t>
      </w:r>
      <w:proofErr w:type="gramEnd"/>
      <w:r w:rsidRPr="0058432E">
        <w:rPr>
          <w:color w:val="000000" w:themeColor="text1"/>
        </w:rPr>
        <w:t xml:space="preserve"> musculaire anormale ; </w:t>
      </w:r>
    </w:p>
    <w:p w14:paraId="0D984E9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lupus</w:t>
      </w:r>
      <w:proofErr w:type="gramEnd"/>
      <w:r w:rsidRPr="0058432E">
        <w:rPr>
          <w:color w:val="000000" w:themeColor="text1"/>
        </w:rPr>
        <w:t xml:space="preserve"> érythémateux disséminé (trouble immunitaire comprenant inflammation de la peau, du cœur, du poumon, des articulations et des autres systèmes d’organes) ; </w:t>
      </w:r>
    </w:p>
    <w:p w14:paraId="270C695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sommeil</w:t>
      </w:r>
      <w:proofErr w:type="gramEnd"/>
      <w:r w:rsidRPr="0058432E">
        <w:rPr>
          <w:color w:val="000000" w:themeColor="text1"/>
        </w:rPr>
        <w:t xml:space="preserve"> interrompu ; </w:t>
      </w:r>
    </w:p>
    <w:p w14:paraId="223166E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impuissance</w:t>
      </w:r>
      <w:proofErr w:type="gramEnd"/>
      <w:r w:rsidRPr="0058432E">
        <w:rPr>
          <w:color w:val="000000" w:themeColor="text1"/>
        </w:rPr>
        <w:t xml:space="preserve"> ; </w:t>
      </w:r>
    </w:p>
    <w:p w14:paraId="5C4565E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inflammations</w:t>
      </w:r>
      <w:proofErr w:type="gramEnd"/>
      <w:r w:rsidRPr="0058432E">
        <w:rPr>
          <w:color w:val="000000" w:themeColor="text1"/>
        </w:rPr>
        <w:t xml:space="preserve">. </w:t>
      </w:r>
    </w:p>
    <w:p w14:paraId="6D638C1C" w14:textId="77777777" w:rsidR="00C46587" w:rsidRPr="0058432E" w:rsidRDefault="00C46587" w:rsidP="00982118">
      <w:pPr>
        <w:rPr>
          <w:color w:val="000000" w:themeColor="text1"/>
        </w:rPr>
      </w:pPr>
    </w:p>
    <w:p w14:paraId="1F0300AA" w14:textId="77777777" w:rsidR="00C46587" w:rsidRPr="0058432E" w:rsidRDefault="00C46587" w:rsidP="00800BA5">
      <w:pPr>
        <w:keepNext/>
        <w:rPr>
          <w:color w:val="000000" w:themeColor="text1"/>
        </w:rPr>
      </w:pPr>
      <w:r w:rsidRPr="0058432E">
        <w:rPr>
          <w:b/>
          <w:color w:val="000000" w:themeColor="text1"/>
        </w:rPr>
        <w:t>Rare</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1 000)</w:t>
      </w:r>
    </w:p>
    <w:p w14:paraId="513D4236" w14:textId="77777777" w:rsidR="00C46587" w:rsidRPr="0058432E" w:rsidRDefault="00C46587" w:rsidP="00800BA5">
      <w:pPr>
        <w:keepNext/>
        <w:rPr>
          <w:color w:val="000000" w:themeColor="text1"/>
        </w:rPr>
      </w:pPr>
    </w:p>
    <w:p w14:paraId="36220442" w14:textId="77777777" w:rsidR="00C46587" w:rsidRPr="0058432E" w:rsidRDefault="00983A74" w:rsidP="00800BA5">
      <w:pPr>
        <w:keepNext/>
        <w:numPr>
          <w:ilvl w:val="0"/>
          <w:numId w:val="7"/>
        </w:numPr>
        <w:ind w:left="562" w:hanging="562"/>
        <w:rPr>
          <w:color w:val="000000" w:themeColor="text1"/>
        </w:rPr>
      </w:pPr>
      <w:proofErr w:type="gramStart"/>
      <w:r w:rsidRPr="0058432E">
        <w:rPr>
          <w:color w:val="000000" w:themeColor="text1"/>
        </w:rPr>
        <w:t>leucémie</w:t>
      </w:r>
      <w:proofErr w:type="gramEnd"/>
      <w:r w:rsidRPr="0058432E">
        <w:rPr>
          <w:color w:val="000000" w:themeColor="text1"/>
        </w:rPr>
        <w:t xml:space="preserve"> (cancer affectant le sang et la moelle osseuse) ; </w:t>
      </w:r>
    </w:p>
    <w:p w14:paraId="520A2E5E" w14:textId="77777777" w:rsidR="00C46587" w:rsidRPr="0058432E" w:rsidRDefault="00143CBB" w:rsidP="00982118">
      <w:pPr>
        <w:numPr>
          <w:ilvl w:val="0"/>
          <w:numId w:val="7"/>
        </w:numPr>
        <w:ind w:left="562" w:hanging="562"/>
        <w:rPr>
          <w:color w:val="000000" w:themeColor="text1"/>
        </w:rPr>
      </w:pPr>
      <w:proofErr w:type="gramStart"/>
      <w:r w:rsidRPr="0058432E">
        <w:rPr>
          <w:color w:val="000000" w:themeColor="text1"/>
        </w:rPr>
        <w:t>réactions</w:t>
      </w:r>
      <w:proofErr w:type="gramEnd"/>
      <w:r w:rsidRPr="0058432E">
        <w:rPr>
          <w:color w:val="000000" w:themeColor="text1"/>
        </w:rPr>
        <w:t xml:space="preserve"> allergiques sévères avec choc ; </w:t>
      </w:r>
    </w:p>
    <w:p w14:paraId="6BA1B68B"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sclérose</w:t>
      </w:r>
      <w:proofErr w:type="gramEnd"/>
      <w:r w:rsidRPr="0058432E">
        <w:rPr>
          <w:color w:val="000000" w:themeColor="text1"/>
        </w:rPr>
        <w:t xml:space="preserve"> en plaques ; </w:t>
      </w:r>
    </w:p>
    <w:p w14:paraId="35E4F00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troubles</w:t>
      </w:r>
      <w:proofErr w:type="gramEnd"/>
      <w:r w:rsidRPr="0058432E">
        <w:rPr>
          <w:color w:val="000000" w:themeColor="text1"/>
        </w:rPr>
        <w:t xml:space="preserve"> neurologiques (tels qu’inflammation du nerf optique de l’œil et syndrome de Guillain</w:t>
      </w:r>
      <w:r w:rsidRPr="0058432E">
        <w:rPr>
          <w:color w:val="000000" w:themeColor="text1"/>
        </w:rPr>
        <w:noBreakHyphen/>
        <w:t xml:space="preserve">Barré, une maladie pouvant entraîner une faiblesse musculaire, des sensations anormales, des fourmillements dans les bras et le haut du corps) ; </w:t>
      </w:r>
    </w:p>
    <w:p w14:paraId="2AD8136E"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arrêt</w:t>
      </w:r>
      <w:proofErr w:type="gramEnd"/>
      <w:r w:rsidRPr="0058432E">
        <w:rPr>
          <w:color w:val="000000" w:themeColor="text1"/>
        </w:rPr>
        <w:t xml:space="preserve"> de la fonction de pompage du cœur ; </w:t>
      </w:r>
    </w:p>
    <w:p w14:paraId="3E6E3E3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fibrose</w:t>
      </w:r>
      <w:proofErr w:type="gramEnd"/>
      <w:r w:rsidRPr="0058432E">
        <w:rPr>
          <w:color w:val="000000" w:themeColor="text1"/>
        </w:rPr>
        <w:t xml:space="preserve"> pulmonaire (formation de tissus cicatriciels dans les poumons) ; </w:t>
      </w:r>
    </w:p>
    <w:p w14:paraId="2655F3B0"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perforation</w:t>
      </w:r>
      <w:proofErr w:type="gramEnd"/>
      <w:r w:rsidRPr="0058432E">
        <w:rPr>
          <w:color w:val="000000" w:themeColor="text1"/>
        </w:rPr>
        <w:t xml:space="preserve"> intestinale (trou dans la paroi de l’intestin) ; </w:t>
      </w:r>
    </w:p>
    <w:p w14:paraId="4A727EC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(inflammation du foie) ; </w:t>
      </w:r>
    </w:p>
    <w:p w14:paraId="2575877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réactivation</w:t>
      </w:r>
      <w:proofErr w:type="gramEnd"/>
      <w:r w:rsidRPr="0058432E">
        <w:rPr>
          <w:color w:val="000000" w:themeColor="text1"/>
        </w:rPr>
        <w:t xml:space="preserve"> de l’infection par le virus de l’hépatite B ; </w:t>
      </w:r>
    </w:p>
    <w:p w14:paraId="28DA691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hépatite</w:t>
      </w:r>
      <w:proofErr w:type="gramEnd"/>
      <w:r w:rsidRPr="0058432E">
        <w:rPr>
          <w:color w:val="000000" w:themeColor="text1"/>
        </w:rPr>
        <w:t xml:space="preserve"> auto-immune (inflammation du foie causée par le propre système immunitaire du corps) ; </w:t>
      </w:r>
    </w:p>
    <w:p w14:paraId="5DFDC20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vascularite</w:t>
      </w:r>
      <w:proofErr w:type="gramEnd"/>
      <w:r w:rsidRPr="0058432E">
        <w:rPr>
          <w:color w:val="000000" w:themeColor="text1"/>
        </w:rPr>
        <w:t xml:space="preserve"> cutanée (inflammation des vaisseaux sanguins dans la peau) ; </w:t>
      </w:r>
    </w:p>
    <w:p w14:paraId="6B08CB3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Stevens</w:t>
      </w:r>
      <w:r w:rsidRPr="0058432E">
        <w:rPr>
          <w:color w:val="000000" w:themeColor="text1"/>
        </w:rPr>
        <w:noBreakHyphen/>
        <w:t xml:space="preserve">Johnson (réaction menaçant le pronostic vital avec symptômes pseudo-grippaux et éruption cutanée avec cloques) ; </w:t>
      </w:r>
    </w:p>
    <w:p w14:paraId="4B6842C3"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œdème</w:t>
      </w:r>
      <w:proofErr w:type="gramEnd"/>
      <w:r w:rsidRPr="0058432E">
        <w:rPr>
          <w:color w:val="000000" w:themeColor="text1"/>
        </w:rPr>
        <w:t xml:space="preserve"> du visage (gonflement du visage) avec réactions allergiques ; </w:t>
      </w:r>
    </w:p>
    <w:p w14:paraId="79D6079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érythème</w:t>
      </w:r>
      <w:proofErr w:type="gramEnd"/>
      <w:r w:rsidRPr="0058432E">
        <w:rPr>
          <w:color w:val="000000" w:themeColor="text1"/>
        </w:rPr>
        <w:t xml:space="preserve"> polymorphe (</w:t>
      </w:r>
      <w:r w:rsidR="00BF7BFC" w:rsidRPr="0058432E">
        <w:rPr>
          <w:color w:val="000000" w:themeColor="text1"/>
        </w:rPr>
        <w:t xml:space="preserve">éruption cutanée </w:t>
      </w:r>
      <w:r w:rsidRPr="0058432E">
        <w:rPr>
          <w:color w:val="000000" w:themeColor="text1"/>
        </w:rPr>
        <w:t xml:space="preserve">inflammatoire de la peau) ; </w:t>
      </w:r>
    </w:p>
    <w:p w14:paraId="22EDC9AE" w14:textId="77777777" w:rsidR="00BC4E87" w:rsidRPr="0058432E" w:rsidRDefault="00C46587" w:rsidP="00982118">
      <w:pPr>
        <w:numPr>
          <w:ilvl w:val="0"/>
          <w:numId w:val="7"/>
        </w:numPr>
        <w:ind w:left="562" w:hanging="562"/>
        <w:rPr>
          <w:color w:val="000000" w:themeColor="text1"/>
        </w:rPr>
      </w:pPr>
      <w:proofErr w:type="gramStart"/>
      <w:r w:rsidRPr="0058432E">
        <w:rPr>
          <w:color w:val="000000" w:themeColor="text1"/>
        </w:rPr>
        <w:t>syndrome</w:t>
      </w:r>
      <w:proofErr w:type="gramEnd"/>
      <w:r w:rsidRPr="0058432E">
        <w:rPr>
          <w:color w:val="000000" w:themeColor="text1"/>
        </w:rPr>
        <w:t xml:space="preserve"> de type lupus ;</w:t>
      </w:r>
    </w:p>
    <w:p w14:paraId="175ED714" w14:textId="77777777" w:rsidR="000D75B1" w:rsidRPr="0058432E" w:rsidRDefault="00983A74" w:rsidP="00982118">
      <w:pPr>
        <w:numPr>
          <w:ilvl w:val="0"/>
          <w:numId w:val="7"/>
        </w:numPr>
        <w:ind w:left="562" w:hanging="562"/>
        <w:rPr>
          <w:color w:val="000000" w:themeColor="text1"/>
        </w:rPr>
      </w:pPr>
      <w:proofErr w:type="gramStart"/>
      <w:r w:rsidRPr="0058432E">
        <w:rPr>
          <w:color w:val="000000" w:themeColor="text1"/>
        </w:rPr>
        <w:t>angiœdème</w:t>
      </w:r>
      <w:proofErr w:type="gramEnd"/>
      <w:r w:rsidRPr="0058432E">
        <w:rPr>
          <w:color w:val="000000" w:themeColor="text1"/>
        </w:rPr>
        <w:t xml:space="preserve"> (gonflement localisé de la peau) ;</w:t>
      </w:r>
    </w:p>
    <w:p w14:paraId="2C6DDCF4" w14:textId="77777777" w:rsidR="00C46587" w:rsidRPr="0058432E" w:rsidRDefault="000D75B1" w:rsidP="00982118">
      <w:pPr>
        <w:numPr>
          <w:ilvl w:val="0"/>
          <w:numId w:val="7"/>
        </w:numPr>
        <w:ind w:left="562" w:hanging="562"/>
        <w:rPr>
          <w:color w:val="000000" w:themeColor="text1"/>
        </w:rPr>
      </w:pPr>
      <w:proofErr w:type="gramStart"/>
      <w:r w:rsidRPr="0058432E">
        <w:rPr>
          <w:color w:val="000000" w:themeColor="text1"/>
        </w:rPr>
        <w:t>réaction</w:t>
      </w:r>
      <w:proofErr w:type="gramEnd"/>
      <w:r w:rsidRPr="0058432E">
        <w:rPr>
          <w:color w:val="000000" w:themeColor="text1"/>
        </w:rPr>
        <w:t xml:space="preserve"> lichénoïde cutanée (éruption cutanée violet-rougeâtre avec démangeaisons) ; </w:t>
      </w:r>
    </w:p>
    <w:p w14:paraId="0DC24972" w14:textId="77777777" w:rsidR="00C46587" w:rsidRPr="0058432E" w:rsidRDefault="00C46587" w:rsidP="00982118">
      <w:pPr>
        <w:rPr>
          <w:color w:val="000000" w:themeColor="text1"/>
        </w:rPr>
      </w:pPr>
    </w:p>
    <w:p w14:paraId="718854DB" w14:textId="77777777" w:rsidR="00C46587" w:rsidRPr="0058432E" w:rsidRDefault="00C46587" w:rsidP="00982118">
      <w:pPr>
        <w:rPr>
          <w:color w:val="000000" w:themeColor="text1"/>
        </w:rPr>
      </w:pPr>
      <w:r w:rsidRPr="0058432E">
        <w:rPr>
          <w:b/>
          <w:color w:val="000000" w:themeColor="text1"/>
        </w:rPr>
        <w:t>Fréquence indéterminée</w:t>
      </w:r>
      <w:r w:rsidRPr="0058432E">
        <w:rPr>
          <w:color w:val="000000" w:themeColor="text1"/>
        </w:rPr>
        <w:t xml:space="preserve"> (</w:t>
      </w:r>
      <w:r w:rsidR="00B42EC9" w:rsidRPr="0058432E">
        <w:rPr>
          <w:color w:val="000000" w:themeColor="text1"/>
        </w:rPr>
        <w:t xml:space="preserve">la fréquence </w:t>
      </w:r>
      <w:r w:rsidRPr="0058432E">
        <w:rPr>
          <w:color w:val="000000" w:themeColor="text1"/>
        </w:rPr>
        <w:t>ne peut être estimée sur la base des données disponibles)</w:t>
      </w:r>
    </w:p>
    <w:p w14:paraId="162C497A" w14:textId="77777777" w:rsidR="00C46587" w:rsidRPr="0058432E" w:rsidRDefault="00C46587" w:rsidP="00982118">
      <w:pPr>
        <w:rPr>
          <w:color w:val="000000" w:themeColor="text1"/>
        </w:rPr>
      </w:pPr>
    </w:p>
    <w:p w14:paraId="3C0B80C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lymphome</w:t>
      </w:r>
      <w:proofErr w:type="gramEnd"/>
      <w:r w:rsidRPr="0058432E">
        <w:rPr>
          <w:color w:val="000000" w:themeColor="text1"/>
        </w:rPr>
        <w:t xml:space="preserve"> hépatosplénique à lymphocytes T (cancer </w:t>
      </w:r>
      <w:r w:rsidR="00B55C5D" w:rsidRPr="0058432E">
        <w:rPr>
          <w:color w:val="000000" w:themeColor="text1"/>
        </w:rPr>
        <w:t xml:space="preserve">du sang </w:t>
      </w:r>
      <w:r w:rsidRPr="0058432E">
        <w:rPr>
          <w:color w:val="000000" w:themeColor="text1"/>
        </w:rPr>
        <w:t xml:space="preserve">rare souvent mortel) ; </w:t>
      </w:r>
    </w:p>
    <w:p w14:paraId="2058E3C9" w14:textId="77777777" w:rsidR="004F250F" w:rsidRPr="0058432E" w:rsidRDefault="00C46587" w:rsidP="004F250F">
      <w:pPr>
        <w:numPr>
          <w:ilvl w:val="0"/>
          <w:numId w:val="7"/>
        </w:numPr>
        <w:ind w:left="562" w:hanging="562"/>
        <w:rPr>
          <w:color w:val="000000" w:themeColor="text1"/>
        </w:rPr>
      </w:pPr>
      <w:proofErr w:type="gramStart"/>
      <w:r w:rsidRPr="0058432E">
        <w:rPr>
          <w:color w:val="000000" w:themeColor="text1"/>
        </w:rPr>
        <w:t>carcinome</w:t>
      </w:r>
      <w:proofErr w:type="gramEnd"/>
      <w:r w:rsidRPr="0058432E">
        <w:rPr>
          <w:color w:val="000000" w:themeColor="text1"/>
        </w:rPr>
        <w:t xml:space="preserve"> à cellules de Merkel (un type de cancer de la peau) ; </w:t>
      </w:r>
    </w:p>
    <w:p w14:paraId="0D27490D" w14:textId="77777777" w:rsidR="004F250F" w:rsidRPr="0058432E" w:rsidRDefault="004F250F" w:rsidP="004F250F">
      <w:pPr>
        <w:numPr>
          <w:ilvl w:val="0"/>
          <w:numId w:val="7"/>
        </w:numPr>
        <w:ind w:left="562" w:hanging="562"/>
        <w:rPr>
          <w:color w:val="000000" w:themeColor="text1"/>
        </w:rPr>
      </w:pPr>
      <w:proofErr w:type="gramStart"/>
      <w:r w:rsidRPr="0058432E">
        <w:rPr>
          <w:color w:val="000000" w:themeColor="text1"/>
        </w:rPr>
        <w:t>sarcome</w:t>
      </w:r>
      <w:proofErr w:type="gramEnd"/>
      <w:r w:rsidRPr="0058432E">
        <w:rPr>
          <w:color w:val="000000" w:themeColor="text1"/>
        </w:rPr>
        <w:t xml:space="preserve"> de Kaposi, un cancer rare lié à l’infection par </w:t>
      </w:r>
      <w:r w:rsidR="00272DE1" w:rsidRPr="0058432E">
        <w:rPr>
          <w:color w:val="000000" w:themeColor="text1"/>
        </w:rPr>
        <w:t xml:space="preserve">l’herpèsvirus humain de type 8. </w:t>
      </w:r>
      <w:r w:rsidRPr="0058432E">
        <w:rPr>
          <w:color w:val="000000" w:themeColor="text1"/>
        </w:rPr>
        <w:t xml:space="preserve">Le sarcome de Kaposi </w:t>
      </w:r>
      <w:r w:rsidR="00272DE1" w:rsidRPr="0058432E">
        <w:rPr>
          <w:color w:val="000000" w:themeColor="text1"/>
        </w:rPr>
        <w:t>apparaît le plus fréquemment</w:t>
      </w:r>
      <w:r w:rsidRPr="0058432E">
        <w:rPr>
          <w:color w:val="000000" w:themeColor="text1"/>
        </w:rPr>
        <w:t xml:space="preserve"> sous la forme de lésions viol</w:t>
      </w:r>
      <w:r w:rsidR="00DE710D" w:rsidRPr="0058432E">
        <w:rPr>
          <w:color w:val="000000" w:themeColor="text1"/>
        </w:rPr>
        <w:t>acées</w:t>
      </w:r>
      <w:r w:rsidRPr="0058432E">
        <w:rPr>
          <w:color w:val="000000" w:themeColor="text1"/>
        </w:rPr>
        <w:t xml:space="preserve"> </w:t>
      </w:r>
      <w:r w:rsidR="00272DE1" w:rsidRPr="0058432E">
        <w:rPr>
          <w:color w:val="000000" w:themeColor="text1"/>
        </w:rPr>
        <w:t>de</w:t>
      </w:r>
      <w:r w:rsidRPr="0058432E">
        <w:rPr>
          <w:color w:val="000000" w:themeColor="text1"/>
        </w:rPr>
        <w:t xml:space="preserve"> la peau.</w:t>
      </w:r>
    </w:p>
    <w:p w14:paraId="372A1F9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insuffisance</w:t>
      </w:r>
      <w:proofErr w:type="gramEnd"/>
      <w:r w:rsidRPr="0058432E">
        <w:rPr>
          <w:color w:val="000000" w:themeColor="text1"/>
        </w:rPr>
        <w:t xml:space="preserve"> hépatique ; </w:t>
      </w:r>
    </w:p>
    <w:p w14:paraId="660A893E" w14:textId="403CF525" w:rsidR="00BD13E0" w:rsidRPr="0058432E" w:rsidRDefault="00C46587" w:rsidP="00BD13E0">
      <w:pPr>
        <w:numPr>
          <w:ilvl w:val="0"/>
          <w:numId w:val="7"/>
        </w:numPr>
        <w:ind w:left="562" w:hanging="562"/>
        <w:rPr>
          <w:color w:val="000000" w:themeColor="text1"/>
        </w:rPr>
      </w:pPr>
      <w:proofErr w:type="gramStart"/>
      <w:r w:rsidRPr="0058432E">
        <w:rPr>
          <w:color w:val="000000" w:themeColor="text1"/>
        </w:rPr>
        <w:t>aggravation</w:t>
      </w:r>
      <w:proofErr w:type="gramEnd"/>
      <w:r w:rsidRPr="0058432E">
        <w:rPr>
          <w:color w:val="000000" w:themeColor="text1"/>
        </w:rPr>
        <w:t xml:space="preserve"> d’une maladie appelée dermatomyosite (caractérisée par une éruption cutanée accompagnant une faiblesse musculaire)</w:t>
      </w:r>
      <w:r w:rsidR="00BD13E0" w:rsidRPr="0058432E">
        <w:rPr>
          <w:color w:val="000000" w:themeColor="text1"/>
        </w:rPr>
        <w:t> ;</w:t>
      </w:r>
    </w:p>
    <w:p w14:paraId="3D4001DD" w14:textId="77777777" w:rsidR="00BD13E0" w:rsidRPr="0058432E" w:rsidRDefault="00BD13E0" w:rsidP="00BD13E0">
      <w:pPr>
        <w:numPr>
          <w:ilvl w:val="0"/>
          <w:numId w:val="7"/>
        </w:numPr>
        <w:ind w:left="562" w:hanging="562"/>
        <w:rPr>
          <w:color w:val="000000" w:themeColor="text1"/>
        </w:rPr>
      </w:pPr>
      <w:proofErr w:type="gramStart"/>
      <w:r w:rsidRPr="0058432E">
        <w:rPr>
          <w:color w:val="000000" w:themeColor="text1"/>
        </w:rPr>
        <w:t>prise</w:t>
      </w:r>
      <w:proofErr w:type="gramEnd"/>
      <w:r w:rsidRPr="0058432E">
        <w:rPr>
          <w:color w:val="000000" w:themeColor="text1"/>
        </w:rPr>
        <w:t xml:space="preserve"> de poids (pour la plupart des patients, la prise de poids a été faible).</w:t>
      </w:r>
    </w:p>
    <w:p w14:paraId="5B945C2B" w14:textId="77777777" w:rsidR="00C46587" w:rsidRPr="0058432E" w:rsidRDefault="00C46587" w:rsidP="00982118">
      <w:pPr>
        <w:rPr>
          <w:color w:val="000000" w:themeColor="text1"/>
        </w:rPr>
      </w:pPr>
    </w:p>
    <w:p w14:paraId="65A0B223" w14:textId="77777777" w:rsidR="00C46587" w:rsidRPr="0058432E" w:rsidRDefault="00C46587" w:rsidP="00982118">
      <w:pPr>
        <w:rPr>
          <w:color w:val="000000" w:themeColor="text1"/>
        </w:rPr>
      </w:pPr>
      <w:r w:rsidRPr="0058432E">
        <w:rPr>
          <w:color w:val="000000" w:themeColor="text1"/>
        </w:rPr>
        <w:t>Certains effets indésirables observés avec l’adalimumab ne se traduisent par aucun symptôme et ne peuvent être détectés qu’au moyen d’examens</w:t>
      </w:r>
      <w:r w:rsidR="00B55C5D" w:rsidRPr="0058432E">
        <w:rPr>
          <w:color w:val="000000" w:themeColor="text1"/>
        </w:rPr>
        <w:t xml:space="preserve"> sanguins</w:t>
      </w:r>
      <w:r w:rsidRPr="0058432E">
        <w:rPr>
          <w:color w:val="000000" w:themeColor="text1"/>
        </w:rPr>
        <w:t xml:space="preserve">. Ils incluent : </w:t>
      </w:r>
    </w:p>
    <w:p w14:paraId="60DEE4B8" w14:textId="77777777" w:rsidR="00C46587" w:rsidRPr="0058432E" w:rsidRDefault="00C46587" w:rsidP="00982118">
      <w:pPr>
        <w:rPr>
          <w:color w:val="000000" w:themeColor="text1"/>
        </w:rPr>
      </w:pPr>
    </w:p>
    <w:p w14:paraId="61F95849" w14:textId="77777777" w:rsidR="00C46587" w:rsidRPr="0058432E" w:rsidRDefault="00C46587" w:rsidP="00982118">
      <w:pPr>
        <w:rPr>
          <w:color w:val="000000" w:themeColor="text1"/>
        </w:rPr>
      </w:pPr>
      <w:r w:rsidRPr="0058432E">
        <w:rPr>
          <w:b/>
          <w:color w:val="000000" w:themeColor="text1"/>
        </w:rPr>
        <w:lastRenderedPageBreak/>
        <w:t>Très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plus de 1 personne sur 10)</w:t>
      </w:r>
    </w:p>
    <w:p w14:paraId="35BCC282" w14:textId="77777777" w:rsidR="00C46587" w:rsidRPr="0058432E" w:rsidRDefault="00C46587" w:rsidP="00982118">
      <w:pPr>
        <w:rPr>
          <w:color w:val="000000" w:themeColor="text1"/>
        </w:rPr>
      </w:pPr>
    </w:p>
    <w:p w14:paraId="257ED4D6"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 </w:t>
      </w:r>
    </w:p>
    <w:p w14:paraId="0DB7E6E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rouges ; </w:t>
      </w:r>
    </w:p>
    <w:p w14:paraId="632187C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de lipides dans le sang ; </w:t>
      </w:r>
    </w:p>
    <w:p w14:paraId="1863AE8C" w14:textId="77777777" w:rsidR="00C46587" w:rsidRPr="0058432E" w:rsidRDefault="00EC6EEB"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enzymes hépatiques. </w:t>
      </w:r>
    </w:p>
    <w:p w14:paraId="432BF9FD" w14:textId="77777777" w:rsidR="00C46587" w:rsidRPr="0058432E" w:rsidRDefault="00C46587" w:rsidP="00982118">
      <w:pPr>
        <w:rPr>
          <w:color w:val="000000" w:themeColor="text1"/>
        </w:rPr>
      </w:pPr>
    </w:p>
    <w:p w14:paraId="0922438B" w14:textId="77777777" w:rsidR="00C46587" w:rsidRPr="0058432E" w:rsidRDefault="00C46587" w:rsidP="00982118">
      <w:pPr>
        <w:rPr>
          <w:color w:val="000000" w:themeColor="text1"/>
        </w:rPr>
      </w:pPr>
      <w:r w:rsidRPr="0058432E">
        <w:rPr>
          <w:b/>
          <w:color w:val="000000" w:themeColor="text1"/>
        </w:rPr>
        <w:t>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w:t>
      </w:r>
    </w:p>
    <w:p w14:paraId="0285DCCE" w14:textId="77777777" w:rsidR="00C46587" w:rsidRPr="0058432E" w:rsidRDefault="00C46587" w:rsidP="00982118">
      <w:pPr>
        <w:rPr>
          <w:color w:val="000000" w:themeColor="text1"/>
        </w:rPr>
      </w:pPr>
    </w:p>
    <w:p w14:paraId="64746BE1"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globules blancs ; </w:t>
      </w:r>
    </w:p>
    <w:p w14:paraId="615B748D"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plaquettes ; </w:t>
      </w:r>
    </w:p>
    <w:p w14:paraId="0C931F97"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élévation</w:t>
      </w:r>
      <w:proofErr w:type="gramEnd"/>
      <w:r w:rsidRPr="0058432E">
        <w:rPr>
          <w:color w:val="000000" w:themeColor="text1"/>
        </w:rPr>
        <w:t xml:space="preserve"> des taux d’acide urique dans le sang ; </w:t>
      </w:r>
    </w:p>
    <w:p w14:paraId="032F999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anormaux de sodium dans le sang ; </w:t>
      </w:r>
    </w:p>
    <w:p w14:paraId="5423A5AC"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calcium dans le sang ; </w:t>
      </w:r>
    </w:p>
    <w:p w14:paraId="76978855"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phosphate dans le sang ; </w:t>
      </w:r>
    </w:p>
    <w:p w14:paraId="2E56155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de sucre élevé dans le sang ; </w:t>
      </w:r>
    </w:p>
    <w:p w14:paraId="377DC389"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élevés de lactate déshydrogénase dans le sang ; </w:t>
      </w:r>
    </w:p>
    <w:p w14:paraId="6EC32E31" w14:textId="77777777" w:rsidR="00BC4E87" w:rsidRPr="0058432E" w:rsidRDefault="00C46587" w:rsidP="00982118">
      <w:pPr>
        <w:numPr>
          <w:ilvl w:val="0"/>
          <w:numId w:val="7"/>
        </w:numPr>
        <w:ind w:left="562" w:hanging="562"/>
        <w:rPr>
          <w:color w:val="000000" w:themeColor="text1"/>
        </w:rPr>
      </w:pPr>
      <w:proofErr w:type="gramStart"/>
      <w:r w:rsidRPr="0058432E">
        <w:rPr>
          <w:color w:val="000000" w:themeColor="text1"/>
        </w:rPr>
        <w:t>présence</w:t>
      </w:r>
      <w:proofErr w:type="gramEnd"/>
      <w:r w:rsidRPr="0058432E">
        <w:rPr>
          <w:color w:val="000000" w:themeColor="text1"/>
        </w:rPr>
        <w:t xml:space="preserve"> d’anticorps dans le sang ;</w:t>
      </w:r>
    </w:p>
    <w:p w14:paraId="50CFFC52" w14:textId="77777777" w:rsidR="00C46587" w:rsidRPr="0058432E" w:rsidRDefault="00BC4E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 de potassium dans le sang. </w:t>
      </w:r>
    </w:p>
    <w:p w14:paraId="560FACA1" w14:textId="77777777" w:rsidR="00C46587" w:rsidRPr="0058432E" w:rsidRDefault="00C46587" w:rsidP="00982118">
      <w:pPr>
        <w:rPr>
          <w:color w:val="000000" w:themeColor="text1"/>
        </w:rPr>
      </w:pPr>
    </w:p>
    <w:p w14:paraId="325E8A56" w14:textId="77777777" w:rsidR="00BC4E87" w:rsidRPr="0058432E" w:rsidRDefault="00BC4E87" w:rsidP="00982118">
      <w:pPr>
        <w:rPr>
          <w:color w:val="000000" w:themeColor="text1"/>
        </w:rPr>
      </w:pPr>
      <w:r w:rsidRPr="0058432E">
        <w:rPr>
          <w:b/>
          <w:color w:val="000000" w:themeColor="text1"/>
        </w:rPr>
        <w:t>Peu fréquent</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100)</w:t>
      </w:r>
    </w:p>
    <w:p w14:paraId="6FEDC3A8" w14:textId="77777777" w:rsidR="00BC4E87" w:rsidRPr="0058432E" w:rsidRDefault="00BC4E87" w:rsidP="00982118">
      <w:pPr>
        <w:rPr>
          <w:color w:val="000000" w:themeColor="text1"/>
        </w:rPr>
      </w:pPr>
    </w:p>
    <w:p w14:paraId="0F77E9A3" w14:textId="77777777" w:rsidR="00BC4E87" w:rsidRPr="0058432E" w:rsidRDefault="00EC6EEB" w:rsidP="00982118">
      <w:pPr>
        <w:numPr>
          <w:ilvl w:val="0"/>
          <w:numId w:val="9"/>
        </w:numPr>
        <w:rPr>
          <w:color w:val="000000" w:themeColor="text1"/>
        </w:rPr>
      </w:pPr>
      <w:proofErr w:type="gramStart"/>
      <w:r w:rsidRPr="0058432E">
        <w:rPr>
          <w:color w:val="000000" w:themeColor="text1"/>
        </w:rPr>
        <w:t>taux</w:t>
      </w:r>
      <w:proofErr w:type="gramEnd"/>
      <w:r w:rsidRPr="0058432E">
        <w:rPr>
          <w:color w:val="000000" w:themeColor="text1"/>
        </w:rPr>
        <w:t xml:space="preserve"> élevés de bilirubine (test sanguin du foie).</w:t>
      </w:r>
    </w:p>
    <w:p w14:paraId="064AD162" w14:textId="77777777" w:rsidR="00BC4E87" w:rsidRPr="0058432E" w:rsidRDefault="00BC4E87" w:rsidP="00982118">
      <w:pPr>
        <w:rPr>
          <w:color w:val="000000" w:themeColor="text1"/>
        </w:rPr>
      </w:pPr>
    </w:p>
    <w:p w14:paraId="7F4F54CB" w14:textId="77777777" w:rsidR="00C46587" w:rsidRPr="0058432E" w:rsidRDefault="00C46587" w:rsidP="006B001C">
      <w:pPr>
        <w:keepNext/>
        <w:rPr>
          <w:color w:val="000000" w:themeColor="text1"/>
        </w:rPr>
      </w:pPr>
      <w:r w:rsidRPr="0058432E">
        <w:rPr>
          <w:b/>
          <w:color w:val="000000" w:themeColor="text1"/>
        </w:rPr>
        <w:t>Rare</w:t>
      </w:r>
      <w:r w:rsidRPr="0058432E">
        <w:rPr>
          <w:color w:val="000000" w:themeColor="text1"/>
        </w:rPr>
        <w:t xml:space="preserve"> (p</w:t>
      </w:r>
      <w:r w:rsidR="00B42EC9" w:rsidRPr="0058432E">
        <w:rPr>
          <w:color w:val="000000" w:themeColor="text1"/>
        </w:rPr>
        <w:t>eut</w:t>
      </w:r>
      <w:r w:rsidRPr="0058432E">
        <w:rPr>
          <w:color w:val="000000" w:themeColor="text1"/>
        </w:rPr>
        <w:t xml:space="preserve"> affecter jusqu’à 1 personne sur 1 000)</w:t>
      </w:r>
    </w:p>
    <w:p w14:paraId="2174F8CB" w14:textId="77777777" w:rsidR="00C46587" w:rsidRPr="0058432E" w:rsidRDefault="00C46587" w:rsidP="00982118">
      <w:pPr>
        <w:rPr>
          <w:color w:val="000000" w:themeColor="text1"/>
        </w:rPr>
      </w:pPr>
    </w:p>
    <w:p w14:paraId="1F793FC4" w14:textId="77777777" w:rsidR="00C46587" w:rsidRPr="0058432E" w:rsidRDefault="00C46587" w:rsidP="00982118">
      <w:pPr>
        <w:numPr>
          <w:ilvl w:val="0"/>
          <w:numId w:val="7"/>
        </w:numPr>
        <w:ind w:left="562" w:hanging="562"/>
        <w:rPr>
          <w:color w:val="000000" w:themeColor="text1"/>
        </w:rPr>
      </w:pPr>
      <w:proofErr w:type="gramStart"/>
      <w:r w:rsidRPr="0058432E">
        <w:rPr>
          <w:color w:val="000000" w:themeColor="text1"/>
        </w:rPr>
        <w:t>taux</w:t>
      </w:r>
      <w:proofErr w:type="gramEnd"/>
      <w:r w:rsidRPr="0058432E">
        <w:rPr>
          <w:color w:val="000000" w:themeColor="text1"/>
        </w:rPr>
        <w:t xml:space="preserve"> faibles de globules blancs, de globules rouges et de plaquettes. </w:t>
      </w:r>
    </w:p>
    <w:p w14:paraId="099008A4" w14:textId="77777777" w:rsidR="00C46587" w:rsidRPr="0058432E" w:rsidRDefault="00C46587" w:rsidP="00982118">
      <w:pPr>
        <w:rPr>
          <w:color w:val="000000" w:themeColor="text1"/>
        </w:rPr>
      </w:pPr>
    </w:p>
    <w:p w14:paraId="75A82529" w14:textId="77777777" w:rsidR="00C46587" w:rsidRPr="0058432E" w:rsidRDefault="00C46587" w:rsidP="00982118">
      <w:pPr>
        <w:rPr>
          <w:b/>
          <w:color w:val="000000" w:themeColor="text1"/>
        </w:rPr>
      </w:pPr>
      <w:r w:rsidRPr="0058432E">
        <w:rPr>
          <w:b/>
          <w:color w:val="000000" w:themeColor="text1"/>
        </w:rPr>
        <w:t xml:space="preserve">Déclaration des effets secondaires </w:t>
      </w:r>
    </w:p>
    <w:p w14:paraId="4EA68ED4" w14:textId="66879609" w:rsidR="00C46587" w:rsidRPr="0058432E" w:rsidRDefault="00C46587" w:rsidP="00982118">
      <w:pPr>
        <w:rPr>
          <w:color w:val="000000" w:themeColor="text1"/>
        </w:rPr>
      </w:pPr>
      <w:r w:rsidRPr="0058432E">
        <w:rPr>
          <w:color w:val="000000" w:themeColor="text1"/>
        </w:rP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sidRPr="0058432E">
        <w:rPr>
          <w:color w:val="000000" w:themeColor="text1"/>
          <w:highlight w:val="lightGray"/>
        </w:rPr>
        <w:t xml:space="preserve">le système national de déclaration décrit en </w:t>
      </w:r>
      <w:hyperlink r:id="rId71" w:history="1">
        <w:r w:rsidRPr="0058432E">
          <w:rPr>
            <w:rStyle w:val="Hyperlink"/>
            <w:highlight w:val="lightGray"/>
          </w:rPr>
          <w:t>Annexe V</w:t>
        </w:r>
      </w:hyperlink>
      <w:r w:rsidRPr="0058432E">
        <w:rPr>
          <w:color w:val="000000" w:themeColor="text1"/>
        </w:rPr>
        <w:t xml:space="preserve">. En signalant les effets indésirables, vous contribuez à fournir davantage d’informations sur la sécurité du médicament. </w:t>
      </w:r>
    </w:p>
    <w:p w14:paraId="66C23B72" w14:textId="77777777" w:rsidR="00C46587" w:rsidRPr="0058432E" w:rsidRDefault="00C46587" w:rsidP="00982118">
      <w:pPr>
        <w:rPr>
          <w:color w:val="000000" w:themeColor="text1"/>
        </w:rPr>
      </w:pPr>
    </w:p>
    <w:p w14:paraId="446F7BDA" w14:textId="77777777" w:rsidR="00C46587" w:rsidRPr="0058432E" w:rsidRDefault="00C46587" w:rsidP="00982118">
      <w:pPr>
        <w:rPr>
          <w:color w:val="000000" w:themeColor="text1"/>
        </w:rPr>
      </w:pPr>
    </w:p>
    <w:p w14:paraId="03EF2235" w14:textId="77777777" w:rsidR="00C46587" w:rsidRPr="0058432E" w:rsidRDefault="00C46587" w:rsidP="00982118">
      <w:pPr>
        <w:keepNext/>
        <w:tabs>
          <w:tab w:val="left" w:pos="562"/>
        </w:tabs>
        <w:rPr>
          <w:b/>
          <w:color w:val="000000" w:themeColor="text1"/>
        </w:rPr>
      </w:pPr>
      <w:r w:rsidRPr="0058432E">
        <w:rPr>
          <w:b/>
          <w:color w:val="000000" w:themeColor="text1"/>
        </w:rPr>
        <w:t>5.</w:t>
      </w:r>
      <w:r w:rsidRPr="0058432E">
        <w:rPr>
          <w:b/>
          <w:color w:val="000000" w:themeColor="text1"/>
        </w:rPr>
        <w:tab/>
        <w:t xml:space="preserve">Comment conserver Amsparity </w:t>
      </w:r>
    </w:p>
    <w:p w14:paraId="07FFEDBA" w14:textId="77777777" w:rsidR="00C46587" w:rsidRPr="0058432E" w:rsidRDefault="00C46587" w:rsidP="00982118">
      <w:pPr>
        <w:keepNext/>
        <w:rPr>
          <w:color w:val="000000" w:themeColor="text1"/>
        </w:rPr>
      </w:pPr>
    </w:p>
    <w:p w14:paraId="004F9AF7" w14:textId="77777777" w:rsidR="00C46587" w:rsidRPr="0058432E" w:rsidRDefault="00C46587" w:rsidP="00982118">
      <w:pPr>
        <w:keepNext/>
        <w:rPr>
          <w:color w:val="000000" w:themeColor="text1"/>
        </w:rPr>
      </w:pPr>
      <w:r w:rsidRPr="0058432E">
        <w:rPr>
          <w:color w:val="000000" w:themeColor="text1"/>
        </w:rPr>
        <w:t xml:space="preserve">Tenir ce médicament hors de la vue et de la portée des enfants. </w:t>
      </w:r>
    </w:p>
    <w:p w14:paraId="08F8B785" w14:textId="77777777" w:rsidR="00C46587" w:rsidRPr="0058432E" w:rsidRDefault="00C46587" w:rsidP="00982118">
      <w:pPr>
        <w:rPr>
          <w:color w:val="000000" w:themeColor="text1"/>
        </w:rPr>
      </w:pPr>
    </w:p>
    <w:p w14:paraId="48A52F3A" w14:textId="77777777" w:rsidR="00C46587" w:rsidRPr="0058432E" w:rsidRDefault="00C46587" w:rsidP="00982118">
      <w:pPr>
        <w:rPr>
          <w:color w:val="000000" w:themeColor="text1"/>
        </w:rPr>
      </w:pPr>
      <w:r w:rsidRPr="0058432E">
        <w:rPr>
          <w:color w:val="000000" w:themeColor="text1"/>
        </w:rPr>
        <w:t xml:space="preserve">N’utilisez pas ce médicament après la date de péremption indiquée sur l’étiquette/la boîte après EXP. </w:t>
      </w:r>
    </w:p>
    <w:p w14:paraId="041197FC" w14:textId="77777777" w:rsidR="00C46587" w:rsidRPr="0058432E" w:rsidRDefault="00C46587" w:rsidP="00982118">
      <w:pPr>
        <w:rPr>
          <w:color w:val="000000" w:themeColor="text1"/>
        </w:rPr>
      </w:pPr>
    </w:p>
    <w:p w14:paraId="32005386" w14:textId="77777777" w:rsidR="00C46587" w:rsidRPr="0058432E" w:rsidRDefault="00C46587" w:rsidP="00982118">
      <w:pPr>
        <w:rPr>
          <w:color w:val="000000" w:themeColor="text1"/>
        </w:rPr>
      </w:pPr>
      <w:r w:rsidRPr="0058432E">
        <w:rPr>
          <w:color w:val="000000" w:themeColor="text1"/>
        </w:rPr>
        <w:t xml:space="preserve">À conserver au réfrigérateur (entre 2 °C et 8 °C). Ne pas congeler. </w:t>
      </w:r>
    </w:p>
    <w:p w14:paraId="5190FF44" w14:textId="77777777" w:rsidR="00C46587" w:rsidRPr="0058432E" w:rsidRDefault="00C46587" w:rsidP="00982118">
      <w:pPr>
        <w:rPr>
          <w:color w:val="000000" w:themeColor="text1"/>
        </w:rPr>
      </w:pPr>
    </w:p>
    <w:p w14:paraId="429DA766" w14:textId="77777777" w:rsidR="00C46587" w:rsidRPr="0058432E" w:rsidRDefault="00C46587" w:rsidP="00982118">
      <w:pPr>
        <w:rPr>
          <w:color w:val="000000" w:themeColor="text1"/>
        </w:rPr>
      </w:pPr>
      <w:r w:rsidRPr="0058432E">
        <w:rPr>
          <w:color w:val="000000" w:themeColor="text1"/>
        </w:rPr>
        <w:t xml:space="preserve">Conserver le stylo prérempli dans l’emballage extérieur à l’abri de la lumière. </w:t>
      </w:r>
    </w:p>
    <w:p w14:paraId="352BC9C6" w14:textId="77777777" w:rsidR="00C46587" w:rsidRPr="0058432E" w:rsidRDefault="00C46587" w:rsidP="00982118">
      <w:pPr>
        <w:rPr>
          <w:color w:val="000000" w:themeColor="text1"/>
        </w:rPr>
      </w:pPr>
    </w:p>
    <w:p w14:paraId="6BE882F9" w14:textId="77777777" w:rsidR="00C46587" w:rsidRPr="0058432E" w:rsidRDefault="00C46587" w:rsidP="00982118">
      <w:pPr>
        <w:rPr>
          <w:color w:val="000000" w:themeColor="text1"/>
          <w:u w:val="single"/>
        </w:rPr>
      </w:pPr>
      <w:r w:rsidRPr="0058432E">
        <w:rPr>
          <w:color w:val="000000" w:themeColor="text1"/>
          <w:u w:val="single"/>
        </w:rPr>
        <w:t>Autres conditions de conservation :</w:t>
      </w:r>
    </w:p>
    <w:p w14:paraId="51F586B0" w14:textId="77777777" w:rsidR="00C46587" w:rsidRPr="0058432E" w:rsidRDefault="00C46587" w:rsidP="00982118">
      <w:pPr>
        <w:rPr>
          <w:color w:val="000000" w:themeColor="text1"/>
        </w:rPr>
      </w:pPr>
    </w:p>
    <w:p w14:paraId="533CEE12" w14:textId="77777777" w:rsidR="00C46587" w:rsidRPr="0058432E" w:rsidRDefault="00C46587" w:rsidP="00982118">
      <w:pPr>
        <w:rPr>
          <w:color w:val="000000" w:themeColor="text1"/>
        </w:rPr>
      </w:pPr>
      <w:r w:rsidRPr="0058432E">
        <w:rPr>
          <w:color w:val="000000" w:themeColor="text1"/>
        </w:rPr>
        <w:t xml:space="preserve">Si nécessaire (par </w:t>
      </w:r>
      <w:r w:rsidR="001946D2" w:rsidRPr="0058432E">
        <w:rPr>
          <w:color w:val="000000" w:themeColor="text1"/>
        </w:rPr>
        <w:t>ex</w:t>
      </w:r>
      <w:r w:rsidR="00A67736" w:rsidRPr="0058432E">
        <w:rPr>
          <w:color w:val="000000" w:themeColor="text1"/>
        </w:rPr>
        <w:t>emple</w:t>
      </w:r>
      <w:r w:rsidRPr="0058432E">
        <w:rPr>
          <w:color w:val="000000" w:themeColor="text1"/>
        </w:rPr>
        <w:t xml:space="preserve">, si vous voyagez), un stylo prérempli d’Amsparity peut être conservé à température ambiante (jusqu’à 30 °C) pendant une durée maximale de 30 jours, en le protégeant de la lumière. Après avoir été retiré du réfrigérateur pour être conservé à température ambiante, le stylo </w:t>
      </w:r>
      <w:r w:rsidRPr="0058432E">
        <w:rPr>
          <w:b/>
          <w:color w:val="000000" w:themeColor="text1"/>
        </w:rPr>
        <w:t>doit être utilisé dans les 30 jours ou jeté</w:t>
      </w:r>
      <w:r w:rsidRPr="0058432E">
        <w:rPr>
          <w:color w:val="000000" w:themeColor="text1"/>
        </w:rPr>
        <w:t xml:space="preserve">, même s’il est remis au réfrigérateur. </w:t>
      </w:r>
    </w:p>
    <w:p w14:paraId="63860419" w14:textId="77777777" w:rsidR="00C46587" w:rsidRPr="0058432E" w:rsidRDefault="00C46587" w:rsidP="00982118">
      <w:pPr>
        <w:rPr>
          <w:color w:val="000000" w:themeColor="text1"/>
        </w:rPr>
      </w:pPr>
    </w:p>
    <w:p w14:paraId="275831F0" w14:textId="77777777" w:rsidR="00C46587" w:rsidRPr="0058432E" w:rsidRDefault="00C46587" w:rsidP="00982118">
      <w:pPr>
        <w:rPr>
          <w:color w:val="000000" w:themeColor="text1"/>
        </w:rPr>
      </w:pPr>
      <w:r w:rsidRPr="0058432E">
        <w:rPr>
          <w:color w:val="000000" w:themeColor="text1"/>
        </w:rPr>
        <w:t xml:space="preserve">Vous devez noter la date à laquelle le stylo a été retiré la première fois du réfrigérateur et la date à laquelle il doit être jeté. </w:t>
      </w:r>
    </w:p>
    <w:p w14:paraId="7D808B84" w14:textId="77777777" w:rsidR="00C46587" w:rsidRPr="0058432E" w:rsidRDefault="00C46587" w:rsidP="00982118">
      <w:pPr>
        <w:rPr>
          <w:color w:val="000000" w:themeColor="text1"/>
        </w:rPr>
      </w:pPr>
    </w:p>
    <w:p w14:paraId="47754428" w14:textId="77777777" w:rsidR="00C46587" w:rsidRPr="0058432E" w:rsidRDefault="00C46587" w:rsidP="00982118">
      <w:pPr>
        <w:rPr>
          <w:color w:val="000000" w:themeColor="text1"/>
        </w:rPr>
      </w:pPr>
      <w:r w:rsidRPr="0058432E">
        <w:rPr>
          <w:color w:val="000000" w:themeColor="text1"/>
        </w:rPr>
        <w:lastRenderedPageBreak/>
        <w:t xml:space="preserve">Ne jetez aucun médicament au tout-à-l’égout ou avec les ordures ménagères. Demandez à votre pharmacien d’éliminer les médicaments que vous n’utilisez plus. Ces mesures contribueront à protéger l’environnement. </w:t>
      </w:r>
    </w:p>
    <w:p w14:paraId="78C4A073" w14:textId="77777777" w:rsidR="00C46587" w:rsidRPr="0058432E" w:rsidRDefault="00C46587" w:rsidP="00982118">
      <w:pPr>
        <w:rPr>
          <w:color w:val="000000" w:themeColor="text1"/>
        </w:rPr>
      </w:pPr>
    </w:p>
    <w:p w14:paraId="2A4C4787" w14:textId="77777777" w:rsidR="00C46587" w:rsidRPr="0058432E" w:rsidRDefault="00C46587" w:rsidP="00982118">
      <w:pPr>
        <w:rPr>
          <w:color w:val="000000" w:themeColor="text1"/>
        </w:rPr>
      </w:pPr>
    </w:p>
    <w:p w14:paraId="4B60C150" w14:textId="77777777" w:rsidR="00C46587" w:rsidRPr="0058432E" w:rsidRDefault="00C46587" w:rsidP="00982118">
      <w:pPr>
        <w:tabs>
          <w:tab w:val="left" w:pos="562"/>
        </w:tabs>
        <w:rPr>
          <w:b/>
          <w:color w:val="000000" w:themeColor="text1"/>
        </w:rPr>
      </w:pPr>
      <w:r w:rsidRPr="0058432E">
        <w:rPr>
          <w:b/>
          <w:color w:val="000000" w:themeColor="text1"/>
        </w:rPr>
        <w:t>6.</w:t>
      </w:r>
      <w:r w:rsidRPr="0058432E">
        <w:rPr>
          <w:b/>
          <w:color w:val="000000" w:themeColor="text1"/>
        </w:rPr>
        <w:tab/>
        <w:t xml:space="preserve">Contenu de l’emballage et autres informations </w:t>
      </w:r>
    </w:p>
    <w:p w14:paraId="59E4E789" w14:textId="77777777" w:rsidR="00C46587" w:rsidRPr="0058432E" w:rsidRDefault="00C46587" w:rsidP="00982118">
      <w:pPr>
        <w:rPr>
          <w:color w:val="000000" w:themeColor="text1"/>
        </w:rPr>
      </w:pPr>
    </w:p>
    <w:p w14:paraId="3D936BEE" w14:textId="77777777" w:rsidR="00C46587" w:rsidRPr="0058432E" w:rsidRDefault="00C46587" w:rsidP="00982118">
      <w:pPr>
        <w:rPr>
          <w:b/>
          <w:color w:val="000000" w:themeColor="text1"/>
        </w:rPr>
      </w:pPr>
      <w:r w:rsidRPr="0058432E">
        <w:rPr>
          <w:b/>
          <w:color w:val="000000" w:themeColor="text1"/>
        </w:rPr>
        <w:t>Ce que contient Amsparity</w:t>
      </w:r>
    </w:p>
    <w:p w14:paraId="5BA05849" w14:textId="77777777" w:rsidR="00C46587" w:rsidRPr="0058432E" w:rsidRDefault="00C46587" w:rsidP="00982118">
      <w:pPr>
        <w:rPr>
          <w:color w:val="000000" w:themeColor="text1"/>
        </w:rPr>
      </w:pPr>
    </w:p>
    <w:p w14:paraId="3167C5A8" w14:textId="77777777" w:rsidR="00C46587" w:rsidRPr="0058432E" w:rsidRDefault="00C46587" w:rsidP="00982118">
      <w:pPr>
        <w:rPr>
          <w:color w:val="000000" w:themeColor="text1"/>
        </w:rPr>
      </w:pPr>
      <w:r w:rsidRPr="0058432E">
        <w:rPr>
          <w:color w:val="000000" w:themeColor="text1"/>
        </w:rPr>
        <w:t xml:space="preserve">La substance active est l’adalimumab. </w:t>
      </w:r>
    </w:p>
    <w:p w14:paraId="75168F67" w14:textId="77777777" w:rsidR="00C46587" w:rsidRPr="0058432E" w:rsidRDefault="00C46587" w:rsidP="00982118">
      <w:pPr>
        <w:rPr>
          <w:color w:val="000000" w:themeColor="text1"/>
        </w:rPr>
      </w:pPr>
    </w:p>
    <w:p w14:paraId="7D88464B" w14:textId="36879655" w:rsidR="00C46587" w:rsidRPr="0058432E" w:rsidRDefault="00C46587" w:rsidP="00982118">
      <w:pPr>
        <w:rPr>
          <w:color w:val="000000" w:themeColor="text1"/>
        </w:rPr>
      </w:pPr>
      <w:r w:rsidRPr="0058432E">
        <w:rPr>
          <w:color w:val="000000" w:themeColor="text1"/>
        </w:rPr>
        <w:t>Les autres composants sont : L-histidine, chlorhydrate de L-histidine monohydraté, saccharose, édétate disodique dihydraté, L-méthionine, polysorbate 80 et eau pour préparations injectables</w:t>
      </w:r>
      <w:r w:rsidR="00253214" w:rsidRPr="0058432E">
        <w:rPr>
          <w:color w:val="000000" w:themeColor="text1"/>
        </w:rPr>
        <w:t xml:space="preserve"> (voir rubrique 2 « Amsparity contient du polysorbate 80 » et « Amsparity contient du sodium »)</w:t>
      </w:r>
      <w:r w:rsidRPr="0058432E">
        <w:rPr>
          <w:color w:val="000000" w:themeColor="text1"/>
        </w:rPr>
        <w:t>.</w:t>
      </w:r>
    </w:p>
    <w:p w14:paraId="6FFDB064" w14:textId="77777777" w:rsidR="00C46587" w:rsidRPr="0058432E" w:rsidRDefault="00C46587" w:rsidP="00982118">
      <w:pPr>
        <w:rPr>
          <w:color w:val="000000" w:themeColor="text1"/>
        </w:rPr>
      </w:pPr>
    </w:p>
    <w:p w14:paraId="7264E3FC" w14:textId="77777777" w:rsidR="00C46587" w:rsidRPr="0058432E" w:rsidRDefault="00C46587" w:rsidP="00982118">
      <w:pPr>
        <w:rPr>
          <w:b/>
          <w:color w:val="000000" w:themeColor="text1"/>
        </w:rPr>
      </w:pPr>
      <w:r w:rsidRPr="0058432E">
        <w:rPr>
          <w:b/>
          <w:color w:val="000000" w:themeColor="text1"/>
        </w:rPr>
        <w:t xml:space="preserve">Comment se présente Amsparity en stylo prérempli et contenu de l’emballage extérieur </w:t>
      </w:r>
    </w:p>
    <w:p w14:paraId="238B3DE6" w14:textId="77777777" w:rsidR="00C46587" w:rsidRPr="0058432E" w:rsidRDefault="00C46587" w:rsidP="00982118">
      <w:pPr>
        <w:rPr>
          <w:color w:val="000000" w:themeColor="text1"/>
        </w:rPr>
      </w:pPr>
    </w:p>
    <w:p w14:paraId="2FD26411" w14:textId="77777777" w:rsidR="00C46587" w:rsidRPr="0058432E" w:rsidRDefault="006A1144" w:rsidP="00982118">
      <w:pPr>
        <w:rPr>
          <w:color w:val="000000" w:themeColor="text1"/>
        </w:rPr>
      </w:pPr>
      <w:r w:rsidRPr="0058432E">
        <w:rPr>
          <w:color w:val="000000" w:themeColor="text1"/>
        </w:rPr>
        <w:t xml:space="preserve">Amsparity 40 mg, solution injectable en stylo prérempli est présenté sous forme de solution stérile de 40 mg d’adalimumab dissous dans 0,8 ml de solution. </w:t>
      </w:r>
    </w:p>
    <w:p w14:paraId="3555ACE7" w14:textId="77777777" w:rsidR="00C46587" w:rsidRPr="0058432E" w:rsidRDefault="00C46587" w:rsidP="00982118">
      <w:pPr>
        <w:rPr>
          <w:color w:val="000000" w:themeColor="text1"/>
        </w:rPr>
      </w:pPr>
    </w:p>
    <w:p w14:paraId="32D6F3C2" w14:textId="77777777" w:rsidR="00C46587" w:rsidRPr="0058432E" w:rsidRDefault="000E3450" w:rsidP="00982118">
      <w:pPr>
        <w:rPr>
          <w:color w:val="000000" w:themeColor="text1"/>
        </w:rPr>
      </w:pPr>
      <w:r w:rsidRPr="0058432E">
        <w:rPr>
          <w:color w:val="000000" w:themeColor="text1"/>
        </w:rPr>
        <w:t xml:space="preserve">Le stylo prérempli d’Amsparity contient une solution d’adalimumab limpide, incolore à brun très clair. </w:t>
      </w:r>
    </w:p>
    <w:p w14:paraId="7B522B25" w14:textId="77777777" w:rsidR="00C46587" w:rsidRPr="0058432E" w:rsidRDefault="00C46587" w:rsidP="00982118">
      <w:pPr>
        <w:rPr>
          <w:color w:val="000000" w:themeColor="text1"/>
        </w:rPr>
      </w:pPr>
    </w:p>
    <w:p w14:paraId="1A4E2A32" w14:textId="77777777" w:rsidR="00BC4E87" w:rsidRPr="0058432E" w:rsidRDefault="000E3450" w:rsidP="00982118">
      <w:pPr>
        <w:rPr>
          <w:color w:val="000000" w:themeColor="text1"/>
        </w:rPr>
      </w:pPr>
      <w:r w:rsidRPr="0058432E">
        <w:rPr>
          <w:color w:val="000000" w:themeColor="text1"/>
        </w:rPr>
        <w:t>Chaque boîte contient 1, 2, 4 ou 6 stylos préremplis pour l’utilisation par le patient avec respectivement 2 (1 de rechange), 2, 4 ou 6 tampons d’alcool.</w:t>
      </w:r>
    </w:p>
    <w:p w14:paraId="43B58E77" w14:textId="77777777" w:rsidR="00BC4E87" w:rsidRPr="0058432E" w:rsidRDefault="00BC4E87" w:rsidP="00982118">
      <w:pPr>
        <w:rPr>
          <w:color w:val="000000" w:themeColor="text1"/>
        </w:rPr>
      </w:pPr>
    </w:p>
    <w:p w14:paraId="27273DF4" w14:textId="77777777" w:rsidR="00C46587" w:rsidRPr="0058432E" w:rsidRDefault="00C46587" w:rsidP="00982118">
      <w:pPr>
        <w:rPr>
          <w:color w:val="000000" w:themeColor="text1"/>
        </w:rPr>
      </w:pPr>
      <w:r w:rsidRPr="0058432E">
        <w:rPr>
          <w:color w:val="000000" w:themeColor="text1"/>
        </w:rPr>
        <w:t xml:space="preserve">Toutes les présentations peuvent ne pas être commercialisées. </w:t>
      </w:r>
    </w:p>
    <w:p w14:paraId="27808180" w14:textId="77777777" w:rsidR="00C46587" w:rsidRPr="0058432E" w:rsidRDefault="00C46587" w:rsidP="00982118">
      <w:pPr>
        <w:rPr>
          <w:color w:val="000000" w:themeColor="text1"/>
        </w:rPr>
      </w:pPr>
    </w:p>
    <w:p w14:paraId="07F4C666" w14:textId="77777777" w:rsidR="00C46587" w:rsidRPr="0058432E" w:rsidRDefault="006A1144" w:rsidP="00982118">
      <w:pPr>
        <w:rPr>
          <w:color w:val="000000" w:themeColor="text1"/>
        </w:rPr>
      </w:pPr>
      <w:r w:rsidRPr="0058432E">
        <w:rPr>
          <w:color w:val="000000" w:themeColor="text1"/>
        </w:rPr>
        <w:t xml:space="preserve">Amsparity est disponible en flacon, en seringue préremplie et/ou en stylo prérempli. </w:t>
      </w:r>
    </w:p>
    <w:p w14:paraId="546BE1B0" w14:textId="77777777" w:rsidR="00C46587" w:rsidRPr="0058432E" w:rsidRDefault="00C46587" w:rsidP="00982118">
      <w:pPr>
        <w:rPr>
          <w:color w:val="000000" w:themeColor="text1"/>
        </w:rPr>
      </w:pPr>
    </w:p>
    <w:p w14:paraId="49BE0457" w14:textId="77777777" w:rsidR="00C46587" w:rsidRPr="0058432E" w:rsidRDefault="00C46587" w:rsidP="00982118">
      <w:pPr>
        <w:rPr>
          <w:b/>
          <w:color w:val="000000" w:themeColor="text1"/>
        </w:rPr>
      </w:pPr>
      <w:r w:rsidRPr="0058432E">
        <w:rPr>
          <w:b/>
          <w:color w:val="000000" w:themeColor="text1"/>
        </w:rPr>
        <w:t xml:space="preserve">Titulaire de l’Autorisation de mise sur le marché </w:t>
      </w:r>
    </w:p>
    <w:p w14:paraId="19B94A8F" w14:textId="77777777" w:rsidR="00C46587" w:rsidRPr="0058432E" w:rsidRDefault="00C46587" w:rsidP="00982118">
      <w:pPr>
        <w:rPr>
          <w:color w:val="000000" w:themeColor="text1"/>
        </w:rPr>
      </w:pPr>
    </w:p>
    <w:p w14:paraId="746E1854" w14:textId="77777777" w:rsidR="006C3AE3" w:rsidRPr="0058432E" w:rsidRDefault="006C3AE3" w:rsidP="00982118">
      <w:pPr>
        <w:rPr>
          <w:color w:val="000000" w:themeColor="text1"/>
        </w:rPr>
      </w:pPr>
      <w:r w:rsidRPr="0058432E">
        <w:rPr>
          <w:color w:val="000000" w:themeColor="text1"/>
        </w:rPr>
        <w:t>Pfizer Europe MA EEIG</w:t>
      </w:r>
    </w:p>
    <w:p w14:paraId="3EA83A30"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Boulevard de la Plaine 17</w:t>
      </w:r>
    </w:p>
    <w:p w14:paraId="56CD1E06"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1050 Bruxelles</w:t>
      </w:r>
    </w:p>
    <w:p w14:paraId="1605BD2D" w14:textId="77777777" w:rsidR="00AA2493" w:rsidRPr="0058432E" w:rsidRDefault="00AA2493" w:rsidP="00982118">
      <w:pPr>
        <w:pStyle w:val="BodyText"/>
        <w:widowControl/>
        <w:kinsoku w:val="0"/>
        <w:overflowPunct w:val="0"/>
        <w:ind w:left="0"/>
        <w:rPr>
          <w:color w:val="000000" w:themeColor="text1"/>
        </w:rPr>
      </w:pPr>
      <w:r w:rsidRPr="0058432E">
        <w:rPr>
          <w:color w:val="000000" w:themeColor="text1"/>
        </w:rPr>
        <w:t>Belgique</w:t>
      </w:r>
    </w:p>
    <w:p w14:paraId="75371786" w14:textId="77777777" w:rsidR="00C46587" w:rsidRPr="0058432E" w:rsidRDefault="00C46587" w:rsidP="00982118">
      <w:pPr>
        <w:rPr>
          <w:color w:val="000000" w:themeColor="text1"/>
        </w:rPr>
      </w:pPr>
    </w:p>
    <w:p w14:paraId="5D8E6803" w14:textId="77777777" w:rsidR="00C46587" w:rsidRPr="0058432E" w:rsidRDefault="00C46587" w:rsidP="00982118">
      <w:pPr>
        <w:rPr>
          <w:b/>
          <w:color w:val="000000" w:themeColor="text1"/>
        </w:rPr>
      </w:pPr>
      <w:r w:rsidRPr="0058432E">
        <w:rPr>
          <w:b/>
          <w:color w:val="000000" w:themeColor="text1"/>
        </w:rPr>
        <w:t xml:space="preserve">Fabricant </w:t>
      </w:r>
    </w:p>
    <w:p w14:paraId="3B393081" w14:textId="77777777" w:rsidR="00C46587" w:rsidRPr="0058432E" w:rsidRDefault="00C46587" w:rsidP="00982118">
      <w:pPr>
        <w:rPr>
          <w:color w:val="000000" w:themeColor="text1"/>
        </w:rPr>
      </w:pPr>
    </w:p>
    <w:p w14:paraId="1C06908B" w14:textId="55501CA3"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Pfizer Service Company BV</w:t>
      </w:r>
    </w:p>
    <w:p w14:paraId="26D1368B" w14:textId="77777777" w:rsidR="00CC7E1B" w:rsidRPr="00B03C37" w:rsidRDefault="00CC7E1B" w:rsidP="00CC7E1B">
      <w:pPr>
        <w:rPr>
          <w:ins w:id="62" w:author="Author" w:date="2025-06-12T13:45:00Z" w16du:dateUtc="2025-06-12T12:45:00Z"/>
        </w:rPr>
      </w:pPr>
      <w:ins w:id="63" w:author="Author" w:date="2025-06-12T13:45:00Z" w16du:dateUtc="2025-06-12T12:45:00Z">
        <w:r w:rsidRPr="00B03C37">
          <w:t>Hermeslaan 11</w:t>
        </w:r>
      </w:ins>
    </w:p>
    <w:p w14:paraId="42E3E981" w14:textId="68AB4EC3" w:rsidR="00AB5164" w:rsidRPr="0058432E" w:rsidDel="00CC7E1B" w:rsidRDefault="00CC7E1B" w:rsidP="00982118">
      <w:pPr>
        <w:pStyle w:val="BodyText"/>
        <w:keepNext/>
        <w:widowControl/>
        <w:kinsoku w:val="0"/>
        <w:overflowPunct w:val="0"/>
        <w:ind w:left="0"/>
        <w:rPr>
          <w:del w:id="64" w:author="Author" w:date="2025-06-12T13:45:00Z" w16du:dateUtc="2025-06-12T12:45:00Z"/>
          <w:color w:val="000000" w:themeColor="text1"/>
        </w:rPr>
      </w:pPr>
      <w:ins w:id="65" w:author="Author" w:date="2025-06-12T13:45:00Z" w16du:dateUtc="2025-06-12T12:45:00Z">
        <w:r>
          <w:rPr>
            <w:color w:val="000000" w:themeColor="text1"/>
          </w:rPr>
          <w:t xml:space="preserve">1932 </w:t>
        </w:r>
      </w:ins>
      <w:del w:id="66" w:author="Author" w:date="2025-06-12T13:45:00Z" w16du:dateUtc="2025-06-12T12:45:00Z">
        <w:r w:rsidR="00AB5164" w:rsidRPr="0058432E" w:rsidDel="00CC7E1B">
          <w:rPr>
            <w:color w:val="000000" w:themeColor="text1"/>
          </w:rPr>
          <w:delText>Hoge Wei 10</w:delText>
        </w:r>
      </w:del>
    </w:p>
    <w:p w14:paraId="3C81DEDE"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Zaventem</w:t>
      </w:r>
      <w:del w:id="67" w:author="Author" w:date="2025-06-12T13:45:00Z" w16du:dateUtc="2025-06-12T12:45:00Z">
        <w:r w:rsidRPr="0058432E" w:rsidDel="00CC7E1B">
          <w:rPr>
            <w:color w:val="000000" w:themeColor="text1"/>
          </w:rPr>
          <w:delText xml:space="preserve"> 1930</w:delText>
        </w:r>
      </w:del>
    </w:p>
    <w:p w14:paraId="5D4FBECB" w14:textId="77777777" w:rsidR="00AB5164" w:rsidRPr="0058432E" w:rsidRDefault="00AB5164" w:rsidP="00982118">
      <w:pPr>
        <w:pStyle w:val="BodyText"/>
        <w:keepNext/>
        <w:widowControl/>
        <w:kinsoku w:val="0"/>
        <w:overflowPunct w:val="0"/>
        <w:ind w:left="0"/>
        <w:rPr>
          <w:color w:val="000000" w:themeColor="text1"/>
        </w:rPr>
      </w:pPr>
      <w:r w:rsidRPr="0058432E">
        <w:rPr>
          <w:color w:val="000000" w:themeColor="text1"/>
        </w:rPr>
        <w:t>Belgique</w:t>
      </w:r>
    </w:p>
    <w:p w14:paraId="57574AE9" w14:textId="77777777" w:rsidR="00C46587" w:rsidRPr="0058432E" w:rsidRDefault="00C46587" w:rsidP="00982118">
      <w:pPr>
        <w:rPr>
          <w:color w:val="000000" w:themeColor="text1"/>
        </w:rPr>
      </w:pPr>
    </w:p>
    <w:p w14:paraId="4AE1AC54" w14:textId="77777777" w:rsidR="00C46587" w:rsidRPr="0058432E" w:rsidRDefault="00C46587" w:rsidP="00982118">
      <w:pPr>
        <w:rPr>
          <w:color w:val="000000" w:themeColor="text1"/>
        </w:rPr>
      </w:pPr>
      <w:r w:rsidRPr="0058432E">
        <w:rPr>
          <w:color w:val="000000" w:themeColor="text1"/>
        </w:rPr>
        <w:t xml:space="preserve">Pour toute information complémentaire concernant ce médicament, veuillez prendre contact avec le représentant local du titulaire de l’autorisation de mise sur le marché : </w:t>
      </w:r>
    </w:p>
    <w:p w14:paraId="4E9CEAA1" w14:textId="77777777" w:rsidR="00C46587" w:rsidRPr="0058432E" w:rsidRDefault="00C46587" w:rsidP="00982118">
      <w:pPr>
        <w:rPr>
          <w:color w:val="000000" w:themeColor="text1"/>
        </w:rPr>
      </w:pPr>
    </w:p>
    <w:tbl>
      <w:tblPr>
        <w:tblW w:w="5000" w:type="pct"/>
        <w:tblCellMar>
          <w:left w:w="0" w:type="dxa"/>
          <w:right w:w="0" w:type="dxa"/>
        </w:tblCellMar>
        <w:tblLook w:val="04A0" w:firstRow="1" w:lastRow="0" w:firstColumn="1" w:lastColumn="0" w:noHBand="0" w:noVBand="1"/>
      </w:tblPr>
      <w:tblGrid>
        <w:gridCol w:w="4110"/>
        <w:gridCol w:w="4689"/>
        <w:gridCol w:w="276"/>
      </w:tblGrid>
      <w:tr w:rsidR="00565E19" w:rsidRPr="0058432E" w14:paraId="02E4F7DF" w14:textId="77777777" w:rsidTr="00053717">
        <w:trPr>
          <w:gridAfter w:val="1"/>
          <w:wAfter w:w="285" w:type="dxa"/>
        </w:trPr>
        <w:tc>
          <w:tcPr>
            <w:tcW w:w="4158" w:type="dxa"/>
            <w:tcMar>
              <w:top w:w="0" w:type="dxa"/>
              <w:left w:w="108" w:type="dxa"/>
              <w:bottom w:w="0" w:type="dxa"/>
              <w:right w:w="108" w:type="dxa"/>
            </w:tcMar>
            <w:hideMark/>
          </w:tcPr>
          <w:p w14:paraId="74E213B4" w14:textId="77777777" w:rsidR="00565E19" w:rsidRPr="0058432E" w:rsidRDefault="00565E19" w:rsidP="00982118">
            <w:pPr>
              <w:rPr>
                <w:b/>
                <w:bCs/>
                <w:color w:val="000000" w:themeColor="text1"/>
              </w:rPr>
            </w:pPr>
            <w:r w:rsidRPr="0058432E">
              <w:rPr>
                <w:b/>
                <w:bCs/>
                <w:color w:val="000000" w:themeColor="text1"/>
              </w:rPr>
              <w:t>België/Belgique/Belgien</w:t>
            </w:r>
          </w:p>
          <w:p w14:paraId="201ACBD7" w14:textId="77777777" w:rsidR="00565E19" w:rsidRPr="0058432E" w:rsidRDefault="00565E19" w:rsidP="00982118">
            <w:pPr>
              <w:rPr>
                <w:b/>
                <w:bCs/>
                <w:color w:val="000000" w:themeColor="text1"/>
              </w:rPr>
            </w:pPr>
            <w:r w:rsidRPr="0058432E">
              <w:rPr>
                <w:b/>
                <w:bCs/>
                <w:color w:val="000000" w:themeColor="text1"/>
              </w:rPr>
              <w:t>Luxembourg/Luxemburg</w:t>
            </w:r>
          </w:p>
          <w:p w14:paraId="3F0ABCDD" w14:textId="77777777" w:rsidR="00565E19" w:rsidRPr="0058432E" w:rsidRDefault="00565E19" w:rsidP="00982118">
            <w:pPr>
              <w:rPr>
                <w:color w:val="000000" w:themeColor="text1"/>
              </w:rPr>
            </w:pPr>
            <w:r w:rsidRPr="0058432E">
              <w:rPr>
                <w:color w:val="000000" w:themeColor="text1"/>
              </w:rPr>
              <w:t>Pfizer NV/SA</w:t>
            </w:r>
          </w:p>
          <w:p w14:paraId="19FC483F" w14:textId="77777777" w:rsidR="00565E19" w:rsidRPr="0058432E" w:rsidRDefault="00565E19" w:rsidP="00982118">
            <w:pPr>
              <w:autoSpaceDE w:val="0"/>
              <w:autoSpaceDN w:val="0"/>
              <w:rPr>
                <w:color w:val="000000" w:themeColor="text1"/>
              </w:rPr>
            </w:pPr>
            <w:r w:rsidRPr="0058432E">
              <w:rPr>
                <w:color w:val="000000" w:themeColor="text1"/>
              </w:rPr>
              <w:t>Tél/</w:t>
            </w:r>
            <w:proofErr w:type="gramStart"/>
            <w:r w:rsidRPr="0058432E">
              <w:rPr>
                <w:color w:val="000000" w:themeColor="text1"/>
              </w:rPr>
              <w:t>Tel:</w:t>
            </w:r>
            <w:proofErr w:type="gramEnd"/>
            <w:r w:rsidRPr="0058432E">
              <w:rPr>
                <w:color w:val="000000" w:themeColor="text1"/>
              </w:rPr>
              <w:t xml:space="preserve"> +32 (0)2 554 62 11</w:t>
            </w:r>
          </w:p>
          <w:p w14:paraId="7E6C6A2E"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203269FD" w14:textId="77777777" w:rsidR="00565E19" w:rsidRPr="0058432E" w:rsidRDefault="00565E19" w:rsidP="00982118">
            <w:pPr>
              <w:rPr>
                <w:b/>
                <w:bCs/>
                <w:color w:val="000000" w:themeColor="text1"/>
              </w:rPr>
            </w:pPr>
            <w:r w:rsidRPr="0058432E">
              <w:rPr>
                <w:b/>
                <w:bCs/>
                <w:color w:val="000000" w:themeColor="text1"/>
              </w:rPr>
              <w:t>Kύπρος</w:t>
            </w:r>
          </w:p>
          <w:p w14:paraId="4918CB61" w14:textId="77777777" w:rsidR="00565E19" w:rsidRPr="0058432E" w:rsidRDefault="00565E19" w:rsidP="00982118">
            <w:pPr>
              <w:rPr>
                <w:color w:val="000000" w:themeColor="text1"/>
              </w:rPr>
            </w:pPr>
            <w:r w:rsidRPr="0058432E">
              <w:rPr>
                <w:color w:val="000000" w:themeColor="text1"/>
              </w:rPr>
              <w:t>PFIZER EΛΛAΣ A.E. (CYPRUS BRANCH)</w:t>
            </w:r>
          </w:p>
          <w:p w14:paraId="573F121E" w14:textId="77777777" w:rsidR="00565E19" w:rsidRPr="0058432E" w:rsidRDefault="00FE36C9" w:rsidP="00982118">
            <w:pPr>
              <w:rPr>
                <w:color w:val="000000" w:themeColor="text1"/>
              </w:rPr>
            </w:pPr>
            <w:proofErr w:type="gramStart"/>
            <w:r w:rsidRPr="0058432E">
              <w:rPr>
                <w:color w:val="000000" w:themeColor="text1"/>
              </w:rPr>
              <w:t>Τηλ:</w:t>
            </w:r>
            <w:proofErr w:type="gramEnd"/>
            <w:r w:rsidRPr="0058432E">
              <w:rPr>
                <w:color w:val="000000" w:themeColor="text1"/>
              </w:rPr>
              <w:t xml:space="preserve"> +357 22 817690</w:t>
            </w:r>
          </w:p>
          <w:p w14:paraId="29A6E67C" w14:textId="77777777" w:rsidR="00565E19" w:rsidRPr="0058432E" w:rsidRDefault="00565E19" w:rsidP="00982118">
            <w:pPr>
              <w:autoSpaceDE w:val="0"/>
              <w:autoSpaceDN w:val="0"/>
              <w:rPr>
                <w:color w:val="000000" w:themeColor="text1"/>
              </w:rPr>
            </w:pPr>
          </w:p>
        </w:tc>
      </w:tr>
      <w:tr w:rsidR="00EB3DF8" w:rsidRPr="0058432E" w14:paraId="1140B4C9" w14:textId="77777777" w:rsidTr="00053717">
        <w:tc>
          <w:tcPr>
            <w:tcW w:w="4158" w:type="dxa"/>
            <w:tcMar>
              <w:top w:w="0" w:type="dxa"/>
              <w:left w:w="108" w:type="dxa"/>
              <w:bottom w:w="0" w:type="dxa"/>
              <w:right w:w="108" w:type="dxa"/>
            </w:tcMar>
          </w:tcPr>
          <w:p w14:paraId="4B85F54D" w14:textId="77777777" w:rsidR="00EB3DF8" w:rsidRPr="0058432E" w:rsidRDefault="00EB3DF8" w:rsidP="00982118">
            <w:pPr>
              <w:rPr>
                <w:b/>
                <w:bCs/>
                <w:color w:val="000000" w:themeColor="text1"/>
              </w:rPr>
            </w:pPr>
          </w:p>
        </w:tc>
        <w:tc>
          <w:tcPr>
            <w:tcW w:w="4788" w:type="dxa"/>
            <w:gridSpan w:val="2"/>
            <w:tcMar>
              <w:top w:w="0" w:type="dxa"/>
              <w:left w:w="108" w:type="dxa"/>
              <w:bottom w:w="0" w:type="dxa"/>
              <w:right w:w="108" w:type="dxa"/>
            </w:tcMar>
          </w:tcPr>
          <w:p w14:paraId="6D20754B" w14:textId="77777777" w:rsidR="00EB3DF8" w:rsidRPr="0058432E" w:rsidRDefault="00EB3DF8" w:rsidP="00982118">
            <w:pPr>
              <w:rPr>
                <w:b/>
                <w:bCs/>
                <w:color w:val="000000" w:themeColor="text1"/>
              </w:rPr>
            </w:pPr>
          </w:p>
        </w:tc>
      </w:tr>
      <w:tr w:rsidR="00565E19" w:rsidRPr="0058432E" w14:paraId="51ADAA03" w14:textId="77777777" w:rsidTr="00053717">
        <w:trPr>
          <w:gridAfter w:val="1"/>
          <w:wAfter w:w="285" w:type="dxa"/>
        </w:trPr>
        <w:tc>
          <w:tcPr>
            <w:tcW w:w="4158" w:type="dxa"/>
            <w:tcMar>
              <w:top w:w="0" w:type="dxa"/>
              <w:left w:w="108" w:type="dxa"/>
              <w:bottom w:w="0" w:type="dxa"/>
              <w:right w:w="108" w:type="dxa"/>
            </w:tcMar>
          </w:tcPr>
          <w:p w14:paraId="2505CACE" w14:textId="77777777" w:rsidR="00565E19" w:rsidRPr="001E2FDF" w:rsidRDefault="00565E19" w:rsidP="00982118">
            <w:pPr>
              <w:rPr>
                <w:b/>
                <w:bCs/>
                <w:color w:val="000000" w:themeColor="text1"/>
                <w:lang w:val="en-GB"/>
              </w:rPr>
            </w:pPr>
            <w:proofErr w:type="spellStart"/>
            <w:r w:rsidRPr="001E2FDF">
              <w:rPr>
                <w:b/>
                <w:bCs/>
                <w:color w:val="000000" w:themeColor="text1"/>
                <w:lang w:val="en-GB"/>
              </w:rPr>
              <w:t>Česká</w:t>
            </w:r>
            <w:proofErr w:type="spellEnd"/>
            <w:r w:rsidRPr="001E2FDF">
              <w:rPr>
                <w:b/>
                <w:bCs/>
                <w:color w:val="000000" w:themeColor="text1"/>
                <w:lang w:val="en-GB"/>
              </w:rPr>
              <w:t xml:space="preserve"> </w:t>
            </w:r>
            <w:proofErr w:type="spellStart"/>
            <w:r w:rsidRPr="001E2FDF">
              <w:rPr>
                <w:b/>
                <w:bCs/>
                <w:color w:val="000000" w:themeColor="text1"/>
                <w:lang w:val="en-GB"/>
              </w:rPr>
              <w:t>Republika</w:t>
            </w:r>
            <w:proofErr w:type="spellEnd"/>
          </w:p>
          <w:p w14:paraId="6A41FB6E" w14:textId="77777777" w:rsidR="00565E19" w:rsidRPr="008444F9" w:rsidRDefault="00565E19" w:rsidP="00982118">
            <w:pPr>
              <w:rPr>
                <w:color w:val="000000" w:themeColor="text1"/>
                <w:lang w:val="en-US"/>
              </w:rPr>
            </w:pPr>
            <w:r w:rsidRPr="008444F9">
              <w:rPr>
                <w:color w:val="000000" w:themeColor="text1"/>
                <w:lang w:val="en-US"/>
              </w:rPr>
              <w:t xml:space="preserve">Pfizer, </w:t>
            </w:r>
            <w:proofErr w:type="spellStart"/>
            <w:r w:rsidRPr="008444F9">
              <w:rPr>
                <w:color w:val="000000" w:themeColor="text1"/>
                <w:lang w:val="en-US"/>
              </w:rPr>
              <w:t>spol</w:t>
            </w:r>
            <w:proofErr w:type="spellEnd"/>
            <w:r w:rsidRPr="008444F9">
              <w:rPr>
                <w:color w:val="000000" w:themeColor="text1"/>
                <w:lang w:val="en-US"/>
              </w:rPr>
              <w:t>. s r.o.</w:t>
            </w:r>
          </w:p>
          <w:p w14:paraId="00579D75"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+420-283-004-111</w:t>
            </w:r>
          </w:p>
          <w:p w14:paraId="3C403399"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060840DD" w14:textId="77777777" w:rsidR="00565E19" w:rsidRPr="0058432E" w:rsidRDefault="00565E19" w:rsidP="00982118">
            <w:pPr>
              <w:rPr>
                <w:b/>
                <w:bCs/>
                <w:color w:val="000000" w:themeColor="text1"/>
              </w:rPr>
            </w:pPr>
            <w:r w:rsidRPr="0058432E">
              <w:rPr>
                <w:b/>
                <w:bCs/>
                <w:color w:val="000000" w:themeColor="text1"/>
              </w:rPr>
              <w:t>Magyarország</w:t>
            </w:r>
          </w:p>
          <w:p w14:paraId="05AD1CB4" w14:textId="77777777" w:rsidR="00565E19" w:rsidRPr="0058432E" w:rsidRDefault="00565E19" w:rsidP="00982118">
            <w:pPr>
              <w:rPr>
                <w:color w:val="000000" w:themeColor="text1"/>
              </w:rPr>
            </w:pPr>
            <w:r w:rsidRPr="0058432E">
              <w:rPr>
                <w:color w:val="000000" w:themeColor="text1"/>
              </w:rPr>
              <w:t>Pfizer Kft.</w:t>
            </w:r>
          </w:p>
          <w:p w14:paraId="5D32E4A1"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+36 1 488 3700</w:t>
            </w:r>
          </w:p>
          <w:p w14:paraId="0479DA05" w14:textId="77777777" w:rsidR="00565E19" w:rsidRPr="0058432E" w:rsidRDefault="00565E19" w:rsidP="00982118">
            <w:pPr>
              <w:autoSpaceDE w:val="0"/>
              <w:autoSpaceDN w:val="0"/>
              <w:rPr>
                <w:color w:val="000000" w:themeColor="text1"/>
              </w:rPr>
            </w:pPr>
          </w:p>
        </w:tc>
      </w:tr>
      <w:tr w:rsidR="00565E19" w:rsidRPr="00B03C37" w14:paraId="429CE43F" w14:textId="77777777" w:rsidTr="00053717">
        <w:trPr>
          <w:gridAfter w:val="1"/>
          <w:wAfter w:w="285" w:type="dxa"/>
        </w:trPr>
        <w:tc>
          <w:tcPr>
            <w:tcW w:w="4158" w:type="dxa"/>
            <w:tcMar>
              <w:top w:w="0" w:type="dxa"/>
              <w:left w:w="108" w:type="dxa"/>
              <w:bottom w:w="0" w:type="dxa"/>
              <w:right w:w="108" w:type="dxa"/>
            </w:tcMar>
          </w:tcPr>
          <w:p w14:paraId="0E6017C6" w14:textId="77777777" w:rsidR="00565E19" w:rsidRPr="0058432E" w:rsidRDefault="00565E19" w:rsidP="00982118">
            <w:pPr>
              <w:rPr>
                <w:b/>
                <w:bCs/>
                <w:color w:val="000000" w:themeColor="text1"/>
              </w:rPr>
            </w:pPr>
            <w:r w:rsidRPr="0058432E">
              <w:rPr>
                <w:b/>
                <w:bCs/>
                <w:color w:val="000000" w:themeColor="text1"/>
              </w:rPr>
              <w:t>Danmark</w:t>
            </w:r>
          </w:p>
          <w:p w14:paraId="177CC2E0" w14:textId="77777777" w:rsidR="00565E19" w:rsidRPr="0058432E" w:rsidRDefault="00565E19" w:rsidP="00982118">
            <w:pPr>
              <w:rPr>
                <w:color w:val="000000" w:themeColor="text1"/>
              </w:rPr>
            </w:pPr>
            <w:r w:rsidRPr="0058432E">
              <w:rPr>
                <w:color w:val="000000" w:themeColor="text1"/>
              </w:rPr>
              <w:lastRenderedPageBreak/>
              <w:t>Pfizer ApS</w:t>
            </w:r>
          </w:p>
          <w:p w14:paraId="284CCAD7" w14:textId="50D28F97" w:rsidR="00565E19" w:rsidRPr="0058432E" w:rsidRDefault="00565E19" w:rsidP="00982118">
            <w:pPr>
              <w:rPr>
                <w:color w:val="000000" w:themeColor="text1"/>
              </w:rPr>
            </w:pPr>
            <w:r w:rsidRPr="0058432E">
              <w:rPr>
                <w:color w:val="000000" w:themeColor="text1"/>
              </w:rPr>
              <w:t>Tlf</w:t>
            </w:r>
            <w:proofErr w:type="gramStart"/>
            <w:r w:rsidR="00EB3DF8" w:rsidRPr="0058432E">
              <w:rPr>
                <w:color w:val="000000" w:themeColor="text1"/>
              </w:rPr>
              <w:t>.</w:t>
            </w:r>
            <w:r w:rsidRPr="0058432E">
              <w:rPr>
                <w:color w:val="000000" w:themeColor="text1"/>
              </w:rPr>
              <w:t>:</w:t>
            </w:r>
            <w:proofErr w:type="gramEnd"/>
            <w:r w:rsidRPr="0058432E">
              <w:rPr>
                <w:color w:val="000000" w:themeColor="text1"/>
              </w:rPr>
              <w:t xml:space="preserve"> +45 44 201 100</w:t>
            </w:r>
          </w:p>
          <w:p w14:paraId="250E6E2D"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35A5868C" w14:textId="77777777" w:rsidR="00565E19" w:rsidRPr="008444F9" w:rsidRDefault="00565E19" w:rsidP="00982118">
            <w:pPr>
              <w:rPr>
                <w:b/>
                <w:bCs/>
                <w:color w:val="000000" w:themeColor="text1"/>
                <w:lang w:val="en-US"/>
              </w:rPr>
            </w:pPr>
            <w:r w:rsidRPr="008444F9">
              <w:rPr>
                <w:b/>
                <w:bCs/>
                <w:color w:val="000000" w:themeColor="text1"/>
                <w:lang w:val="en-US"/>
              </w:rPr>
              <w:lastRenderedPageBreak/>
              <w:t>Malta</w:t>
            </w:r>
          </w:p>
          <w:p w14:paraId="2A27664D" w14:textId="77777777" w:rsidR="00565E19" w:rsidRPr="008444F9" w:rsidRDefault="006E03C1" w:rsidP="00982118">
            <w:pPr>
              <w:rPr>
                <w:color w:val="000000" w:themeColor="text1"/>
                <w:lang w:val="en-US"/>
              </w:rPr>
            </w:pPr>
            <w:r w:rsidRPr="008444F9">
              <w:rPr>
                <w:color w:val="000000" w:themeColor="text1"/>
                <w:lang w:val="en-US"/>
              </w:rPr>
              <w:lastRenderedPageBreak/>
              <w:t>Vivian Corporation Ltd.</w:t>
            </w:r>
            <w:r w:rsidR="00565E19" w:rsidRPr="008444F9">
              <w:rPr>
                <w:color w:val="000000" w:themeColor="text1"/>
                <w:lang w:val="en-US"/>
              </w:rPr>
              <w:t xml:space="preserve"> </w:t>
            </w:r>
          </w:p>
          <w:p w14:paraId="448C6FB7" w14:textId="77777777" w:rsidR="00565E19" w:rsidRPr="008444F9" w:rsidRDefault="00565E19" w:rsidP="00982118">
            <w:pPr>
              <w:rPr>
                <w:color w:val="000000" w:themeColor="text1"/>
                <w:lang w:val="en-US"/>
              </w:rPr>
            </w:pPr>
            <w:r w:rsidRPr="008444F9">
              <w:rPr>
                <w:color w:val="000000" w:themeColor="text1"/>
                <w:lang w:val="en-US"/>
              </w:rPr>
              <w:t xml:space="preserve">Tel: </w:t>
            </w:r>
            <w:r w:rsidR="009A4E8B" w:rsidRPr="008444F9">
              <w:rPr>
                <w:color w:val="000000" w:themeColor="text1"/>
                <w:lang w:val="en-US"/>
              </w:rPr>
              <w:t>+356 21344610</w:t>
            </w:r>
          </w:p>
          <w:p w14:paraId="5AA68DDB" w14:textId="77777777" w:rsidR="00565E19" w:rsidRPr="008444F9" w:rsidRDefault="00565E19" w:rsidP="00982118">
            <w:pPr>
              <w:autoSpaceDE w:val="0"/>
              <w:autoSpaceDN w:val="0"/>
              <w:rPr>
                <w:color w:val="000000" w:themeColor="text1"/>
                <w:lang w:val="en-US"/>
              </w:rPr>
            </w:pPr>
          </w:p>
        </w:tc>
      </w:tr>
      <w:tr w:rsidR="00565E19" w:rsidRPr="0058432E" w14:paraId="5DA188FC" w14:textId="77777777" w:rsidTr="00053717">
        <w:trPr>
          <w:gridAfter w:val="1"/>
          <w:wAfter w:w="285" w:type="dxa"/>
        </w:trPr>
        <w:tc>
          <w:tcPr>
            <w:tcW w:w="4158" w:type="dxa"/>
            <w:tcMar>
              <w:top w:w="0" w:type="dxa"/>
              <w:left w:w="108" w:type="dxa"/>
              <w:bottom w:w="0" w:type="dxa"/>
              <w:right w:w="108" w:type="dxa"/>
            </w:tcMar>
          </w:tcPr>
          <w:p w14:paraId="17ED2EFD" w14:textId="77777777" w:rsidR="00565E19" w:rsidRPr="0058432E" w:rsidRDefault="00565E19" w:rsidP="003D2782">
            <w:pPr>
              <w:keepNext/>
              <w:keepLines/>
              <w:rPr>
                <w:b/>
                <w:color w:val="000000" w:themeColor="text1"/>
              </w:rPr>
            </w:pPr>
            <w:proofErr w:type="spellStart"/>
            <w:r w:rsidRPr="0058432E">
              <w:rPr>
                <w:b/>
                <w:color w:val="000000" w:themeColor="text1"/>
              </w:rPr>
              <w:lastRenderedPageBreak/>
              <w:t>Deutschland</w:t>
            </w:r>
            <w:proofErr w:type="spellEnd"/>
          </w:p>
          <w:p w14:paraId="01305B2F" w14:textId="77777777" w:rsidR="00565E19" w:rsidRPr="0058432E" w:rsidRDefault="006E03C1" w:rsidP="003D2782">
            <w:pPr>
              <w:keepNext/>
              <w:keepLines/>
              <w:rPr>
                <w:color w:val="000000" w:themeColor="text1"/>
              </w:rPr>
            </w:pPr>
            <w:r w:rsidRPr="0058432E">
              <w:rPr>
                <w:color w:val="000000" w:themeColor="text1"/>
              </w:rPr>
              <w:t xml:space="preserve">PFIZER PHARMA </w:t>
            </w:r>
            <w:r w:rsidR="00565E19" w:rsidRPr="0058432E">
              <w:rPr>
                <w:color w:val="000000" w:themeColor="text1"/>
              </w:rPr>
              <w:t>GmbH</w:t>
            </w:r>
          </w:p>
          <w:p w14:paraId="3726C130" w14:textId="77777777" w:rsidR="00565E19" w:rsidRPr="0058432E" w:rsidRDefault="00565E19" w:rsidP="003D2782">
            <w:pPr>
              <w:keepNext/>
              <w:keepLines/>
              <w:numPr>
                <w:ilvl w:val="12"/>
                <w:numId w:val="0"/>
              </w:numPr>
              <w:rPr>
                <w:color w:val="000000" w:themeColor="text1"/>
              </w:rPr>
            </w:pPr>
            <w:proofErr w:type="gramStart"/>
            <w:r w:rsidRPr="0058432E">
              <w:rPr>
                <w:color w:val="000000" w:themeColor="text1"/>
              </w:rPr>
              <w:t>Tel:</w:t>
            </w:r>
            <w:proofErr w:type="gramEnd"/>
            <w:r w:rsidRPr="0058432E">
              <w:rPr>
                <w:color w:val="000000" w:themeColor="text1"/>
              </w:rPr>
              <w:t xml:space="preserve"> +49 (0)</w:t>
            </w:r>
            <w:r w:rsidR="006E03C1" w:rsidRPr="0058432E">
              <w:rPr>
                <w:color w:val="000000" w:themeColor="text1"/>
              </w:rPr>
              <w:t>30 550055-51000</w:t>
            </w:r>
          </w:p>
          <w:p w14:paraId="64CE213C" w14:textId="77777777" w:rsidR="00565E19" w:rsidRPr="0058432E" w:rsidRDefault="00565E19" w:rsidP="003D2782">
            <w:pPr>
              <w:keepNext/>
              <w:keepLines/>
              <w:autoSpaceDE w:val="0"/>
              <w:autoSpaceDN w:val="0"/>
              <w:rPr>
                <w:color w:val="000000" w:themeColor="text1"/>
              </w:rPr>
            </w:pPr>
          </w:p>
        </w:tc>
        <w:tc>
          <w:tcPr>
            <w:tcW w:w="4788" w:type="dxa"/>
            <w:tcMar>
              <w:top w:w="0" w:type="dxa"/>
              <w:left w:w="108" w:type="dxa"/>
              <w:bottom w:w="0" w:type="dxa"/>
              <w:right w:w="108" w:type="dxa"/>
            </w:tcMar>
          </w:tcPr>
          <w:p w14:paraId="52DDD516" w14:textId="77777777" w:rsidR="00565E19" w:rsidRPr="0058432E" w:rsidRDefault="00565E19" w:rsidP="003D2782">
            <w:pPr>
              <w:keepNext/>
              <w:keepLines/>
              <w:rPr>
                <w:b/>
                <w:bCs/>
                <w:color w:val="000000" w:themeColor="text1"/>
              </w:rPr>
            </w:pPr>
            <w:r w:rsidRPr="0058432E">
              <w:rPr>
                <w:b/>
                <w:bCs/>
                <w:color w:val="000000" w:themeColor="text1"/>
              </w:rPr>
              <w:t>Nederland</w:t>
            </w:r>
          </w:p>
          <w:p w14:paraId="2344821D" w14:textId="77777777" w:rsidR="00565E19" w:rsidRPr="0058432E" w:rsidRDefault="00565E19" w:rsidP="003D2782">
            <w:pPr>
              <w:keepNext/>
              <w:keepLines/>
              <w:rPr>
                <w:color w:val="000000" w:themeColor="text1"/>
              </w:rPr>
            </w:pPr>
            <w:r w:rsidRPr="0058432E">
              <w:rPr>
                <w:color w:val="000000" w:themeColor="text1"/>
              </w:rPr>
              <w:t>Pfizer bv</w:t>
            </w:r>
          </w:p>
          <w:p w14:paraId="16405333" w14:textId="77777777" w:rsidR="00565E19" w:rsidRPr="0058432E" w:rsidRDefault="00565E19" w:rsidP="003D2782">
            <w:pPr>
              <w:keepNext/>
              <w:keepLines/>
              <w:rPr>
                <w:color w:val="000000" w:themeColor="text1"/>
              </w:rPr>
            </w:pPr>
            <w:proofErr w:type="gramStart"/>
            <w:r w:rsidRPr="0058432E">
              <w:rPr>
                <w:color w:val="000000" w:themeColor="text1"/>
              </w:rPr>
              <w:t>Tel:</w:t>
            </w:r>
            <w:proofErr w:type="gramEnd"/>
            <w:r w:rsidRPr="0058432E">
              <w:rPr>
                <w:color w:val="000000" w:themeColor="text1"/>
              </w:rPr>
              <w:t xml:space="preserve"> +31 (0)10 406 43 01</w:t>
            </w:r>
          </w:p>
          <w:p w14:paraId="3CC49C00" w14:textId="77777777" w:rsidR="00565E19" w:rsidRPr="0058432E" w:rsidRDefault="00565E19" w:rsidP="003D2782">
            <w:pPr>
              <w:keepNext/>
              <w:keepLines/>
              <w:autoSpaceDE w:val="0"/>
              <w:autoSpaceDN w:val="0"/>
              <w:rPr>
                <w:color w:val="000000" w:themeColor="text1"/>
              </w:rPr>
            </w:pPr>
          </w:p>
        </w:tc>
      </w:tr>
      <w:tr w:rsidR="00565E19" w:rsidRPr="0058432E" w14:paraId="2D02DF48" w14:textId="77777777" w:rsidTr="00053717">
        <w:trPr>
          <w:gridAfter w:val="1"/>
          <w:wAfter w:w="285" w:type="dxa"/>
        </w:trPr>
        <w:tc>
          <w:tcPr>
            <w:tcW w:w="4158" w:type="dxa"/>
            <w:tcMar>
              <w:top w:w="0" w:type="dxa"/>
              <w:left w:w="108" w:type="dxa"/>
              <w:bottom w:w="0" w:type="dxa"/>
              <w:right w:w="108" w:type="dxa"/>
            </w:tcMar>
          </w:tcPr>
          <w:p w14:paraId="19111559" w14:textId="77777777" w:rsidR="00565E19" w:rsidRPr="0058432E" w:rsidRDefault="00565E19" w:rsidP="00982118">
            <w:pPr>
              <w:rPr>
                <w:b/>
                <w:bCs/>
                <w:color w:val="000000" w:themeColor="text1"/>
              </w:rPr>
            </w:pPr>
            <w:r w:rsidRPr="0058432E">
              <w:rPr>
                <w:b/>
                <w:bCs/>
                <w:color w:val="000000" w:themeColor="text1"/>
              </w:rPr>
              <w:t>България</w:t>
            </w:r>
          </w:p>
          <w:p w14:paraId="3F6CBD17" w14:textId="77777777" w:rsidR="00565E19" w:rsidRPr="0058432E" w:rsidRDefault="00565E19" w:rsidP="00982118">
            <w:pPr>
              <w:rPr>
                <w:color w:val="000000" w:themeColor="text1"/>
              </w:rPr>
            </w:pPr>
            <w:r w:rsidRPr="0058432E">
              <w:rPr>
                <w:color w:val="000000" w:themeColor="text1"/>
              </w:rPr>
              <w:t>Пфайзер Люксембург САРЛ,</w:t>
            </w:r>
          </w:p>
          <w:p w14:paraId="499EF951" w14:textId="77777777" w:rsidR="00565E19" w:rsidRPr="0058432E" w:rsidRDefault="00565E19" w:rsidP="00982118">
            <w:pPr>
              <w:rPr>
                <w:color w:val="000000" w:themeColor="text1"/>
              </w:rPr>
            </w:pPr>
            <w:r w:rsidRPr="0058432E">
              <w:rPr>
                <w:color w:val="000000" w:themeColor="text1"/>
              </w:rPr>
              <w:t>Клон България</w:t>
            </w:r>
          </w:p>
          <w:p w14:paraId="72CF69B8" w14:textId="77777777" w:rsidR="00565E19" w:rsidRPr="0058432E" w:rsidRDefault="00565E19" w:rsidP="00982118">
            <w:pPr>
              <w:rPr>
                <w:color w:val="000000" w:themeColor="text1"/>
              </w:rPr>
            </w:pPr>
            <w:r w:rsidRPr="0058432E">
              <w:rPr>
                <w:color w:val="000000" w:themeColor="text1"/>
              </w:rPr>
              <w:t>Te</w:t>
            </w:r>
            <w:proofErr w:type="gramStart"/>
            <w:r w:rsidRPr="0058432E">
              <w:rPr>
                <w:color w:val="000000" w:themeColor="text1"/>
              </w:rPr>
              <w:t>л:</w:t>
            </w:r>
            <w:proofErr w:type="gramEnd"/>
            <w:r w:rsidRPr="0058432E">
              <w:rPr>
                <w:color w:val="000000" w:themeColor="text1"/>
              </w:rPr>
              <w:t xml:space="preserve"> +359 2 970 4333</w:t>
            </w:r>
          </w:p>
          <w:p w14:paraId="1A17BB1F"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1B7250BB" w14:textId="77777777" w:rsidR="00565E19" w:rsidRPr="0058432E" w:rsidRDefault="00565E19" w:rsidP="00982118">
            <w:pPr>
              <w:rPr>
                <w:b/>
                <w:bCs/>
                <w:color w:val="000000" w:themeColor="text1"/>
              </w:rPr>
            </w:pPr>
            <w:r w:rsidRPr="0058432E">
              <w:rPr>
                <w:b/>
                <w:bCs/>
                <w:color w:val="000000" w:themeColor="text1"/>
              </w:rPr>
              <w:t>Norge</w:t>
            </w:r>
          </w:p>
          <w:p w14:paraId="0B8FDFD1" w14:textId="77777777" w:rsidR="00565E19" w:rsidRPr="0058432E" w:rsidRDefault="00565E19" w:rsidP="00982118">
            <w:pPr>
              <w:rPr>
                <w:color w:val="000000" w:themeColor="text1"/>
              </w:rPr>
            </w:pPr>
            <w:r w:rsidRPr="0058432E">
              <w:rPr>
                <w:color w:val="000000" w:themeColor="text1"/>
              </w:rPr>
              <w:t>Pfizer AS</w:t>
            </w:r>
          </w:p>
          <w:p w14:paraId="298A0C26" w14:textId="77777777" w:rsidR="00565E19" w:rsidRPr="0058432E" w:rsidRDefault="00565E19" w:rsidP="00982118">
            <w:pPr>
              <w:rPr>
                <w:color w:val="000000" w:themeColor="text1"/>
              </w:rPr>
            </w:pPr>
            <w:proofErr w:type="gramStart"/>
            <w:r w:rsidRPr="0058432E">
              <w:rPr>
                <w:color w:val="000000" w:themeColor="text1"/>
              </w:rPr>
              <w:t>Tlf:</w:t>
            </w:r>
            <w:proofErr w:type="gramEnd"/>
            <w:r w:rsidRPr="0058432E">
              <w:rPr>
                <w:color w:val="000000" w:themeColor="text1"/>
              </w:rPr>
              <w:t xml:space="preserve"> +47 67 52 61 00</w:t>
            </w:r>
          </w:p>
          <w:p w14:paraId="3000E2A0" w14:textId="77777777" w:rsidR="00565E19" w:rsidRPr="0058432E" w:rsidRDefault="00565E19" w:rsidP="00982118">
            <w:pPr>
              <w:autoSpaceDE w:val="0"/>
              <w:autoSpaceDN w:val="0"/>
              <w:rPr>
                <w:color w:val="000000" w:themeColor="text1"/>
              </w:rPr>
            </w:pPr>
          </w:p>
        </w:tc>
      </w:tr>
      <w:tr w:rsidR="00565E19" w:rsidRPr="0058432E" w14:paraId="236BA11A" w14:textId="77777777" w:rsidTr="00053717">
        <w:trPr>
          <w:gridAfter w:val="1"/>
          <w:wAfter w:w="285" w:type="dxa"/>
        </w:trPr>
        <w:tc>
          <w:tcPr>
            <w:tcW w:w="4158" w:type="dxa"/>
            <w:tcMar>
              <w:top w:w="0" w:type="dxa"/>
              <w:left w:w="108" w:type="dxa"/>
              <w:bottom w:w="0" w:type="dxa"/>
              <w:right w:w="108" w:type="dxa"/>
            </w:tcMar>
          </w:tcPr>
          <w:p w14:paraId="623C87C0" w14:textId="77777777" w:rsidR="00565E19" w:rsidRPr="0000463E" w:rsidRDefault="00565E19" w:rsidP="00982118">
            <w:pPr>
              <w:rPr>
                <w:b/>
                <w:bCs/>
                <w:color w:val="000000" w:themeColor="text1"/>
                <w:lang w:val="pt-PT"/>
              </w:rPr>
            </w:pPr>
            <w:r w:rsidRPr="0000463E">
              <w:rPr>
                <w:b/>
                <w:bCs/>
                <w:color w:val="000000" w:themeColor="text1"/>
                <w:lang w:val="pt-PT"/>
              </w:rPr>
              <w:t>Eesti</w:t>
            </w:r>
          </w:p>
          <w:p w14:paraId="4730AC3D" w14:textId="77777777" w:rsidR="00565E19" w:rsidRPr="0000463E" w:rsidRDefault="00565E19" w:rsidP="00982118">
            <w:pPr>
              <w:rPr>
                <w:color w:val="000000" w:themeColor="text1"/>
                <w:lang w:val="pt-PT"/>
              </w:rPr>
            </w:pPr>
            <w:r w:rsidRPr="0000463E">
              <w:rPr>
                <w:color w:val="000000" w:themeColor="text1"/>
                <w:lang w:val="pt-PT"/>
              </w:rPr>
              <w:t>Pfizer Luxembourg SARL Eesti filiaal</w:t>
            </w:r>
          </w:p>
          <w:p w14:paraId="314C71AF"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+372 666 7500</w:t>
            </w:r>
          </w:p>
          <w:p w14:paraId="5CB21207"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366A6D03" w14:textId="77777777" w:rsidR="00565E19" w:rsidRPr="008444F9" w:rsidRDefault="00565E19" w:rsidP="00982118">
            <w:pPr>
              <w:rPr>
                <w:b/>
                <w:bCs/>
                <w:color w:val="000000" w:themeColor="text1"/>
                <w:lang w:val="en-US"/>
              </w:rPr>
            </w:pPr>
            <w:r w:rsidRPr="008444F9">
              <w:rPr>
                <w:b/>
                <w:bCs/>
                <w:color w:val="000000" w:themeColor="text1"/>
                <w:lang w:val="en-US"/>
              </w:rPr>
              <w:t>Österreich</w:t>
            </w:r>
          </w:p>
          <w:p w14:paraId="2BE4D718" w14:textId="77777777" w:rsidR="00565E19" w:rsidRPr="008444F9" w:rsidRDefault="00565E19" w:rsidP="00982118">
            <w:pPr>
              <w:rPr>
                <w:color w:val="000000" w:themeColor="text1"/>
                <w:lang w:val="en-US"/>
              </w:rPr>
            </w:pPr>
            <w:r w:rsidRPr="008444F9">
              <w:rPr>
                <w:color w:val="000000" w:themeColor="text1"/>
                <w:lang w:val="en-US"/>
              </w:rPr>
              <w:t>Pfizer Corporation Austria Ges.m.b.H.</w:t>
            </w:r>
          </w:p>
          <w:p w14:paraId="051C86BE"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+43 (0)1 521 15-0</w:t>
            </w:r>
          </w:p>
          <w:p w14:paraId="3269E464" w14:textId="77777777" w:rsidR="00565E19" w:rsidRPr="0058432E" w:rsidRDefault="00565E19" w:rsidP="00982118">
            <w:pPr>
              <w:autoSpaceDE w:val="0"/>
              <w:autoSpaceDN w:val="0"/>
              <w:rPr>
                <w:color w:val="000000" w:themeColor="text1"/>
              </w:rPr>
            </w:pPr>
          </w:p>
        </w:tc>
      </w:tr>
      <w:tr w:rsidR="00565E19" w:rsidRPr="0058432E" w14:paraId="76EF4E4B" w14:textId="77777777" w:rsidTr="00053717">
        <w:trPr>
          <w:gridAfter w:val="1"/>
          <w:wAfter w:w="285" w:type="dxa"/>
        </w:trPr>
        <w:tc>
          <w:tcPr>
            <w:tcW w:w="4158" w:type="dxa"/>
            <w:tcMar>
              <w:top w:w="0" w:type="dxa"/>
              <w:left w:w="108" w:type="dxa"/>
              <w:bottom w:w="0" w:type="dxa"/>
              <w:right w:w="108" w:type="dxa"/>
            </w:tcMar>
          </w:tcPr>
          <w:p w14:paraId="731034F0" w14:textId="77777777" w:rsidR="00565E19" w:rsidRPr="0058432E" w:rsidRDefault="00565E19" w:rsidP="00982118">
            <w:pPr>
              <w:rPr>
                <w:b/>
                <w:bCs/>
                <w:color w:val="000000" w:themeColor="text1"/>
              </w:rPr>
            </w:pPr>
            <w:r w:rsidRPr="0058432E">
              <w:rPr>
                <w:b/>
                <w:bCs/>
                <w:color w:val="000000" w:themeColor="text1"/>
              </w:rPr>
              <w:t>Ελλάδα</w:t>
            </w:r>
          </w:p>
          <w:p w14:paraId="4FCBDADD" w14:textId="77777777" w:rsidR="00565E19" w:rsidRPr="0058432E" w:rsidRDefault="00565E19" w:rsidP="00982118">
            <w:pPr>
              <w:rPr>
                <w:color w:val="000000" w:themeColor="text1"/>
              </w:rPr>
            </w:pPr>
            <w:r w:rsidRPr="0058432E">
              <w:rPr>
                <w:color w:val="000000" w:themeColor="text1"/>
              </w:rPr>
              <w:t>PFIZER EΛΛAΣ A.E.</w:t>
            </w:r>
          </w:p>
          <w:p w14:paraId="5A983DE7" w14:textId="77777777" w:rsidR="00565E19" w:rsidRPr="0058432E" w:rsidRDefault="00565E19" w:rsidP="00982118">
            <w:pPr>
              <w:rPr>
                <w:color w:val="000000" w:themeColor="text1"/>
              </w:rPr>
            </w:pPr>
            <w:r w:rsidRPr="0058432E">
              <w:rPr>
                <w:color w:val="000000" w:themeColor="text1"/>
              </w:rPr>
              <w:t>Τηλ</w:t>
            </w:r>
            <w:proofErr w:type="gramStart"/>
            <w:r w:rsidRPr="0058432E">
              <w:rPr>
                <w:color w:val="000000" w:themeColor="text1"/>
              </w:rPr>
              <w:t>.:</w:t>
            </w:r>
            <w:proofErr w:type="gramEnd"/>
            <w:r w:rsidRPr="0058432E">
              <w:rPr>
                <w:color w:val="000000" w:themeColor="text1"/>
              </w:rPr>
              <w:t xml:space="preserve"> +30 210 67 85 800</w:t>
            </w:r>
          </w:p>
          <w:p w14:paraId="1D8BBD28"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14E47323" w14:textId="77777777" w:rsidR="00565E19" w:rsidRPr="0000463E" w:rsidRDefault="00565E19" w:rsidP="00982118">
            <w:pPr>
              <w:rPr>
                <w:b/>
                <w:bCs/>
                <w:color w:val="000000" w:themeColor="text1"/>
                <w:lang w:val="pt-PT"/>
              </w:rPr>
            </w:pPr>
            <w:r w:rsidRPr="0000463E">
              <w:rPr>
                <w:b/>
                <w:bCs/>
                <w:color w:val="000000" w:themeColor="text1"/>
                <w:lang w:val="pt-PT"/>
              </w:rPr>
              <w:t>Polska</w:t>
            </w:r>
          </w:p>
          <w:p w14:paraId="1B21C3C2" w14:textId="77777777" w:rsidR="00565E19" w:rsidRPr="0000463E" w:rsidRDefault="00565E19" w:rsidP="00982118">
            <w:pPr>
              <w:rPr>
                <w:color w:val="000000" w:themeColor="text1"/>
                <w:lang w:val="pt-PT"/>
              </w:rPr>
            </w:pPr>
            <w:r w:rsidRPr="0000463E">
              <w:rPr>
                <w:color w:val="000000" w:themeColor="text1"/>
                <w:lang w:val="pt-PT"/>
              </w:rPr>
              <w:t>Pfizer Polska Sp. z o.o.</w:t>
            </w:r>
          </w:p>
          <w:p w14:paraId="795FAC3C" w14:textId="77777777" w:rsidR="00565E19" w:rsidRPr="0058432E" w:rsidRDefault="00565E19" w:rsidP="00982118">
            <w:pPr>
              <w:rPr>
                <w:color w:val="000000" w:themeColor="text1"/>
              </w:rPr>
            </w:pPr>
            <w:r w:rsidRPr="0058432E">
              <w:rPr>
                <w:color w:val="000000" w:themeColor="text1"/>
              </w:rPr>
              <w:t>Tel</w:t>
            </w:r>
            <w:proofErr w:type="gramStart"/>
            <w:r w:rsidRPr="0058432E">
              <w:rPr>
                <w:color w:val="000000" w:themeColor="text1"/>
              </w:rPr>
              <w:t>.:</w:t>
            </w:r>
            <w:proofErr w:type="gramEnd"/>
            <w:r w:rsidRPr="0058432E">
              <w:rPr>
                <w:color w:val="000000" w:themeColor="text1"/>
              </w:rPr>
              <w:t xml:space="preserve"> +48 22 335 61 00</w:t>
            </w:r>
          </w:p>
          <w:p w14:paraId="665F73EE" w14:textId="77777777" w:rsidR="00565E19" w:rsidRPr="0058432E" w:rsidRDefault="00565E19" w:rsidP="00982118">
            <w:pPr>
              <w:autoSpaceDE w:val="0"/>
              <w:autoSpaceDN w:val="0"/>
              <w:rPr>
                <w:color w:val="000000" w:themeColor="text1"/>
              </w:rPr>
            </w:pPr>
          </w:p>
        </w:tc>
      </w:tr>
      <w:tr w:rsidR="00565E19" w:rsidRPr="008844CE" w14:paraId="67848038" w14:textId="77777777" w:rsidTr="00053717">
        <w:trPr>
          <w:gridAfter w:val="1"/>
          <w:wAfter w:w="285" w:type="dxa"/>
        </w:trPr>
        <w:tc>
          <w:tcPr>
            <w:tcW w:w="4158" w:type="dxa"/>
            <w:tcMar>
              <w:top w:w="0" w:type="dxa"/>
              <w:left w:w="108" w:type="dxa"/>
              <w:bottom w:w="0" w:type="dxa"/>
              <w:right w:w="108" w:type="dxa"/>
            </w:tcMar>
          </w:tcPr>
          <w:p w14:paraId="559B9578" w14:textId="77777777" w:rsidR="00565E19" w:rsidRPr="0000463E" w:rsidRDefault="00565E19" w:rsidP="00982118">
            <w:pPr>
              <w:rPr>
                <w:b/>
                <w:bCs/>
                <w:color w:val="000000" w:themeColor="text1"/>
                <w:lang w:val="pt-PT"/>
              </w:rPr>
            </w:pPr>
            <w:r w:rsidRPr="0000463E">
              <w:rPr>
                <w:b/>
                <w:bCs/>
                <w:color w:val="000000" w:themeColor="text1"/>
                <w:lang w:val="pt-PT"/>
              </w:rPr>
              <w:t>España</w:t>
            </w:r>
          </w:p>
          <w:p w14:paraId="4CC2111B" w14:textId="77777777" w:rsidR="00565E19" w:rsidRPr="0000463E" w:rsidRDefault="00565E19" w:rsidP="00982118">
            <w:pPr>
              <w:rPr>
                <w:color w:val="000000" w:themeColor="text1"/>
                <w:lang w:val="pt-PT"/>
              </w:rPr>
            </w:pPr>
            <w:r w:rsidRPr="0000463E">
              <w:rPr>
                <w:color w:val="000000" w:themeColor="text1"/>
                <w:lang w:val="pt-PT"/>
              </w:rPr>
              <w:t>Pfizer S.L.</w:t>
            </w:r>
          </w:p>
          <w:p w14:paraId="4C1723F5" w14:textId="77777777" w:rsidR="00565E19" w:rsidRPr="0000463E" w:rsidRDefault="00D9510A" w:rsidP="00982118">
            <w:pPr>
              <w:rPr>
                <w:color w:val="000000" w:themeColor="text1"/>
                <w:lang w:val="pt-PT"/>
              </w:rPr>
            </w:pPr>
            <w:r w:rsidRPr="0000463E">
              <w:rPr>
                <w:color w:val="000000" w:themeColor="text1"/>
                <w:lang w:val="pt-PT"/>
              </w:rPr>
              <w:t>Tel: +34 91 490 99 00</w:t>
            </w:r>
          </w:p>
          <w:p w14:paraId="2ECB3E1B" w14:textId="77777777" w:rsidR="00565E19" w:rsidRPr="0000463E" w:rsidRDefault="00565E19" w:rsidP="00982118">
            <w:pPr>
              <w:autoSpaceDE w:val="0"/>
              <w:autoSpaceDN w:val="0"/>
              <w:rPr>
                <w:color w:val="000000" w:themeColor="text1"/>
                <w:lang w:val="pt-PT"/>
              </w:rPr>
            </w:pPr>
          </w:p>
        </w:tc>
        <w:tc>
          <w:tcPr>
            <w:tcW w:w="4788" w:type="dxa"/>
            <w:tcMar>
              <w:top w:w="0" w:type="dxa"/>
              <w:left w:w="108" w:type="dxa"/>
              <w:bottom w:w="0" w:type="dxa"/>
              <w:right w:w="108" w:type="dxa"/>
            </w:tcMar>
          </w:tcPr>
          <w:p w14:paraId="461A4BF4" w14:textId="77777777" w:rsidR="00565E19" w:rsidRPr="0000463E" w:rsidRDefault="00565E19" w:rsidP="00982118">
            <w:pPr>
              <w:autoSpaceDE w:val="0"/>
              <w:autoSpaceDN w:val="0"/>
              <w:rPr>
                <w:b/>
                <w:color w:val="000000" w:themeColor="text1"/>
                <w:lang w:val="pt-PT"/>
              </w:rPr>
            </w:pPr>
            <w:r w:rsidRPr="0000463E">
              <w:rPr>
                <w:b/>
                <w:color w:val="000000" w:themeColor="text1"/>
                <w:lang w:val="pt-PT"/>
              </w:rPr>
              <w:t>Portugal</w:t>
            </w:r>
          </w:p>
          <w:p w14:paraId="79E0A7AE" w14:textId="77777777" w:rsidR="00565E19" w:rsidRPr="0000463E" w:rsidRDefault="00565E19" w:rsidP="00982118">
            <w:pPr>
              <w:autoSpaceDE w:val="0"/>
              <w:autoSpaceDN w:val="0"/>
              <w:rPr>
                <w:color w:val="000000" w:themeColor="text1"/>
                <w:lang w:val="pt-PT"/>
              </w:rPr>
            </w:pPr>
            <w:r w:rsidRPr="0000463E">
              <w:rPr>
                <w:color w:val="000000" w:themeColor="text1"/>
                <w:lang w:val="pt-PT"/>
              </w:rPr>
              <w:t>Laboratórios Pfizer, Lda.</w:t>
            </w:r>
          </w:p>
          <w:p w14:paraId="3A8DA876" w14:textId="77777777" w:rsidR="00565E19" w:rsidRPr="0000463E" w:rsidRDefault="00565E19" w:rsidP="00982118">
            <w:pPr>
              <w:autoSpaceDE w:val="0"/>
              <w:autoSpaceDN w:val="0"/>
              <w:rPr>
                <w:color w:val="000000" w:themeColor="text1"/>
                <w:lang w:val="pt-PT"/>
              </w:rPr>
            </w:pPr>
            <w:r w:rsidRPr="0000463E">
              <w:rPr>
                <w:color w:val="000000" w:themeColor="text1"/>
                <w:lang w:val="pt-PT"/>
              </w:rPr>
              <w:t>Tel: +351 21 423 5500</w:t>
            </w:r>
          </w:p>
        </w:tc>
      </w:tr>
      <w:tr w:rsidR="00565E19" w:rsidRPr="0058432E" w14:paraId="2B67BC77" w14:textId="77777777" w:rsidTr="00053717">
        <w:trPr>
          <w:gridAfter w:val="1"/>
          <w:wAfter w:w="285" w:type="dxa"/>
        </w:trPr>
        <w:tc>
          <w:tcPr>
            <w:tcW w:w="4158" w:type="dxa"/>
            <w:tcMar>
              <w:top w:w="0" w:type="dxa"/>
              <w:left w:w="108" w:type="dxa"/>
              <w:bottom w:w="0" w:type="dxa"/>
              <w:right w:w="108" w:type="dxa"/>
            </w:tcMar>
          </w:tcPr>
          <w:p w14:paraId="6137DDE0" w14:textId="77777777" w:rsidR="00565E19" w:rsidRPr="0058432E" w:rsidRDefault="00565E19" w:rsidP="003A4854">
            <w:pPr>
              <w:keepNext/>
              <w:rPr>
                <w:b/>
                <w:bCs/>
                <w:color w:val="000000" w:themeColor="text1"/>
              </w:rPr>
            </w:pPr>
            <w:r w:rsidRPr="0058432E">
              <w:rPr>
                <w:b/>
                <w:bCs/>
                <w:color w:val="000000" w:themeColor="text1"/>
              </w:rPr>
              <w:t>France</w:t>
            </w:r>
          </w:p>
          <w:p w14:paraId="3747CC0B" w14:textId="77777777" w:rsidR="00565E19" w:rsidRPr="0058432E" w:rsidRDefault="00565E19" w:rsidP="003A4854">
            <w:pPr>
              <w:keepNext/>
              <w:rPr>
                <w:color w:val="000000" w:themeColor="text1"/>
              </w:rPr>
            </w:pPr>
            <w:r w:rsidRPr="0058432E">
              <w:rPr>
                <w:color w:val="000000" w:themeColor="text1"/>
              </w:rPr>
              <w:t xml:space="preserve">Pfizer </w:t>
            </w:r>
          </w:p>
          <w:p w14:paraId="586B8A87" w14:textId="77777777" w:rsidR="00565E19" w:rsidRPr="0058432E" w:rsidRDefault="00565E19" w:rsidP="003A4854">
            <w:pPr>
              <w:keepNext/>
              <w:rPr>
                <w:color w:val="000000" w:themeColor="text1"/>
              </w:rPr>
            </w:pPr>
            <w:proofErr w:type="gramStart"/>
            <w:r w:rsidRPr="0058432E">
              <w:rPr>
                <w:color w:val="000000" w:themeColor="text1"/>
              </w:rPr>
              <w:t>Tél:</w:t>
            </w:r>
            <w:proofErr w:type="gramEnd"/>
            <w:r w:rsidRPr="0058432E">
              <w:rPr>
                <w:color w:val="000000" w:themeColor="text1"/>
              </w:rPr>
              <w:t xml:space="preserve"> +33 (0)1 58 07 34 40</w:t>
            </w:r>
          </w:p>
          <w:p w14:paraId="30AE304A" w14:textId="77777777" w:rsidR="00565E19" w:rsidRPr="0058432E" w:rsidRDefault="00565E19" w:rsidP="003A4854">
            <w:pPr>
              <w:keepNext/>
              <w:rPr>
                <w:color w:val="000000" w:themeColor="text1"/>
              </w:rPr>
            </w:pPr>
          </w:p>
        </w:tc>
        <w:tc>
          <w:tcPr>
            <w:tcW w:w="4788" w:type="dxa"/>
            <w:tcMar>
              <w:top w:w="0" w:type="dxa"/>
              <w:left w:w="108" w:type="dxa"/>
              <w:bottom w:w="0" w:type="dxa"/>
              <w:right w:w="108" w:type="dxa"/>
            </w:tcMar>
          </w:tcPr>
          <w:p w14:paraId="257F5928" w14:textId="77777777" w:rsidR="00565E19" w:rsidRPr="0000463E" w:rsidRDefault="00565E19" w:rsidP="003A4854">
            <w:pPr>
              <w:keepNext/>
              <w:rPr>
                <w:b/>
                <w:bCs/>
                <w:color w:val="000000" w:themeColor="text1"/>
                <w:lang w:val="pt-PT"/>
              </w:rPr>
            </w:pPr>
            <w:r w:rsidRPr="0000463E">
              <w:rPr>
                <w:b/>
                <w:bCs/>
                <w:color w:val="000000" w:themeColor="text1"/>
                <w:lang w:val="pt-PT"/>
              </w:rPr>
              <w:t>România</w:t>
            </w:r>
          </w:p>
          <w:p w14:paraId="218C17F1" w14:textId="77777777" w:rsidR="00565E19" w:rsidRPr="0000463E" w:rsidRDefault="00565E19" w:rsidP="003A4854">
            <w:pPr>
              <w:keepNext/>
              <w:rPr>
                <w:color w:val="000000" w:themeColor="text1"/>
                <w:lang w:val="pt-PT"/>
              </w:rPr>
            </w:pPr>
            <w:r w:rsidRPr="0000463E">
              <w:rPr>
                <w:color w:val="000000" w:themeColor="text1"/>
                <w:lang w:val="pt-PT"/>
              </w:rPr>
              <w:t>Pfizer România S.R.L</w:t>
            </w:r>
          </w:p>
          <w:p w14:paraId="167F4C2C" w14:textId="77777777" w:rsidR="00565E19" w:rsidRPr="0058432E" w:rsidRDefault="00565E19" w:rsidP="003A4854">
            <w:pPr>
              <w:keepNext/>
              <w:rPr>
                <w:color w:val="000000" w:themeColor="text1"/>
              </w:rPr>
            </w:pPr>
            <w:proofErr w:type="gramStart"/>
            <w:r w:rsidRPr="0058432E">
              <w:rPr>
                <w:color w:val="000000" w:themeColor="text1"/>
              </w:rPr>
              <w:t>Tel:</w:t>
            </w:r>
            <w:proofErr w:type="gramEnd"/>
            <w:r w:rsidRPr="0058432E">
              <w:rPr>
                <w:color w:val="000000" w:themeColor="text1"/>
              </w:rPr>
              <w:t xml:space="preserve"> +40 (0) 21 207 28 00</w:t>
            </w:r>
          </w:p>
          <w:p w14:paraId="2C9A02BC" w14:textId="77777777" w:rsidR="00565E19" w:rsidRPr="0058432E" w:rsidRDefault="00565E19" w:rsidP="003A4854">
            <w:pPr>
              <w:keepNext/>
              <w:autoSpaceDE w:val="0"/>
              <w:autoSpaceDN w:val="0"/>
              <w:rPr>
                <w:color w:val="000000" w:themeColor="text1"/>
              </w:rPr>
            </w:pPr>
          </w:p>
        </w:tc>
      </w:tr>
      <w:tr w:rsidR="00565E19" w:rsidRPr="0058432E" w14:paraId="0BB6DDCA" w14:textId="77777777" w:rsidTr="00053717">
        <w:trPr>
          <w:gridAfter w:val="1"/>
          <w:wAfter w:w="285" w:type="dxa"/>
        </w:trPr>
        <w:tc>
          <w:tcPr>
            <w:tcW w:w="4158" w:type="dxa"/>
            <w:tcMar>
              <w:top w:w="0" w:type="dxa"/>
              <w:left w:w="108" w:type="dxa"/>
              <w:bottom w:w="0" w:type="dxa"/>
              <w:right w:w="108" w:type="dxa"/>
            </w:tcMar>
          </w:tcPr>
          <w:p w14:paraId="45B5F6B9" w14:textId="77777777" w:rsidR="00565E19" w:rsidRPr="0000463E" w:rsidRDefault="00565E19" w:rsidP="00982118">
            <w:pPr>
              <w:rPr>
                <w:b/>
                <w:bCs/>
                <w:color w:val="000000" w:themeColor="text1"/>
                <w:lang w:val="pt-PT"/>
              </w:rPr>
            </w:pPr>
            <w:r w:rsidRPr="0000463E">
              <w:rPr>
                <w:b/>
                <w:bCs/>
                <w:color w:val="000000" w:themeColor="text1"/>
                <w:lang w:val="pt-PT"/>
              </w:rPr>
              <w:t>Hrvatska</w:t>
            </w:r>
          </w:p>
          <w:p w14:paraId="70C6FAB6" w14:textId="77777777" w:rsidR="00565E19" w:rsidRPr="0000463E" w:rsidRDefault="00565E19" w:rsidP="00982118">
            <w:pPr>
              <w:rPr>
                <w:color w:val="000000" w:themeColor="text1"/>
                <w:lang w:val="pt-PT"/>
              </w:rPr>
            </w:pPr>
            <w:r w:rsidRPr="0000463E">
              <w:rPr>
                <w:color w:val="000000" w:themeColor="text1"/>
                <w:lang w:val="pt-PT"/>
              </w:rPr>
              <w:t>Pfizer Croatia d.o.o.</w:t>
            </w:r>
          </w:p>
          <w:p w14:paraId="1C8CFA5A"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+385 1 3908 777</w:t>
            </w:r>
          </w:p>
          <w:p w14:paraId="676D0744"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5CBC9ADC" w14:textId="77777777" w:rsidR="00565E19" w:rsidRPr="0000463E" w:rsidRDefault="00565E19" w:rsidP="00982118">
            <w:pPr>
              <w:rPr>
                <w:b/>
                <w:bCs/>
                <w:color w:val="000000" w:themeColor="text1"/>
                <w:lang w:val="pt-PT"/>
              </w:rPr>
            </w:pPr>
            <w:r w:rsidRPr="0000463E">
              <w:rPr>
                <w:b/>
                <w:bCs/>
                <w:color w:val="000000" w:themeColor="text1"/>
                <w:lang w:val="pt-PT"/>
              </w:rPr>
              <w:t>Slovenija</w:t>
            </w:r>
          </w:p>
          <w:p w14:paraId="4A8DDDFC" w14:textId="77777777" w:rsidR="00565E19" w:rsidRPr="0000463E" w:rsidRDefault="00565E19" w:rsidP="00982118">
            <w:pPr>
              <w:rPr>
                <w:color w:val="000000" w:themeColor="text1"/>
                <w:lang w:val="pt-PT"/>
              </w:rPr>
            </w:pPr>
            <w:r w:rsidRPr="0000463E">
              <w:rPr>
                <w:color w:val="000000" w:themeColor="text1"/>
                <w:lang w:val="pt-PT"/>
              </w:rPr>
              <w:t>Pfizer Luxembourg SARL</w:t>
            </w:r>
            <w:r w:rsidRPr="0000463E">
              <w:rPr>
                <w:i/>
                <w:iCs/>
                <w:color w:val="000000" w:themeColor="text1"/>
                <w:lang w:val="pt-PT"/>
              </w:rPr>
              <w:t xml:space="preserve">, </w:t>
            </w:r>
            <w:r w:rsidRPr="0000463E">
              <w:rPr>
                <w:color w:val="000000" w:themeColor="text1"/>
                <w:lang w:val="pt-PT"/>
              </w:rPr>
              <w:t>Pfizer, podružnica</w:t>
            </w:r>
          </w:p>
          <w:p w14:paraId="3F89F43F" w14:textId="77777777" w:rsidR="00565E19" w:rsidRPr="0000463E" w:rsidRDefault="00565E19" w:rsidP="00982118">
            <w:pPr>
              <w:rPr>
                <w:color w:val="000000" w:themeColor="text1"/>
                <w:lang w:val="pt-PT"/>
              </w:rPr>
            </w:pPr>
            <w:r w:rsidRPr="0000463E">
              <w:rPr>
                <w:color w:val="000000" w:themeColor="text1"/>
                <w:lang w:val="pt-PT"/>
              </w:rPr>
              <w:t>za svetovanje s področja farmacevtske</w:t>
            </w:r>
          </w:p>
          <w:p w14:paraId="2A6BFDB7" w14:textId="77777777" w:rsidR="00565E19" w:rsidRPr="0000463E" w:rsidRDefault="00565E19" w:rsidP="00982118">
            <w:pPr>
              <w:rPr>
                <w:color w:val="000000" w:themeColor="text1"/>
                <w:lang w:val="pt-PT"/>
              </w:rPr>
            </w:pPr>
            <w:r w:rsidRPr="0000463E">
              <w:rPr>
                <w:color w:val="000000" w:themeColor="text1"/>
                <w:lang w:val="pt-PT"/>
              </w:rPr>
              <w:t>dejavnosti, Ljubljana</w:t>
            </w:r>
          </w:p>
          <w:p w14:paraId="0BF10D61"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+386 (0)1 52 11 400</w:t>
            </w:r>
          </w:p>
          <w:p w14:paraId="399B090C" w14:textId="77777777" w:rsidR="00565E19" w:rsidRPr="0058432E" w:rsidRDefault="00565E19" w:rsidP="00982118">
            <w:pPr>
              <w:autoSpaceDE w:val="0"/>
              <w:autoSpaceDN w:val="0"/>
              <w:rPr>
                <w:color w:val="000000" w:themeColor="text1"/>
              </w:rPr>
            </w:pPr>
          </w:p>
        </w:tc>
      </w:tr>
      <w:tr w:rsidR="00565E19" w:rsidRPr="0058432E" w14:paraId="6DAACA43" w14:textId="77777777" w:rsidTr="00053717">
        <w:trPr>
          <w:gridAfter w:val="1"/>
          <w:wAfter w:w="285" w:type="dxa"/>
        </w:trPr>
        <w:tc>
          <w:tcPr>
            <w:tcW w:w="4158" w:type="dxa"/>
            <w:tcMar>
              <w:top w:w="0" w:type="dxa"/>
              <w:left w:w="108" w:type="dxa"/>
              <w:bottom w:w="0" w:type="dxa"/>
              <w:right w:w="108" w:type="dxa"/>
            </w:tcMar>
          </w:tcPr>
          <w:p w14:paraId="01674C5A" w14:textId="77777777" w:rsidR="00565E19" w:rsidRPr="008444F9" w:rsidRDefault="00565E19" w:rsidP="00982118">
            <w:pPr>
              <w:rPr>
                <w:b/>
                <w:bCs/>
                <w:color w:val="000000" w:themeColor="text1"/>
                <w:lang w:val="en-US"/>
              </w:rPr>
            </w:pPr>
            <w:r w:rsidRPr="008444F9">
              <w:rPr>
                <w:b/>
                <w:bCs/>
                <w:color w:val="000000" w:themeColor="text1"/>
                <w:lang w:val="en-US"/>
              </w:rPr>
              <w:t>Ireland</w:t>
            </w:r>
          </w:p>
          <w:p w14:paraId="72E8D47C" w14:textId="234E270F" w:rsidR="00565E19" w:rsidRPr="008444F9" w:rsidRDefault="00565E19" w:rsidP="00982118">
            <w:pPr>
              <w:rPr>
                <w:color w:val="000000" w:themeColor="text1"/>
                <w:lang w:val="en-US"/>
              </w:rPr>
            </w:pPr>
            <w:r w:rsidRPr="008444F9">
              <w:rPr>
                <w:color w:val="000000" w:themeColor="text1"/>
                <w:lang w:val="en-US"/>
              </w:rPr>
              <w:t>Pfizer Healthcare Ireland</w:t>
            </w:r>
            <w:ins w:id="68" w:author="Author" w:date="2025-06-12T13:58:00Z" w16du:dateUtc="2025-06-12T12:58:00Z">
              <w:r w:rsidR="00823CDC">
                <w:rPr>
                  <w:color w:val="000000" w:themeColor="text1"/>
                  <w:lang w:val="en-US"/>
                </w:rPr>
                <w:t xml:space="preserve"> </w:t>
              </w:r>
            </w:ins>
            <w:ins w:id="69" w:author="Author" w:date="2025-06-12T13:57:00Z" w16du:dateUtc="2025-06-12T12:57:00Z">
              <w:r w:rsidR="00823CDC">
                <w:rPr>
                  <w:color w:val="000000" w:themeColor="text1"/>
                  <w:lang w:val="en-US"/>
                </w:rPr>
                <w:t>Unlimited Company</w:t>
              </w:r>
            </w:ins>
          </w:p>
          <w:p w14:paraId="692C974D" w14:textId="77777777" w:rsidR="00565E19" w:rsidRPr="008444F9" w:rsidRDefault="00565E19" w:rsidP="00982118">
            <w:pPr>
              <w:rPr>
                <w:color w:val="000000" w:themeColor="text1"/>
                <w:lang w:val="en-US"/>
              </w:rPr>
            </w:pPr>
            <w:r w:rsidRPr="008444F9">
              <w:rPr>
                <w:color w:val="000000" w:themeColor="text1"/>
                <w:lang w:val="en-US"/>
              </w:rPr>
              <w:t>Tel: +1800 633 363 (toll free)</w:t>
            </w:r>
          </w:p>
          <w:p w14:paraId="6EB54CE5"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+44 (0)1304 616161</w:t>
            </w:r>
          </w:p>
          <w:p w14:paraId="3C53EAEC"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7A6831C7" w14:textId="77777777" w:rsidR="00565E19" w:rsidRPr="0000463E" w:rsidRDefault="00565E19" w:rsidP="00982118">
            <w:pPr>
              <w:rPr>
                <w:b/>
                <w:bCs/>
                <w:color w:val="000000" w:themeColor="text1"/>
                <w:lang w:val="pt-PT"/>
              </w:rPr>
            </w:pPr>
            <w:r w:rsidRPr="0000463E">
              <w:rPr>
                <w:b/>
                <w:bCs/>
                <w:color w:val="000000" w:themeColor="text1"/>
                <w:lang w:val="pt-PT"/>
              </w:rPr>
              <w:t>Slovenská Republika</w:t>
            </w:r>
          </w:p>
          <w:p w14:paraId="0A4A9B87" w14:textId="77777777" w:rsidR="00565E19" w:rsidRPr="0000463E" w:rsidRDefault="00565E19" w:rsidP="00982118">
            <w:pPr>
              <w:rPr>
                <w:color w:val="000000" w:themeColor="text1"/>
                <w:lang w:val="pt-PT"/>
              </w:rPr>
            </w:pPr>
            <w:r w:rsidRPr="0000463E">
              <w:rPr>
                <w:color w:val="000000" w:themeColor="text1"/>
                <w:lang w:val="pt-PT"/>
              </w:rPr>
              <w:t>Pfizer Luxembourg SARL, organizačná zložka</w:t>
            </w:r>
          </w:p>
          <w:p w14:paraId="6B3D43CF"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+421 2 3355 5500</w:t>
            </w:r>
          </w:p>
          <w:p w14:paraId="285F5E20" w14:textId="77777777" w:rsidR="00565E19" w:rsidRPr="0058432E" w:rsidRDefault="00565E19" w:rsidP="00982118">
            <w:pPr>
              <w:autoSpaceDE w:val="0"/>
              <w:autoSpaceDN w:val="0"/>
              <w:rPr>
                <w:color w:val="000000" w:themeColor="text1"/>
              </w:rPr>
            </w:pPr>
          </w:p>
        </w:tc>
      </w:tr>
      <w:tr w:rsidR="00565E19" w:rsidRPr="0058432E" w14:paraId="58B2BF64" w14:textId="77777777" w:rsidTr="00053717">
        <w:trPr>
          <w:gridAfter w:val="1"/>
          <w:wAfter w:w="285" w:type="dxa"/>
        </w:trPr>
        <w:tc>
          <w:tcPr>
            <w:tcW w:w="4158" w:type="dxa"/>
            <w:tcMar>
              <w:top w:w="0" w:type="dxa"/>
              <w:left w:w="108" w:type="dxa"/>
              <w:bottom w:w="0" w:type="dxa"/>
              <w:right w:w="108" w:type="dxa"/>
            </w:tcMar>
          </w:tcPr>
          <w:p w14:paraId="4C1E67F9" w14:textId="77777777" w:rsidR="00565E19" w:rsidRPr="0058432E" w:rsidRDefault="00565E19" w:rsidP="00982118">
            <w:pPr>
              <w:keepNext/>
              <w:rPr>
                <w:b/>
                <w:bCs/>
                <w:color w:val="000000" w:themeColor="text1"/>
              </w:rPr>
            </w:pPr>
            <w:r w:rsidRPr="0058432E">
              <w:rPr>
                <w:b/>
                <w:bCs/>
                <w:color w:val="000000" w:themeColor="text1"/>
              </w:rPr>
              <w:t>Ísland</w:t>
            </w:r>
          </w:p>
          <w:p w14:paraId="45878A35" w14:textId="77777777" w:rsidR="00565E19" w:rsidRPr="0058432E" w:rsidRDefault="00565E19" w:rsidP="00982118">
            <w:pPr>
              <w:keepNext/>
              <w:rPr>
                <w:color w:val="000000" w:themeColor="text1"/>
              </w:rPr>
            </w:pPr>
            <w:r w:rsidRPr="0058432E">
              <w:rPr>
                <w:color w:val="000000" w:themeColor="text1"/>
              </w:rPr>
              <w:t>Icepharma hf.</w:t>
            </w:r>
          </w:p>
          <w:p w14:paraId="7BCDE96B" w14:textId="77777777" w:rsidR="00565E19" w:rsidRPr="0058432E" w:rsidRDefault="00565E19" w:rsidP="00982118">
            <w:pPr>
              <w:keepNext/>
              <w:rPr>
                <w:color w:val="000000" w:themeColor="text1"/>
              </w:rPr>
            </w:pPr>
            <w:proofErr w:type="gramStart"/>
            <w:r w:rsidRPr="0058432E">
              <w:rPr>
                <w:color w:val="000000" w:themeColor="text1"/>
              </w:rPr>
              <w:t>Tel:</w:t>
            </w:r>
            <w:proofErr w:type="gramEnd"/>
            <w:r w:rsidRPr="0058432E">
              <w:rPr>
                <w:color w:val="000000" w:themeColor="text1"/>
              </w:rPr>
              <w:t xml:space="preserve"> +354 540 8000</w:t>
            </w:r>
          </w:p>
          <w:p w14:paraId="2580A9BB" w14:textId="77777777" w:rsidR="00565E19" w:rsidRPr="0058432E" w:rsidRDefault="00565E19" w:rsidP="00982118">
            <w:pPr>
              <w:keepNext/>
              <w:autoSpaceDE w:val="0"/>
              <w:autoSpaceDN w:val="0"/>
              <w:rPr>
                <w:color w:val="000000" w:themeColor="text1"/>
              </w:rPr>
            </w:pPr>
          </w:p>
        </w:tc>
        <w:tc>
          <w:tcPr>
            <w:tcW w:w="4788" w:type="dxa"/>
            <w:tcMar>
              <w:top w:w="0" w:type="dxa"/>
              <w:left w:w="108" w:type="dxa"/>
              <w:bottom w:w="0" w:type="dxa"/>
              <w:right w:w="108" w:type="dxa"/>
            </w:tcMar>
          </w:tcPr>
          <w:p w14:paraId="53FC2826" w14:textId="77777777" w:rsidR="00565E19" w:rsidRPr="0058432E" w:rsidRDefault="00565E19" w:rsidP="00982118">
            <w:pPr>
              <w:keepNext/>
              <w:rPr>
                <w:b/>
                <w:bCs/>
                <w:color w:val="000000" w:themeColor="text1"/>
              </w:rPr>
            </w:pPr>
            <w:r w:rsidRPr="0058432E">
              <w:rPr>
                <w:b/>
                <w:bCs/>
                <w:color w:val="000000" w:themeColor="text1"/>
              </w:rPr>
              <w:t>Suomi/Finland</w:t>
            </w:r>
          </w:p>
          <w:p w14:paraId="0B9D2302" w14:textId="77777777" w:rsidR="00565E19" w:rsidRPr="0058432E" w:rsidRDefault="00565E19" w:rsidP="00982118">
            <w:pPr>
              <w:keepNext/>
              <w:rPr>
                <w:color w:val="000000" w:themeColor="text1"/>
              </w:rPr>
            </w:pPr>
            <w:r w:rsidRPr="0058432E">
              <w:rPr>
                <w:color w:val="000000" w:themeColor="text1"/>
              </w:rPr>
              <w:t>Pfizer Oy</w:t>
            </w:r>
          </w:p>
          <w:p w14:paraId="2654B81A" w14:textId="77777777" w:rsidR="00565E19" w:rsidRPr="0058432E" w:rsidRDefault="00565E19" w:rsidP="00982118">
            <w:pPr>
              <w:keepNext/>
              <w:rPr>
                <w:color w:val="000000" w:themeColor="text1"/>
              </w:rPr>
            </w:pPr>
            <w:r w:rsidRPr="0058432E">
              <w:rPr>
                <w:color w:val="000000" w:themeColor="text1"/>
              </w:rPr>
              <w:t>Puh/</w:t>
            </w:r>
            <w:proofErr w:type="gramStart"/>
            <w:r w:rsidRPr="0058432E">
              <w:rPr>
                <w:color w:val="000000" w:themeColor="text1"/>
              </w:rPr>
              <w:t>Tel:</w:t>
            </w:r>
            <w:proofErr w:type="gramEnd"/>
            <w:r w:rsidRPr="0058432E">
              <w:rPr>
                <w:color w:val="000000" w:themeColor="text1"/>
              </w:rPr>
              <w:t xml:space="preserve"> +358 (0)9 430 040</w:t>
            </w:r>
          </w:p>
          <w:p w14:paraId="1B279603" w14:textId="77777777" w:rsidR="00565E19" w:rsidRPr="0058432E" w:rsidRDefault="00565E19" w:rsidP="00982118">
            <w:pPr>
              <w:keepNext/>
              <w:autoSpaceDE w:val="0"/>
              <w:autoSpaceDN w:val="0"/>
              <w:rPr>
                <w:color w:val="000000" w:themeColor="text1"/>
              </w:rPr>
            </w:pPr>
          </w:p>
        </w:tc>
      </w:tr>
      <w:tr w:rsidR="00565E19" w:rsidRPr="0058432E" w14:paraId="7C69B9AC" w14:textId="77777777" w:rsidTr="00053717">
        <w:trPr>
          <w:gridAfter w:val="1"/>
          <w:wAfter w:w="285" w:type="dxa"/>
        </w:trPr>
        <w:tc>
          <w:tcPr>
            <w:tcW w:w="4158" w:type="dxa"/>
            <w:tcMar>
              <w:top w:w="0" w:type="dxa"/>
              <w:left w:w="108" w:type="dxa"/>
              <w:bottom w:w="0" w:type="dxa"/>
              <w:right w:w="108" w:type="dxa"/>
            </w:tcMar>
          </w:tcPr>
          <w:p w14:paraId="5C65320C" w14:textId="77777777" w:rsidR="00565E19" w:rsidRPr="0000463E" w:rsidRDefault="00565E19" w:rsidP="00982118">
            <w:pPr>
              <w:rPr>
                <w:color w:val="000000" w:themeColor="text1"/>
                <w:lang w:val="pt-PT"/>
              </w:rPr>
            </w:pPr>
            <w:r w:rsidRPr="0000463E">
              <w:rPr>
                <w:b/>
                <w:bCs/>
                <w:color w:val="000000" w:themeColor="text1"/>
                <w:lang w:val="pt-PT"/>
              </w:rPr>
              <w:t>Italia</w:t>
            </w:r>
          </w:p>
          <w:p w14:paraId="313DE495" w14:textId="77777777" w:rsidR="00565E19" w:rsidRPr="0000463E" w:rsidRDefault="00565E19" w:rsidP="00982118">
            <w:pPr>
              <w:rPr>
                <w:color w:val="000000" w:themeColor="text1"/>
                <w:lang w:val="pt-PT"/>
              </w:rPr>
            </w:pPr>
            <w:r w:rsidRPr="0000463E">
              <w:rPr>
                <w:color w:val="000000" w:themeColor="text1"/>
                <w:lang w:val="pt-PT"/>
              </w:rPr>
              <w:t xml:space="preserve">Pfizer S.r.l. </w:t>
            </w:r>
          </w:p>
          <w:p w14:paraId="2E76E306"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+39 06 33 18 21</w:t>
            </w:r>
          </w:p>
          <w:p w14:paraId="21F02E2E" w14:textId="77777777" w:rsidR="00565E19" w:rsidRPr="0058432E" w:rsidRDefault="00565E19" w:rsidP="00982118">
            <w:pPr>
              <w:autoSpaceDE w:val="0"/>
              <w:autoSpaceDN w:val="0"/>
              <w:rPr>
                <w:color w:val="000000" w:themeColor="text1"/>
              </w:rPr>
            </w:pPr>
          </w:p>
        </w:tc>
        <w:tc>
          <w:tcPr>
            <w:tcW w:w="4788" w:type="dxa"/>
            <w:tcMar>
              <w:top w:w="0" w:type="dxa"/>
              <w:left w:w="108" w:type="dxa"/>
              <w:bottom w:w="0" w:type="dxa"/>
              <w:right w:w="108" w:type="dxa"/>
            </w:tcMar>
          </w:tcPr>
          <w:p w14:paraId="16285BC0" w14:textId="77777777" w:rsidR="00565E19" w:rsidRPr="0058432E" w:rsidRDefault="00565E19" w:rsidP="00982118">
            <w:pPr>
              <w:rPr>
                <w:b/>
                <w:bCs/>
                <w:color w:val="000000" w:themeColor="text1"/>
              </w:rPr>
            </w:pPr>
            <w:r w:rsidRPr="0058432E">
              <w:rPr>
                <w:b/>
                <w:bCs/>
                <w:color w:val="000000" w:themeColor="text1"/>
              </w:rPr>
              <w:t>Sverige</w:t>
            </w:r>
          </w:p>
          <w:p w14:paraId="2554A1B4" w14:textId="77777777" w:rsidR="00565E19" w:rsidRPr="0058432E" w:rsidRDefault="00565E19" w:rsidP="00982118">
            <w:pPr>
              <w:rPr>
                <w:color w:val="000000" w:themeColor="text1"/>
              </w:rPr>
            </w:pPr>
            <w:r w:rsidRPr="0058432E">
              <w:rPr>
                <w:color w:val="000000" w:themeColor="text1"/>
              </w:rPr>
              <w:t>Pfizer AB</w:t>
            </w:r>
          </w:p>
          <w:p w14:paraId="3ACC3EC6" w14:textId="77777777" w:rsidR="00565E19" w:rsidRPr="0058432E" w:rsidRDefault="00565E19" w:rsidP="00982118">
            <w:pPr>
              <w:rPr>
                <w:color w:val="000000" w:themeColor="text1"/>
              </w:rPr>
            </w:pPr>
            <w:proofErr w:type="gramStart"/>
            <w:r w:rsidRPr="0058432E">
              <w:rPr>
                <w:color w:val="000000" w:themeColor="text1"/>
              </w:rPr>
              <w:t>Tel:</w:t>
            </w:r>
            <w:proofErr w:type="gramEnd"/>
            <w:r w:rsidRPr="0058432E">
              <w:rPr>
                <w:color w:val="000000" w:themeColor="text1"/>
              </w:rPr>
              <w:t xml:space="preserve"> +46 (0)8 550 520 00</w:t>
            </w:r>
          </w:p>
          <w:p w14:paraId="4890F73D" w14:textId="77777777" w:rsidR="00565E19" w:rsidRPr="0058432E" w:rsidRDefault="00565E19" w:rsidP="00982118">
            <w:pPr>
              <w:autoSpaceDE w:val="0"/>
              <w:autoSpaceDN w:val="0"/>
              <w:rPr>
                <w:color w:val="000000" w:themeColor="text1"/>
              </w:rPr>
            </w:pPr>
          </w:p>
        </w:tc>
      </w:tr>
      <w:tr w:rsidR="00565E19" w:rsidRPr="0058432E" w14:paraId="3E7B614F" w14:textId="77777777" w:rsidTr="00053717">
        <w:trPr>
          <w:gridAfter w:val="1"/>
          <w:wAfter w:w="285" w:type="dxa"/>
        </w:trPr>
        <w:tc>
          <w:tcPr>
            <w:tcW w:w="4158" w:type="dxa"/>
            <w:tcMar>
              <w:top w:w="0" w:type="dxa"/>
              <w:left w:w="108" w:type="dxa"/>
              <w:bottom w:w="0" w:type="dxa"/>
              <w:right w:w="108" w:type="dxa"/>
            </w:tcMar>
          </w:tcPr>
          <w:p w14:paraId="7F04E581" w14:textId="77777777" w:rsidR="00565E19" w:rsidRPr="0000463E" w:rsidRDefault="00565E19" w:rsidP="00982118">
            <w:pPr>
              <w:rPr>
                <w:b/>
                <w:bCs/>
                <w:color w:val="000000" w:themeColor="text1"/>
                <w:lang w:val="pt-PT"/>
              </w:rPr>
            </w:pPr>
            <w:r w:rsidRPr="0000463E">
              <w:rPr>
                <w:b/>
                <w:bCs/>
                <w:color w:val="000000" w:themeColor="text1"/>
                <w:lang w:val="pt-PT"/>
              </w:rPr>
              <w:t>Latvija</w:t>
            </w:r>
          </w:p>
          <w:p w14:paraId="79E586F6" w14:textId="77777777" w:rsidR="00565E19" w:rsidRPr="0000463E" w:rsidRDefault="00565E19" w:rsidP="00982118">
            <w:pPr>
              <w:rPr>
                <w:color w:val="000000" w:themeColor="text1"/>
                <w:lang w:val="pt-PT"/>
              </w:rPr>
            </w:pPr>
            <w:r w:rsidRPr="0000463E">
              <w:rPr>
                <w:color w:val="000000" w:themeColor="text1"/>
                <w:lang w:val="pt-PT"/>
              </w:rPr>
              <w:t>Pfizer Luxembourg SARL filiāle Latvijā</w:t>
            </w:r>
          </w:p>
          <w:p w14:paraId="75778A5E" w14:textId="77777777" w:rsidR="00565E19" w:rsidRPr="0058432E" w:rsidRDefault="00565E19" w:rsidP="00982118">
            <w:pPr>
              <w:rPr>
                <w:color w:val="000000" w:themeColor="text1"/>
              </w:rPr>
            </w:pPr>
            <w:r w:rsidRPr="0058432E">
              <w:rPr>
                <w:color w:val="000000" w:themeColor="text1"/>
              </w:rPr>
              <w:t>Tel. +371 67035775</w:t>
            </w:r>
          </w:p>
          <w:p w14:paraId="060433DC" w14:textId="77777777" w:rsidR="00565E19" w:rsidRPr="0058432E" w:rsidRDefault="00565E19" w:rsidP="00982118">
            <w:pPr>
              <w:autoSpaceDE w:val="0"/>
              <w:autoSpaceDN w:val="0"/>
              <w:rPr>
                <w:b/>
                <w:bCs/>
                <w:color w:val="000000" w:themeColor="text1"/>
              </w:rPr>
            </w:pPr>
          </w:p>
        </w:tc>
        <w:tc>
          <w:tcPr>
            <w:tcW w:w="4788" w:type="dxa"/>
            <w:tcMar>
              <w:top w:w="0" w:type="dxa"/>
              <w:left w:w="108" w:type="dxa"/>
              <w:bottom w:w="0" w:type="dxa"/>
              <w:right w:w="108" w:type="dxa"/>
            </w:tcMar>
          </w:tcPr>
          <w:p w14:paraId="6A462E33" w14:textId="214CD61B" w:rsidR="00565E19" w:rsidRPr="008444F9" w:rsidDel="00823CDC" w:rsidRDefault="00565E19" w:rsidP="00982118">
            <w:pPr>
              <w:rPr>
                <w:del w:id="70" w:author="Author" w:date="2025-06-12T13:57:00Z" w16du:dateUtc="2025-06-12T12:57:00Z"/>
                <w:b/>
                <w:bCs/>
                <w:color w:val="000000" w:themeColor="text1"/>
                <w:lang w:val="en-US"/>
              </w:rPr>
            </w:pPr>
            <w:del w:id="71" w:author="Author" w:date="2025-06-12T13:57:00Z" w16du:dateUtc="2025-06-12T12:57:00Z">
              <w:r w:rsidRPr="008444F9" w:rsidDel="00823CDC">
                <w:rPr>
                  <w:b/>
                  <w:bCs/>
                  <w:color w:val="000000" w:themeColor="text1"/>
                  <w:lang w:val="en-US"/>
                </w:rPr>
                <w:delText>United Kingdom</w:delText>
              </w:r>
              <w:r w:rsidR="007E214D" w:rsidRPr="008444F9" w:rsidDel="00823CDC">
                <w:rPr>
                  <w:b/>
                  <w:bCs/>
                  <w:color w:val="000000" w:themeColor="text1"/>
                  <w:lang w:val="en-US"/>
                </w:rPr>
                <w:delText xml:space="preserve"> (Northern Ireland)</w:delText>
              </w:r>
            </w:del>
          </w:p>
          <w:p w14:paraId="21674BF9" w14:textId="7768B936" w:rsidR="00565E19" w:rsidRPr="008444F9" w:rsidDel="00823CDC" w:rsidRDefault="00565E19" w:rsidP="00982118">
            <w:pPr>
              <w:rPr>
                <w:del w:id="72" w:author="Author" w:date="2025-06-12T13:57:00Z" w16du:dateUtc="2025-06-12T12:57:00Z"/>
                <w:color w:val="000000" w:themeColor="text1"/>
                <w:lang w:val="en-US"/>
              </w:rPr>
            </w:pPr>
            <w:del w:id="73" w:author="Author" w:date="2025-06-12T13:57:00Z" w16du:dateUtc="2025-06-12T12:57:00Z">
              <w:r w:rsidRPr="008444F9" w:rsidDel="00823CDC">
                <w:rPr>
                  <w:color w:val="000000" w:themeColor="text1"/>
                  <w:lang w:val="en-US"/>
                </w:rPr>
                <w:delText>Pfizer Limited</w:delText>
              </w:r>
            </w:del>
          </w:p>
          <w:p w14:paraId="12DA4316" w14:textId="2C614236" w:rsidR="00565E19" w:rsidRPr="0058432E" w:rsidDel="00823CDC" w:rsidRDefault="00565E19" w:rsidP="00982118">
            <w:pPr>
              <w:rPr>
                <w:del w:id="74" w:author="Author" w:date="2025-06-12T13:57:00Z" w16du:dateUtc="2025-06-12T12:57:00Z"/>
                <w:color w:val="000000" w:themeColor="text1"/>
              </w:rPr>
            </w:pPr>
            <w:del w:id="75" w:author="Author" w:date="2025-06-12T13:57:00Z" w16du:dateUtc="2025-06-12T12:57:00Z">
              <w:r w:rsidRPr="0058432E" w:rsidDel="00823CDC">
                <w:rPr>
                  <w:color w:val="000000" w:themeColor="text1"/>
                </w:rPr>
                <w:delText>Tel: +44 (0)1304 616161</w:delText>
              </w:r>
            </w:del>
          </w:p>
          <w:p w14:paraId="5A4C5C3C" w14:textId="77777777" w:rsidR="00565E19" w:rsidRPr="0058432E" w:rsidRDefault="00565E19">
            <w:pPr>
              <w:rPr>
                <w:b/>
                <w:bCs/>
                <w:color w:val="000000" w:themeColor="text1"/>
              </w:rPr>
              <w:pPrChange w:id="76" w:author="Author" w:date="2025-06-12T13:57:00Z" w16du:dateUtc="2025-06-12T12:57:00Z">
                <w:pPr>
                  <w:autoSpaceDE w:val="0"/>
                  <w:autoSpaceDN w:val="0"/>
                </w:pPr>
              </w:pPrChange>
            </w:pPr>
          </w:p>
        </w:tc>
      </w:tr>
      <w:tr w:rsidR="00565E19" w:rsidRPr="0058432E" w14:paraId="151EC5DC" w14:textId="77777777" w:rsidTr="00053717">
        <w:trPr>
          <w:gridAfter w:val="1"/>
          <w:wAfter w:w="285" w:type="dxa"/>
        </w:trPr>
        <w:tc>
          <w:tcPr>
            <w:tcW w:w="4158" w:type="dxa"/>
            <w:tcMar>
              <w:top w:w="0" w:type="dxa"/>
              <w:left w:w="108" w:type="dxa"/>
              <w:bottom w:w="0" w:type="dxa"/>
              <w:right w:w="108" w:type="dxa"/>
            </w:tcMar>
            <w:hideMark/>
          </w:tcPr>
          <w:p w14:paraId="1E50E2AD" w14:textId="77777777" w:rsidR="00565E19" w:rsidRPr="0000463E" w:rsidRDefault="00565E19" w:rsidP="00982118">
            <w:pPr>
              <w:rPr>
                <w:b/>
                <w:bCs/>
                <w:color w:val="000000" w:themeColor="text1"/>
                <w:lang w:val="pt-PT"/>
              </w:rPr>
            </w:pPr>
            <w:r w:rsidRPr="0000463E">
              <w:rPr>
                <w:b/>
                <w:bCs/>
                <w:color w:val="000000" w:themeColor="text1"/>
                <w:lang w:val="pt-PT"/>
              </w:rPr>
              <w:t>Lietuva</w:t>
            </w:r>
          </w:p>
          <w:p w14:paraId="2014CB8F" w14:textId="77777777" w:rsidR="00565E19" w:rsidRPr="0000463E" w:rsidRDefault="00565E19" w:rsidP="00982118">
            <w:pPr>
              <w:rPr>
                <w:color w:val="000000" w:themeColor="text1"/>
                <w:lang w:val="pt-PT"/>
              </w:rPr>
            </w:pPr>
            <w:r w:rsidRPr="0000463E">
              <w:rPr>
                <w:color w:val="000000" w:themeColor="text1"/>
                <w:lang w:val="pt-PT"/>
              </w:rPr>
              <w:t>Pfizer Luxembourg SARL filialas Lietuvoje</w:t>
            </w:r>
          </w:p>
          <w:p w14:paraId="58D1F614" w14:textId="77777777" w:rsidR="00565E19" w:rsidRPr="0058432E" w:rsidRDefault="00565E19" w:rsidP="00982118">
            <w:pPr>
              <w:autoSpaceDE w:val="0"/>
              <w:autoSpaceDN w:val="0"/>
              <w:rPr>
                <w:b/>
                <w:bCs/>
                <w:color w:val="000000" w:themeColor="text1"/>
              </w:rPr>
            </w:pPr>
            <w:r w:rsidRPr="0058432E">
              <w:rPr>
                <w:color w:val="000000" w:themeColor="text1"/>
              </w:rPr>
              <w:t>Tel. +3705 2514000</w:t>
            </w:r>
          </w:p>
        </w:tc>
        <w:tc>
          <w:tcPr>
            <w:tcW w:w="4788" w:type="dxa"/>
            <w:tcMar>
              <w:top w:w="0" w:type="dxa"/>
              <w:left w:w="108" w:type="dxa"/>
              <w:bottom w:w="0" w:type="dxa"/>
              <w:right w:w="108" w:type="dxa"/>
            </w:tcMar>
          </w:tcPr>
          <w:p w14:paraId="09DA41E6" w14:textId="77777777" w:rsidR="00565E19" w:rsidRPr="0058432E" w:rsidRDefault="00565E19" w:rsidP="00982118">
            <w:pPr>
              <w:autoSpaceDE w:val="0"/>
              <w:autoSpaceDN w:val="0"/>
              <w:rPr>
                <w:b/>
                <w:bCs/>
                <w:color w:val="000000" w:themeColor="text1"/>
              </w:rPr>
            </w:pPr>
          </w:p>
        </w:tc>
      </w:tr>
    </w:tbl>
    <w:p w14:paraId="58995054" w14:textId="77777777" w:rsidR="00D9510A" w:rsidRPr="0058432E" w:rsidRDefault="00D9510A" w:rsidP="00982118">
      <w:pPr>
        <w:rPr>
          <w:color w:val="000000" w:themeColor="text1"/>
        </w:rPr>
      </w:pPr>
    </w:p>
    <w:p w14:paraId="0CAB8454" w14:textId="77777777" w:rsidR="00C46587" w:rsidRPr="0058432E" w:rsidRDefault="00C46587" w:rsidP="00982118">
      <w:pPr>
        <w:rPr>
          <w:b/>
          <w:color w:val="000000" w:themeColor="text1"/>
        </w:rPr>
      </w:pPr>
      <w:r w:rsidRPr="0058432E">
        <w:rPr>
          <w:b/>
          <w:color w:val="000000" w:themeColor="text1"/>
        </w:rPr>
        <w:t>La dernière date à laquelle cette notice a été révisée est</w:t>
      </w:r>
    </w:p>
    <w:p w14:paraId="2B004DE1" w14:textId="77777777" w:rsidR="00C46587" w:rsidRPr="0058432E" w:rsidRDefault="00C46587" w:rsidP="00982118">
      <w:pPr>
        <w:rPr>
          <w:color w:val="000000" w:themeColor="text1"/>
        </w:rPr>
      </w:pPr>
    </w:p>
    <w:p w14:paraId="45B86F87" w14:textId="7A93B933" w:rsidR="00C46587" w:rsidRPr="0058432E" w:rsidRDefault="00C46587" w:rsidP="00982118">
      <w:pPr>
        <w:rPr>
          <w:color w:val="000000" w:themeColor="text1"/>
        </w:rPr>
      </w:pPr>
      <w:r w:rsidRPr="0058432E">
        <w:rPr>
          <w:color w:val="000000" w:themeColor="text1"/>
        </w:rPr>
        <w:t xml:space="preserve">Des informations détaillées sur ce médicament sont disponibles sur le site internet de l’Agence européenne des médicaments </w:t>
      </w:r>
      <w:hyperlink r:id="rId72" w:history="1">
        <w:r w:rsidR="00B223FD" w:rsidRPr="0058432E">
          <w:rPr>
            <w:rStyle w:val="Hyperlink"/>
          </w:rPr>
          <w:t>https://www.ema.europa.eu</w:t>
        </w:r>
      </w:hyperlink>
      <w:r w:rsidRPr="0058432E">
        <w:rPr>
          <w:color w:val="000000" w:themeColor="text1"/>
        </w:rPr>
        <w:t>.</w:t>
      </w:r>
    </w:p>
    <w:p w14:paraId="4F9B7020" w14:textId="77777777" w:rsidR="003E58A8" w:rsidRPr="0058432E" w:rsidRDefault="00C33D47" w:rsidP="00982118">
      <w:pPr>
        <w:jc w:val="center"/>
        <w:rPr>
          <w:b/>
          <w:bCs/>
          <w:color w:val="000000" w:themeColor="text1"/>
        </w:rPr>
      </w:pPr>
      <w:r w:rsidRPr="0058432E">
        <w:rPr>
          <w:color w:val="000000" w:themeColor="text1"/>
        </w:rPr>
        <w:br w:type="page"/>
      </w:r>
      <w:r w:rsidRPr="0058432E">
        <w:rPr>
          <w:b/>
          <w:bCs/>
          <w:color w:val="000000" w:themeColor="text1"/>
        </w:rPr>
        <w:lastRenderedPageBreak/>
        <w:t>INSTRUCTIONS D’UTILISATION</w:t>
      </w:r>
    </w:p>
    <w:p w14:paraId="19294C8D" w14:textId="77777777" w:rsidR="003E58A8" w:rsidRPr="0058432E" w:rsidRDefault="00BE4A9C" w:rsidP="00982118">
      <w:pPr>
        <w:jc w:val="center"/>
        <w:rPr>
          <w:color w:val="000000" w:themeColor="text1"/>
        </w:rPr>
      </w:pPr>
      <w:r w:rsidRPr="0058432E">
        <w:rPr>
          <w:color w:val="000000" w:themeColor="text1"/>
        </w:rPr>
        <w:t>Amsparity (adalimumab)</w:t>
      </w:r>
    </w:p>
    <w:p w14:paraId="606A774A" w14:textId="77777777" w:rsidR="003E58A8" w:rsidRPr="0058432E" w:rsidRDefault="003E58A8" w:rsidP="00982118">
      <w:pPr>
        <w:jc w:val="center"/>
        <w:rPr>
          <w:color w:val="000000" w:themeColor="text1"/>
        </w:rPr>
      </w:pPr>
      <w:r w:rsidRPr="0058432E">
        <w:rPr>
          <w:color w:val="000000" w:themeColor="text1"/>
        </w:rPr>
        <w:t>Stylo prérempli unidose</w:t>
      </w:r>
    </w:p>
    <w:p w14:paraId="6F6F4951" w14:textId="77777777" w:rsidR="003E58A8" w:rsidRPr="0058432E" w:rsidRDefault="003E58A8" w:rsidP="00982118">
      <w:pPr>
        <w:jc w:val="center"/>
        <w:rPr>
          <w:b/>
          <w:color w:val="000000" w:themeColor="text1"/>
        </w:rPr>
      </w:pPr>
      <w:r w:rsidRPr="0058432E">
        <w:rPr>
          <w:color w:val="000000" w:themeColor="text1"/>
        </w:rPr>
        <w:t>40 mg, pour injection sous-cutanée</w:t>
      </w:r>
      <w:r w:rsidRPr="0058432E">
        <w:rPr>
          <w:b/>
          <w:color w:val="000000" w:themeColor="text1"/>
        </w:rPr>
        <w:t xml:space="preserve"> </w:t>
      </w:r>
    </w:p>
    <w:p w14:paraId="1B5C96CC" w14:textId="77777777" w:rsidR="003E58A8" w:rsidRPr="0058432E" w:rsidRDefault="003E58A8" w:rsidP="00982118">
      <w:pPr>
        <w:jc w:val="center"/>
        <w:rPr>
          <w:b/>
          <w:color w:val="000000" w:themeColor="text1"/>
        </w:rPr>
      </w:pPr>
    </w:p>
    <w:p w14:paraId="4A11D904" w14:textId="77777777" w:rsidR="003E58A8" w:rsidRPr="0058432E" w:rsidRDefault="003E58A8" w:rsidP="00982118">
      <w:pPr>
        <w:rPr>
          <w:color w:val="000000" w:themeColor="text1"/>
        </w:rPr>
      </w:pPr>
    </w:p>
    <w:p w14:paraId="29BF3E2E" w14:textId="77777777" w:rsidR="00CC00FF" w:rsidRPr="0058432E" w:rsidRDefault="00CC00FF" w:rsidP="00982118">
      <w:pPr>
        <w:rPr>
          <w:b/>
          <w:color w:val="000000" w:themeColor="text1"/>
        </w:rPr>
      </w:pPr>
      <w:r w:rsidRPr="0058432E">
        <w:rPr>
          <w:b/>
          <w:color w:val="000000" w:themeColor="text1"/>
        </w:rPr>
        <w:t xml:space="preserve">Gardez cette notice. Ces instructions expliquent, étape par étape, comment préparer et administrer une injection. </w:t>
      </w:r>
    </w:p>
    <w:p w14:paraId="28C12861" w14:textId="77777777" w:rsidR="00CC00FF" w:rsidRPr="0058432E" w:rsidRDefault="00CC00FF" w:rsidP="00982118">
      <w:pPr>
        <w:rPr>
          <w:b/>
          <w:color w:val="000000" w:themeColor="text1"/>
        </w:rPr>
      </w:pPr>
      <w:r w:rsidRPr="0058432E">
        <w:rPr>
          <w:b/>
          <w:color w:val="000000" w:themeColor="text1"/>
        </w:rPr>
        <w:t xml:space="preserve">Conservez votre stylo d’Amsparity au réfrigérateur, à une température comprise entre 2 °C et 8 °C. </w:t>
      </w:r>
    </w:p>
    <w:p w14:paraId="1536D786" w14:textId="77777777" w:rsidR="00CC00FF" w:rsidRPr="0058432E" w:rsidRDefault="00CC00FF" w:rsidP="00982118">
      <w:pPr>
        <w:rPr>
          <w:b/>
          <w:color w:val="000000" w:themeColor="text1"/>
        </w:rPr>
      </w:pPr>
      <w:r w:rsidRPr="0058432E">
        <w:rPr>
          <w:b/>
          <w:color w:val="000000" w:themeColor="text1"/>
        </w:rPr>
        <w:t>Conservez le stylo d’Amsparity dans l’emballage d’origine jusqu’à son utilisation pour le protéger des rayons directs du soleil.</w:t>
      </w:r>
    </w:p>
    <w:p w14:paraId="73F6F1B0" w14:textId="77777777" w:rsidR="00236C59" w:rsidRPr="0058432E" w:rsidRDefault="00236C59" w:rsidP="00982118">
      <w:pPr>
        <w:rPr>
          <w:b/>
          <w:color w:val="000000" w:themeColor="text1"/>
        </w:rPr>
      </w:pPr>
      <w:r w:rsidRPr="0058432E">
        <w:rPr>
          <w:b/>
          <w:color w:val="000000" w:themeColor="text1"/>
        </w:rPr>
        <w:t xml:space="preserve">Si nécessaire, par exemple lorsque vous voyagez, vous pouvez conserver le stylo Amsparity à la température ambiante jusqu'à 30°C </w:t>
      </w:r>
      <w:r w:rsidR="002420F3" w:rsidRPr="0058432E">
        <w:rPr>
          <w:b/>
          <w:color w:val="000000" w:themeColor="text1"/>
        </w:rPr>
        <w:t>jusqu'à</w:t>
      </w:r>
      <w:r w:rsidRPr="0058432E">
        <w:rPr>
          <w:b/>
          <w:color w:val="000000" w:themeColor="text1"/>
        </w:rPr>
        <w:t xml:space="preserve"> 30 jours.</w:t>
      </w:r>
    </w:p>
    <w:p w14:paraId="63A2EE1D" w14:textId="77777777" w:rsidR="00CC00FF" w:rsidRPr="0058432E" w:rsidRDefault="00CC00FF" w:rsidP="00982118">
      <w:pPr>
        <w:rPr>
          <w:b/>
          <w:color w:val="000000" w:themeColor="text1"/>
        </w:rPr>
      </w:pPr>
      <w:r w:rsidRPr="0058432E">
        <w:rPr>
          <w:b/>
          <w:color w:val="000000" w:themeColor="text1"/>
        </w:rPr>
        <w:t>Conservez Amsparity, le matériel d’injection et les autres médicaments hors de la portée des enfants.</w:t>
      </w:r>
    </w:p>
    <w:p w14:paraId="7C95AE11" w14:textId="77777777" w:rsidR="00CC00FF" w:rsidRPr="0058432E" w:rsidRDefault="006A1144" w:rsidP="00982118">
      <w:pPr>
        <w:rPr>
          <w:color w:val="000000" w:themeColor="text1"/>
        </w:rPr>
      </w:pPr>
      <w:r w:rsidRPr="0058432E">
        <w:rPr>
          <w:color w:val="000000" w:themeColor="text1"/>
        </w:rPr>
        <w:t>Amsparity</w:t>
      </w:r>
      <w:r w:rsidRPr="0058432E">
        <w:rPr>
          <w:b/>
          <w:color w:val="000000" w:themeColor="text1"/>
        </w:rPr>
        <w:t xml:space="preserve"> </w:t>
      </w:r>
      <w:r w:rsidRPr="0058432E">
        <w:rPr>
          <w:color w:val="000000" w:themeColor="text1"/>
        </w:rPr>
        <w:t>pour injection se présente comme un stylo à usage unique jetable contenant une dose unique de médicament.</w:t>
      </w:r>
    </w:p>
    <w:p w14:paraId="1543B2B9" w14:textId="77777777" w:rsidR="00236C59" w:rsidRPr="0058432E" w:rsidRDefault="00236C59" w:rsidP="00236C59">
      <w:pPr>
        <w:rPr>
          <w:color w:val="000000" w:themeColor="text1"/>
        </w:rPr>
      </w:pPr>
      <w:r w:rsidRPr="0058432E">
        <w:rPr>
          <w:b/>
          <w:color w:val="000000" w:themeColor="text1"/>
        </w:rPr>
        <w:t>N'essayez pas</w:t>
      </w:r>
      <w:r w:rsidRPr="0058432E">
        <w:rPr>
          <w:color w:val="000000" w:themeColor="text1"/>
        </w:rPr>
        <w:t xml:space="preserve"> d'injecter Amsparity vous-même avant d'avoir lu et compris </w:t>
      </w:r>
      <w:r w:rsidR="002420F3" w:rsidRPr="0058432E">
        <w:rPr>
          <w:color w:val="000000" w:themeColor="text1"/>
        </w:rPr>
        <w:t>les instructions d’utilisation</w:t>
      </w:r>
      <w:r w:rsidRPr="0058432E">
        <w:rPr>
          <w:color w:val="000000" w:themeColor="text1"/>
        </w:rPr>
        <w:t xml:space="preserve">. Si votre médecin, votre </w:t>
      </w:r>
      <w:r w:rsidR="00D27AD3" w:rsidRPr="0058432E">
        <w:rPr>
          <w:color w:val="000000" w:themeColor="text1"/>
        </w:rPr>
        <w:t>infirmier/ère</w:t>
      </w:r>
      <w:r w:rsidRPr="0058432E">
        <w:rPr>
          <w:color w:val="000000" w:themeColor="text1"/>
        </w:rPr>
        <w:t xml:space="preserve"> ou votre pharmacien décide que vous ou une personne soignante pourriez être en mesure </w:t>
      </w:r>
      <w:r w:rsidR="00C13D5B" w:rsidRPr="0058432E">
        <w:rPr>
          <w:color w:val="000000" w:themeColor="text1"/>
        </w:rPr>
        <w:t>d’administrer</w:t>
      </w:r>
      <w:r w:rsidRPr="0058432E">
        <w:rPr>
          <w:color w:val="000000" w:themeColor="text1"/>
        </w:rPr>
        <w:t xml:space="preserve"> vos injections d'Amsparity à domicile, vous devriez recevoir une formation sur la bonne façon de préparer et d'injecter Amsparity.</w:t>
      </w:r>
    </w:p>
    <w:p w14:paraId="612C1016" w14:textId="77777777" w:rsidR="00236C59" w:rsidRPr="0058432E" w:rsidRDefault="00236C59" w:rsidP="00236C59">
      <w:pPr>
        <w:rPr>
          <w:color w:val="000000" w:themeColor="text1"/>
        </w:rPr>
      </w:pPr>
      <w:r w:rsidRPr="0058432E">
        <w:rPr>
          <w:color w:val="000000" w:themeColor="text1"/>
        </w:rPr>
        <w:t xml:space="preserve">Il est également important de parler à votre médecin, à votre </w:t>
      </w:r>
      <w:r w:rsidR="00D27AD3" w:rsidRPr="0058432E">
        <w:rPr>
          <w:color w:val="000000" w:themeColor="text1"/>
        </w:rPr>
        <w:t>infirmier/ère</w:t>
      </w:r>
      <w:r w:rsidRPr="0058432E">
        <w:rPr>
          <w:color w:val="000000" w:themeColor="text1"/>
        </w:rPr>
        <w:t xml:space="preserve"> ou à votre pharmacien pour vous assurer que vous comprenez bien les instructions de dosage d'Amsparity. Pour vous aider à vous rappeler quand injecter Amsparity, vous pouvez </w:t>
      </w:r>
      <w:r w:rsidR="00C13D5B" w:rsidRPr="0058432E">
        <w:rPr>
          <w:color w:val="000000" w:themeColor="text1"/>
        </w:rPr>
        <w:t>l’indiquer sur</w:t>
      </w:r>
      <w:r w:rsidRPr="0058432E">
        <w:rPr>
          <w:color w:val="000000" w:themeColor="text1"/>
        </w:rPr>
        <w:t xml:space="preserve"> votre calendrier à l'avance. Parlez à votre médecin, à votre </w:t>
      </w:r>
      <w:r w:rsidR="00D27AD3" w:rsidRPr="0058432E">
        <w:rPr>
          <w:color w:val="000000" w:themeColor="text1"/>
        </w:rPr>
        <w:t>infirmier/ère</w:t>
      </w:r>
      <w:r w:rsidRPr="0058432E">
        <w:rPr>
          <w:color w:val="000000" w:themeColor="text1"/>
        </w:rPr>
        <w:t xml:space="preserve"> ou à votre pharmacien si vous ou votre </w:t>
      </w:r>
      <w:r w:rsidR="00C13D5B" w:rsidRPr="0058432E">
        <w:rPr>
          <w:color w:val="000000" w:themeColor="text1"/>
        </w:rPr>
        <w:t>personne soignante</w:t>
      </w:r>
      <w:r w:rsidRPr="0058432E">
        <w:rPr>
          <w:color w:val="000000" w:themeColor="text1"/>
        </w:rPr>
        <w:t xml:space="preserve"> avez des questions sur la bonne façon d'injecter Amsparity.</w:t>
      </w:r>
    </w:p>
    <w:p w14:paraId="727214A0" w14:textId="77777777" w:rsidR="00CC00FF" w:rsidRPr="0058432E" w:rsidRDefault="00236C59" w:rsidP="00982118">
      <w:pPr>
        <w:rPr>
          <w:color w:val="000000" w:themeColor="text1"/>
        </w:rPr>
      </w:pPr>
      <w:r w:rsidRPr="0058432E">
        <w:rPr>
          <w:color w:val="000000" w:themeColor="text1"/>
        </w:rPr>
        <w:t>Après une formation adéquate</w:t>
      </w:r>
      <w:r w:rsidR="00C13D5B" w:rsidRPr="0058432E">
        <w:rPr>
          <w:color w:val="000000" w:themeColor="text1"/>
        </w:rPr>
        <w:t xml:space="preserve">, </w:t>
      </w:r>
      <w:r w:rsidR="006A1144" w:rsidRPr="0058432E">
        <w:rPr>
          <w:color w:val="000000" w:themeColor="text1"/>
        </w:rPr>
        <w:t xml:space="preserve">Amsparity pour injection peut être </w:t>
      </w:r>
      <w:r w:rsidRPr="0058432E">
        <w:rPr>
          <w:color w:val="000000" w:themeColor="text1"/>
        </w:rPr>
        <w:t>auto-administré ou administré</w:t>
      </w:r>
      <w:r w:rsidR="006A1144" w:rsidRPr="0058432E">
        <w:rPr>
          <w:color w:val="000000" w:themeColor="text1"/>
        </w:rPr>
        <w:t xml:space="preserve"> par un</w:t>
      </w:r>
      <w:r w:rsidR="002420F3" w:rsidRPr="0058432E">
        <w:rPr>
          <w:color w:val="000000" w:themeColor="text1"/>
        </w:rPr>
        <w:t>e personne</w:t>
      </w:r>
      <w:r w:rsidR="006A1144" w:rsidRPr="0058432E">
        <w:rPr>
          <w:color w:val="000000" w:themeColor="text1"/>
        </w:rPr>
        <w:t xml:space="preserve"> soignan</w:t>
      </w:r>
      <w:r w:rsidRPr="0058432E">
        <w:rPr>
          <w:color w:val="000000" w:themeColor="text1"/>
        </w:rPr>
        <w:t>t</w:t>
      </w:r>
      <w:r w:rsidR="002420F3" w:rsidRPr="0058432E">
        <w:rPr>
          <w:color w:val="000000" w:themeColor="text1"/>
        </w:rPr>
        <w:t>e</w:t>
      </w:r>
      <w:r w:rsidR="006A1144" w:rsidRPr="0058432E">
        <w:rPr>
          <w:color w:val="000000" w:themeColor="text1"/>
        </w:rPr>
        <w:t>.</w:t>
      </w:r>
    </w:p>
    <w:p w14:paraId="1D8E28E6" w14:textId="77777777" w:rsidR="00CC00FF" w:rsidRPr="0058432E" w:rsidRDefault="00CC00FF" w:rsidP="00982118">
      <w:pPr>
        <w:rPr>
          <w:b/>
          <w:color w:val="000000" w:themeColor="text1"/>
        </w:rPr>
      </w:pPr>
    </w:p>
    <w:p w14:paraId="71C3D33F" w14:textId="77777777" w:rsidR="00920CA5" w:rsidRPr="0058432E" w:rsidRDefault="00920CA5" w:rsidP="00982118">
      <w:pPr>
        <w:rPr>
          <w:b/>
          <w:color w:val="000000" w:themeColor="text1"/>
        </w:rPr>
      </w:pPr>
    </w:p>
    <w:p w14:paraId="008C13F9" w14:textId="77777777" w:rsidR="00CC00FF" w:rsidRPr="0058432E" w:rsidRDefault="00CC00FF" w:rsidP="00982118">
      <w:pPr>
        <w:rPr>
          <w:b/>
          <w:color w:val="000000" w:themeColor="text1"/>
        </w:rPr>
      </w:pPr>
      <w:r w:rsidRPr="0058432E">
        <w:rPr>
          <w:b/>
          <w:color w:val="000000" w:themeColor="text1"/>
        </w:rPr>
        <w:t xml:space="preserve">1. </w:t>
      </w:r>
      <w:r w:rsidRPr="0058432E">
        <w:rPr>
          <w:b/>
          <w:color w:val="000000" w:themeColor="text1"/>
        </w:rPr>
        <w:tab/>
        <w:t>Matériel dont vous avez besoin</w:t>
      </w:r>
    </w:p>
    <w:p w14:paraId="18E6E325" w14:textId="77777777" w:rsidR="00CC00FF" w:rsidRPr="0058432E" w:rsidRDefault="00CC00FF" w:rsidP="00982118">
      <w:pPr>
        <w:jc w:val="center"/>
        <w:rPr>
          <w:color w:val="000000" w:themeColor="text1"/>
        </w:rPr>
      </w:pPr>
    </w:p>
    <w:p w14:paraId="6CA4B1F2" w14:textId="77777777" w:rsidR="00CC00FF" w:rsidRPr="0058432E" w:rsidRDefault="00CC00FF" w:rsidP="00053717">
      <w:pPr>
        <w:pStyle w:val="ListParagraph"/>
        <w:numPr>
          <w:ilvl w:val="0"/>
          <w:numId w:val="31"/>
        </w:numPr>
        <w:ind w:left="562" w:hanging="562"/>
        <w:contextualSpacing/>
        <w:rPr>
          <w:color w:val="000000" w:themeColor="text1"/>
        </w:rPr>
      </w:pPr>
      <w:r w:rsidRPr="0058432E">
        <w:rPr>
          <w:color w:val="000000" w:themeColor="text1"/>
        </w:rPr>
        <w:t>Pour chaque injection d’Amsparity, vous aurez besoin du matériel suivant. Trouvez une surface propre et plane sur laquelle placer le matériel.</w:t>
      </w:r>
    </w:p>
    <w:p w14:paraId="054B7C67" w14:textId="77777777" w:rsidR="00CC00FF" w:rsidRPr="0058432E" w:rsidRDefault="00CC00FF" w:rsidP="00053717">
      <w:pPr>
        <w:pStyle w:val="ListParagraph"/>
        <w:numPr>
          <w:ilvl w:val="1"/>
          <w:numId w:val="31"/>
        </w:numPr>
        <w:ind w:left="1124" w:hanging="562"/>
        <w:contextualSpacing/>
        <w:rPr>
          <w:color w:val="000000" w:themeColor="text1"/>
        </w:rPr>
      </w:pPr>
      <w:r w:rsidRPr="0058432E">
        <w:rPr>
          <w:color w:val="000000" w:themeColor="text1"/>
        </w:rPr>
        <w:t>1 stylo d’Amsparity à l’intérieur de la boîte</w:t>
      </w:r>
    </w:p>
    <w:p w14:paraId="3BF03171" w14:textId="77777777" w:rsidR="00CC00FF" w:rsidRPr="0058432E" w:rsidRDefault="00CC00FF" w:rsidP="00053717">
      <w:pPr>
        <w:pStyle w:val="ListParagraph"/>
        <w:numPr>
          <w:ilvl w:val="1"/>
          <w:numId w:val="31"/>
        </w:numPr>
        <w:ind w:left="1124" w:hanging="562"/>
        <w:contextualSpacing/>
        <w:rPr>
          <w:color w:val="000000" w:themeColor="text1"/>
        </w:rPr>
      </w:pPr>
      <w:r w:rsidRPr="0058432E">
        <w:rPr>
          <w:color w:val="000000" w:themeColor="text1"/>
        </w:rPr>
        <w:t>1 tampon d’alcool, à l’intérieur de la boîte</w:t>
      </w:r>
    </w:p>
    <w:p w14:paraId="08A59478" w14:textId="77777777" w:rsidR="00CC00FF" w:rsidRPr="0058432E" w:rsidRDefault="00CC00FF" w:rsidP="00053717">
      <w:pPr>
        <w:pStyle w:val="ListParagraph"/>
        <w:numPr>
          <w:ilvl w:val="1"/>
          <w:numId w:val="31"/>
        </w:numPr>
        <w:ind w:left="1124" w:hanging="562"/>
        <w:contextualSpacing/>
        <w:rPr>
          <w:color w:val="000000" w:themeColor="text1"/>
        </w:rPr>
      </w:pPr>
      <w:r w:rsidRPr="0058432E">
        <w:rPr>
          <w:color w:val="000000" w:themeColor="text1"/>
        </w:rPr>
        <w:t>1 boule de coton ou compresse (non incluse dans votre boîte Amsparity)</w:t>
      </w:r>
    </w:p>
    <w:p w14:paraId="533D7FF5" w14:textId="77777777" w:rsidR="00CC00FF" w:rsidRPr="0058432E" w:rsidRDefault="00CC00FF" w:rsidP="00053717">
      <w:pPr>
        <w:pStyle w:val="ListParagraph"/>
        <w:numPr>
          <w:ilvl w:val="0"/>
          <w:numId w:val="38"/>
        </w:numPr>
        <w:ind w:left="1124" w:hanging="562"/>
        <w:contextualSpacing/>
        <w:rPr>
          <w:color w:val="000000" w:themeColor="text1"/>
        </w:rPr>
      </w:pPr>
      <w:r w:rsidRPr="0058432E">
        <w:rPr>
          <w:color w:val="000000" w:themeColor="text1"/>
        </w:rPr>
        <w:t>Un réceptacle destiné aux objets tranchants et pointus approprié (non inclus dans votre boîte Amsparity).</w:t>
      </w:r>
    </w:p>
    <w:p w14:paraId="7962B4F7" w14:textId="77777777" w:rsidR="00DD63EB" w:rsidRPr="0058432E" w:rsidRDefault="00DD63EB" w:rsidP="00A53E17">
      <w:pPr>
        <w:pStyle w:val="ListParagraph"/>
        <w:ind w:left="0"/>
        <w:contextualSpacing/>
        <w:rPr>
          <w:color w:val="000000" w:themeColor="text1"/>
        </w:rPr>
      </w:pPr>
      <w:r w:rsidRPr="0058432E">
        <w:rPr>
          <w:b/>
          <w:color w:val="000000" w:themeColor="text1"/>
        </w:rPr>
        <w:t>Important</w:t>
      </w:r>
      <w:r w:rsidRPr="0058432E">
        <w:rPr>
          <w:color w:val="000000" w:themeColor="text1"/>
        </w:rPr>
        <w:t xml:space="preserve"> : Si vous avez des questions au sujet de votre stylo ou de votre médicament Amsparity, parlez-en à votre médecin, </w:t>
      </w:r>
      <w:r w:rsidR="00D27AD3" w:rsidRPr="0058432E">
        <w:rPr>
          <w:color w:val="000000" w:themeColor="text1"/>
        </w:rPr>
        <w:t>infirmier/ère</w:t>
      </w:r>
      <w:r w:rsidRPr="0058432E">
        <w:rPr>
          <w:color w:val="000000" w:themeColor="text1"/>
        </w:rPr>
        <w:t xml:space="preserve"> ou pharmacien.</w:t>
      </w:r>
    </w:p>
    <w:p w14:paraId="5AC55533" w14:textId="77777777" w:rsidR="00CC00FF" w:rsidRPr="0058432E" w:rsidRDefault="00CC00FF" w:rsidP="00982118">
      <w:pPr>
        <w:rPr>
          <w:b/>
          <w:color w:val="000000" w:themeColor="text1"/>
        </w:rPr>
      </w:pPr>
    </w:p>
    <w:p w14:paraId="5F626DE7" w14:textId="77777777" w:rsidR="00920CA5" w:rsidRPr="0058432E" w:rsidRDefault="00920CA5" w:rsidP="00982118">
      <w:pPr>
        <w:rPr>
          <w:b/>
          <w:color w:val="000000" w:themeColor="text1"/>
        </w:rPr>
      </w:pPr>
    </w:p>
    <w:p w14:paraId="5E1F11BB" w14:textId="77777777" w:rsidR="00CC00FF" w:rsidRPr="0058432E" w:rsidRDefault="00CC00FF" w:rsidP="00982118">
      <w:pPr>
        <w:rPr>
          <w:b/>
          <w:color w:val="000000" w:themeColor="text1"/>
        </w:rPr>
      </w:pPr>
      <w:r w:rsidRPr="0058432E">
        <w:rPr>
          <w:b/>
          <w:color w:val="000000" w:themeColor="text1"/>
        </w:rPr>
        <w:t xml:space="preserve">2. </w:t>
      </w:r>
      <w:r w:rsidRPr="0058432E">
        <w:rPr>
          <w:b/>
          <w:color w:val="000000" w:themeColor="text1"/>
        </w:rPr>
        <w:tab/>
        <w:t>Préparation</w:t>
      </w:r>
    </w:p>
    <w:p w14:paraId="68F81277" w14:textId="77777777" w:rsidR="00CC00FF" w:rsidRPr="0058432E" w:rsidRDefault="00CC00FF" w:rsidP="00982118">
      <w:pPr>
        <w:rPr>
          <w:b/>
          <w:color w:val="000000" w:themeColor="text1"/>
        </w:rPr>
      </w:pPr>
    </w:p>
    <w:p w14:paraId="0FE94FC7" w14:textId="77777777" w:rsidR="00CC00FF" w:rsidRPr="0058432E" w:rsidRDefault="00CC00FF" w:rsidP="00E23160">
      <w:pPr>
        <w:pStyle w:val="ListParagraph"/>
        <w:numPr>
          <w:ilvl w:val="0"/>
          <w:numId w:val="33"/>
        </w:numPr>
        <w:ind w:left="562" w:hanging="562"/>
        <w:contextualSpacing/>
        <w:rPr>
          <w:color w:val="000000" w:themeColor="text1"/>
        </w:rPr>
      </w:pPr>
      <w:r w:rsidRPr="0058432E">
        <w:rPr>
          <w:color w:val="000000" w:themeColor="text1"/>
        </w:rPr>
        <w:t>Sortez la boîte Amsparity du réfrigérateur.</w:t>
      </w:r>
    </w:p>
    <w:p w14:paraId="04A63207" w14:textId="77777777" w:rsidR="00CC00FF" w:rsidRPr="0058432E" w:rsidRDefault="00CC00FF" w:rsidP="00E23160">
      <w:pPr>
        <w:pStyle w:val="ListParagraph"/>
        <w:numPr>
          <w:ilvl w:val="0"/>
          <w:numId w:val="33"/>
        </w:numPr>
        <w:ind w:left="562" w:hanging="562"/>
        <w:contextualSpacing/>
        <w:rPr>
          <w:color w:val="000000" w:themeColor="text1"/>
        </w:rPr>
      </w:pPr>
      <w:r w:rsidRPr="0058432E">
        <w:rPr>
          <w:color w:val="000000" w:themeColor="text1"/>
        </w:rPr>
        <w:t>Sortez 1 stylo d’Amsparity et le tampon d’alcool. Conservez votre stylo à l’abri de la lumière directe du soleil. Remettez la boîte d’origine et tout stylo non utilisé au réfrigérateur.</w:t>
      </w:r>
    </w:p>
    <w:p w14:paraId="76D9FAE0" w14:textId="77777777" w:rsidR="00CC00FF" w:rsidRPr="0058432E" w:rsidRDefault="00CC00FF" w:rsidP="00E23160">
      <w:pPr>
        <w:pStyle w:val="ListParagraph"/>
        <w:numPr>
          <w:ilvl w:val="0"/>
          <w:numId w:val="33"/>
        </w:numPr>
        <w:ind w:left="562" w:hanging="562"/>
        <w:contextualSpacing/>
        <w:rPr>
          <w:color w:val="000000" w:themeColor="text1"/>
        </w:rPr>
      </w:pPr>
      <w:r w:rsidRPr="0058432E">
        <w:rPr>
          <w:b/>
          <w:color w:val="000000" w:themeColor="text1"/>
        </w:rPr>
        <w:t>N’utilisez pas</w:t>
      </w:r>
      <w:r w:rsidRPr="0058432E">
        <w:rPr>
          <w:color w:val="000000" w:themeColor="text1"/>
        </w:rPr>
        <w:t xml:space="preserve"> votre stylo si :</w:t>
      </w:r>
    </w:p>
    <w:p w14:paraId="237A5664"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votre</w:t>
      </w:r>
      <w:proofErr w:type="gramEnd"/>
      <w:r w:rsidRPr="0058432E">
        <w:rPr>
          <w:color w:val="000000" w:themeColor="text1"/>
        </w:rPr>
        <w:t xml:space="preserve"> stylo ou la boîte contenant le stylo est tombé</w:t>
      </w:r>
      <w:r w:rsidR="00645A6C" w:rsidRPr="0058432E">
        <w:rPr>
          <w:color w:val="000000" w:themeColor="text1"/>
        </w:rPr>
        <w:t xml:space="preserve">, même s'il n'a pas l'air endommagé </w:t>
      </w:r>
    </w:p>
    <w:p w14:paraId="27510D47"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congelé ou décongelé</w:t>
      </w:r>
    </w:p>
    <w:p w14:paraId="6B771330"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semble endommagé </w:t>
      </w:r>
    </w:p>
    <w:p w14:paraId="522813B2"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les</w:t>
      </w:r>
      <w:proofErr w:type="gramEnd"/>
      <w:r w:rsidRPr="0058432E">
        <w:rPr>
          <w:color w:val="000000" w:themeColor="text1"/>
        </w:rPr>
        <w:t xml:space="preserve"> scellés sur la nouvelle boîte sont brisés</w:t>
      </w:r>
    </w:p>
    <w:p w14:paraId="668865DC"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il</w:t>
      </w:r>
      <w:proofErr w:type="gramEnd"/>
      <w:r w:rsidRPr="0058432E">
        <w:rPr>
          <w:color w:val="000000" w:themeColor="text1"/>
        </w:rPr>
        <w:t xml:space="preserve"> a été sorti du réfrigérateur pendant plus de 30 jours</w:t>
      </w:r>
    </w:p>
    <w:p w14:paraId="19B88CBB" w14:textId="77777777" w:rsidR="00CC00FF" w:rsidRPr="0058432E" w:rsidRDefault="00CC00FF" w:rsidP="00E23160">
      <w:pPr>
        <w:pStyle w:val="ListParagraph"/>
        <w:numPr>
          <w:ilvl w:val="1"/>
          <w:numId w:val="31"/>
        </w:numPr>
        <w:ind w:left="1124" w:hanging="562"/>
        <w:contextualSpacing/>
        <w:rPr>
          <w:color w:val="000000" w:themeColor="text1"/>
        </w:rPr>
      </w:pPr>
      <w:proofErr w:type="gramStart"/>
      <w:r w:rsidRPr="0058432E">
        <w:rPr>
          <w:color w:val="000000" w:themeColor="text1"/>
        </w:rPr>
        <w:t>la</w:t>
      </w:r>
      <w:proofErr w:type="gramEnd"/>
      <w:r w:rsidRPr="0058432E">
        <w:rPr>
          <w:color w:val="000000" w:themeColor="text1"/>
        </w:rPr>
        <w:t xml:space="preserve"> date de péremption est dépassée.</w:t>
      </w:r>
    </w:p>
    <w:p w14:paraId="57FB934F" w14:textId="77777777" w:rsidR="00645A6C" w:rsidRPr="0058432E" w:rsidRDefault="00645A6C" w:rsidP="00E23160">
      <w:pPr>
        <w:pStyle w:val="ListParagraph"/>
        <w:numPr>
          <w:ilvl w:val="0"/>
          <w:numId w:val="39"/>
        </w:numPr>
        <w:ind w:left="562" w:hanging="562"/>
        <w:contextualSpacing/>
        <w:rPr>
          <w:color w:val="000000" w:themeColor="text1"/>
        </w:rPr>
      </w:pPr>
      <w:r w:rsidRPr="0058432E">
        <w:rPr>
          <w:color w:val="000000" w:themeColor="text1"/>
        </w:rPr>
        <w:lastRenderedPageBreak/>
        <w:t>Si l'une de ces conditions s'applique, jetez votre stylo de la même manière qu'un stylo usagé. Vous aurez besoin d'un nouveau stylo pour faire votre injection.</w:t>
      </w:r>
    </w:p>
    <w:p w14:paraId="694F326F" w14:textId="77777777" w:rsidR="00645A6C" w:rsidRPr="0058432E" w:rsidRDefault="00645A6C" w:rsidP="00E23160">
      <w:pPr>
        <w:pStyle w:val="ListParagraph"/>
        <w:numPr>
          <w:ilvl w:val="0"/>
          <w:numId w:val="39"/>
        </w:numPr>
        <w:ind w:left="562" w:hanging="562"/>
        <w:contextualSpacing/>
        <w:rPr>
          <w:color w:val="000000" w:themeColor="text1"/>
        </w:rPr>
      </w:pPr>
      <w:r w:rsidRPr="0058432E">
        <w:rPr>
          <w:color w:val="000000" w:themeColor="text1"/>
        </w:rPr>
        <w:t xml:space="preserve">Votre stylo peut être utilisé </w:t>
      </w:r>
      <w:r w:rsidR="005F44AD" w:rsidRPr="0058432E">
        <w:rPr>
          <w:color w:val="000000" w:themeColor="text1"/>
        </w:rPr>
        <w:t>dès la sortie du</w:t>
      </w:r>
      <w:r w:rsidRPr="0058432E">
        <w:rPr>
          <w:color w:val="000000" w:themeColor="text1"/>
        </w:rPr>
        <w:t xml:space="preserve"> réfrigérateur.</w:t>
      </w:r>
    </w:p>
    <w:p w14:paraId="1E4ECC61" w14:textId="77777777" w:rsidR="00CC00FF" w:rsidRPr="0058432E" w:rsidRDefault="004A65E2" w:rsidP="00E23160">
      <w:pPr>
        <w:pStyle w:val="ListParagraph"/>
        <w:numPr>
          <w:ilvl w:val="0"/>
          <w:numId w:val="39"/>
        </w:numPr>
        <w:ind w:left="562" w:hanging="562"/>
        <w:contextualSpacing/>
        <w:rPr>
          <w:color w:val="000000" w:themeColor="text1"/>
        </w:rPr>
      </w:pPr>
      <w:r w:rsidRPr="0058432E">
        <w:rPr>
          <w:color w:val="000000" w:themeColor="text1"/>
        </w:rPr>
        <w:t xml:space="preserve">Vous constaterez peut-être que l'utilisation de votre stylo à la température </w:t>
      </w:r>
      <w:r w:rsidR="00B114DE" w:rsidRPr="0058432E">
        <w:rPr>
          <w:color w:val="000000" w:themeColor="text1"/>
        </w:rPr>
        <w:t>ambiante</w:t>
      </w:r>
      <w:r w:rsidRPr="0058432E">
        <w:rPr>
          <w:color w:val="000000" w:themeColor="text1"/>
        </w:rPr>
        <w:t xml:space="preserve"> réduit </w:t>
      </w:r>
      <w:r w:rsidR="005F44AD" w:rsidRPr="0058432E">
        <w:rPr>
          <w:color w:val="000000" w:themeColor="text1"/>
        </w:rPr>
        <w:t>la douleur</w:t>
      </w:r>
      <w:r w:rsidRPr="0058432E">
        <w:rPr>
          <w:color w:val="000000" w:themeColor="text1"/>
        </w:rPr>
        <w:t xml:space="preserve"> ou l'inconfort. </w:t>
      </w:r>
      <w:r w:rsidR="00F76902" w:rsidRPr="0058432E">
        <w:rPr>
          <w:color w:val="000000" w:themeColor="text1"/>
        </w:rPr>
        <w:t>L</w:t>
      </w:r>
      <w:r w:rsidR="00CC00FF" w:rsidRPr="0058432E">
        <w:rPr>
          <w:color w:val="000000" w:themeColor="text1"/>
        </w:rPr>
        <w:t>aisse</w:t>
      </w:r>
      <w:r w:rsidR="00B114DE" w:rsidRPr="0058432E">
        <w:rPr>
          <w:color w:val="000000" w:themeColor="text1"/>
        </w:rPr>
        <w:t>z</w:t>
      </w:r>
      <w:r w:rsidR="00CC00FF" w:rsidRPr="0058432E">
        <w:rPr>
          <w:color w:val="000000" w:themeColor="text1"/>
        </w:rPr>
        <w:t xml:space="preserve"> votre stylo à température ambiante </w:t>
      </w:r>
      <w:r w:rsidR="00F76902" w:rsidRPr="0058432E">
        <w:rPr>
          <w:color w:val="000000" w:themeColor="text1"/>
        </w:rPr>
        <w:t xml:space="preserve">à l'abri de la lumière directe du soleil </w:t>
      </w:r>
      <w:r w:rsidR="00CC00FF" w:rsidRPr="0058432E">
        <w:rPr>
          <w:color w:val="000000" w:themeColor="text1"/>
        </w:rPr>
        <w:t>pendant 15 à 30 minutes avant votre injection.</w:t>
      </w:r>
    </w:p>
    <w:p w14:paraId="500368F9" w14:textId="77777777" w:rsidR="00CC00FF" w:rsidRPr="0058432E" w:rsidRDefault="00CC00FF" w:rsidP="00E23160">
      <w:pPr>
        <w:pStyle w:val="ListParagraph"/>
        <w:numPr>
          <w:ilvl w:val="0"/>
          <w:numId w:val="39"/>
        </w:numPr>
        <w:ind w:left="562" w:hanging="562"/>
        <w:contextualSpacing/>
        <w:rPr>
          <w:color w:val="000000" w:themeColor="text1"/>
        </w:rPr>
      </w:pPr>
      <w:r w:rsidRPr="0058432E">
        <w:rPr>
          <w:color w:val="000000" w:themeColor="text1"/>
        </w:rPr>
        <w:t xml:space="preserve">Lavez-vous les mains à l’eau et au savon et séchez-les complètement. </w:t>
      </w:r>
    </w:p>
    <w:p w14:paraId="2DDEFA17" w14:textId="77777777" w:rsidR="00CC00FF" w:rsidRPr="0058432E" w:rsidRDefault="00CC00FF" w:rsidP="00E23160">
      <w:pPr>
        <w:pStyle w:val="ListParagraph"/>
        <w:numPr>
          <w:ilvl w:val="0"/>
          <w:numId w:val="39"/>
        </w:numPr>
        <w:ind w:left="562" w:hanging="562"/>
        <w:contextualSpacing/>
        <w:rPr>
          <w:color w:val="000000" w:themeColor="text1"/>
        </w:rPr>
      </w:pPr>
      <w:r w:rsidRPr="0058432E">
        <w:rPr>
          <w:b/>
          <w:color w:val="000000" w:themeColor="text1"/>
        </w:rPr>
        <w:t>Ne pas</w:t>
      </w:r>
      <w:r w:rsidRPr="0058432E">
        <w:rPr>
          <w:color w:val="000000" w:themeColor="text1"/>
        </w:rPr>
        <w:t xml:space="preserve"> retirer le capuchon avant d’être prêt pour l’injection. </w:t>
      </w:r>
    </w:p>
    <w:p w14:paraId="5E2D11D4" w14:textId="77777777" w:rsidR="00CC00FF" w:rsidRPr="0058432E" w:rsidRDefault="00CC00FF" w:rsidP="00982118">
      <w:pPr>
        <w:pStyle w:val="ListParagraph"/>
        <w:autoSpaceDE w:val="0"/>
        <w:autoSpaceDN w:val="0"/>
        <w:adjustRightInd w:val="0"/>
        <w:ind w:left="709"/>
        <w:contextualSpacing/>
        <w:rPr>
          <w:color w:val="000000" w:themeColor="text1"/>
        </w:rPr>
      </w:pPr>
    </w:p>
    <w:p w14:paraId="0211EB2E" w14:textId="55D70FB7" w:rsidR="006F55BE" w:rsidRPr="0058432E" w:rsidRDefault="009D65D0" w:rsidP="006F55BE">
      <w:pPr>
        <w:pStyle w:val="ListParagraph"/>
        <w:autoSpaceDE w:val="0"/>
        <w:autoSpaceDN w:val="0"/>
        <w:adjustRightInd w:val="0"/>
        <w:ind w:left="709"/>
        <w:rPr>
          <w:color w:val="000000" w:themeColor="text1"/>
        </w:rPr>
      </w:pPr>
      <w:r w:rsidRPr="0058432E">
        <w:rPr>
          <w:noProof/>
          <w:color w:val="000000" w:themeColor="text1"/>
        </w:rPr>
        <mc:AlternateContent>
          <mc:Choice Requires="wps">
            <w:drawing>
              <wp:anchor distT="0" distB="0" distL="114300" distR="114300" simplePos="0" relativeHeight="251653632" behindDoc="0" locked="0" layoutInCell="1" allowOverlap="1" wp14:anchorId="3792BFD7" wp14:editId="1550BFB4">
                <wp:simplePos x="0" y="0"/>
                <wp:positionH relativeFrom="column">
                  <wp:posOffset>4234815</wp:posOffset>
                </wp:positionH>
                <wp:positionV relativeFrom="paragraph">
                  <wp:posOffset>655320</wp:posOffset>
                </wp:positionV>
                <wp:extent cx="1028700" cy="201930"/>
                <wp:effectExtent l="0" t="0" r="0" b="0"/>
                <wp:wrapNone/>
                <wp:docPr id="77"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01930"/>
                        </a:xfrm>
                        <a:prstGeom prst="rect">
                          <a:avLst/>
                        </a:prstGeom>
                        <a:solidFill>
                          <a:srgbClr val="FFFFFF"/>
                        </a:solidFill>
                        <a:ln>
                          <a:noFill/>
                        </a:ln>
                      </wps:spPr>
                      <wps:txbx>
                        <w:txbxContent>
                          <w:p w14:paraId="639C0C5E" w14:textId="77777777" w:rsidR="009A26D2" w:rsidRPr="009E6D01" w:rsidRDefault="009A26D2" w:rsidP="006F55BE">
                            <w:pPr>
                              <w:rPr>
                                <w:sz w:val="16"/>
                                <w:szCs w:val="16"/>
                              </w:rPr>
                            </w:pPr>
                            <w:r w:rsidRPr="009E6D01">
                              <w:rPr>
                                <w:sz w:val="16"/>
                                <w:szCs w:val="16"/>
                              </w:rPr>
                              <w:t>Date</w:t>
                            </w:r>
                            <w:r>
                              <w:rPr>
                                <w:sz w:val="16"/>
                                <w:szCs w:val="16"/>
                              </w:rPr>
                              <w:t xml:space="preserve"> de péremption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2BFD7" id="Zone de texte 5" o:spid="_x0000_s1102" type="#_x0000_t202" style="position:absolute;left:0;text-align:left;margin-left:333.45pt;margin-top:51.6pt;width:81pt;height:15.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" stroked="f">
                <v:textbox>
                  <w:txbxContent>
                    <w:p w14:paraId="639C0C5E" w14:textId="77777777" w:rsidR="009A26D2" w:rsidRPr="009E6D01" w:rsidRDefault="009A26D2" w:rsidP="006F55BE">
                      <w:pPr>
                        <w:rPr>
                          <w:sz w:val="16"/>
                          <w:szCs w:val="16"/>
                        </w:rPr>
                      </w:pPr>
                      <w:r w:rsidRPr="009E6D01">
                        <w:rPr>
                          <w:sz w:val="16"/>
                          <w:szCs w:val="16"/>
                        </w:rPr>
                        <w:t>Date</w:t>
                      </w:r>
                      <w:r>
                        <w:rPr>
                          <w:sz w:val="16"/>
                          <w:szCs w:val="16"/>
                        </w:rPr>
                        <w:t xml:space="preserve"> de péremption</w:t>
                      </w:r>
                    </w:p>
                  </w:txbxContent>
                </v:textbox>
              </v:shape>
            </w:pict>
          </mc:Fallback>
        </mc:AlternateContent>
      </w:r>
      <w:r w:rsidRPr="0058432E">
        <w:rPr>
          <w:noProof/>
          <w:color w:val="000000" w:themeColor="text1"/>
        </w:rPr>
        <mc:AlternateContent>
          <mc:Choice Requires="wps">
            <w:drawing>
              <wp:anchor distT="0" distB="0" distL="114300" distR="114300" simplePos="0" relativeHeight="251656704" behindDoc="0" locked="0" layoutInCell="1" allowOverlap="1" wp14:anchorId="13D67014" wp14:editId="6C19701F">
                <wp:simplePos x="0" y="0"/>
                <wp:positionH relativeFrom="column">
                  <wp:posOffset>634365</wp:posOffset>
                </wp:positionH>
                <wp:positionV relativeFrom="paragraph">
                  <wp:posOffset>1334770</wp:posOffset>
                </wp:positionV>
                <wp:extent cx="623570" cy="201930"/>
                <wp:effectExtent l="0" t="0" r="0" b="0"/>
                <wp:wrapNone/>
                <wp:docPr id="76"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201930"/>
                        </a:xfrm>
                        <a:prstGeom prst="rect">
                          <a:avLst/>
                        </a:prstGeom>
                        <a:solidFill>
                          <a:srgbClr val="FFFFFF"/>
                        </a:solidFill>
                        <a:ln>
                          <a:noFill/>
                        </a:ln>
                      </wps:spPr>
                      <wps:txbx>
                        <w:txbxContent>
                          <w:p w14:paraId="5571B111" w14:textId="77777777" w:rsidR="009A26D2" w:rsidRPr="009E6D01" w:rsidRDefault="009A26D2" w:rsidP="006F55BE">
                            <w:pPr>
                              <w:rPr>
                                <w:sz w:val="16"/>
                                <w:szCs w:val="16"/>
                              </w:rPr>
                            </w:pPr>
                            <w:r>
                              <w:rPr>
                                <w:sz w:val="16"/>
                                <w:szCs w:val="16"/>
                              </w:rPr>
                              <w:t>Capuchon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67014" id="Zone de texte 8" o:spid="_x0000_s1103" type="#_x0000_t202" style="position:absolute;left:0;text-align:left;margin-left:49.95pt;margin-top:105.1pt;width:49.1pt;height:1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" stroked="f">
                <v:textbox>
                  <w:txbxContent>
                    <w:p w14:paraId="5571B111" w14:textId="77777777" w:rsidR="009A26D2" w:rsidRPr="009E6D01" w:rsidRDefault="009A26D2" w:rsidP="006F55BE">
                      <w:pPr>
                        <w:rPr>
                          <w:sz w:val="16"/>
                          <w:szCs w:val="16"/>
                        </w:rPr>
                      </w:pPr>
                      <w:r>
                        <w:rPr>
                          <w:sz w:val="16"/>
                          <w:szCs w:val="16"/>
                        </w:rPr>
                        <w:t>Capuchon</w:t>
                      </w:r>
                    </w:p>
                  </w:txbxContent>
                </v:textbox>
              </v:shape>
            </w:pict>
          </mc:Fallback>
        </mc:AlternateContent>
      </w:r>
      <w:r w:rsidRPr="0058432E">
        <w:rPr>
          <w:noProof/>
          <w:color w:val="000000" w:themeColor="text1"/>
        </w:rPr>
        <mc:AlternateContent>
          <mc:Choice Requires="wps">
            <w:drawing>
              <wp:anchor distT="0" distB="0" distL="114300" distR="114300" simplePos="0" relativeHeight="251655680" behindDoc="0" locked="0" layoutInCell="1" allowOverlap="1" wp14:anchorId="249661FE" wp14:editId="5D1E4D06">
                <wp:simplePos x="0" y="0"/>
                <wp:positionH relativeFrom="column">
                  <wp:posOffset>1585595</wp:posOffset>
                </wp:positionH>
                <wp:positionV relativeFrom="paragraph">
                  <wp:posOffset>1268095</wp:posOffset>
                </wp:positionV>
                <wp:extent cx="883285" cy="201930"/>
                <wp:effectExtent l="0" t="0" r="0" b="0"/>
                <wp:wrapNone/>
                <wp:docPr id="75"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50A5D080" w14:textId="77777777" w:rsidR="009A26D2" w:rsidRPr="009E6D01" w:rsidRDefault="009A26D2" w:rsidP="006F55BE">
                            <w:pPr>
                              <w:rPr>
                                <w:sz w:val="16"/>
                                <w:szCs w:val="16"/>
                              </w:rPr>
                            </w:pPr>
                            <w:r>
                              <w:rPr>
                                <w:sz w:val="16"/>
                                <w:szCs w:val="16"/>
                              </w:rPr>
                              <w:t>Fenêtre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661FE" id="Zone de texte 7" o:spid="_x0000_s1104" type="#_x0000_t202" style="position:absolute;left:0;text-align:left;margin-left:124.85pt;margin-top:99.85pt;width:69.55pt;height:1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" stroked="f">
                <v:textbox>
                  <w:txbxContent>
                    <w:p w14:paraId="50A5D080" w14:textId="77777777" w:rsidR="009A26D2" w:rsidRPr="009E6D01" w:rsidRDefault="009A26D2" w:rsidP="006F55BE">
                      <w:pPr>
                        <w:rPr>
                          <w:sz w:val="16"/>
                          <w:szCs w:val="16"/>
                        </w:rPr>
                      </w:pPr>
                      <w:r>
                        <w:rPr>
                          <w:sz w:val="16"/>
                          <w:szCs w:val="16"/>
                        </w:rPr>
                        <w:t>Fenêtre</w:t>
                      </w:r>
                    </w:p>
                  </w:txbxContent>
                </v:textbox>
              </v:shape>
            </w:pict>
          </mc:Fallback>
        </mc:AlternateContent>
      </w:r>
      <w:r w:rsidRPr="0058432E">
        <w:rPr>
          <w:noProof/>
          <w:color w:val="000000" w:themeColor="text1"/>
        </w:rPr>
        <mc:AlternateContent>
          <mc:Choice Requires="wps">
            <w:drawing>
              <wp:anchor distT="0" distB="0" distL="114300" distR="114300" simplePos="0" relativeHeight="251654656" behindDoc="0" locked="0" layoutInCell="1" allowOverlap="1" wp14:anchorId="383A25FD" wp14:editId="57F80794">
                <wp:simplePos x="0" y="0"/>
                <wp:positionH relativeFrom="column">
                  <wp:posOffset>3222625</wp:posOffset>
                </wp:positionH>
                <wp:positionV relativeFrom="paragraph">
                  <wp:posOffset>1066165</wp:posOffset>
                </wp:positionV>
                <wp:extent cx="883285" cy="201930"/>
                <wp:effectExtent l="0" t="0" r="0" b="0"/>
                <wp:wrapNone/>
                <wp:docPr id="74"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24034F66" w14:textId="77777777" w:rsidR="009A26D2" w:rsidRPr="009E6D01" w:rsidRDefault="009A26D2" w:rsidP="006F55BE">
                            <w:pPr>
                              <w:rPr>
                                <w:sz w:val="16"/>
                                <w:szCs w:val="16"/>
                              </w:rPr>
                            </w:pPr>
                            <w:r>
                              <w:rPr>
                                <w:sz w:val="16"/>
                                <w:szCs w:val="16"/>
                              </w:rPr>
                              <w:t>Bouton d’injection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A25FD" id="Zone de texte 6" o:spid="_x0000_s1105" type="#_x0000_t202" style="position:absolute;left:0;text-align:left;margin-left:253.75pt;margin-top:83.95pt;width:69.55pt;height:15.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" stroked="f">
                <v:textbox>
                  <w:txbxContent>
                    <w:p w14:paraId="24034F66" w14:textId="77777777" w:rsidR="009A26D2" w:rsidRPr="009E6D01" w:rsidRDefault="009A26D2" w:rsidP="006F55BE">
                      <w:pPr>
                        <w:rPr>
                          <w:sz w:val="16"/>
                          <w:szCs w:val="16"/>
                        </w:rPr>
                      </w:pPr>
                      <w:r>
                        <w:rPr>
                          <w:sz w:val="16"/>
                          <w:szCs w:val="16"/>
                        </w:rPr>
                        <w:t>Bouton d’injection</w:t>
                      </w:r>
                    </w:p>
                  </w:txbxContent>
                </v:textbox>
              </v:shape>
            </w:pict>
          </mc:Fallback>
        </mc:AlternateContent>
      </w:r>
      <w:r w:rsidRPr="0058432E">
        <w:rPr>
          <w:noProof/>
          <w:color w:val="000000" w:themeColor="text1"/>
        </w:rPr>
        <w:drawing>
          <wp:inline distT="0" distB="0" distL="0" distR="0" wp14:anchorId="043F26F1" wp14:editId="42C318D6">
            <wp:extent cx="4909820" cy="1526540"/>
            <wp:effectExtent l="0" t="0" r="0" b="0"/>
            <wp:docPr id="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09820" cy="1526540"/>
                    </a:xfrm>
                    <a:prstGeom prst="rect">
                      <a:avLst/>
                    </a:prstGeom>
                    <a:noFill/>
                    <a:ln>
                      <a:noFill/>
                    </a:ln>
                  </pic:spPr>
                </pic:pic>
              </a:graphicData>
            </a:graphic>
          </wp:inline>
        </w:drawing>
      </w:r>
    </w:p>
    <w:p w14:paraId="0477EC2D" w14:textId="77777777" w:rsidR="006F55BE" w:rsidRPr="0058432E" w:rsidRDefault="006F55BE" w:rsidP="006F55BE">
      <w:pPr>
        <w:pStyle w:val="ListParagraph"/>
        <w:autoSpaceDE w:val="0"/>
        <w:autoSpaceDN w:val="0"/>
        <w:adjustRightInd w:val="0"/>
        <w:ind w:left="709"/>
        <w:rPr>
          <w:color w:val="000000" w:themeColor="text1"/>
        </w:rPr>
      </w:pPr>
    </w:p>
    <w:p w14:paraId="07AC3120" w14:textId="77777777" w:rsidR="006F55BE" w:rsidRPr="0058432E" w:rsidRDefault="006F55BE" w:rsidP="006F55BE">
      <w:pPr>
        <w:pStyle w:val="ListParagraph"/>
        <w:autoSpaceDE w:val="0"/>
        <w:autoSpaceDN w:val="0"/>
        <w:adjustRightInd w:val="0"/>
        <w:ind w:left="709"/>
        <w:rPr>
          <w:color w:val="000000" w:themeColor="text1"/>
        </w:rPr>
      </w:pPr>
    </w:p>
    <w:p w14:paraId="73E55AA0" w14:textId="230AD015" w:rsidR="005F44AD" w:rsidRPr="0058432E" w:rsidRDefault="009D65D0" w:rsidP="005F44AD">
      <w:pPr>
        <w:jc w:val="center"/>
        <w:rPr>
          <w:color w:val="000000" w:themeColor="text1"/>
        </w:rPr>
      </w:pPr>
      <w:r w:rsidRPr="0058432E">
        <w:rPr>
          <w:noProof/>
          <w:color w:val="000000" w:themeColor="text1"/>
        </w:rPr>
        <mc:AlternateContent>
          <mc:Choice Requires="wps">
            <w:drawing>
              <wp:anchor distT="0" distB="0" distL="114300" distR="114300" simplePos="0" relativeHeight="251702784" behindDoc="0" locked="0" layoutInCell="1" allowOverlap="1" wp14:anchorId="29D03726" wp14:editId="4E475EC0">
                <wp:simplePos x="0" y="0"/>
                <wp:positionH relativeFrom="column">
                  <wp:posOffset>461010</wp:posOffset>
                </wp:positionH>
                <wp:positionV relativeFrom="paragraph">
                  <wp:posOffset>34925</wp:posOffset>
                </wp:positionV>
                <wp:extent cx="2247265" cy="289560"/>
                <wp:effectExtent l="0" t="0" r="0" b="0"/>
                <wp:wrapNone/>
                <wp:docPr id="73"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265" cy="289560"/>
                        </a:xfrm>
                        <a:prstGeom prst="rect">
                          <a:avLst/>
                        </a:prstGeom>
                        <a:solidFill>
                          <a:srgbClr val="FFFFFF"/>
                        </a:solidFill>
                        <a:ln>
                          <a:noFill/>
                        </a:ln>
                      </wps:spPr>
                      <wps:txbx>
                        <w:txbxContent>
                          <w:p w14:paraId="49069362" w14:textId="77777777" w:rsidR="009A26D2" w:rsidRPr="0076293C" w:rsidRDefault="009A26D2" w:rsidP="006F55BE">
                            <w:pPr>
                              <w:rPr>
                                <w:b/>
                                <w:bCs/>
                                <w:spacing w:val="-6"/>
                                <w:szCs w:val="18"/>
                              </w:rPr>
                            </w:pPr>
                            <w:r w:rsidRPr="0076293C">
                              <w:rPr>
                                <w:b/>
                                <w:bCs/>
                                <w:spacing w:val="-6"/>
                                <w:szCs w:val="18"/>
                              </w:rPr>
                              <w:t>Vérifiez votre médicament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03726" id="Zone de texte 4" o:spid="_x0000_s1106" type="#_x0000_t202" style="position:absolute;left:0;text-align:left;margin-left:36.3pt;margin-top:2.75pt;width:176.95pt;height:22.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" stroked="f">
                <v:textbox>
                  <w:txbxContent>
                    <w:p w14:paraId="49069362" w14:textId="77777777" w:rsidR="009A26D2" w:rsidRPr="0076293C" w:rsidRDefault="009A26D2" w:rsidP="006F55BE">
                      <w:pPr>
                        <w:rPr>
                          <w:b/>
                          <w:bCs/>
                          <w:spacing w:val="-6"/>
                          <w:szCs w:val="18"/>
                        </w:rPr>
                      </w:pPr>
                      <w:r w:rsidRPr="0076293C">
                        <w:rPr>
                          <w:b/>
                          <w:bCs/>
                          <w:spacing w:val="-6"/>
                          <w:szCs w:val="18"/>
                        </w:rPr>
                        <w:t>Vérifiez votre médicament</w:t>
                      </w:r>
                    </w:p>
                  </w:txbxContent>
                </v:textbox>
              </v:shape>
            </w:pict>
          </mc:Fallback>
        </mc:AlternateContent>
      </w:r>
      <w:r w:rsidRPr="0058432E">
        <w:rPr>
          <w:noProof/>
          <w:color w:val="000000" w:themeColor="text1"/>
        </w:rPr>
        <w:drawing>
          <wp:inline distT="0" distB="0" distL="0" distR="0" wp14:anchorId="05C5A446" wp14:editId="50B13420">
            <wp:extent cx="5732780" cy="2405380"/>
            <wp:effectExtent l="0" t="0" r="0" b="0"/>
            <wp:docPr id="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2780" cy="2405380"/>
                    </a:xfrm>
                    <a:prstGeom prst="rect">
                      <a:avLst/>
                    </a:prstGeom>
                    <a:noFill/>
                    <a:ln>
                      <a:noFill/>
                    </a:ln>
                  </pic:spPr>
                </pic:pic>
              </a:graphicData>
            </a:graphic>
          </wp:inline>
        </w:drawing>
      </w:r>
    </w:p>
    <w:p w14:paraId="40D29E0B" w14:textId="77777777" w:rsidR="00CC00FF" w:rsidRPr="0058432E" w:rsidRDefault="00CC00FF" w:rsidP="00982118">
      <w:pPr>
        <w:pStyle w:val="ListParagraph"/>
        <w:autoSpaceDE w:val="0"/>
        <w:autoSpaceDN w:val="0"/>
        <w:adjustRightInd w:val="0"/>
        <w:ind w:left="709"/>
        <w:rPr>
          <w:color w:val="000000" w:themeColor="text1"/>
        </w:rPr>
      </w:pPr>
    </w:p>
    <w:p w14:paraId="6B05F0EC" w14:textId="77777777" w:rsidR="00CC00FF" w:rsidRPr="0058432E" w:rsidRDefault="00CC00FF" w:rsidP="00E82F97">
      <w:pPr>
        <w:rPr>
          <w:color w:val="000000" w:themeColor="text1"/>
        </w:rPr>
      </w:pPr>
    </w:p>
    <w:p w14:paraId="5DF88146" w14:textId="77777777" w:rsidR="00A65E67"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Inspectez attentivement votre médicament grâce à la fenêtre.</w:t>
      </w:r>
    </w:p>
    <w:p w14:paraId="218437DE" w14:textId="77777777" w:rsidR="00CC00FF" w:rsidRPr="0058432E" w:rsidRDefault="00A65E67" w:rsidP="00A65E67">
      <w:pPr>
        <w:pStyle w:val="ListParagraph"/>
        <w:numPr>
          <w:ilvl w:val="0"/>
          <w:numId w:val="35"/>
        </w:numPr>
        <w:ind w:left="562" w:hanging="562"/>
        <w:contextualSpacing/>
        <w:rPr>
          <w:color w:val="000000" w:themeColor="text1"/>
        </w:rPr>
      </w:pPr>
      <w:r w:rsidRPr="0058432E">
        <w:rPr>
          <w:color w:val="000000" w:themeColor="text1"/>
        </w:rPr>
        <w:t xml:space="preserve">Inclinez doucement votre stylo </w:t>
      </w:r>
      <w:r w:rsidR="007F7D85" w:rsidRPr="0058432E">
        <w:rPr>
          <w:color w:val="000000" w:themeColor="text1"/>
        </w:rPr>
        <w:t>d'avant en arrière</w:t>
      </w:r>
      <w:r w:rsidRPr="0058432E">
        <w:rPr>
          <w:color w:val="000000" w:themeColor="text1"/>
        </w:rPr>
        <w:t xml:space="preserve"> pour vérifier le médicament.</w:t>
      </w:r>
    </w:p>
    <w:p w14:paraId="68600687" w14:textId="77777777" w:rsidR="00A65E67" w:rsidRPr="0058432E" w:rsidRDefault="00B114DE" w:rsidP="00A65E67">
      <w:pPr>
        <w:pStyle w:val="ListParagraph"/>
        <w:numPr>
          <w:ilvl w:val="0"/>
          <w:numId w:val="35"/>
        </w:numPr>
        <w:ind w:left="562" w:hanging="562"/>
        <w:contextualSpacing/>
        <w:rPr>
          <w:color w:val="000000" w:themeColor="text1"/>
        </w:rPr>
      </w:pPr>
      <w:r w:rsidRPr="0058432E">
        <w:rPr>
          <w:b/>
          <w:color w:val="000000" w:themeColor="text1"/>
        </w:rPr>
        <w:t>N’agitez pas</w:t>
      </w:r>
      <w:r w:rsidR="00A65E67" w:rsidRPr="0058432E">
        <w:rPr>
          <w:color w:val="000000" w:themeColor="text1"/>
        </w:rPr>
        <w:t xml:space="preserve"> votre stylo. L'agitation peut endommager votre médicament.</w:t>
      </w:r>
    </w:p>
    <w:p w14:paraId="46E762CD" w14:textId="77777777" w:rsidR="00CC00FF" w:rsidRPr="0058432E" w:rsidRDefault="00CC00FF" w:rsidP="00E23160">
      <w:pPr>
        <w:pStyle w:val="ListParagraph"/>
        <w:numPr>
          <w:ilvl w:val="0"/>
          <w:numId w:val="40"/>
        </w:numPr>
        <w:ind w:left="562" w:hanging="562"/>
        <w:contextualSpacing/>
        <w:rPr>
          <w:color w:val="000000" w:themeColor="text1"/>
        </w:rPr>
      </w:pPr>
      <w:r w:rsidRPr="0058432E">
        <w:rPr>
          <w:color w:val="000000" w:themeColor="text1"/>
        </w:rPr>
        <w:t>Assurez-vous que le médicament contenu dans le stylo est limpide et incolore à brun très clair et exempt de flocons ou de particules. Il est normal de voir une ou plusieurs bulles d’air dans la fenêtre.</w:t>
      </w:r>
      <w:r w:rsidR="00A65E67" w:rsidRPr="0058432E">
        <w:rPr>
          <w:color w:val="000000" w:themeColor="text1"/>
        </w:rPr>
        <w:t xml:space="preserve"> </w:t>
      </w:r>
      <w:r w:rsidR="00A65E67" w:rsidRPr="0058432E">
        <w:rPr>
          <w:b/>
          <w:color w:val="000000" w:themeColor="text1"/>
        </w:rPr>
        <w:t>N'essayez pas</w:t>
      </w:r>
      <w:r w:rsidR="00A65E67" w:rsidRPr="0058432E">
        <w:rPr>
          <w:color w:val="000000" w:themeColor="text1"/>
        </w:rPr>
        <w:t xml:space="preserve"> d'éliminer les bulles d'air.</w:t>
      </w:r>
    </w:p>
    <w:p w14:paraId="35C632AE" w14:textId="77777777" w:rsidR="00E23160" w:rsidRPr="0058432E" w:rsidRDefault="00E23160" w:rsidP="00E23160">
      <w:pPr>
        <w:pStyle w:val="ListParagraph"/>
        <w:ind w:left="562" w:hanging="562"/>
        <w:contextualSpacing/>
        <w:rPr>
          <w:color w:val="000000" w:themeColor="text1"/>
        </w:rPr>
      </w:pPr>
    </w:p>
    <w:p w14:paraId="0F931FBF" w14:textId="77777777" w:rsidR="00CC00FF" w:rsidRPr="0058432E" w:rsidRDefault="00CC00FF" w:rsidP="00E23160">
      <w:pPr>
        <w:pStyle w:val="ListParagraph"/>
        <w:ind w:left="562" w:hanging="562"/>
        <w:contextualSpacing/>
        <w:rPr>
          <w:color w:val="000000" w:themeColor="text1"/>
        </w:rPr>
      </w:pPr>
      <w:r w:rsidRPr="0058432E">
        <w:rPr>
          <w:color w:val="000000" w:themeColor="text1"/>
        </w:rPr>
        <w:t xml:space="preserve">Pour toutes questions à propos de votre médicament, </w:t>
      </w:r>
      <w:r w:rsidR="005F44AD" w:rsidRPr="0058432E">
        <w:rPr>
          <w:color w:val="000000" w:themeColor="text1"/>
        </w:rPr>
        <w:t>parler-en à</w:t>
      </w:r>
      <w:r w:rsidRPr="0058432E">
        <w:rPr>
          <w:color w:val="000000" w:themeColor="text1"/>
        </w:rPr>
        <w:t xml:space="preserve"> votre médecin</w:t>
      </w:r>
      <w:r w:rsidR="00831807" w:rsidRPr="0058432E">
        <w:rPr>
          <w:color w:val="000000" w:themeColor="text1"/>
        </w:rPr>
        <w:t xml:space="preserve">, votre </w:t>
      </w:r>
      <w:r w:rsidR="00D27AD3" w:rsidRPr="0058432E">
        <w:rPr>
          <w:color w:val="000000" w:themeColor="text1"/>
        </w:rPr>
        <w:t>infirmier/ère</w:t>
      </w:r>
      <w:r w:rsidRPr="0058432E">
        <w:rPr>
          <w:color w:val="000000" w:themeColor="text1"/>
        </w:rPr>
        <w:t xml:space="preserve"> ou votre pharmacien.</w:t>
      </w:r>
    </w:p>
    <w:p w14:paraId="1A359065" w14:textId="77777777" w:rsidR="00CC00FF" w:rsidRPr="0058432E" w:rsidRDefault="00CC00FF" w:rsidP="00982118">
      <w:pPr>
        <w:jc w:val="center"/>
        <w:rPr>
          <w:color w:val="000000" w:themeColor="text1"/>
        </w:rPr>
      </w:pPr>
    </w:p>
    <w:p w14:paraId="13F13A67" w14:textId="77777777" w:rsidR="00CC00FF" w:rsidRPr="0058432E" w:rsidRDefault="00CC00FF" w:rsidP="00982118">
      <w:pPr>
        <w:jc w:val="center"/>
        <w:rPr>
          <w:color w:val="000000" w:themeColor="text1"/>
        </w:rPr>
      </w:pPr>
    </w:p>
    <w:p w14:paraId="285A2E60" w14:textId="74584C20" w:rsidR="005F44AD" w:rsidRPr="0058432E" w:rsidRDefault="009D65D0" w:rsidP="005F44AD">
      <w:pPr>
        <w:jc w:val="center"/>
        <w:rPr>
          <w:color w:val="000000" w:themeColor="text1"/>
        </w:rPr>
      </w:pPr>
      <w:r w:rsidRPr="0058432E">
        <w:rPr>
          <w:noProof/>
          <w:color w:val="000000" w:themeColor="text1"/>
        </w:rPr>
        <w:lastRenderedPageBreak/>
        <mc:AlternateContent>
          <mc:Choice Requires="wps">
            <w:drawing>
              <wp:anchor distT="0" distB="0" distL="114300" distR="114300" simplePos="0" relativeHeight="251706880" behindDoc="0" locked="0" layoutInCell="1" allowOverlap="1" wp14:anchorId="33E07749" wp14:editId="5D828C96">
                <wp:simplePos x="0" y="0"/>
                <wp:positionH relativeFrom="column">
                  <wp:posOffset>537210</wp:posOffset>
                </wp:positionH>
                <wp:positionV relativeFrom="paragraph">
                  <wp:posOffset>41910</wp:posOffset>
                </wp:positionV>
                <wp:extent cx="2620645" cy="289560"/>
                <wp:effectExtent l="0" t="0" r="0" b="0"/>
                <wp:wrapNone/>
                <wp:docPr id="7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645" cy="289560"/>
                        </a:xfrm>
                        <a:prstGeom prst="rect">
                          <a:avLst/>
                        </a:prstGeom>
                        <a:solidFill>
                          <a:srgbClr val="FFFFFF"/>
                        </a:solidFill>
                        <a:ln>
                          <a:noFill/>
                        </a:ln>
                      </wps:spPr>
                      <wps:txbx>
                        <w:txbxContent>
                          <w:p w14:paraId="6772B8BD" w14:textId="77777777" w:rsidR="006D0A32" w:rsidRPr="0076293C" w:rsidRDefault="006D0A32" w:rsidP="006D0A32">
                            <w:pPr>
                              <w:rPr>
                                <w:b/>
                                <w:bCs/>
                                <w:spacing w:val="-6"/>
                                <w:szCs w:val="18"/>
                              </w:rPr>
                            </w:pPr>
                            <w:r>
                              <w:rPr>
                                <w:b/>
                                <w:bCs/>
                                <w:spacing w:val="-6"/>
                                <w:szCs w:val="18"/>
                              </w:rPr>
                              <w:t>Choisissez et préparez votre site d’injection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07749" id="_x0000_s1107" type="#_x0000_t202" style="position:absolute;left:0;text-align:left;margin-left:42.3pt;margin-top:3.3pt;width:206.35pt;height:22.8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" stroked="f">
                <v:textbox>
                  <w:txbxContent>
                    <w:p w14:paraId="6772B8BD" w14:textId="77777777" w:rsidR="006D0A32" w:rsidRPr="0076293C" w:rsidRDefault="006D0A32" w:rsidP="006D0A32">
                      <w:pPr>
                        <w:rPr>
                          <w:b/>
                          <w:bCs/>
                          <w:spacing w:val="-6"/>
                          <w:szCs w:val="18"/>
                        </w:rPr>
                      </w:pPr>
                      <w:r>
                        <w:rPr>
                          <w:b/>
                          <w:bCs/>
                          <w:spacing w:val="-6"/>
                          <w:szCs w:val="18"/>
                        </w:rPr>
                        <w:t>Choisissez et préparez votre site d’injection</w:t>
                      </w:r>
                    </w:p>
                  </w:txbxContent>
                </v:textbox>
              </v:shape>
            </w:pict>
          </mc:Fallback>
        </mc:AlternateContent>
      </w:r>
      <w:r w:rsidRPr="0058432E">
        <w:rPr>
          <w:noProof/>
          <w:color w:val="000000" w:themeColor="text1"/>
        </w:rPr>
        <mc:AlternateContent>
          <mc:Choice Requires="wps">
            <w:drawing>
              <wp:anchor distT="0" distB="0" distL="114300" distR="114300" simplePos="0" relativeHeight="251704832" behindDoc="0" locked="0" layoutInCell="1" allowOverlap="1" wp14:anchorId="454CF420" wp14:editId="6CF116DF">
                <wp:simplePos x="0" y="0"/>
                <wp:positionH relativeFrom="column">
                  <wp:posOffset>4352290</wp:posOffset>
                </wp:positionH>
                <wp:positionV relativeFrom="paragraph">
                  <wp:posOffset>1453515</wp:posOffset>
                </wp:positionV>
                <wp:extent cx="1131570" cy="654685"/>
                <wp:effectExtent l="0" t="0" r="0" b="0"/>
                <wp:wrapNone/>
                <wp:docPr id="2"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654685"/>
                        </a:xfrm>
                        <a:prstGeom prst="rect">
                          <a:avLst/>
                        </a:prstGeom>
                        <a:solidFill>
                          <a:srgbClr val="FFFFFF"/>
                        </a:solidFill>
                        <a:ln>
                          <a:noFill/>
                        </a:ln>
                      </wps:spPr>
                      <wps:txbx>
                        <w:txbxContent>
                          <w:p w14:paraId="4C41C93C" w14:textId="77777777" w:rsidR="009A26D2" w:rsidRPr="0076293C" w:rsidRDefault="009A26D2" w:rsidP="00C90B0A">
                            <w:pPr>
                              <w:rPr>
                                <w:b/>
                                <w:bCs/>
                                <w:color w:val="C45911"/>
                                <w:szCs w:val="18"/>
                              </w:rPr>
                            </w:pPr>
                            <w:r w:rsidRPr="0076293C">
                              <w:rPr>
                                <w:b/>
                                <w:bCs/>
                                <w:color w:val="C45911"/>
                                <w:szCs w:val="18"/>
                              </w:rPr>
                              <w:t>Cuisses</w:t>
                            </w:r>
                          </w:p>
                          <w:p w14:paraId="12D1E914" w14:textId="77777777" w:rsidR="009A26D2" w:rsidRPr="0076293C" w:rsidRDefault="009A26D2" w:rsidP="00C90B0A">
                            <w:pPr>
                              <w:rPr>
                                <w:szCs w:val="18"/>
                              </w:rPr>
                            </w:pPr>
                            <w:r w:rsidRPr="0076293C">
                              <w:rPr>
                                <w:szCs w:val="18"/>
                              </w:rPr>
                              <w:t>Sur le haut de la cuisse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F420" id="Zone de texte 23" o:spid="_x0000_s1108" type="#_x0000_t202" style="position:absolute;left:0;text-align:left;margin-left:342.7pt;margin-top:114.45pt;width:89.1pt;height:51.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" stroked="f">
                <v:textbox>
                  <w:txbxContent>
                    <w:p w14:paraId="4C41C93C" w14:textId="77777777" w:rsidR="009A26D2" w:rsidRPr="0076293C" w:rsidRDefault="009A26D2" w:rsidP="00C90B0A">
                      <w:pPr>
                        <w:rPr>
                          <w:b/>
                          <w:bCs/>
                          <w:color w:val="C45911"/>
                          <w:szCs w:val="18"/>
                        </w:rPr>
                      </w:pPr>
                      <w:r w:rsidRPr="0076293C">
                        <w:rPr>
                          <w:b/>
                          <w:bCs/>
                          <w:color w:val="C45911"/>
                          <w:szCs w:val="18"/>
                        </w:rPr>
                        <w:t>Cuisses</w:t>
                      </w:r>
                    </w:p>
                    <w:p w14:paraId="12D1E914" w14:textId="77777777" w:rsidR="009A26D2" w:rsidRPr="0076293C" w:rsidRDefault="009A26D2" w:rsidP="00C90B0A">
                      <w:pPr>
                        <w:rPr>
                          <w:szCs w:val="18"/>
                        </w:rPr>
                      </w:pPr>
                      <w:r w:rsidRPr="0076293C">
                        <w:rPr>
                          <w:szCs w:val="18"/>
                        </w:rPr>
                        <w:t>Sur le haut de la cuisse</w:t>
                      </w:r>
                    </w:p>
                  </w:txbxContent>
                </v:textbox>
              </v:shape>
            </w:pict>
          </mc:Fallback>
        </mc:AlternateContent>
      </w:r>
      <w:r w:rsidRPr="0058432E">
        <w:rPr>
          <w:noProof/>
          <w:color w:val="000000" w:themeColor="text1"/>
        </w:rPr>
        <mc:AlternateContent>
          <mc:Choice Requires="wps">
            <w:drawing>
              <wp:anchor distT="0" distB="0" distL="114300" distR="114300" simplePos="0" relativeHeight="251703808" behindDoc="0" locked="0" layoutInCell="1" allowOverlap="1" wp14:anchorId="343E49D7" wp14:editId="2DAD037B">
                <wp:simplePos x="0" y="0"/>
                <wp:positionH relativeFrom="column">
                  <wp:posOffset>355600</wp:posOffset>
                </wp:positionH>
                <wp:positionV relativeFrom="paragraph">
                  <wp:posOffset>897255</wp:posOffset>
                </wp:positionV>
                <wp:extent cx="1377950" cy="760095"/>
                <wp:effectExtent l="0" t="0" r="0" b="0"/>
                <wp:wrapNone/>
                <wp:docPr id="1"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760095"/>
                        </a:xfrm>
                        <a:prstGeom prst="rect">
                          <a:avLst/>
                        </a:prstGeom>
                        <a:solidFill>
                          <a:srgbClr val="FFFFFF"/>
                        </a:solidFill>
                        <a:ln>
                          <a:noFill/>
                        </a:ln>
                      </wps:spPr>
                      <wps:txbx>
                        <w:txbxContent>
                          <w:p w14:paraId="5AC4C9B4" w14:textId="77777777" w:rsidR="009A26D2" w:rsidRPr="0076293C" w:rsidRDefault="009A26D2" w:rsidP="00C90B0A">
                            <w:pPr>
                              <w:rPr>
                                <w:b/>
                                <w:bCs/>
                                <w:color w:val="C45911"/>
                                <w:szCs w:val="18"/>
                              </w:rPr>
                            </w:pPr>
                            <w:r w:rsidRPr="0076293C">
                              <w:rPr>
                                <w:b/>
                                <w:bCs/>
                                <w:color w:val="C45911"/>
                                <w:szCs w:val="18"/>
                              </w:rPr>
                              <w:t>Abdomen</w:t>
                            </w:r>
                          </w:p>
                          <w:p w14:paraId="4A7AE471" w14:textId="77777777" w:rsidR="009A26D2" w:rsidRPr="0076293C" w:rsidRDefault="009A26D2" w:rsidP="00C90B0A">
                            <w:pPr>
                              <w:rPr>
                                <w:szCs w:val="18"/>
                              </w:rPr>
                            </w:pPr>
                            <w:r w:rsidRPr="0076293C">
                              <w:rPr>
                                <w:szCs w:val="18"/>
                              </w:rPr>
                              <w:t>À au moins 5 cm du nombril</w:t>
                            </w:r>
                          </w:p>
                          <w:p w14:paraId="679AAC06" w14:textId="77777777" w:rsidR="009A26D2" w:rsidRPr="0076293C" w:rsidRDefault="009A26D2" w:rsidP="00C90B0A">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E49D7" id="Zone de texte 22" o:spid="_x0000_s1109" type="#_x0000_t202" style="position:absolute;left:0;text-align:left;margin-left:28pt;margin-top:70.65pt;width:108.5pt;height:59.8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" stroked="f">
                <v:textbox>
                  <w:txbxContent>
                    <w:p w14:paraId="5AC4C9B4" w14:textId="77777777" w:rsidR="009A26D2" w:rsidRPr="0076293C" w:rsidRDefault="009A26D2" w:rsidP="00C90B0A">
                      <w:pPr>
                        <w:rPr>
                          <w:b/>
                          <w:bCs/>
                          <w:color w:val="C45911"/>
                          <w:szCs w:val="18"/>
                        </w:rPr>
                      </w:pPr>
                      <w:r w:rsidRPr="0076293C">
                        <w:rPr>
                          <w:b/>
                          <w:bCs/>
                          <w:color w:val="C45911"/>
                          <w:szCs w:val="18"/>
                        </w:rPr>
                        <w:t>Abdomen</w:t>
                      </w:r>
                    </w:p>
                    <w:p w14:paraId="4A7AE471" w14:textId="77777777" w:rsidR="009A26D2" w:rsidRPr="0076293C" w:rsidRDefault="009A26D2" w:rsidP="00C90B0A">
                      <w:pPr>
                        <w:rPr>
                          <w:szCs w:val="18"/>
                        </w:rPr>
                      </w:pPr>
                      <w:r w:rsidRPr="0076293C">
                        <w:rPr>
                          <w:szCs w:val="18"/>
                        </w:rPr>
                        <w:t>À au moins 5 cm du nombril</w:t>
                      </w:r>
                    </w:p>
                    <w:p w14:paraId="679AAC06" w14:textId="77777777" w:rsidR="009A26D2" w:rsidRPr="0076293C" w:rsidRDefault="009A26D2" w:rsidP="00C90B0A">
                      <w:pPr>
                        <w:rPr>
                          <w:sz w:val="18"/>
                          <w:szCs w:val="18"/>
                        </w:rPr>
                      </w:pPr>
                    </w:p>
                  </w:txbxContent>
                </v:textbox>
              </v:shape>
            </w:pict>
          </mc:Fallback>
        </mc:AlternateContent>
      </w:r>
      <w:r w:rsidRPr="0058432E">
        <w:rPr>
          <w:noProof/>
          <w:color w:val="000000" w:themeColor="text1"/>
        </w:rPr>
        <w:drawing>
          <wp:inline distT="0" distB="0" distL="0" distR="0" wp14:anchorId="0A3BD82A" wp14:editId="009EFF98">
            <wp:extent cx="5732780" cy="2363470"/>
            <wp:effectExtent l="0" t="0" r="0" b="0"/>
            <wp:docPr id="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2780" cy="2363470"/>
                    </a:xfrm>
                    <a:prstGeom prst="rect">
                      <a:avLst/>
                    </a:prstGeom>
                    <a:noFill/>
                    <a:ln>
                      <a:noFill/>
                    </a:ln>
                  </pic:spPr>
                </pic:pic>
              </a:graphicData>
            </a:graphic>
          </wp:inline>
        </w:drawing>
      </w:r>
    </w:p>
    <w:p w14:paraId="26B1F21E" w14:textId="77777777" w:rsidR="00CC00FF" w:rsidRPr="0058432E" w:rsidRDefault="00CC00FF" w:rsidP="00982118">
      <w:pPr>
        <w:jc w:val="center"/>
        <w:rPr>
          <w:color w:val="000000" w:themeColor="text1"/>
        </w:rPr>
      </w:pPr>
    </w:p>
    <w:p w14:paraId="13A22931" w14:textId="77777777" w:rsidR="00CC00FF" w:rsidRPr="0058432E" w:rsidRDefault="00CC00FF" w:rsidP="00982118">
      <w:pPr>
        <w:jc w:val="center"/>
        <w:rPr>
          <w:color w:val="000000" w:themeColor="text1"/>
        </w:rPr>
      </w:pPr>
    </w:p>
    <w:p w14:paraId="4F12EA6E"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Choisissez un site différent à chaque fois que vous pratiquez une auto-injection.</w:t>
      </w:r>
    </w:p>
    <w:p w14:paraId="23B86F8E"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b/>
          <w:color w:val="000000" w:themeColor="text1"/>
        </w:rPr>
        <w:t>N’injectez pas</w:t>
      </w:r>
      <w:r w:rsidRPr="0058432E">
        <w:rPr>
          <w:color w:val="000000" w:themeColor="text1"/>
        </w:rPr>
        <w:t xml:space="preserve"> dans les zones osseuses ou les zones de la peau qui sont contusionnées, rouges, douloureuses (sensibles) ou indurées. Évitez d’injecter dans les zones comportant des cicatrices ou des vergetures.</w:t>
      </w:r>
    </w:p>
    <w:p w14:paraId="759C5C25" w14:textId="77777777" w:rsidR="00CC00FF" w:rsidRPr="0058432E" w:rsidRDefault="00CC00FF" w:rsidP="00E23160">
      <w:pPr>
        <w:pStyle w:val="ListParagraph"/>
        <w:numPr>
          <w:ilvl w:val="1"/>
          <w:numId w:val="35"/>
        </w:numPr>
        <w:ind w:left="1124" w:hanging="562"/>
        <w:contextualSpacing/>
        <w:rPr>
          <w:color w:val="000000" w:themeColor="text1"/>
        </w:rPr>
      </w:pPr>
      <w:r w:rsidRPr="0058432E">
        <w:rPr>
          <w:color w:val="000000" w:themeColor="text1"/>
        </w:rPr>
        <w:t xml:space="preserve">Si vous souffrez de psoriasis, </w:t>
      </w:r>
      <w:r w:rsidRPr="0058432E">
        <w:rPr>
          <w:b/>
          <w:color w:val="000000" w:themeColor="text1"/>
        </w:rPr>
        <w:t>ne vous injectez pas</w:t>
      </w:r>
      <w:r w:rsidRPr="0058432E">
        <w:rPr>
          <w:color w:val="000000" w:themeColor="text1"/>
        </w:rPr>
        <w:t xml:space="preserve"> directement dans des plaques ou lésions cutanées en relief, épaisses, rouges ou squameuses.</w:t>
      </w:r>
    </w:p>
    <w:p w14:paraId="0A87F52D" w14:textId="77777777" w:rsidR="00CC00FF" w:rsidRPr="0058432E" w:rsidRDefault="00CC00FF" w:rsidP="00E23160">
      <w:pPr>
        <w:pStyle w:val="ListParagraph"/>
        <w:numPr>
          <w:ilvl w:val="0"/>
          <w:numId w:val="35"/>
        </w:numPr>
        <w:ind w:left="562" w:hanging="562"/>
        <w:contextualSpacing/>
        <w:rPr>
          <w:b/>
          <w:color w:val="000000" w:themeColor="text1"/>
        </w:rPr>
      </w:pPr>
      <w:r w:rsidRPr="0058432E">
        <w:rPr>
          <w:b/>
          <w:color w:val="000000" w:themeColor="text1"/>
        </w:rPr>
        <w:t>N’injectez pas</w:t>
      </w:r>
      <w:r w:rsidRPr="0058432E">
        <w:rPr>
          <w:color w:val="000000" w:themeColor="text1"/>
        </w:rPr>
        <w:t xml:space="preserve"> à travers vos vêtements.</w:t>
      </w:r>
    </w:p>
    <w:p w14:paraId="1CD56B09"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Nettoyez le site d’injection avec le tampon d’alcool.</w:t>
      </w:r>
    </w:p>
    <w:p w14:paraId="4277E7C6"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Laissez sécher le site d’injection.</w:t>
      </w:r>
    </w:p>
    <w:p w14:paraId="0D0376EB" w14:textId="77777777" w:rsidR="00CC00FF" w:rsidRPr="0058432E" w:rsidRDefault="00CC00FF" w:rsidP="00982118">
      <w:pPr>
        <w:jc w:val="center"/>
        <w:rPr>
          <w:color w:val="000000" w:themeColor="text1"/>
        </w:rPr>
      </w:pPr>
    </w:p>
    <w:p w14:paraId="58F5BCA2" w14:textId="77777777" w:rsidR="00CC00FF" w:rsidRPr="0058432E" w:rsidRDefault="00CC00FF" w:rsidP="00982118">
      <w:pPr>
        <w:jc w:val="center"/>
        <w:rPr>
          <w:color w:val="000000" w:themeColor="text1"/>
        </w:rPr>
      </w:pPr>
    </w:p>
    <w:p w14:paraId="66527395" w14:textId="63608B2A" w:rsidR="005F44AD" w:rsidRPr="0058432E" w:rsidRDefault="009D65D0" w:rsidP="005F44AD">
      <w:pPr>
        <w:jc w:val="center"/>
        <w:rPr>
          <w:color w:val="000000" w:themeColor="text1"/>
        </w:rPr>
      </w:pPr>
      <w:r w:rsidRPr="0058432E">
        <w:rPr>
          <w:noProof/>
          <w:color w:val="000000" w:themeColor="text1"/>
        </w:rPr>
        <mc:AlternateContent>
          <mc:Choice Requires="wps">
            <w:drawing>
              <wp:anchor distT="0" distB="0" distL="114300" distR="114300" simplePos="0" relativeHeight="251657728" behindDoc="0" locked="0" layoutInCell="1" allowOverlap="1" wp14:anchorId="54A38B41" wp14:editId="75E16805">
                <wp:simplePos x="0" y="0"/>
                <wp:positionH relativeFrom="column">
                  <wp:posOffset>1912620</wp:posOffset>
                </wp:positionH>
                <wp:positionV relativeFrom="paragraph">
                  <wp:posOffset>91440</wp:posOffset>
                </wp:positionV>
                <wp:extent cx="1538605" cy="250190"/>
                <wp:effectExtent l="0" t="0" r="0" b="0"/>
                <wp:wrapNone/>
                <wp:docPr id="95" name="Zone de text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8605" cy="250190"/>
                        </a:xfrm>
                        <a:prstGeom prst="rect">
                          <a:avLst/>
                        </a:prstGeom>
                        <a:solidFill>
                          <a:srgbClr val="FFFFFF"/>
                        </a:solidFill>
                        <a:ln>
                          <a:noFill/>
                        </a:ln>
                      </wps:spPr>
                      <wps:txbx>
                        <w:txbxContent>
                          <w:p w14:paraId="59B99DCD" w14:textId="77777777" w:rsidR="009A26D2" w:rsidRPr="00A53E17" w:rsidRDefault="009A26D2" w:rsidP="00220ADA">
                            <w:pPr>
                              <w:rPr>
                                <w:b/>
                                <w:bCs/>
                                <w:szCs w:val="18"/>
                              </w:rPr>
                            </w:pPr>
                            <w:r w:rsidRPr="00A53E17">
                              <w:rPr>
                                <w:b/>
                                <w:bCs/>
                                <w:szCs w:val="18"/>
                              </w:rPr>
                              <w:t>Retirez le capuchon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38B41" id="Zone de texte 95" o:spid="_x0000_s1110" type="#_x0000_t202" style="position:absolute;left:0;text-align:left;margin-left:150.6pt;margin-top:7.2pt;width:121.15pt;height:1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" stroked="f">
                <v:textbox>
                  <w:txbxContent>
                    <w:p w14:paraId="59B99DCD" w14:textId="77777777" w:rsidR="009A26D2" w:rsidRPr="00A53E17" w:rsidRDefault="009A26D2" w:rsidP="00220ADA">
                      <w:pPr>
                        <w:rPr>
                          <w:b/>
                          <w:bCs/>
                          <w:szCs w:val="18"/>
                        </w:rPr>
                      </w:pPr>
                      <w:r w:rsidRPr="00A53E17">
                        <w:rPr>
                          <w:b/>
                          <w:bCs/>
                          <w:szCs w:val="18"/>
                        </w:rPr>
                        <w:t>Retirez le capuchon</w:t>
                      </w:r>
                    </w:p>
                  </w:txbxContent>
                </v:textbox>
              </v:shape>
            </w:pict>
          </mc:Fallback>
        </mc:AlternateContent>
      </w:r>
      <w:r w:rsidRPr="0058432E">
        <w:rPr>
          <w:noProof/>
          <w:color w:val="000000" w:themeColor="text1"/>
        </w:rPr>
        <w:drawing>
          <wp:inline distT="0" distB="0" distL="0" distR="0" wp14:anchorId="34E088B8" wp14:editId="728D1846">
            <wp:extent cx="2982595" cy="2482850"/>
            <wp:effectExtent l="0" t="0" r="0" b="0"/>
            <wp:docPr id="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82595" cy="2482850"/>
                    </a:xfrm>
                    <a:prstGeom prst="rect">
                      <a:avLst/>
                    </a:prstGeom>
                    <a:noFill/>
                    <a:ln>
                      <a:noFill/>
                    </a:ln>
                  </pic:spPr>
                </pic:pic>
              </a:graphicData>
            </a:graphic>
          </wp:inline>
        </w:drawing>
      </w:r>
    </w:p>
    <w:p w14:paraId="04290814" w14:textId="77777777" w:rsidR="00220ADA" w:rsidRPr="0058432E" w:rsidRDefault="00220ADA" w:rsidP="00220ADA">
      <w:pPr>
        <w:jc w:val="center"/>
        <w:rPr>
          <w:color w:val="000000" w:themeColor="text1"/>
        </w:rPr>
      </w:pPr>
    </w:p>
    <w:p w14:paraId="35279ECA" w14:textId="77777777" w:rsidR="00CC00FF" w:rsidRPr="0058432E" w:rsidRDefault="00CC00FF" w:rsidP="00982118">
      <w:pPr>
        <w:jc w:val="center"/>
        <w:rPr>
          <w:color w:val="000000" w:themeColor="text1"/>
        </w:rPr>
      </w:pPr>
    </w:p>
    <w:p w14:paraId="4C0375B6" w14:textId="77777777" w:rsidR="00CC00FF" w:rsidRPr="0058432E" w:rsidRDefault="00CC00FF" w:rsidP="00E23160">
      <w:pPr>
        <w:pStyle w:val="ListParagraph"/>
        <w:numPr>
          <w:ilvl w:val="0"/>
          <w:numId w:val="41"/>
        </w:numPr>
        <w:ind w:left="562" w:hanging="562"/>
        <w:contextualSpacing/>
        <w:rPr>
          <w:rFonts w:eastAsia="Wingdings-Regular"/>
          <w:color w:val="000000" w:themeColor="text1"/>
        </w:rPr>
      </w:pPr>
      <w:r w:rsidRPr="0058432E">
        <w:rPr>
          <w:color w:val="000000" w:themeColor="text1"/>
        </w:rPr>
        <w:t xml:space="preserve">Tournez et retirez le capuchon </w:t>
      </w:r>
    </w:p>
    <w:p w14:paraId="3BC7A826" w14:textId="77777777" w:rsidR="00CC00FF" w:rsidRPr="0058432E" w:rsidRDefault="00CC00FF" w:rsidP="00E23160">
      <w:pPr>
        <w:pStyle w:val="ListParagraph"/>
        <w:numPr>
          <w:ilvl w:val="0"/>
          <w:numId w:val="41"/>
        </w:numPr>
        <w:ind w:left="562" w:hanging="562"/>
        <w:contextualSpacing/>
        <w:rPr>
          <w:rFonts w:eastAsia="Wingdings-Regular"/>
          <w:color w:val="000000" w:themeColor="text1"/>
        </w:rPr>
      </w:pPr>
      <w:r w:rsidRPr="0058432E">
        <w:rPr>
          <w:color w:val="000000" w:themeColor="text1"/>
        </w:rPr>
        <w:t>Jetez le capuchon dans un réceptacle destiné aux objets tranchants et pointus ; vous n’en aurez plus besoin.</w:t>
      </w:r>
    </w:p>
    <w:p w14:paraId="758A9C42" w14:textId="77777777" w:rsidR="00831807" w:rsidRPr="0058432E" w:rsidRDefault="00831807" w:rsidP="00E23160">
      <w:pPr>
        <w:pStyle w:val="ListParagraph"/>
        <w:numPr>
          <w:ilvl w:val="0"/>
          <w:numId w:val="41"/>
        </w:numPr>
        <w:ind w:left="562" w:hanging="562"/>
        <w:contextualSpacing/>
        <w:rPr>
          <w:rFonts w:eastAsia="Wingdings-Regular"/>
          <w:color w:val="000000" w:themeColor="text1"/>
        </w:rPr>
      </w:pPr>
      <w:r w:rsidRPr="0058432E">
        <w:rPr>
          <w:rFonts w:eastAsia="Wingdings-Regular"/>
          <w:color w:val="000000" w:themeColor="text1"/>
        </w:rPr>
        <w:t xml:space="preserve">Il est normal de voir quelques gouttes de médicament à l'extrémité de l'aiguille lorsque vous enlevez le </w:t>
      </w:r>
      <w:r w:rsidR="00DB5157" w:rsidRPr="0058432E">
        <w:rPr>
          <w:rFonts w:eastAsia="Wingdings-Regular"/>
          <w:color w:val="000000" w:themeColor="text1"/>
        </w:rPr>
        <w:t>capuchon</w:t>
      </w:r>
      <w:r w:rsidRPr="0058432E">
        <w:rPr>
          <w:rFonts w:eastAsia="Wingdings-Regular"/>
          <w:color w:val="000000" w:themeColor="text1"/>
        </w:rPr>
        <w:t>.</w:t>
      </w:r>
    </w:p>
    <w:p w14:paraId="619983BD" w14:textId="77777777" w:rsidR="00CC00FF" w:rsidRPr="0058432E" w:rsidRDefault="00CC00FF" w:rsidP="00E23160">
      <w:pPr>
        <w:pStyle w:val="ListParagraph"/>
        <w:ind w:left="562"/>
        <w:contextualSpacing/>
        <w:rPr>
          <w:rFonts w:eastAsia="Wingdings-Regular"/>
          <w:color w:val="000000" w:themeColor="text1"/>
        </w:rPr>
      </w:pPr>
      <w:r w:rsidRPr="0058432E">
        <w:rPr>
          <w:b/>
          <w:bCs/>
          <w:color w:val="000000" w:themeColor="text1"/>
        </w:rPr>
        <w:t>Mise en garde :</w:t>
      </w:r>
      <w:r w:rsidRPr="0058432E">
        <w:rPr>
          <w:color w:val="000000" w:themeColor="text1"/>
        </w:rPr>
        <w:t xml:space="preserve"> manipulez votre stylo avec soin afin d’éviter une blessure accidentelle par piqûre d’aiguille.</w:t>
      </w:r>
    </w:p>
    <w:p w14:paraId="595FDBED" w14:textId="77777777" w:rsidR="00CC00FF" w:rsidRPr="0058432E" w:rsidRDefault="00CC00FF" w:rsidP="00E23160">
      <w:pPr>
        <w:ind w:left="562"/>
        <w:contextualSpacing/>
        <w:rPr>
          <w:bCs/>
          <w:color w:val="000000" w:themeColor="text1"/>
        </w:rPr>
      </w:pPr>
      <w:r w:rsidRPr="0058432E">
        <w:rPr>
          <w:b/>
          <w:bCs/>
          <w:color w:val="000000" w:themeColor="text1"/>
        </w:rPr>
        <w:t>Remarque :</w:t>
      </w:r>
      <w:r w:rsidRPr="0058432E">
        <w:rPr>
          <w:color w:val="000000" w:themeColor="text1"/>
        </w:rPr>
        <w:t xml:space="preserve"> </w:t>
      </w:r>
      <w:r w:rsidR="00AE2531" w:rsidRPr="0058432E">
        <w:rPr>
          <w:color w:val="000000" w:themeColor="text1"/>
        </w:rPr>
        <w:t>l</w:t>
      </w:r>
      <w:r w:rsidRPr="0058432E">
        <w:rPr>
          <w:color w:val="000000" w:themeColor="text1"/>
        </w:rPr>
        <w:t>e protège-aiguille reste à l’intérieur du capuchon après le retrait.</w:t>
      </w:r>
    </w:p>
    <w:p w14:paraId="4D84ED03" w14:textId="77777777" w:rsidR="00CC00FF" w:rsidRPr="0058432E" w:rsidRDefault="00CC00FF" w:rsidP="00982118">
      <w:pPr>
        <w:ind w:firstLine="310"/>
        <w:rPr>
          <w:color w:val="000000" w:themeColor="text1"/>
        </w:rPr>
      </w:pPr>
    </w:p>
    <w:p w14:paraId="7F8564BA" w14:textId="77777777" w:rsidR="00CC00FF" w:rsidRPr="0058432E" w:rsidRDefault="00CC00FF" w:rsidP="00982118">
      <w:pPr>
        <w:jc w:val="center"/>
        <w:rPr>
          <w:color w:val="000000" w:themeColor="text1"/>
        </w:rPr>
      </w:pPr>
    </w:p>
    <w:p w14:paraId="3B762F34" w14:textId="7B39A50D" w:rsidR="005F44AD" w:rsidRPr="0058432E" w:rsidRDefault="009D65D0" w:rsidP="005F44AD">
      <w:pPr>
        <w:jc w:val="center"/>
        <w:rPr>
          <w:color w:val="000000" w:themeColor="text1"/>
        </w:rPr>
      </w:pPr>
      <w:r w:rsidRPr="0058432E">
        <w:rPr>
          <w:noProof/>
          <w:color w:val="000000" w:themeColor="text1"/>
        </w:rPr>
        <w:lastRenderedPageBreak/>
        <mc:AlternateContent>
          <mc:Choice Requires="wps">
            <w:drawing>
              <wp:anchor distT="0" distB="0" distL="114300" distR="114300" simplePos="0" relativeHeight="251659776" behindDoc="0" locked="0" layoutInCell="1" allowOverlap="1" wp14:anchorId="212227C3" wp14:editId="59430592">
                <wp:simplePos x="0" y="0"/>
                <wp:positionH relativeFrom="column">
                  <wp:posOffset>2912110</wp:posOffset>
                </wp:positionH>
                <wp:positionV relativeFrom="paragraph">
                  <wp:posOffset>387350</wp:posOffset>
                </wp:positionV>
                <wp:extent cx="1016000" cy="207645"/>
                <wp:effectExtent l="0" t="0" r="0" b="0"/>
                <wp:wrapNone/>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207645"/>
                        </a:xfrm>
                        <a:prstGeom prst="rect">
                          <a:avLst/>
                        </a:prstGeom>
                        <a:solidFill>
                          <a:srgbClr val="FFFFFF"/>
                        </a:solidFill>
                        <a:ln>
                          <a:noFill/>
                        </a:ln>
                      </wps:spPr>
                      <wps:txbx>
                        <w:txbxContent>
                          <w:p w14:paraId="14181161" w14:textId="77777777" w:rsidR="009A26D2" w:rsidRPr="005F44AD" w:rsidRDefault="009A26D2" w:rsidP="005A0D4A">
                            <w:pPr>
                              <w:rPr>
                                <w:b/>
                                <w:bCs/>
                                <w:sz w:val="16"/>
                                <w:szCs w:val="16"/>
                              </w:rPr>
                            </w:pPr>
                            <w:r w:rsidRPr="005F44AD">
                              <w:rPr>
                                <w:b/>
                                <w:bCs/>
                                <w:sz w:val="16"/>
                                <w:szCs w:val="16"/>
                              </w:rPr>
                              <w:t>Poussez vers le bas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227C3" id="Zone de texte 97" o:spid="_x0000_s1111" type="#_x0000_t202" style="position:absolute;left:0;text-align:left;margin-left:229.3pt;margin-top:30.5pt;width:80pt;height:1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" stroked="f">
                <v:textbox>
                  <w:txbxContent>
                    <w:p w14:paraId="14181161" w14:textId="77777777" w:rsidR="009A26D2" w:rsidRPr="005F44AD" w:rsidRDefault="009A26D2" w:rsidP="005A0D4A">
                      <w:pPr>
                        <w:rPr>
                          <w:b/>
                          <w:bCs/>
                          <w:sz w:val="16"/>
                          <w:szCs w:val="16"/>
                        </w:rPr>
                      </w:pPr>
                      <w:r w:rsidRPr="005F44AD">
                        <w:rPr>
                          <w:b/>
                          <w:bCs/>
                          <w:sz w:val="16"/>
                          <w:szCs w:val="16"/>
                        </w:rPr>
                        <w:t>Poussez vers le bas</w:t>
                      </w:r>
                    </w:p>
                  </w:txbxContent>
                </v:textbox>
              </v:shape>
            </w:pict>
          </mc:Fallback>
        </mc:AlternateContent>
      </w:r>
      <w:r w:rsidRPr="0058432E">
        <w:rPr>
          <w:noProof/>
          <w:color w:val="000000" w:themeColor="text1"/>
        </w:rPr>
        <mc:AlternateContent>
          <mc:Choice Requires="wps">
            <w:drawing>
              <wp:anchor distT="0" distB="0" distL="114300" distR="114300" simplePos="0" relativeHeight="251658752" behindDoc="0" locked="0" layoutInCell="1" allowOverlap="1" wp14:anchorId="365C33F0" wp14:editId="7CFE4BE4">
                <wp:simplePos x="0" y="0"/>
                <wp:positionH relativeFrom="column">
                  <wp:posOffset>1896745</wp:posOffset>
                </wp:positionH>
                <wp:positionV relativeFrom="paragraph">
                  <wp:posOffset>71120</wp:posOffset>
                </wp:positionV>
                <wp:extent cx="1395730" cy="240665"/>
                <wp:effectExtent l="0" t="0" r="0" b="0"/>
                <wp:wrapNone/>
                <wp:docPr id="98" name="Zone de text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240665"/>
                        </a:xfrm>
                        <a:prstGeom prst="rect">
                          <a:avLst/>
                        </a:prstGeom>
                        <a:solidFill>
                          <a:srgbClr val="FFFFFF"/>
                        </a:solidFill>
                        <a:ln>
                          <a:noFill/>
                        </a:ln>
                      </wps:spPr>
                      <wps:txbx>
                        <w:txbxContent>
                          <w:p w14:paraId="3A3939B6" w14:textId="77777777" w:rsidR="009A26D2" w:rsidRPr="00A53E17" w:rsidRDefault="009A26D2" w:rsidP="005A0D4A">
                            <w:pPr>
                              <w:rPr>
                                <w:b/>
                                <w:bCs/>
                                <w:szCs w:val="18"/>
                              </w:rPr>
                            </w:pPr>
                            <w:r w:rsidRPr="00A53E17">
                              <w:rPr>
                                <w:b/>
                                <w:bCs/>
                                <w:szCs w:val="18"/>
                              </w:rPr>
                              <w:t>Insérez l’aiguille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C33F0" id="Zone de texte 98" o:spid="_x0000_s1112" type="#_x0000_t202" style="position:absolute;left:0;text-align:left;margin-left:149.35pt;margin-top:5.6pt;width:109.9pt;height:1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" stroked="f">
                <v:textbox>
                  <w:txbxContent>
                    <w:p w14:paraId="3A3939B6" w14:textId="77777777" w:rsidR="009A26D2" w:rsidRPr="00A53E17" w:rsidRDefault="009A26D2" w:rsidP="005A0D4A">
                      <w:pPr>
                        <w:rPr>
                          <w:b/>
                          <w:bCs/>
                          <w:szCs w:val="18"/>
                        </w:rPr>
                      </w:pPr>
                      <w:r w:rsidRPr="00A53E17">
                        <w:rPr>
                          <w:b/>
                          <w:bCs/>
                          <w:szCs w:val="18"/>
                        </w:rPr>
                        <w:t>Insérez l’aiguille</w:t>
                      </w:r>
                    </w:p>
                  </w:txbxContent>
                </v:textbox>
              </v:shape>
            </w:pict>
          </mc:Fallback>
        </mc:AlternateContent>
      </w:r>
      <w:r w:rsidRPr="0058432E">
        <w:rPr>
          <w:noProof/>
          <w:color w:val="000000" w:themeColor="text1"/>
        </w:rPr>
        <w:drawing>
          <wp:inline distT="0" distB="0" distL="0" distR="0" wp14:anchorId="24E9BCEF" wp14:editId="54E0C3FE">
            <wp:extent cx="2989580" cy="2447925"/>
            <wp:effectExtent l="0" t="0" r="0" b="0"/>
            <wp:docPr id="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89580" cy="2447925"/>
                    </a:xfrm>
                    <a:prstGeom prst="rect">
                      <a:avLst/>
                    </a:prstGeom>
                    <a:noFill/>
                    <a:ln>
                      <a:noFill/>
                    </a:ln>
                  </pic:spPr>
                </pic:pic>
              </a:graphicData>
            </a:graphic>
          </wp:inline>
        </w:drawing>
      </w:r>
    </w:p>
    <w:p w14:paraId="3FFDACA4" w14:textId="77777777" w:rsidR="005A0D4A" w:rsidRPr="0058432E" w:rsidRDefault="005A0D4A" w:rsidP="005A0D4A">
      <w:pPr>
        <w:jc w:val="center"/>
        <w:rPr>
          <w:color w:val="000000" w:themeColor="text1"/>
        </w:rPr>
      </w:pPr>
    </w:p>
    <w:p w14:paraId="01D4E5C0" w14:textId="77777777" w:rsidR="00CC00FF" w:rsidRPr="0058432E" w:rsidRDefault="00CC00FF" w:rsidP="00982118">
      <w:pPr>
        <w:jc w:val="center"/>
        <w:rPr>
          <w:color w:val="000000" w:themeColor="text1"/>
        </w:rPr>
      </w:pPr>
    </w:p>
    <w:p w14:paraId="5F7EA5E1"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b/>
          <w:color w:val="000000" w:themeColor="text1"/>
        </w:rPr>
        <w:t>Poussez</w:t>
      </w:r>
      <w:r w:rsidRPr="0058432E">
        <w:rPr>
          <w:color w:val="000000" w:themeColor="text1"/>
        </w:rPr>
        <w:t xml:space="preserve"> votre stylo fermement contre la peau selon un angle de 90 degrés, comme illustré.</w:t>
      </w:r>
    </w:p>
    <w:p w14:paraId="18AE8C40" w14:textId="77777777" w:rsidR="00CC00FF" w:rsidRPr="0058432E" w:rsidRDefault="00CC00FF" w:rsidP="00491257">
      <w:pPr>
        <w:pStyle w:val="ListParagraph"/>
        <w:ind w:left="561"/>
        <w:contextualSpacing/>
        <w:rPr>
          <w:color w:val="000000" w:themeColor="text1"/>
        </w:rPr>
      </w:pPr>
      <w:r w:rsidRPr="0058432E">
        <w:rPr>
          <w:b/>
          <w:color w:val="000000" w:themeColor="text1"/>
        </w:rPr>
        <w:t>Remarque :</w:t>
      </w:r>
      <w:r w:rsidRPr="0058432E">
        <w:rPr>
          <w:color w:val="000000" w:themeColor="text1"/>
        </w:rPr>
        <w:t xml:space="preserve"> l’aiguille pénètre dans la peau lorsque vous poussez votre stylo vers le bas. Le bouton d’injection se déverrouille lorsque vous appuyez assez fermement sur le stylo.</w:t>
      </w:r>
    </w:p>
    <w:p w14:paraId="7B471FC1" w14:textId="77777777" w:rsidR="00831807" w:rsidRPr="0058432E" w:rsidRDefault="00CC00FF" w:rsidP="00831807">
      <w:pPr>
        <w:pStyle w:val="ListParagraph"/>
        <w:numPr>
          <w:ilvl w:val="0"/>
          <w:numId w:val="42"/>
        </w:numPr>
        <w:ind w:left="562" w:hanging="562"/>
        <w:contextualSpacing/>
        <w:rPr>
          <w:b/>
          <w:color w:val="000000" w:themeColor="text1"/>
        </w:rPr>
      </w:pPr>
      <w:r w:rsidRPr="0058432E">
        <w:rPr>
          <w:b/>
          <w:color w:val="000000" w:themeColor="text1"/>
        </w:rPr>
        <w:t>Gardez votre stylo appuyé contre la peau jusqu’à l’étape 8.</w:t>
      </w:r>
    </w:p>
    <w:p w14:paraId="729A2B44" w14:textId="77777777" w:rsidR="00831807" w:rsidRPr="0058432E" w:rsidRDefault="00831807" w:rsidP="00A53E17">
      <w:pPr>
        <w:pStyle w:val="ListParagraph"/>
        <w:ind w:left="562"/>
        <w:contextualSpacing/>
        <w:rPr>
          <w:b/>
          <w:color w:val="000000" w:themeColor="text1"/>
        </w:rPr>
      </w:pPr>
      <w:r w:rsidRPr="0058432E">
        <w:rPr>
          <w:b/>
          <w:color w:val="000000" w:themeColor="text1"/>
        </w:rPr>
        <w:t>Remarque : Ne réinsérez pas</w:t>
      </w:r>
      <w:r w:rsidRPr="0058432E">
        <w:rPr>
          <w:color w:val="000000" w:themeColor="text1"/>
        </w:rPr>
        <w:t xml:space="preserve"> l'aiguille dans votre peau si vous changez d'avis sur l'endroit où vous devez vous injecter. Vous aurez besoin d'un stylo de remplacement si l'aiguille a déjà été insérée dans la peau.</w:t>
      </w:r>
    </w:p>
    <w:p w14:paraId="1F7ACF29" w14:textId="77777777" w:rsidR="00CC00FF" w:rsidRPr="0058432E" w:rsidRDefault="00CC00FF" w:rsidP="00982118">
      <w:pPr>
        <w:jc w:val="center"/>
        <w:rPr>
          <w:color w:val="000000" w:themeColor="text1"/>
        </w:rPr>
      </w:pPr>
    </w:p>
    <w:p w14:paraId="456A0A52" w14:textId="77777777" w:rsidR="00CC00FF" w:rsidRPr="0058432E" w:rsidRDefault="00CC00FF" w:rsidP="00982118">
      <w:pPr>
        <w:jc w:val="center"/>
        <w:rPr>
          <w:color w:val="000000" w:themeColor="text1"/>
        </w:rPr>
      </w:pPr>
    </w:p>
    <w:p w14:paraId="101ACEFF" w14:textId="3AC0FB1E" w:rsidR="00AC5077" w:rsidRPr="0058432E" w:rsidRDefault="009D65D0" w:rsidP="00AC5077">
      <w:pPr>
        <w:jc w:val="center"/>
        <w:rPr>
          <w:color w:val="000000" w:themeColor="text1"/>
        </w:rPr>
      </w:pPr>
      <w:r w:rsidRPr="0058432E">
        <w:rPr>
          <w:noProof/>
          <w:color w:val="000000" w:themeColor="text1"/>
        </w:rPr>
        <mc:AlternateContent>
          <mc:Choice Requires="wps">
            <w:drawing>
              <wp:anchor distT="0" distB="0" distL="114300" distR="114300" simplePos="0" relativeHeight="251666944" behindDoc="0" locked="0" layoutInCell="1" allowOverlap="1" wp14:anchorId="0A415EB3" wp14:editId="54BEE76C">
                <wp:simplePos x="0" y="0"/>
                <wp:positionH relativeFrom="column">
                  <wp:posOffset>3499485</wp:posOffset>
                </wp:positionH>
                <wp:positionV relativeFrom="paragraph">
                  <wp:posOffset>1242695</wp:posOffset>
                </wp:positionV>
                <wp:extent cx="727075" cy="426085"/>
                <wp:effectExtent l="0" t="0" r="0" b="0"/>
                <wp:wrapNone/>
                <wp:docPr id="108" name="Zone de text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426085"/>
                        </a:xfrm>
                        <a:prstGeom prst="rect">
                          <a:avLst/>
                        </a:prstGeom>
                        <a:solidFill>
                          <a:srgbClr val="FFFFFF"/>
                        </a:solidFill>
                        <a:ln>
                          <a:noFill/>
                        </a:ln>
                      </wps:spPr>
                      <wps:txbx>
                        <w:txbxContent>
                          <w:p w14:paraId="6B3C02D8" w14:textId="77777777" w:rsidR="009A26D2" w:rsidRPr="00CD3253" w:rsidRDefault="009A26D2" w:rsidP="00A53E17">
                            <w:pPr>
                              <w:jc w:val="center"/>
                              <w:rPr>
                                <w:b/>
                                <w:bCs/>
                                <w:sz w:val="15"/>
                                <w:szCs w:val="15"/>
                              </w:rPr>
                            </w:pPr>
                            <w:r>
                              <w:rPr>
                                <w:b/>
                                <w:bCs/>
                                <w:sz w:val="15"/>
                                <w:szCs w:val="15"/>
                              </w:rPr>
                              <w:t xml:space="preserve">Maintenez </w:t>
                            </w:r>
                            <w:r w:rsidRPr="00A85D23">
                              <w:rPr>
                                <w:b/>
                                <w:bCs/>
                                <w:color w:val="C45911"/>
                                <w:sz w:val="15"/>
                                <w:szCs w:val="15"/>
                              </w:rPr>
                              <w:t>5</w:t>
                            </w:r>
                            <w:r>
                              <w:rPr>
                                <w:b/>
                                <w:bCs/>
                                <w:color w:val="C45911"/>
                                <w:sz w:val="15"/>
                                <w:szCs w:val="15"/>
                              </w:rPr>
                              <w:t> </w:t>
                            </w:r>
                            <w:r w:rsidRPr="00CD3253">
                              <w:rPr>
                                <w:b/>
                                <w:bCs/>
                                <w:sz w:val="15"/>
                                <w:szCs w:val="15"/>
                              </w:rPr>
                              <w:t>second</w:t>
                            </w:r>
                            <w:r>
                              <w:rPr>
                                <w:b/>
                                <w:bCs/>
                                <w:sz w:val="15"/>
                                <w:szCs w:val="15"/>
                              </w:rPr>
                              <w:t>e</w:t>
                            </w:r>
                            <w:r w:rsidRPr="00CD3253">
                              <w:rPr>
                                <w:b/>
                                <w:bCs/>
                                <w:sz w:val="15"/>
                                <w:szCs w:val="15"/>
                              </w:rPr>
                              <w:t>s</w:t>
                            </w:r>
                            <w:r>
                              <w:rPr>
                                <w:b/>
                                <w:bCs/>
                                <w:sz w:val="15"/>
                                <w:szCs w:val="15"/>
                              </w:rPr>
                              <w:t xml:space="preserve"> de plus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5EB3" id="Zone de texte 108" o:spid="_x0000_s1113" type="#_x0000_t202" style="position:absolute;left:0;text-align:left;margin-left:275.55pt;margin-top:97.85pt;width:57.25pt;height:33.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" stroked="f">
                <v:textbox>
                  <w:txbxContent>
                    <w:p w14:paraId="6B3C02D8" w14:textId="77777777" w:rsidR="009A26D2" w:rsidRPr="00CD3253" w:rsidRDefault="009A26D2" w:rsidP="00A53E17">
                      <w:pPr>
                        <w:jc w:val="center"/>
                        <w:rPr>
                          <w:b/>
                          <w:bCs/>
                          <w:sz w:val="15"/>
                          <w:szCs w:val="15"/>
                        </w:rPr>
                      </w:pPr>
                      <w:r>
                        <w:rPr>
                          <w:b/>
                          <w:bCs/>
                          <w:sz w:val="15"/>
                          <w:szCs w:val="15"/>
                        </w:rPr>
                        <w:t xml:space="preserve">Maintenez </w:t>
                      </w:r>
                      <w:r w:rsidRPr="00A85D23">
                        <w:rPr>
                          <w:b/>
                          <w:bCs/>
                          <w:color w:val="C45911"/>
                          <w:sz w:val="15"/>
                          <w:szCs w:val="15"/>
                        </w:rPr>
                        <w:t>5</w:t>
                      </w:r>
                      <w:r>
                        <w:rPr>
                          <w:b/>
                          <w:bCs/>
                          <w:color w:val="C45911"/>
                          <w:sz w:val="15"/>
                          <w:szCs w:val="15"/>
                        </w:rPr>
                        <w:t> </w:t>
                      </w:r>
                      <w:r w:rsidRPr="00CD3253">
                        <w:rPr>
                          <w:b/>
                          <w:bCs/>
                          <w:sz w:val="15"/>
                          <w:szCs w:val="15"/>
                        </w:rPr>
                        <w:t>second</w:t>
                      </w:r>
                      <w:r>
                        <w:rPr>
                          <w:b/>
                          <w:bCs/>
                          <w:sz w:val="15"/>
                          <w:szCs w:val="15"/>
                        </w:rPr>
                        <w:t>e</w:t>
                      </w:r>
                      <w:r w:rsidRPr="00CD3253">
                        <w:rPr>
                          <w:b/>
                          <w:bCs/>
                          <w:sz w:val="15"/>
                          <w:szCs w:val="15"/>
                        </w:rPr>
                        <w:t>s</w:t>
                      </w:r>
                      <w:r>
                        <w:rPr>
                          <w:b/>
                          <w:bCs/>
                          <w:sz w:val="15"/>
                          <w:szCs w:val="15"/>
                        </w:rPr>
                        <w:t xml:space="preserve"> de plus</w:t>
                      </w:r>
                    </w:p>
                  </w:txbxContent>
                </v:textbox>
              </v:shape>
            </w:pict>
          </mc:Fallback>
        </mc:AlternateContent>
      </w:r>
      <w:r w:rsidRPr="0058432E">
        <w:rPr>
          <w:noProof/>
          <w:color w:val="000000" w:themeColor="text1"/>
        </w:rPr>
        <mc:AlternateContent>
          <mc:Choice Requires="wps">
            <w:drawing>
              <wp:anchor distT="0" distB="0" distL="114300" distR="114300" simplePos="0" relativeHeight="251662848" behindDoc="0" locked="0" layoutInCell="1" allowOverlap="1" wp14:anchorId="08DAAAB5" wp14:editId="292D97F2">
                <wp:simplePos x="0" y="0"/>
                <wp:positionH relativeFrom="column">
                  <wp:posOffset>2455545</wp:posOffset>
                </wp:positionH>
                <wp:positionV relativeFrom="paragraph">
                  <wp:posOffset>373380</wp:posOffset>
                </wp:positionV>
                <wp:extent cx="765175" cy="175260"/>
                <wp:effectExtent l="0" t="0" r="0" b="0"/>
                <wp:wrapNone/>
                <wp:docPr id="101" name="Zone de text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175260"/>
                        </a:xfrm>
                        <a:prstGeom prst="rect">
                          <a:avLst/>
                        </a:prstGeom>
                        <a:solidFill>
                          <a:srgbClr val="FFFFFF"/>
                        </a:solidFill>
                        <a:ln>
                          <a:noFill/>
                        </a:ln>
                      </wps:spPr>
                      <wps:txbx>
                        <w:txbxContent>
                          <w:p w14:paraId="332A9BDF" w14:textId="77777777" w:rsidR="009A26D2" w:rsidRPr="00CD3253" w:rsidRDefault="009A26D2" w:rsidP="00EC0F86">
                            <w:pPr>
                              <w:rPr>
                                <w:b/>
                                <w:bCs/>
                                <w:sz w:val="14"/>
                                <w:szCs w:val="14"/>
                              </w:rPr>
                            </w:pPr>
                            <w:r>
                              <w:rPr>
                                <w:b/>
                                <w:bCs/>
                                <w:sz w:val="14"/>
                                <w:szCs w:val="14"/>
                              </w:rPr>
                              <w:t>Maintenez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AAAB5" id="Zone de texte 101" o:spid="_x0000_s1114" type="#_x0000_t202" style="position:absolute;left:0;text-align:left;margin-left:193.35pt;margin-top:29.4pt;width:60.25pt;height:1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" stroked="f">
                <v:textbox>
                  <w:txbxContent>
                    <w:p w14:paraId="332A9BDF" w14:textId="77777777" w:rsidR="009A26D2" w:rsidRPr="00CD3253" w:rsidRDefault="009A26D2" w:rsidP="00EC0F86">
                      <w:pPr>
                        <w:rPr>
                          <w:b/>
                          <w:bCs/>
                          <w:sz w:val="14"/>
                          <w:szCs w:val="14"/>
                        </w:rPr>
                      </w:pPr>
                      <w:r>
                        <w:rPr>
                          <w:b/>
                          <w:bCs/>
                          <w:sz w:val="14"/>
                          <w:szCs w:val="14"/>
                        </w:rPr>
                        <w:t>Maintenez</w:t>
                      </w:r>
                    </w:p>
                  </w:txbxContent>
                </v:textbox>
              </v:shape>
            </w:pict>
          </mc:Fallback>
        </mc:AlternateContent>
      </w:r>
      <w:r w:rsidRPr="0058432E">
        <w:rPr>
          <w:noProof/>
          <w:color w:val="000000" w:themeColor="text1"/>
        </w:rPr>
        <mc:AlternateContent>
          <mc:Choice Requires="wps">
            <w:drawing>
              <wp:anchor distT="0" distB="0" distL="114300" distR="114300" simplePos="0" relativeHeight="251663872" behindDoc="0" locked="0" layoutInCell="1" allowOverlap="1" wp14:anchorId="47D3A5A4" wp14:editId="03344334">
                <wp:simplePos x="0" y="0"/>
                <wp:positionH relativeFrom="column">
                  <wp:posOffset>3684270</wp:posOffset>
                </wp:positionH>
                <wp:positionV relativeFrom="paragraph">
                  <wp:posOffset>373380</wp:posOffset>
                </wp:positionV>
                <wp:extent cx="574040" cy="175260"/>
                <wp:effectExtent l="0" t="0" r="0" b="0"/>
                <wp:wrapNone/>
                <wp:docPr id="102" name="Zone de text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175260"/>
                        </a:xfrm>
                        <a:prstGeom prst="rect">
                          <a:avLst/>
                        </a:prstGeom>
                        <a:solidFill>
                          <a:srgbClr val="FFFFFF"/>
                        </a:solidFill>
                        <a:ln>
                          <a:noFill/>
                        </a:ln>
                      </wps:spPr>
                      <wps:txbx>
                        <w:txbxContent>
                          <w:p w14:paraId="1E0B2E79" w14:textId="77777777" w:rsidR="009A26D2" w:rsidRPr="00CD3253" w:rsidRDefault="009A26D2" w:rsidP="00EC0F86">
                            <w:pPr>
                              <w:rPr>
                                <w:b/>
                                <w:bCs/>
                                <w:sz w:val="14"/>
                                <w:szCs w:val="14"/>
                              </w:rPr>
                            </w:pPr>
                            <w:r>
                              <w:rPr>
                                <w:b/>
                                <w:bCs/>
                                <w:sz w:val="14"/>
                                <w:szCs w:val="14"/>
                              </w:rPr>
                              <w:t>Attendez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3A5A4" id="Zone de texte 102" o:spid="_x0000_s1115" type="#_x0000_t202" style="position:absolute;left:0;text-align:left;margin-left:290.1pt;margin-top:29.4pt;width:45.2pt;height:13.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" stroked="f">
                <v:textbox>
                  <w:txbxContent>
                    <w:p w14:paraId="1E0B2E79" w14:textId="77777777" w:rsidR="009A26D2" w:rsidRPr="00CD3253" w:rsidRDefault="009A26D2" w:rsidP="00EC0F86">
                      <w:pPr>
                        <w:rPr>
                          <w:b/>
                          <w:bCs/>
                          <w:sz w:val="14"/>
                          <w:szCs w:val="14"/>
                        </w:rPr>
                      </w:pPr>
                      <w:r>
                        <w:rPr>
                          <w:b/>
                          <w:bCs/>
                          <w:sz w:val="14"/>
                          <w:szCs w:val="14"/>
                        </w:rPr>
                        <w:t>Attendez</w:t>
                      </w:r>
                    </w:p>
                  </w:txbxContent>
                </v:textbox>
              </v:shape>
            </w:pict>
          </mc:Fallback>
        </mc:AlternateContent>
      </w:r>
      <w:r w:rsidRPr="0058432E">
        <w:rPr>
          <w:noProof/>
          <w:color w:val="000000" w:themeColor="text1"/>
        </w:rPr>
        <mc:AlternateContent>
          <mc:Choice Requires="wps">
            <w:drawing>
              <wp:anchor distT="0" distB="0" distL="114300" distR="114300" simplePos="0" relativeHeight="251665920" behindDoc="0" locked="0" layoutInCell="1" allowOverlap="1" wp14:anchorId="1D864DC9" wp14:editId="03AB476F">
                <wp:simplePos x="0" y="0"/>
                <wp:positionH relativeFrom="column">
                  <wp:posOffset>3352165</wp:posOffset>
                </wp:positionH>
                <wp:positionV relativeFrom="paragraph">
                  <wp:posOffset>678815</wp:posOffset>
                </wp:positionV>
                <wp:extent cx="544830" cy="196850"/>
                <wp:effectExtent l="0" t="0" r="0" b="0"/>
                <wp:wrapNone/>
                <wp:docPr id="107" name="Zone de text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96850"/>
                        </a:xfrm>
                        <a:prstGeom prst="rect">
                          <a:avLst/>
                        </a:prstGeom>
                        <a:solidFill>
                          <a:srgbClr val="FFFFFF"/>
                        </a:solidFill>
                        <a:ln>
                          <a:noFill/>
                        </a:ln>
                      </wps:spPr>
                      <wps:txbx>
                        <w:txbxContent>
                          <w:p w14:paraId="3740BE3B" w14:textId="77777777" w:rsidR="009A26D2" w:rsidRPr="00CD3253" w:rsidRDefault="009A26D2" w:rsidP="00EC0F86">
                            <w:pPr>
                              <w:rPr>
                                <w:b/>
                                <w:bCs/>
                                <w:sz w:val="14"/>
                                <w:szCs w:val="14"/>
                              </w:rPr>
                            </w:pPr>
                            <w:r>
                              <w:rPr>
                                <w:b/>
                                <w:bCs/>
                                <w:sz w:val="14"/>
                                <w:szCs w:val="14"/>
                              </w:rPr>
                              <w:t>2</w:t>
                            </w:r>
                            <w:r>
                              <w:rPr>
                                <w:b/>
                                <w:bCs/>
                                <w:sz w:val="14"/>
                                <w:szCs w:val="14"/>
                                <w:vertAlign w:val="superscript"/>
                              </w:rPr>
                              <w:t>e</w:t>
                            </w:r>
                            <w:r>
                              <w:rPr>
                                <w:b/>
                                <w:bCs/>
                                <w:sz w:val="14"/>
                                <w:szCs w:val="14"/>
                              </w:rPr>
                              <w:t xml:space="preserve"> clic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64DC9" id="Zone de texte 107" o:spid="_x0000_s1116" type="#_x0000_t202" style="position:absolute;left:0;text-align:left;margin-left:263.95pt;margin-top:53.45pt;width:42.9pt;height:1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" stroked="f">
                <v:textbox>
                  <w:txbxContent>
                    <w:p w14:paraId="3740BE3B" w14:textId="77777777" w:rsidR="009A26D2" w:rsidRPr="00CD3253" w:rsidRDefault="009A26D2" w:rsidP="00EC0F86">
                      <w:pPr>
                        <w:rPr>
                          <w:b/>
                          <w:bCs/>
                          <w:sz w:val="14"/>
                          <w:szCs w:val="14"/>
                        </w:rPr>
                      </w:pPr>
                      <w:r>
                        <w:rPr>
                          <w:b/>
                          <w:bCs/>
                          <w:sz w:val="14"/>
                          <w:szCs w:val="14"/>
                        </w:rPr>
                        <w:t>2</w:t>
                      </w:r>
                      <w:r>
                        <w:rPr>
                          <w:b/>
                          <w:bCs/>
                          <w:sz w:val="14"/>
                          <w:szCs w:val="14"/>
                          <w:vertAlign w:val="superscript"/>
                        </w:rPr>
                        <w:t>e</w:t>
                      </w:r>
                      <w:r>
                        <w:rPr>
                          <w:b/>
                          <w:bCs/>
                          <w:sz w:val="14"/>
                          <w:szCs w:val="14"/>
                        </w:rPr>
                        <w:t xml:space="preserve"> clic</w:t>
                      </w:r>
                    </w:p>
                  </w:txbxContent>
                </v:textbox>
              </v:shape>
            </w:pict>
          </mc:Fallback>
        </mc:AlternateContent>
      </w:r>
      <w:r w:rsidRPr="0058432E">
        <w:rPr>
          <w:noProof/>
          <w:color w:val="000000" w:themeColor="text1"/>
        </w:rPr>
        <mc:AlternateContent>
          <mc:Choice Requires="wps">
            <w:drawing>
              <wp:anchor distT="0" distB="0" distL="114300" distR="114300" simplePos="0" relativeHeight="251661824" behindDoc="0" locked="0" layoutInCell="1" allowOverlap="1" wp14:anchorId="4462DD41" wp14:editId="695FAB35">
                <wp:simplePos x="0" y="0"/>
                <wp:positionH relativeFrom="column">
                  <wp:posOffset>1536700</wp:posOffset>
                </wp:positionH>
                <wp:positionV relativeFrom="paragraph">
                  <wp:posOffset>650875</wp:posOffset>
                </wp:positionV>
                <wp:extent cx="438785" cy="196850"/>
                <wp:effectExtent l="0" t="0" r="0" b="0"/>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196850"/>
                        </a:xfrm>
                        <a:prstGeom prst="rect">
                          <a:avLst/>
                        </a:prstGeom>
                        <a:solidFill>
                          <a:srgbClr val="FFFFFF"/>
                        </a:solidFill>
                        <a:ln>
                          <a:noFill/>
                        </a:ln>
                      </wps:spPr>
                      <wps:txbx>
                        <w:txbxContent>
                          <w:p w14:paraId="1B457F80" w14:textId="77777777" w:rsidR="009A26D2" w:rsidRPr="00CD3253" w:rsidRDefault="009A26D2" w:rsidP="00EC0F86">
                            <w:pPr>
                              <w:rPr>
                                <w:b/>
                                <w:bCs/>
                                <w:sz w:val="14"/>
                                <w:szCs w:val="14"/>
                              </w:rPr>
                            </w:pPr>
                            <w:r>
                              <w:rPr>
                                <w:b/>
                                <w:bCs/>
                                <w:sz w:val="14"/>
                                <w:szCs w:val="14"/>
                              </w:rPr>
                              <w:t>Clic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2DD41" id="Zone de texte 105" o:spid="_x0000_s1117" type="#_x0000_t202" style="position:absolute;left:0;text-align:left;margin-left:121pt;margin-top:51.25pt;width:34.55pt;height:1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" stroked="f">
                <v:textbox>
                  <w:txbxContent>
                    <w:p w14:paraId="1B457F80" w14:textId="77777777" w:rsidR="009A26D2" w:rsidRPr="00CD3253" w:rsidRDefault="009A26D2" w:rsidP="00EC0F86">
                      <w:pPr>
                        <w:rPr>
                          <w:b/>
                          <w:bCs/>
                          <w:sz w:val="14"/>
                          <w:szCs w:val="14"/>
                        </w:rPr>
                      </w:pPr>
                      <w:r>
                        <w:rPr>
                          <w:b/>
                          <w:bCs/>
                          <w:sz w:val="14"/>
                          <w:szCs w:val="14"/>
                        </w:rPr>
                        <w:t>Clic</w:t>
                      </w:r>
                    </w:p>
                  </w:txbxContent>
                </v:textbox>
              </v:shape>
            </w:pict>
          </mc:Fallback>
        </mc:AlternateContent>
      </w:r>
      <w:r w:rsidRPr="0058432E">
        <w:rPr>
          <w:noProof/>
          <w:color w:val="000000" w:themeColor="text1"/>
        </w:rPr>
        <mc:AlternateContent>
          <mc:Choice Requires="wps">
            <w:drawing>
              <wp:anchor distT="0" distB="0" distL="114300" distR="114300" simplePos="0" relativeHeight="251664896" behindDoc="0" locked="0" layoutInCell="1" allowOverlap="1" wp14:anchorId="1FCEDA29" wp14:editId="62C0F292">
                <wp:simplePos x="0" y="0"/>
                <wp:positionH relativeFrom="column">
                  <wp:posOffset>1226185</wp:posOffset>
                </wp:positionH>
                <wp:positionV relativeFrom="paragraph">
                  <wp:posOffset>356235</wp:posOffset>
                </wp:positionV>
                <wp:extent cx="574040" cy="175260"/>
                <wp:effectExtent l="0" t="0" r="0" b="0"/>
                <wp:wrapNone/>
                <wp:docPr id="104" name="Zone de texte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175260"/>
                        </a:xfrm>
                        <a:prstGeom prst="rect">
                          <a:avLst/>
                        </a:prstGeom>
                        <a:solidFill>
                          <a:srgbClr val="FFFFFF"/>
                        </a:solidFill>
                        <a:ln>
                          <a:noFill/>
                        </a:ln>
                      </wps:spPr>
                      <wps:txbx>
                        <w:txbxContent>
                          <w:p w14:paraId="2B893099" w14:textId="77777777" w:rsidR="009A26D2" w:rsidRPr="00CD3253" w:rsidRDefault="009A26D2" w:rsidP="00EC0F86">
                            <w:pPr>
                              <w:rPr>
                                <w:b/>
                                <w:bCs/>
                                <w:sz w:val="14"/>
                                <w:szCs w:val="14"/>
                              </w:rPr>
                            </w:pPr>
                            <w:r>
                              <w:rPr>
                                <w:b/>
                                <w:bCs/>
                                <w:sz w:val="14"/>
                                <w:szCs w:val="14"/>
                              </w:rPr>
                              <w:t>Appuyez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EDA29" id="Zone de texte 104" o:spid="_x0000_s1118" type="#_x0000_t202" style="position:absolute;left:0;text-align:left;margin-left:96.55pt;margin-top:28.05pt;width:45.2pt;height:13.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" stroked="f">
                <v:textbox>
                  <w:txbxContent>
                    <w:p w14:paraId="2B893099" w14:textId="77777777" w:rsidR="009A26D2" w:rsidRPr="00CD3253" w:rsidRDefault="009A26D2" w:rsidP="00EC0F86">
                      <w:pPr>
                        <w:rPr>
                          <w:b/>
                          <w:bCs/>
                          <w:sz w:val="14"/>
                          <w:szCs w:val="14"/>
                        </w:rPr>
                      </w:pPr>
                      <w:r>
                        <w:rPr>
                          <w:b/>
                          <w:bCs/>
                          <w:sz w:val="14"/>
                          <w:szCs w:val="14"/>
                        </w:rPr>
                        <w:t>Appuyez</w:t>
                      </w:r>
                    </w:p>
                  </w:txbxContent>
                </v:textbox>
              </v:shape>
            </w:pict>
          </mc:Fallback>
        </mc:AlternateContent>
      </w:r>
      <w:r w:rsidRPr="0058432E">
        <w:rPr>
          <w:noProof/>
          <w:color w:val="000000" w:themeColor="text1"/>
        </w:rPr>
        <mc:AlternateContent>
          <mc:Choice Requires="wps">
            <w:drawing>
              <wp:anchor distT="0" distB="0" distL="114300" distR="114300" simplePos="0" relativeHeight="251660800" behindDoc="0" locked="0" layoutInCell="1" allowOverlap="1" wp14:anchorId="5D941EAD" wp14:editId="0DA99076">
                <wp:simplePos x="0" y="0"/>
                <wp:positionH relativeFrom="column">
                  <wp:posOffset>1132840</wp:posOffset>
                </wp:positionH>
                <wp:positionV relativeFrom="paragraph">
                  <wp:posOffset>52070</wp:posOffset>
                </wp:positionV>
                <wp:extent cx="2352675" cy="257175"/>
                <wp:effectExtent l="0" t="0" r="0" b="0"/>
                <wp:wrapNone/>
                <wp:docPr id="100" name="Zone de text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257175"/>
                        </a:xfrm>
                        <a:prstGeom prst="rect">
                          <a:avLst/>
                        </a:prstGeom>
                        <a:solidFill>
                          <a:srgbClr val="FFFFFF"/>
                        </a:solidFill>
                        <a:ln>
                          <a:noFill/>
                        </a:ln>
                      </wps:spPr>
                      <wps:txbx>
                        <w:txbxContent>
                          <w:p w14:paraId="08A87724" w14:textId="77777777" w:rsidR="009A26D2" w:rsidRPr="00491257" w:rsidRDefault="009A26D2" w:rsidP="00EC0F86">
                            <w:pPr>
                              <w:rPr>
                                <w:b/>
                                <w:bCs/>
                              </w:rPr>
                            </w:pPr>
                            <w:r w:rsidRPr="00491257">
                              <w:rPr>
                                <w:b/>
                                <w:bCs/>
                              </w:rPr>
                              <w:t xml:space="preserve">Injectez votre médicament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41EAD" id="Zone de texte 100" o:spid="_x0000_s1119" type="#_x0000_t202" style="position:absolute;left:0;text-align:left;margin-left:89.2pt;margin-top:4.1pt;width:185.2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" stroked="f">
                <v:textbox>
                  <w:txbxContent>
                    <w:p w14:paraId="08A87724" w14:textId="77777777" w:rsidR="009A26D2" w:rsidRPr="00491257" w:rsidRDefault="009A26D2" w:rsidP="00EC0F86">
                      <w:pPr>
                        <w:rPr>
                          <w:b/>
                          <w:bCs/>
                        </w:rPr>
                      </w:pPr>
                      <w:r w:rsidRPr="00491257">
                        <w:rPr>
                          <w:b/>
                          <w:bCs/>
                        </w:rPr>
                        <w:t xml:space="preserve">Injectez votre médicament </w:t>
                      </w:r>
                    </w:p>
                  </w:txbxContent>
                </v:textbox>
              </v:shape>
            </w:pict>
          </mc:Fallback>
        </mc:AlternateContent>
      </w:r>
      <w:r w:rsidRPr="0058432E">
        <w:rPr>
          <w:noProof/>
          <w:color w:val="000000" w:themeColor="text1"/>
          <w:lang w:eastAsia="en-GB"/>
        </w:rPr>
        <w:drawing>
          <wp:inline distT="0" distB="0" distL="0" distR="0" wp14:anchorId="3601D83E" wp14:editId="6DB5352D">
            <wp:extent cx="4761865" cy="2018665"/>
            <wp:effectExtent l="0" t="0" r="0" b="0"/>
            <wp:docPr id="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61865" cy="2018665"/>
                    </a:xfrm>
                    <a:prstGeom prst="rect">
                      <a:avLst/>
                    </a:prstGeom>
                    <a:noFill/>
                    <a:ln>
                      <a:noFill/>
                    </a:ln>
                  </pic:spPr>
                </pic:pic>
              </a:graphicData>
            </a:graphic>
          </wp:inline>
        </w:drawing>
      </w:r>
    </w:p>
    <w:p w14:paraId="6F83D2FE" w14:textId="77777777" w:rsidR="00EC0F86" w:rsidRPr="0058432E" w:rsidRDefault="00EC0F86" w:rsidP="00EC0F86">
      <w:pPr>
        <w:jc w:val="center"/>
        <w:rPr>
          <w:color w:val="000000" w:themeColor="text1"/>
        </w:rPr>
      </w:pPr>
    </w:p>
    <w:p w14:paraId="2F42499E" w14:textId="77777777" w:rsidR="00CC00FF" w:rsidRPr="0058432E" w:rsidRDefault="00CC00FF" w:rsidP="00982118">
      <w:pPr>
        <w:jc w:val="center"/>
        <w:rPr>
          <w:color w:val="000000" w:themeColor="text1"/>
        </w:rPr>
      </w:pPr>
    </w:p>
    <w:p w14:paraId="1D0F093E" w14:textId="77777777" w:rsidR="00CC00FF" w:rsidRPr="0058432E" w:rsidRDefault="00CC00FF" w:rsidP="00E23160">
      <w:pPr>
        <w:pStyle w:val="ListParagraph"/>
        <w:numPr>
          <w:ilvl w:val="0"/>
          <w:numId w:val="42"/>
        </w:numPr>
        <w:ind w:left="562" w:hanging="562"/>
        <w:contextualSpacing/>
        <w:rPr>
          <w:color w:val="000000" w:themeColor="text1"/>
        </w:rPr>
      </w:pPr>
      <w:r w:rsidRPr="0058432E">
        <w:rPr>
          <w:b/>
          <w:color w:val="000000" w:themeColor="text1"/>
        </w:rPr>
        <w:t>Appuyez</w:t>
      </w:r>
      <w:r w:rsidRPr="0058432E">
        <w:rPr>
          <w:color w:val="000000" w:themeColor="text1"/>
        </w:rPr>
        <w:t xml:space="preserve"> à fond sur le bouton d’injection et vous entendrez un clic.</w:t>
      </w:r>
      <w:r w:rsidR="00041789" w:rsidRPr="0058432E">
        <w:rPr>
          <w:color w:val="000000" w:themeColor="text1"/>
        </w:rPr>
        <w:t xml:space="preserve"> Vous pouvez retirer votre doigt du bouton d'injection lorsque l'injection a commencé.</w:t>
      </w:r>
    </w:p>
    <w:p w14:paraId="64E25701" w14:textId="77777777" w:rsidR="00CC00FF" w:rsidRPr="0058432E" w:rsidRDefault="00CC00FF" w:rsidP="00E23160">
      <w:pPr>
        <w:pStyle w:val="ListParagraph"/>
        <w:numPr>
          <w:ilvl w:val="0"/>
          <w:numId w:val="35"/>
        </w:numPr>
        <w:ind w:left="562" w:hanging="562"/>
        <w:contextualSpacing/>
        <w:rPr>
          <w:b/>
          <w:color w:val="000000" w:themeColor="text1"/>
        </w:rPr>
      </w:pPr>
      <w:r w:rsidRPr="0058432E">
        <w:rPr>
          <w:b/>
          <w:bCs/>
          <w:color w:val="000000" w:themeColor="text1"/>
        </w:rPr>
        <w:t>Maintenez</w:t>
      </w:r>
      <w:r w:rsidRPr="0058432E">
        <w:rPr>
          <w:color w:val="000000" w:themeColor="text1"/>
        </w:rPr>
        <w:t xml:space="preserve"> fermement votre stylo contre la peau pendant que la barre orange se déplace à travers la fenêtre.</w:t>
      </w:r>
      <w:r w:rsidR="00041789" w:rsidRPr="0058432E">
        <w:rPr>
          <w:color w:val="000000" w:themeColor="text1"/>
        </w:rPr>
        <w:t xml:space="preserve"> Cela prend habituellement 3 à 10 secondes pour administrer la dose.</w:t>
      </w:r>
    </w:p>
    <w:p w14:paraId="5A30A624"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b/>
          <w:color w:val="000000" w:themeColor="text1"/>
        </w:rPr>
        <w:t xml:space="preserve">Patientez </w:t>
      </w:r>
      <w:r w:rsidRPr="0058432E">
        <w:rPr>
          <w:color w:val="000000" w:themeColor="text1"/>
        </w:rPr>
        <w:t>au moins 5 secondes de plus après le 2</w:t>
      </w:r>
      <w:r w:rsidRPr="0058432E">
        <w:rPr>
          <w:color w:val="000000" w:themeColor="text1"/>
          <w:vertAlign w:val="superscript"/>
        </w:rPr>
        <w:t>e</w:t>
      </w:r>
      <w:r w:rsidRPr="0058432E">
        <w:rPr>
          <w:color w:val="000000" w:themeColor="text1"/>
        </w:rPr>
        <w:t xml:space="preserve"> clic pour permettre l’absorption du médicament.</w:t>
      </w:r>
    </w:p>
    <w:p w14:paraId="176298AF" w14:textId="77777777" w:rsidR="00CC00FF" w:rsidRPr="0058432E" w:rsidRDefault="00041789" w:rsidP="00A53E17">
      <w:pPr>
        <w:pStyle w:val="ListParagraph"/>
        <w:ind w:left="567"/>
        <w:contextualSpacing/>
        <w:rPr>
          <w:color w:val="000000" w:themeColor="text1"/>
        </w:rPr>
      </w:pPr>
      <w:r w:rsidRPr="0058432E">
        <w:rPr>
          <w:b/>
          <w:color w:val="000000" w:themeColor="text1"/>
        </w:rPr>
        <w:t xml:space="preserve">Remarque </w:t>
      </w:r>
      <w:r w:rsidRPr="0058432E">
        <w:rPr>
          <w:color w:val="000000" w:themeColor="text1"/>
        </w:rPr>
        <w:t>: Si vous ne pouvez pas appuyer sur le bouton d'injection, c'est parce que vous n'appuyez pas assez fermement sur le stylo. Retirez votre doigt du bouton d'injection et appuyez plus fermement votre stylo contre la peau. Essayez ensuite d'appuyer à nouveau sur le bouton. Si cela ne fonctionne pas, l'étirement ou le pincement de la peau peut rendre le site d'injection plus ferme, ce qui facilite l'appui sur le bouton d'injection.</w:t>
      </w:r>
    </w:p>
    <w:p w14:paraId="3C8830BD" w14:textId="77777777" w:rsidR="00CC00FF" w:rsidRPr="0058432E" w:rsidRDefault="00CC00FF" w:rsidP="00982118">
      <w:pPr>
        <w:pStyle w:val="ListParagraph"/>
        <w:contextualSpacing/>
        <w:rPr>
          <w:color w:val="000000" w:themeColor="text1"/>
        </w:rPr>
      </w:pPr>
    </w:p>
    <w:p w14:paraId="4FC2A138" w14:textId="2752EC81" w:rsidR="00090092" w:rsidRPr="0058432E" w:rsidRDefault="009D65D0" w:rsidP="00090092">
      <w:pPr>
        <w:jc w:val="center"/>
        <w:rPr>
          <w:color w:val="000000" w:themeColor="text1"/>
        </w:rPr>
      </w:pPr>
      <w:r w:rsidRPr="0058432E">
        <w:rPr>
          <w:noProof/>
          <w:color w:val="000000" w:themeColor="text1"/>
        </w:rPr>
        <w:lastRenderedPageBreak/>
        <mc:AlternateContent>
          <mc:Choice Requires="wps">
            <w:drawing>
              <wp:anchor distT="0" distB="0" distL="114300" distR="114300" simplePos="0" relativeHeight="251705856" behindDoc="0" locked="0" layoutInCell="1" allowOverlap="1" wp14:anchorId="1669AD24" wp14:editId="0099CCD0">
                <wp:simplePos x="0" y="0"/>
                <wp:positionH relativeFrom="column">
                  <wp:posOffset>1896110</wp:posOffset>
                </wp:positionH>
                <wp:positionV relativeFrom="paragraph">
                  <wp:posOffset>72390</wp:posOffset>
                </wp:positionV>
                <wp:extent cx="1353820" cy="249555"/>
                <wp:effectExtent l="0" t="0" r="0" b="0"/>
                <wp:wrapNone/>
                <wp:docPr id="132" name="Zone de texte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249555"/>
                        </a:xfrm>
                        <a:prstGeom prst="rect">
                          <a:avLst/>
                        </a:prstGeom>
                        <a:solidFill>
                          <a:srgbClr val="FFFFFF"/>
                        </a:solidFill>
                        <a:ln>
                          <a:noFill/>
                        </a:ln>
                      </wps:spPr>
                      <wps:txbx>
                        <w:txbxContent>
                          <w:p w14:paraId="167933D8" w14:textId="77777777" w:rsidR="009A26D2" w:rsidRPr="00491257" w:rsidRDefault="009A26D2" w:rsidP="00601484">
                            <w:pPr>
                              <w:rPr>
                                <w:b/>
                                <w:bCs/>
                                <w:szCs w:val="20"/>
                              </w:rPr>
                            </w:pPr>
                            <w:r w:rsidRPr="00491257">
                              <w:rPr>
                                <w:b/>
                                <w:bCs/>
                                <w:szCs w:val="20"/>
                              </w:rPr>
                              <w:t>Retirez votre stylo</w:t>
                            </w:r>
                          </w:p>
                          <w:p w14:paraId="42C6B2DF" w14:textId="77777777" w:rsidR="009A26D2" w:rsidRPr="009E6D01" w:rsidRDefault="009A26D2" w:rsidP="00601484">
                            <w:pPr>
                              <w:rPr>
                                <w:b/>
                                <w:bC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9AD24" id="Zone de texte 132" o:spid="_x0000_s1120" type="#_x0000_t202" style="position:absolute;left:0;text-align:left;margin-left:149.3pt;margin-top:5.7pt;width:106.6pt;height:19.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" stroked="f">
                <v:textbox>
                  <w:txbxContent>
                    <w:p w14:paraId="167933D8" w14:textId="77777777" w:rsidR="009A26D2" w:rsidRPr="00491257" w:rsidRDefault="009A26D2" w:rsidP="00601484">
                      <w:pPr>
                        <w:rPr>
                          <w:b/>
                          <w:bCs/>
                          <w:szCs w:val="20"/>
                        </w:rPr>
                      </w:pPr>
                      <w:r w:rsidRPr="00491257">
                        <w:rPr>
                          <w:b/>
                          <w:bCs/>
                          <w:szCs w:val="20"/>
                        </w:rPr>
                        <w:t>Retirez votre stylo</w:t>
                      </w:r>
                    </w:p>
                    <w:p w14:paraId="42C6B2DF" w14:textId="77777777" w:rsidR="009A26D2" w:rsidRPr="009E6D01" w:rsidRDefault="009A26D2" w:rsidP="00601484">
                      <w:pPr>
                        <w:rPr>
                          <w:b/>
                          <w:bCs/>
                          <w:sz w:val="18"/>
                          <w:szCs w:val="18"/>
                        </w:rPr>
                      </w:pPr>
                    </w:p>
                  </w:txbxContent>
                </v:textbox>
              </v:shape>
            </w:pict>
          </mc:Fallback>
        </mc:AlternateContent>
      </w:r>
      <w:r w:rsidRPr="0058432E">
        <w:rPr>
          <w:noProof/>
          <w:color w:val="000000" w:themeColor="text1"/>
        </w:rPr>
        <w:drawing>
          <wp:inline distT="0" distB="0" distL="0" distR="0" wp14:anchorId="7FD19DEF" wp14:editId="0C855581">
            <wp:extent cx="2975610" cy="2468880"/>
            <wp:effectExtent l="0" t="0" r="0" b="0"/>
            <wp:docPr id="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975610" cy="2468880"/>
                    </a:xfrm>
                    <a:prstGeom prst="rect">
                      <a:avLst/>
                    </a:prstGeom>
                    <a:noFill/>
                    <a:ln>
                      <a:noFill/>
                    </a:ln>
                  </pic:spPr>
                </pic:pic>
              </a:graphicData>
            </a:graphic>
          </wp:inline>
        </w:drawing>
      </w:r>
    </w:p>
    <w:p w14:paraId="78AFC405" w14:textId="77777777" w:rsidR="00601484" w:rsidRPr="0058432E" w:rsidRDefault="00601484" w:rsidP="00601484">
      <w:pPr>
        <w:jc w:val="center"/>
        <w:rPr>
          <w:color w:val="000000" w:themeColor="text1"/>
        </w:rPr>
      </w:pPr>
    </w:p>
    <w:p w14:paraId="09FFFC7D" w14:textId="77777777" w:rsidR="00CC00FF" w:rsidRPr="0058432E" w:rsidRDefault="00CC00FF" w:rsidP="00982118">
      <w:pPr>
        <w:jc w:val="center"/>
        <w:rPr>
          <w:color w:val="000000" w:themeColor="text1"/>
        </w:rPr>
      </w:pPr>
    </w:p>
    <w:p w14:paraId="3C8606E0" w14:textId="77777777" w:rsidR="00CC00FF" w:rsidRPr="0058432E" w:rsidRDefault="00CC00FF" w:rsidP="00E23160">
      <w:pPr>
        <w:pStyle w:val="ListParagraph"/>
        <w:numPr>
          <w:ilvl w:val="0"/>
          <w:numId w:val="35"/>
        </w:numPr>
        <w:ind w:left="562" w:hanging="562"/>
        <w:contextualSpacing/>
        <w:rPr>
          <w:b/>
          <w:color w:val="000000" w:themeColor="text1"/>
        </w:rPr>
      </w:pPr>
      <w:r w:rsidRPr="0058432E">
        <w:rPr>
          <w:b/>
          <w:color w:val="000000" w:themeColor="text1"/>
        </w:rPr>
        <w:t>Ne retirez pas votre stylo avant d’avoir patienté au moins 5 secondes après le 2</w:t>
      </w:r>
      <w:r w:rsidRPr="0058432E">
        <w:rPr>
          <w:b/>
          <w:color w:val="000000" w:themeColor="text1"/>
          <w:vertAlign w:val="superscript"/>
        </w:rPr>
        <w:t>e</w:t>
      </w:r>
      <w:r w:rsidR="00601484" w:rsidRPr="0058432E">
        <w:rPr>
          <w:b/>
          <w:color w:val="000000" w:themeColor="text1"/>
        </w:rPr>
        <w:t> </w:t>
      </w:r>
      <w:r w:rsidRPr="0058432E">
        <w:rPr>
          <w:b/>
          <w:color w:val="000000" w:themeColor="text1"/>
        </w:rPr>
        <w:t xml:space="preserve">clic. </w:t>
      </w:r>
    </w:p>
    <w:p w14:paraId="7CC29371"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Retirez votre stylo de la peau.</w:t>
      </w:r>
    </w:p>
    <w:p w14:paraId="4F9F4E9C" w14:textId="77777777" w:rsidR="00CC00FF" w:rsidRPr="0058432E" w:rsidRDefault="00CC00FF" w:rsidP="00E23160">
      <w:pPr>
        <w:pStyle w:val="ListParagraph"/>
        <w:ind w:left="562"/>
        <w:contextualSpacing/>
        <w:rPr>
          <w:color w:val="000000" w:themeColor="text1"/>
        </w:rPr>
      </w:pPr>
      <w:r w:rsidRPr="0058432E">
        <w:rPr>
          <w:b/>
          <w:color w:val="000000" w:themeColor="text1"/>
        </w:rPr>
        <w:t xml:space="preserve">Remarque : </w:t>
      </w:r>
      <w:r w:rsidRPr="0058432E">
        <w:rPr>
          <w:color w:val="000000" w:themeColor="text1"/>
        </w:rPr>
        <w:t>lorsque vous retirez le stylo de la peau, l’aiguille est automatiquement protégée.</w:t>
      </w:r>
    </w:p>
    <w:p w14:paraId="2D979A8E" w14:textId="77777777" w:rsidR="00CC00FF" w:rsidRPr="0058432E" w:rsidRDefault="00745163" w:rsidP="00A53E17">
      <w:pPr>
        <w:ind w:left="567"/>
        <w:rPr>
          <w:color w:val="000000" w:themeColor="text1"/>
        </w:rPr>
      </w:pPr>
      <w:r w:rsidRPr="0058432E">
        <w:rPr>
          <w:color w:val="000000" w:themeColor="text1"/>
        </w:rPr>
        <w:t>Si vous voyez plus d'une petite goutte de médicament sur la peau après l'injection, attendez un peu plus longtemps pour retirer le stylo de la peau la prochaine fois.</w:t>
      </w:r>
    </w:p>
    <w:p w14:paraId="2C10F1EF" w14:textId="77777777" w:rsidR="00CC00FF" w:rsidRPr="0058432E" w:rsidRDefault="00CC00FF" w:rsidP="00982118">
      <w:pPr>
        <w:rPr>
          <w:color w:val="000000" w:themeColor="text1"/>
        </w:rPr>
      </w:pPr>
    </w:p>
    <w:p w14:paraId="211E2815" w14:textId="3003706F" w:rsidR="000709C5" w:rsidRPr="0058432E" w:rsidRDefault="009D65D0" w:rsidP="000709C5">
      <w:pPr>
        <w:jc w:val="center"/>
        <w:rPr>
          <w:b/>
          <w:color w:val="000000" w:themeColor="text1"/>
        </w:rPr>
      </w:pPr>
      <w:r w:rsidRPr="0058432E">
        <w:rPr>
          <w:noProof/>
          <w:color w:val="000000" w:themeColor="text1"/>
        </w:rPr>
        <mc:AlternateContent>
          <mc:Choice Requires="wps">
            <w:drawing>
              <wp:anchor distT="0" distB="0" distL="114300" distR="114300" simplePos="0" relativeHeight="251667968" behindDoc="0" locked="0" layoutInCell="1" allowOverlap="1" wp14:anchorId="6F23ECD5" wp14:editId="2A483AC5">
                <wp:simplePos x="0" y="0"/>
                <wp:positionH relativeFrom="column">
                  <wp:posOffset>1932305</wp:posOffset>
                </wp:positionH>
                <wp:positionV relativeFrom="paragraph">
                  <wp:posOffset>85090</wp:posOffset>
                </wp:positionV>
                <wp:extent cx="1332865" cy="263525"/>
                <wp:effectExtent l="0" t="0" r="0" b="0"/>
                <wp:wrapNone/>
                <wp:docPr id="134" name="Zone de texte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865" cy="263525"/>
                        </a:xfrm>
                        <a:prstGeom prst="rect">
                          <a:avLst/>
                        </a:prstGeom>
                        <a:solidFill>
                          <a:srgbClr val="FFFFFF"/>
                        </a:solidFill>
                        <a:ln>
                          <a:noFill/>
                        </a:ln>
                      </wps:spPr>
                      <wps:txbx>
                        <w:txbxContent>
                          <w:p w14:paraId="44666B0D" w14:textId="77777777" w:rsidR="009A26D2" w:rsidRPr="00A53E17" w:rsidRDefault="009A26D2" w:rsidP="000709C5">
                            <w:pPr>
                              <w:rPr>
                                <w:b/>
                                <w:bCs/>
                                <w:szCs w:val="18"/>
                              </w:rPr>
                            </w:pPr>
                            <w:r w:rsidRPr="00A53E17">
                              <w:rPr>
                                <w:b/>
                                <w:bCs/>
                                <w:szCs w:val="18"/>
                              </w:rPr>
                              <w:t>Vérifiez la fenêtre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3ECD5" id="Zone de texte 134" o:spid="_x0000_s1121" type="#_x0000_t202" style="position:absolute;left:0;text-align:left;margin-left:152.15pt;margin-top:6.7pt;width:104.95pt;height:2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" stroked="f">
                <v:textbox>
                  <w:txbxContent>
                    <w:p w14:paraId="44666B0D" w14:textId="77777777" w:rsidR="009A26D2" w:rsidRPr="00A53E17" w:rsidRDefault="009A26D2" w:rsidP="000709C5">
                      <w:pPr>
                        <w:rPr>
                          <w:b/>
                          <w:bCs/>
                          <w:szCs w:val="18"/>
                        </w:rPr>
                      </w:pPr>
                      <w:r w:rsidRPr="00A53E17">
                        <w:rPr>
                          <w:b/>
                          <w:bCs/>
                          <w:szCs w:val="18"/>
                        </w:rPr>
                        <w:t>Vérifiez la fenêtre</w:t>
                      </w:r>
                    </w:p>
                  </w:txbxContent>
                </v:textbox>
              </v:shape>
            </w:pict>
          </mc:Fallback>
        </mc:AlternateContent>
      </w:r>
      <w:r w:rsidRPr="0058432E">
        <w:rPr>
          <w:noProof/>
          <w:color w:val="000000" w:themeColor="text1"/>
        </w:rPr>
        <w:drawing>
          <wp:inline distT="0" distB="0" distL="0" distR="0" wp14:anchorId="27A4CABE" wp14:editId="61191161">
            <wp:extent cx="2982595" cy="246888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82595" cy="2468880"/>
                    </a:xfrm>
                    <a:prstGeom prst="rect">
                      <a:avLst/>
                    </a:prstGeom>
                    <a:noFill/>
                    <a:ln>
                      <a:noFill/>
                    </a:ln>
                  </pic:spPr>
                </pic:pic>
              </a:graphicData>
            </a:graphic>
          </wp:inline>
        </w:drawing>
      </w:r>
    </w:p>
    <w:p w14:paraId="1CF46155" w14:textId="77777777" w:rsidR="00CC00FF" w:rsidRPr="0058432E" w:rsidRDefault="00CC00FF" w:rsidP="00982118">
      <w:pPr>
        <w:jc w:val="center"/>
        <w:rPr>
          <w:color w:val="000000" w:themeColor="text1"/>
        </w:rPr>
      </w:pPr>
    </w:p>
    <w:p w14:paraId="6646BA17" w14:textId="77777777" w:rsidR="00CC00FF" w:rsidRPr="0058432E" w:rsidRDefault="00CC00FF" w:rsidP="00982118">
      <w:pPr>
        <w:jc w:val="center"/>
        <w:rPr>
          <w:color w:val="000000" w:themeColor="text1"/>
        </w:rPr>
      </w:pPr>
    </w:p>
    <w:p w14:paraId="425DF7BF" w14:textId="77777777" w:rsidR="00CC00FF" w:rsidRPr="0058432E" w:rsidRDefault="00CC00FF" w:rsidP="00E23160">
      <w:pPr>
        <w:pStyle w:val="ListParagraph"/>
        <w:numPr>
          <w:ilvl w:val="0"/>
          <w:numId w:val="43"/>
        </w:numPr>
        <w:ind w:left="562" w:hanging="562"/>
        <w:contextualSpacing/>
        <w:rPr>
          <w:color w:val="000000" w:themeColor="text1"/>
        </w:rPr>
      </w:pPr>
      <w:r w:rsidRPr="0058432E">
        <w:rPr>
          <w:color w:val="000000" w:themeColor="text1"/>
        </w:rPr>
        <w:t>Vous devriez voir une barre orange dans la fenêtre.</w:t>
      </w:r>
    </w:p>
    <w:p w14:paraId="29F629BD" w14:textId="77777777" w:rsidR="00CC00FF" w:rsidRPr="0058432E" w:rsidRDefault="00CC00FF" w:rsidP="00E23160">
      <w:pPr>
        <w:pStyle w:val="ListParagraph"/>
        <w:numPr>
          <w:ilvl w:val="0"/>
          <w:numId w:val="43"/>
        </w:numPr>
        <w:ind w:left="562" w:hanging="562"/>
        <w:contextualSpacing/>
        <w:rPr>
          <w:b/>
          <w:color w:val="000000" w:themeColor="text1"/>
        </w:rPr>
      </w:pPr>
      <w:r w:rsidRPr="0058432E">
        <w:rPr>
          <w:color w:val="000000" w:themeColor="text1"/>
        </w:rPr>
        <w:t xml:space="preserve">Si la fenêtre n’est pas orange ou si le médicament semble toujours en cours d’injection, cela signifie que vous n’avez pas reçu une dose complète. </w:t>
      </w:r>
      <w:r w:rsidR="00090092" w:rsidRPr="0058432E">
        <w:rPr>
          <w:color w:val="000000" w:themeColor="text1"/>
        </w:rPr>
        <w:t>Parle</w:t>
      </w:r>
      <w:r w:rsidR="00B23645" w:rsidRPr="0058432E">
        <w:rPr>
          <w:color w:val="000000" w:themeColor="text1"/>
        </w:rPr>
        <w:t>z</w:t>
      </w:r>
      <w:r w:rsidR="00090092" w:rsidRPr="0058432E">
        <w:rPr>
          <w:color w:val="000000" w:themeColor="text1"/>
        </w:rPr>
        <w:t>-en</w:t>
      </w:r>
      <w:r w:rsidRPr="0058432E">
        <w:rPr>
          <w:color w:val="000000" w:themeColor="text1"/>
        </w:rPr>
        <w:t xml:space="preserve"> immédiatement </w:t>
      </w:r>
      <w:r w:rsidR="00090092" w:rsidRPr="0058432E">
        <w:rPr>
          <w:color w:val="000000" w:themeColor="text1"/>
        </w:rPr>
        <w:t xml:space="preserve">à </w:t>
      </w:r>
      <w:r w:rsidRPr="0058432E">
        <w:rPr>
          <w:color w:val="000000" w:themeColor="text1"/>
        </w:rPr>
        <w:t>votre médecin</w:t>
      </w:r>
      <w:r w:rsidR="003816C9" w:rsidRPr="0058432E">
        <w:rPr>
          <w:color w:val="000000" w:themeColor="text1"/>
        </w:rPr>
        <w:t xml:space="preserve">, </w:t>
      </w:r>
      <w:r w:rsidR="00D27AD3" w:rsidRPr="0058432E">
        <w:rPr>
          <w:color w:val="000000" w:themeColor="text1"/>
        </w:rPr>
        <w:t>infirmier/ère</w:t>
      </w:r>
      <w:r w:rsidRPr="0058432E">
        <w:rPr>
          <w:color w:val="000000" w:themeColor="text1"/>
        </w:rPr>
        <w:t xml:space="preserve"> ou pharmacien.</w:t>
      </w:r>
    </w:p>
    <w:p w14:paraId="63ABF8D9" w14:textId="77777777" w:rsidR="00CC00FF" w:rsidRPr="0058432E" w:rsidRDefault="00CC00FF" w:rsidP="00E23160">
      <w:pPr>
        <w:pStyle w:val="ListParagraph"/>
        <w:numPr>
          <w:ilvl w:val="0"/>
          <w:numId w:val="43"/>
        </w:numPr>
        <w:ind w:left="562" w:hanging="562"/>
        <w:contextualSpacing/>
        <w:rPr>
          <w:b/>
          <w:color w:val="000000" w:themeColor="text1"/>
        </w:rPr>
      </w:pPr>
      <w:r w:rsidRPr="0058432E">
        <w:rPr>
          <w:b/>
          <w:color w:val="000000" w:themeColor="text1"/>
        </w:rPr>
        <w:t>N’injectez pas une autre dose.</w:t>
      </w:r>
    </w:p>
    <w:p w14:paraId="577677B8" w14:textId="77777777" w:rsidR="00CC00FF" w:rsidRPr="0058432E" w:rsidRDefault="00CC00FF" w:rsidP="00982118">
      <w:pPr>
        <w:jc w:val="center"/>
        <w:rPr>
          <w:color w:val="000000" w:themeColor="text1"/>
        </w:rPr>
      </w:pPr>
    </w:p>
    <w:p w14:paraId="76DBB458" w14:textId="77777777" w:rsidR="00CC00FF" w:rsidRPr="0058432E" w:rsidRDefault="00CC00FF" w:rsidP="00982118">
      <w:pPr>
        <w:jc w:val="center"/>
        <w:rPr>
          <w:color w:val="000000" w:themeColor="text1"/>
        </w:rPr>
      </w:pPr>
    </w:p>
    <w:p w14:paraId="65A28063" w14:textId="51EEFEB8" w:rsidR="00FE13C4" w:rsidRPr="0058432E" w:rsidRDefault="009D65D0" w:rsidP="00FE13C4">
      <w:pPr>
        <w:jc w:val="center"/>
        <w:rPr>
          <w:color w:val="000000" w:themeColor="text1"/>
        </w:rPr>
      </w:pPr>
      <w:r w:rsidRPr="0058432E">
        <w:rPr>
          <w:noProof/>
          <w:color w:val="000000" w:themeColor="text1"/>
        </w:rPr>
        <w:lastRenderedPageBreak/>
        <mc:AlternateContent>
          <mc:Choice Requires="wps">
            <w:drawing>
              <wp:anchor distT="0" distB="0" distL="114300" distR="114300" simplePos="0" relativeHeight="251668992" behindDoc="0" locked="0" layoutInCell="1" allowOverlap="1" wp14:anchorId="50418E68" wp14:editId="07AEA4A5">
                <wp:simplePos x="0" y="0"/>
                <wp:positionH relativeFrom="column">
                  <wp:posOffset>2322195</wp:posOffset>
                </wp:positionH>
                <wp:positionV relativeFrom="paragraph">
                  <wp:posOffset>41910</wp:posOffset>
                </wp:positionV>
                <wp:extent cx="1290320" cy="255270"/>
                <wp:effectExtent l="0" t="0" r="0" b="0"/>
                <wp:wrapNone/>
                <wp:docPr id="136" name="Zone de texte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255270"/>
                        </a:xfrm>
                        <a:prstGeom prst="rect">
                          <a:avLst/>
                        </a:prstGeom>
                        <a:solidFill>
                          <a:srgbClr val="FFFFFF"/>
                        </a:solidFill>
                        <a:ln>
                          <a:noFill/>
                        </a:ln>
                      </wps:spPr>
                      <wps:txbx>
                        <w:txbxContent>
                          <w:p w14:paraId="48A39FF1" w14:textId="77777777" w:rsidR="009A26D2" w:rsidRPr="00491257" w:rsidRDefault="009A26D2" w:rsidP="00FE13C4">
                            <w:pPr>
                              <w:rPr>
                                <w:b/>
                                <w:bCs/>
                              </w:rPr>
                            </w:pPr>
                            <w:r w:rsidRPr="00491257">
                              <w:rPr>
                                <w:b/>
                                <w:bCs/>
                              </w:rPr>
                              <w:t>Jetez le stylo usagé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18E68" id="Zone de texte 136" o:spid="_x0000_s1122" type="#_x0000_t202" style="position:absolute;left:0;text-align:left;margin-left:182.85pt;margin-top:3.3pt;width:101.6pt;height:20.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" stroked="f">
                <v:textbox>
                  <w:txbxContent>
                    <w:p w14:paraId="48A39FF1" w14:textId="77777777" w:rsidR="009A26D2" w:rsidRPr="00491257" w:rsidRDefault="009A26D2" w:rsidP="00FE13C4">
                      <w:pPr>
                        <w:rPr>
                          <w:b/>
                          <w:bCs/>
                        </w:rPr>
                      </w:pPr>
                      <w:r w:rsidRPr="00491257">
                        <w:rPr>
                          <w:b/>
                          <w:bCs/>
                        </w:rPr>
                        <w:t>Jetez le stylo usagé</w:t>
                      </w:r>
                    </w:p>
                  </w:txbxContent>
                </v:textbox>
              </v:shape>
            </w:pict>
          </mc:Fallback>
        </mc:AlternateContent>
      </w:r>
      <w:r w:rsidRPr="0058432E">
        <w:rPr>
          <w:noProof/>
          <w:color w:val="000000" w:themeColor="text1"/>
        </w:rPr>
        <w:drawing>
          <wp:inline distT="0" distB="0" distL="0" distR="0" wp14:anchorId="7802AAAB" wp14:editId="1DBA6EB1">
            <wp:extent cx="2131060" cy="1878330"/>
            <wp:effectExtent l="0" t="0" r="0" b="0"/>
            <wp:docPr id="70"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131060" cy="1878330"/>
                    </a:xfrm>
                    <a:prstGeom prst="rect">
                      <a:avLst/>
                    </a:prstGeom>
                    <a:noFill/>
                    <a:ln>
                      <a:noFill/>
                    </a:ln>
                  </pic:spPr>
                </pic:pic>
              </a:graphicData>
            </a:graphic>
          </wp:inline>
        </w:drawing>
      </w:r>
    </w:p>
    <w:p w14:paraId="26244FE0" w14:textId="77777777" w:rsidR="00CC00FF" w:rsidRPr="0058432E" w:rsidRDefault="00CC00FF" w:rsidP="00982118">
      <w:pPr>
        <w:jc w:val="center"/>
        <w:rPr>
          <w:color w:val="000000" w:themeColor="text1"/>
        </w:rPr>
      </w:pPr>
    </w:p>
    <w:p w14:paraId="5A190C28" w14:textId="77777777" w:rsidR="00CC00FF" w:rsidRPr="0058432E" w:rsidRDefault="00CC00FF" w:rsidP="00982118">
      <w:pPr>
        <w:jc w:val="center"/>
        <w:rPr>
          <w:color w:val="000000" w:themeColor="text1"/>
        </w:rPr>
      </w:pPr>
    </w:p>
    <w:p w14:paraId="0DF434D3" w14:textId="77777777" w:rsidR="00CC00FF" w:rsidRPr="0058432E" w:rsidRDefault="00CC00FF" w:rsidP="00E23160">
      <w:pPr>
        <w:pStyle w:val="ListParagraph"/>
        <w:numPr>
          <w:ilvl w:val="0"/>
          <w:numId w:val="37"/>
        </w:numPr>
        <w:ind w:left="562" w:hanging="562"/>
        <w:contextualSpacing/>
        <w:rPr>
          <w:color w:val="000000" w:themeColor="text1"/>
        </w:rPr>
      </w:pPr>
      <w:r w:rsidRPr="0058432E">
        <w:rPr>
          <w:color w:val="000000" w:themeColor="text1"/>
        </w:rPr>
        <w:t>Jetez le stylo immédiatement selon les instructions de votre médecin</w:t>
      </w:r>
      <w:r w:rsidR="003816C9" w:rsidRPr="0058432E">
        <w:rPr>
          <w:color w:val="000000" w:themeColor="text1"/>
        </w:rPr>
        <w:t xml:space="preserve">, </w:t>
      </w:r>
      <w:r w:rsidR="00782F64" w:rsidRPr="0058432E">
        <w:rPr>
          <w:color w:val="000000" w:themeColor="text1"/>
        </w:rPr>
        <w:t xml:space="preserve">de </w:t>
      </w:r>
      <w:r w:rsidR="003816C9" w:rsidRPr="0058432E">
        <w:rPr>
          <w:color w:val="000000" w:themeColor="text1"/>
        </w:rPr>
        <w:t xml:space="preserve">votre </w:t>
      </w:r>
      <w:r w:rsidR="00D27AD3" w:rsidRPr="0058432E">
        <w:rPr>
          <w:color w:val="000000" w:themeColor="text1"/>
        </w:rPr>
        <w:t>infirmier/ère</w:t>
      </w:r>
      <w:r w:rsidRPr="0058432E">
        <w:rPr>
          <w:color w:val="000000" w:themeColor="text1"/>
        </w:rPr>
        <w:t xml:space="preserve"> ou de votre pharmacien et conformément aux lois locales relatives à la santé et à la sécurité.</w:t>
      </w:r>
    </w:p>
    <w:p w14:paraId="6C9B3168" w14:textId="77777777" w:rsidR="00CC00FF" w:rsidRPr="0058432E" w:rsidRDefault="00CC00FF" w:rsidP="00982118">
      <w:pPr>
        <w:jc w:val="center"/>
        <w:rPr>
          <w:color w:val="000000" w:themeColor="text1"/>
        </w:rPr>
      </w:pPr>
    </w:p>
    <w:p w14:paraId="18C349CF" w14:textId="77777777" w:rsidR="00CC00FF" w:rsidRPr="0058432E" w:rsidRDefault="00CC00FF" w:rsidP="00982118">
      <w:pPr>
        <w:jc w:val="center"/>
        <w:rPr>
          <w:color w:val="000000" w:themeColor="text1"/>
        </w:rPr>
      </w:pPr>
    </w:p>
    <w:p w14:paraId="16F35AC0" w14:textId="7288BBC0" w:rsidR="001A3A50" w:rsidRPr="0058432E" w:rsidRDefault="009D65D0" w:rsidP="001A3A50">
      <w:pPr>
        <w:jc w:val="center"/>
        <w:rPr>
          <w:color w:val="000000" w:themeColor="text1"/>
        </w:rPr>
      </w:pPr>
      <w:r w:rsidRPr="0058432E">
        <w:rPr>
          <w:noProof/>
          <w:color w:val="000000" w:themeColor="text1"/>
        </w:rPr>
        <mc:AlternateContent>
          <mc:Choice Requires="wps">
            <w:drawing>
              <wp:anchor distT="0" distB="0" distL="114300" distR="114300" simplePos="0" relativeHeight="251670016" behindDoc="0" locked="0" layoutInCell="1" allowOverlap="1" wp14:anchorId="7E00FC53" wp14:editId="54D10A66">
                <wp:simplePos x="0" y="0"/>
                <wp:positionH relativeFrom="column">
                  <wp:posOffset>2386330</wp:posOffset>
                </wp:positionH>
                <wp:positionV relativeFrom="paragraph">
                  <wp:posOffset>41910</wp:posOffset>
                </wp:positionV>
                <wp:extent cx="1514475" cy="236220"/>
                <wp:effectExtent l="0" t="0" r="0" b="0"/>
                <wp:wrapNone/>
                <wp:docPr id="162" name="Zone de texte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36220"/>
                        </a:xfrm>
                        <a:prstGeom prst="rect">
                          <a:avLst/>
                        </a:prstGeom>
                        <a:solidFill>
                          <a:srgbClr val="FFFFFF"/>
                        </a:solidFill>
                        <a:ln>
                          <a:noFill/>
                        </a:ln>
                      </wps:spPr>
                      <wps:txbx>
                        <w:txbxContent>
                          <w:p w14:paraId="35424D52" w14:textId="77777777" w:rsidR="009A26D2" w:rsidRPr="00491257" w:rsidRDefault="009A26D2" w:rsidP="001A3A50">
                            <w:pPr>
                              <w:rPr>
                                <w:b/>
                                <w:bCs/>
                              </w:rPr>
                            </w:pPr>
                            <w:r w:rsidRPr="00491257">
                              <w:rPr>
                                <w:b/>
                                <w:bCs/>
                              </w:rPr>
                              <w:t>Après votre injection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0FC53" id="Zone de texte 162" o:spid="_x0000_s1123" type="#_x0000_t202" style="position:absolute;left:0;text-align:left;margin-left:187.9pt;margin-top:3.3pt;width:119.25pt;height:18.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" stroked="f">
                <v:textbox>
                  <w:txbxContent>
                    <w:p w14:paraId="35424D52" w14:textId="77777777" w:rsidR="009A26D2" w:rsidRPr="00491257" w:rsidRDefault="009A26D2" w:rsidP="001A3A50">
                      <w:pPr>
                        <w:rPr>
                          <w:b/>
                          <w:bCs/>
                        </w:rPr>
                      </w:pPr>
                      <w:r w:rsidRPr="00491257">
                        <w:rPr>
                          <w:b/>
                          <w:bCs/>
                        </w:rPr>
                        <w:t>Après votre injection</w:t>
                      </w:r>
                    </w:p>
                  </w:txbxContent>
                </v:textbox>
              </v:shape>
            </w:pict>
          </mc:Fallback>
        </mc:AlternateContent>
      </w:r>
      <w:r w:rsidRPr="0058432E">
        <w:rPr>
          <w:noProof/>
          <w:color w:val="000000" w:themeColor="text1"/>
        </w:rPr>
        <w:drawing>
          <wp:inline distT="0" distB="0" distL="0" distR="0" wp14:anchorId="195A658C" wp14:editId="43C333A4">
            <wp:extent cx="1554480" cy="1638935"/>
            <wp:effectExtent l="0" t="0" r="0" b="0"/>
            <wp:docPr id="7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54480" cy="1638935"/>
                    </a:xfrm>
                    <a:prstGeom prst="rect">
                      <a:avLst/>
                    </a:prstGeom>
                    <a:noFill/>
                    <a:ln>
                      <a:noFill/>
                    </a:ln>
                  </pic:spPr>
                </pic:pic>
              </a:graphicData>
            </a:graphic>
          </wp:inline>
        </w:drawing>
      </w:r>
    </w:p>
    <w:p w14:paraId="10ED3558" w14:textId="77777777" w:rsidR="00CC00FF" w:rsidRPr="0058432E" w:rsidRDefault="00CC00FF" w:rsidP="00982118">
      <w:pPr>
        <w:jc w:val="center"/>
        <w:rPr>
          <w:color w:val="000000" w:themeColor="text1"/>
        </w:rPr>
      </w:pPr>
    </w:p>
    <w:p w14:paraId="77243048" w14:textId="77777777" w:rsidR="00CC00FF" w:rsidRPr="0058432E" w:rsidRDefault="00CC00FF" w:rsidP="00982118">
      <w:pPr>
        <w:jc w:val="center"/>
        <w:rPr>
          <w:color w:val="000000" w:themeColor="text1"/>
        </w:rPr>
      </w:pPr>
    </w:p>
    <w:p w14:paraId="425D26A7"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color w:val="000000" w:themeColor="text1"/>
        </w:rPr>
        <w:t xml:space="preserve">Examinez attentivement votre site d’injection. En cas de saignement, utilisez une boule de coton ou une compresse propre pour appuyer légèrement sur la zone d’injection pendant quelques secondes. </w:t>
      </w:r>
    </w:p>
    <w:p w14:paraId="0AA0AF1C" w14:textId="77777777" w:rsidR="00CC00FF" w:rsidRPr="0058432E" w:rsidRDefault="00CC00FF" w:rsidP="00E23160">
      <w:pPr>
        <w:pStyle w:val="ListParagraph"/>
        <w:numPr>
          <w:ilvl w:val="0"/>
          <w:numId w:val="35"/>
        </w:numPr>
        <w:ind w:left="562" w:hanging="562"/>
        <w:contextualSpacing/>
        <w:rPr>
          <w:color w:val="000000" w:themeColor="text1"/>
        </w:rPr>
      </w:pPr>
      <w:r w:rsidRPr="0058432E">
        <w:rPr>
          <w:b/>
          <w:color w:val="000000" w:themeColor="text1"/>
        </w:rPr>
        <w:t>Ne frottez pas</w:t>
      </w:r>
      <w:r w:rsidRPr="0058432E">
        <w:rPr>
          <w:color w:val="000000" w:themeColor="text1"/>
        </w:rPr>
        <w:t xml:space="preserve"> le site d’injection.</w:t>
      </w:r>
    </w:p>
    <w:p w14:paraId="516A81DD" w14:textId="77777777" w:rsidR="00CC00FF" w:rsidRPr="0058432E" w:rsidRDefault="00CC00FF" w:rsidP="00E23160">
      <w:pPr>
        <w:pStyle w:val="ListParagraph"/>
        <w:ind w:left="562"/>
        <w:contextualSpacing/>
        <w:rPr>
          <w:color w:val="000000" w:themeColor="text1"/>
        </w:rPr>
      </w:pPr>
      <w:r w:rsidRPr="0058432E">
        <w:rPr>
          <w:b/>
          <w:color w:val="000000" w:themeColor="text1"/>
        </w:rPr>
        <w:t xml:space="preserve">Remarque : </w:t>
      </w:r>
      <w:r w:rsidRPr="0058432E">
        <w:rPr>
          <w:color w:val="000000" w:themeColor="text1"/>
        </w:rPr>
        <w:t>conservez les stylos inutilisés au réfrigérateur dans leur boîte d’origine.</w:t>
      </w:r>
    </w:p>
    <w:p w14:paraId="7E04DA11" w14:textId="77777777" w:rsidR="003E58A8" w:rsidRPr="0058432E" w:rsidRDefault="003E58A8" w:rsidP="00982118">
      <w:pPr>
        <w:rPr>
          <w:color w:val="000000" w:themeColor="text1"/>
        </w:rPr>
      </w:pPr>
    </w:p>
    <w:p w14:paraId="1B2EB5C4" w14:textId="77777777" w:rsidR="003E58A8" w:rsidRPr="0058432E" w:rsidRDefault="003E58A8" w:rsidP="00982118">
      <w:pPr>
        <w:rPr>
          <w:color w:val="000000" w:themeColor="text1"/>
        </w:rPr>
      </w:pPr>
      <w:r w:rsidRPr="0058432E">
        <w:rPr>
          <w:color w:val="000000" w:themeColor="text1"/>
        </w:rPr>
        <w:t>Voir au verso</w:t>
      </w:r>
    </w:p>
    <w:p w14:paraId="69FFCFC8" w14:textId="65825EE8" w:rsidR="00657C0C" w:rsidRPr="0058432E" w:rsidRDefault="003E58A8" w:rsidP="00982118">
      <w:pPr>
        <w:rPr>
          <w:b/>
          <w:color w:val="000000" w:themeColor="text1"/>
        </w:rPr>
      </w:pPr>
      <w:r w:rsidRPr="0058432E">
        <w:rPr>
          <w:color w:val="000000" w:themeColor="text1"/>
        </w:rPr>
        <w:t>Notice : Information du patient</w:t>
      </w:r>
    </w:p>
    <w:sectPr w:rsidR="00657C0C" w:rsidRPr="0058432E" w:rsidSect="003D2782">
      <w:footerReference w:type="default" r:id="rId83"/>
      <w:pgSz w:w="11909" w:h="16834"/>
      <w:pgMar w:top="1134" w:right="1417" w:bottom="1134" w:left="141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5643" w14:textId="77777777" w:rsidR="00F32DC7" w:rsidRDefault="00F32DC7" w:rsidP="004B6804">
      <w:r>
        <w:separator/>
      </w:r>
    </w:p>
  </w:endnote>
  <w:endnote w:type="continuationSeparator" w:id="0">
    <w:p w14:paraId="4D58C195" w14:textId="77777777" w:rsidR="00F32DC7" w:rsidRDefault="00F32DC7" w:rsidP="004B6804">
      <w:r>
        <w:continuationSeparator/>
      </w:r>
    </w:p>
  </w:endnote>
  <w:endnote w:type="continuationNotice" w:id="1">
    <w:p w14:paraId="71692B87" w14:textId="77777777" w:rsidR="00F32DC7" w:rsidRDefault="00F32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libri"/>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01A6" w14:textId="77777777" w:rsidR="009A26D2" w:rsidRPr="006B001C" w:rsidRDefault="009A26D2" w:rsidP="003D2782">
    <w:pPr>
      <w:pStyle w:val="Footer"/>
      <w:jc w:val="center"/>
      <w:rPr>
        <w:rFonts w:ascii="Arial" w:hAnsi="Arial" w:cs="Arial"/>
        <w:color w:val="000000"/>
        <w:sz w:val="16"/>
      </w:rPr>
    </w:pPr>
    <w:r w:rsidRPr="006B001C">
      <w:rPr>
        <w:rFonts w:ascii="Arial" w:hAnsi="Arial" w:cs="Arial"/>
        <w:color w:val="000000"/>
        <w:sz w:val="16"/>
      </w:rPr>
      <w:fldChar w:fldCharType="begin"/>
    </w:r>
    <w:r w:rsidRPr="006B001C">
      <w:rPr>
        <w:rFonts w:ascii="Arial" w:hAnsi="Arial" w:cs="Arial"/>
        <w:color w:val="000000"/>
        <w:sz w:val="16"/>
      </w:rPr>
      <w:instrText xml:space="preserve"> PAGE   \* MERGEFORMAT </w:instrText>
    </w:r>
    <w:r w:rsidRPr="006B001C">
      <w:rPr>
        <w:rFonts w:ascii="Arial" w:hAnsi="Arial" w:cs="Arial"/>
        <w:color w:val="000000"/>
        <w:sz w:val="16"/>
      </w:rPr>
      <w:fldChar w:fldCharType="separate"/>
    </w:r>
    <w:r>
      <w:rPr>
        <w:rFonts w:ascii="Arial" w:hAnsi="Arial" w:cs="Arial"/>
        <w:noProof/>
        <w:color w:val="000000"/>
        <w:sz w:val="16"/>
      </w:rPr>
      <w:t>157</w:t>
    </w:r>
    <w:r w:rsidRPr="006B001C">
      <w:rPr>
        <w:rFonts w:ascii="Arial" w:hAnsi="Arial" w:cs="Arial"/>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D90BB" w14:textId="77777777" w:rsidR="00F32DC7" w:rsidRDefault="00F32DC7" w:rsidP="004B6804">
      <w:r>
        <w:separator/>
      </w:r>
    </w:p>
  </w:footnote>
  <w:footnote w:type="continuationSeparator" w:id="0">
    <w:p w14:paraId="29DD58CF" w14:textId="77777777" w:rsidR="00F32DC7" w:rsidRDefault="00F32DC7" w:rsidP="004B6804">
      <w:r>
        <w:continuationSeparator/>
      </w:r>
    </w:p>
  </w:footnote>
  <w:footnote w:type="continuationNotice" w:id="1">
    <w:p w14:paraId="6C7E9BF3" w14:textId="77777777" w:rsidR="00F32DC7" w:rsidRDefault="00F32D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5739013" o:spid="_x0000_i1279" type="#_x0000_t75" style="width:28.55pt;height:21.75pt;visibility:visible;mso-wrap-style:square" o:bullet="t">
        <v:imagedata r:id="rId1" o:title=""/>
      </v:shape>
    </w:pict>
  </w:numPicBullet>
  <w:numPicBullet w:numPicBulletId="1">
    <w:pict>
      <v:shape id="Picture 1576824665" o:spid="_x0000_i1280" type="#_x0000_t75" style="width:14.25pt;height:14.25pt;visibility:visible;mso-wrap-style:square" o:bullet="t">
        <v:imagedata r:id="rId2" o:title=""/>
      </v:shape>
    </w:pict>
  </w:numPicBullet>
  <w:abstractNum w:abstractNumId="0" w15:restartNumberingAfterBreak="0">
    <w:nsid w:val="00000402"/>
    <w:multiLevelType w:val="multilevel"/>
    <w:tmpl w:val="B582C232"/>
    <w:lvl w:ilvl="0">
      <w:start w:val="1"/>
      <w:numFmt w:val="decimal"/>
      <w:lvlText w:val="%1."/>
      <w:lvlJc w:val="left"/>
      <w:pPr>
        <w:ind w:left="111" w:hanging="562"/>
      </w:pPr>
      <w:rPr>
        <w:rFonts w:ascii="Times New Roman Bold" w:hAnsi="Times New Roman Bold" w:cs="Times New Roman"/>
        <w:b/>
        <w:bCs/>
        <w:w w:val="100"/>
        <w:sz w:val="22"/>
        <w:szCs w:val="22"/>
      </w:rPr>
    </w:lvl>
    <w:lvl w:ilvl="1">
      <w:start w:val="1"/>
      <w:numFmt w:val="decimal"/>
      <w:lvlText w:val="%1.%2"/>
      <w:lvlJc w:val="left"/>
      <w:pPr>
        <w:ind w:left="672" w:hanging="562"/>
      </w:pPr>
      <w:rPr>
        <w:rFonts w:ascii="Times New Roman Bold" w:hAnsi="Times New Roman Bold" w:cs="Times New Roman"/>
        <w:b/>
        <w:bCs/>
        <w:w w:val="100"/>
        <w:sz w:val="22"/>
        <w:szCs w:val="22"/>
      </w:rPr>
    </w:lvl>
    <w:lvl w:ilvl="2">
      <w:numFmt w:val="bullet"/>
      <w:lvlText w:val="•"/>
      <w:lvlJc w:val="left"/>
      <w:pPr>
        <w:ind w:left="672" w:hanging="562"/>
      </w:pPr>
    </w:lvl>
    <w:lvl w:ilvl="3">
      <w:numFmt w:val="bullet"/>
      <w:lvlText w:val="•"/>
      <w:lvlJc w:val="left"/>
      <w:pPr>
        <w:ind w:left="672" w:hanging="562"/>
      </w:pPr>
    </w:lvl>
    <w:lvl w:ilvl="4">
      <w:numFmt w:val="bullet"/>
      <w:lvlText w:val="•"/>
      <w:lvlJc w:val="left"/>
      <w:pPr>
        <w:ind w:left="2673" w:hanging="562"/>
      </w:pPr>
    </w:lvl>
    <w:lvl w:ilvl="5">
      <w:numFmt w:val="bullet"/>
      <w:lvlText w:val="•"/>
      <w:lvlJc w:val="left"/>
      <w:pPr>
        <w:ind w:left="3821" w:hanging="562"/>
      </w:pPr>
    </w:lvl>
    <w:lvl w:ilvl="6">
      <w:numFmt w:val="bullet"/>
      <w:lvlText w:val="•"/>
      <w:lvlJc w:val="left"/>
      <w:pPr>
        <w:ind w:left="4968" w:hanging="562"/>
      </w:pPr>
    </w:lvl>
    <w:lvl w:ilvl="7">
      <w:numFmt w:val="bullet"/>
      <w:lvlText w:val="•"/>
      <w:lvlJc w:val="left"/>
      <w:pPr>
        <w:ind w:left="6116" w:hanging="562"/>
      </w:pPr>
    </w:lvl>
    <w:lvl w:ilvl="8">
      <w:numFmt w:val="bullet"/>
      <w:lvlText w:val="•"/>
      <w:lvlJc w:val="left"/>
      <w:pPr>
        <w:ind w:left="7264" w:hanging="562"/>
      </w:pPr>
    </w:lvl>
  </w:abstractNum>
  <w:abstractNum w:abstractNumId="1" w15:restartNumberingAfterBreak="0">
    <w:nsid w:val="00000405"/>
    <w:multiLevelType w:val="multilevel"/>
    <w:tmpl w:val="00000888"/>
    <w:lvl w:ilvl="0">
      <w:numFmt w:val="bullet"/>
      <w:lvlText w:val=""/>
      <w:lvlJc w:val="left"/>
      <w:pPr>
        <w:ind w:left="470" w:hanging="540"/>
      </w:pPr>
      <w:rPr>
        <w:rFonts w:ascii="Symbol" w:hAnsi="Symbol" w:cs="Symbol"/>
        <w:b w:val="0"/>
        <w:bCs w:val="0"/>
        <w:w w:val="99"/>
        <w:sz w:val="22"/>
        <w:szCs w:val="22"/>
      </w:rPr>
    </w:lvl>
    <w:lvl w:ilvl="1">
      <w:numFmt w:val="bullet"/>
      <w:lvlText w:val=""/>
      <w:lvlJc w:val="left"/>
      <w:pPr>
        <w:ind w:left="111" w:hanging="360"/>
      </w:pPr>
      <w:rPr>
        <w:rFonts w:ascii="Symbol" w:hAnsi="Symbol" w:cs="Symbol"/>
        <w:b w:val="0"/>
        <w:bCs w:val="0"/>
        <w:w w:val="99"/>
        <w:sz w:val="22"/>
        <w:szCs w:val="22"/>
      </w:rPr>
    </w:lvl>
    <w:lvl w:ilvl="2">
      <w:numFmt w:val="bullet"/>
      <w:lvlText w:val="•"/>
      <w:lvlJc w:val="left"/>
      <w:pPr>
        <w:ind w:left="470" w:hanging="360"/>
      </w:pPr>
    </w:lvl>
    <w:lvl w:ilvl="3">
      <w:numFmt w:val="bullet"/>
      <w:lvlText w:val="•"/>
      <w:lvlJc w:val="left"/>
      <w:pPr>
        <w:ind w:left="651" w:hanging="360"/>
      </w:pPr>
    </w:lvl>
    <w:lvl w:ilvl="4">
      <w:numFmt w:val="bullet"/>
      <w:lvlText w:val="•"/>
      <w:lvlJc w:val="left"/>
      <w:pPr>
        <w:ind w:left="678" w:hanging="360"/>
      </w:pPr>
    </w:lvl>
    <w:lvl w:ilvl="5">
      <w:numFmt w:val="bullet"/>
      <w:lvlText w:val="•"/>
      <w:lvlJc w:val="left"/>
      <w:pPr>
        <w:ind w:left="740" w:hanging="360"/>
      </w:pPr>
    </w:lvl>
    <w:lvl w:ilvl="6">
      <w:numFmt w:val="bullet"/>
      <w:lvlText w:val="•"/>
      <w:lvlJc w:val="left"/>
      <w:pPr>
        <w:ind w:left="743" w:hanging="360"/>
      </w:pPr>
    </w:lvl>
    <w:lvl w:ilvl="7">
      <w:numFmt w:val="bullet"/>
      <w:lvlText w:val="•"/>
      <w:lvlJc w:val="left"/>
      <w:pPr>
        <w:ind w:left="831" w:hanging="360"/>
      </w:pPr>
    </w:lvl>
    <w:lvl w:ilvl="8">
      <w:numFmt w:val="bullet"/>
      <w:lvlText w:val="•"/>
      <w:lvlJc w:val="left"/>
      <w:pPr>
        <w:ind w:left="831" w:hanging="360"/>
      </w:pPr>
    </w:lvl>
  </w:abstractNum>
  <w:abstractNum w:abstractNumId="2" w15:restartNumberingAfterBreak="0">
    <w:nsid w:val="00000406"/>
    <w:multiLevelType w:val="multilevel"/>
    <w:tmpl w:val="57C4786A"/>
    <w:lvl w:ilvl="0">
      <w:start w:val="1"/>
      <w:numFmt w:val="lowerLetter"/>
      <w:lvlText w:val="%1."/>
      <w:lvlJc w:val="left"/>
      <w:pPr>
        <w:ind w:left="462" w:hanging="330"/>
      </w:pPr>
      <w:rPr>
        <w:rFonts w:ascii="Times New Roman" w:hAnsi="Times New Roman" w:cs="Times New Roman"/>
        <w:b w:val="0"/>
        <w:bCs w:val="0"/>
        <w:spacing w:val="0"/>
        <w:w w:val="100"/>
        <w:sz w:val="22"/>
        <w:szCs w:val="22"/>
      </w:rPr>
    </w:lvl>
    <w:lvl w:ilvl="1">
      <w:numFmt w:val="bullet"/>
      <w:lvlText w:val="•"/>
      <w:lvlJc w:val="left"/>
      <w:pPr>
        <w:ind w:left="1338" w:hanging="330"/>
      </w:pPr>
    </w:lvl>
    <w:lvl w:ilvl="2">
      <w:numFmt w:val="bullet"/>
      <w:lvlText w:val="•"/>
      <w:lvlJc w:val="left"/>
      <w:pPr>
        <w:ind w:left="2215" w:hanging="330"/>
      </w:pPr>
    </w:lvl>
    <w:lvl w:ilvl="3">
      <w:numFmt w:val="bullet"/>
      <w:lvlText w:val="•"/>
      <w:lvlJc w:val="left"/>
      <w:pPr>
        <w:ind w:left="3091" w:hanging="330"/>
      </w:pPr>
    </w:lvl>
    <w:lvl w:ilvl="4">
      <w:numFmt w:val="bullet"/>
      <w:lvlText w:val="•"/>
      <w:lvlJc w:val="left"/>
      <w:pPr>
        <w:ind w:left="3968" w:hanging="330"/>
      </w:pPr>
    </w:lvl>
    <w:lvl w:ilvl="5">
      <w:numFmt w:val="bullet"/>
      <w:lvlText w:val="•"/>
      <w:lvlJc w:val="left"/>
      <w:pPr>
        <w:ind w:left="4844" w:hanging="330"/>
      </w:pPr>
    </w:lvl>
    <w:lvl w:ilvl="6">
      <w:numFmt w:val="bullet"/>
      <w:lvlText w:val="•"/>
      <w:lvlJc w:val="left"/>
      <w:pPr>
        <w:ind w:left="5721" w:hanging="330"/>
      </w:pPr>
    </w:lvl>
    <w:lvl w:ilvl="7">
      <w:numFmt w:val="bullet"/>
      <w:lvlText w:val="•"/>
      <w:lvlJc w:val="left"/>
      <w:pPr>
        <w:ind w:left="6597" w:hanging="330"/>
      </w:pPr>
    </w:lvl>
    <w:lvl w:ilvl="8">
      <w:numFmt w:val="bullet"/>
      <w:lvlText w:val="•"/>
      <w:lvlJc w:val="left"/>
      <w:pPr>
        <w:ind w:left="7474" w:hanging="330"/>
      </w:pPr>
    </w:lvl>
  </w:abstractNum>
  <w:abstractNum w:abstractNumId="3" w15:restartNumberingAfterBreak="0">
    <w:nsid w:val="00000407"/>
    <w:multiLevelType w:val="multilevel"/>
    <w:tmpl w:val="0000088A"/>
    <w:lvl w:ilvl="0">
      <w:numFmt w:val="bullet"/>
      <w:lvlText w:val=""/>
      <w:lvlJc w:val="left"/>
      <w:pPr>
        <w:ind w:left="346" w:hanging="228"/>
      </w:pPr>
      <w:rPr>
        <w:rFonts w:ascii="Symbol" w:hAnsi="Symbol" w:cs="Symbol"/>
        <w:b w:val="0"/>
        <w:bCs w:val="0"/>
        <w:sz w:val="22"/>
        <w:szCs w:val="22"/>
      </w:rPr>
    </w:lvl>
    <w:lvl w:ilvl="1">
      <w:numFmt w:val="bullet"/>
      <w:lvlText w:val="•"/>
      <w:lvlJc w:val="left"/>
      <w:pPr>
        <w:ind w:left="1231" w:hanging="228"/>
      </w:pPr>
    </w:lvl>
    <w:lvl w:ilvl="2">
      <w:numFmt w:val="bullet"/>
      <w:lvlText w:val="•"/>
      <w:lvlJc w:val="left"/>
      <w:pPr>
        <w:ind w:left="2117" w:hanging="228"/>
      </w:pPr>
    </w:lvl>
    <w:lvl w:ilvl="3">
      <w:numFmt w:val="bullet"/>
      <w:lvlText w:val="•"/>
      <w:lvlJc w:val="left"/>
      <w:pPr>
        <w:ind w:left="3002" w:hanging="228"/>
      </w:pPr>
    </w:lvl>
    <w:lvl w:ilvl="4">
      <w:numFmt w:val="bullet"/>
      <w:lvlText w:val="•"/>
      <w:lvlJc w:val="left"/>
      <w:pPr>
        <w:ind w:left="3888" w:hanging="228"/>
      </w:pPr>
    </w:lvl>
    <w:lvl w:ilvl="5">
      <w:numFmt w:val="bullet"/>
      <w:lvlText w:val="•"/>
      <w:lvlJc w:val="left"/>
      <w:pPr>
        <w:ind w:left="4773" w:hanging="228"/>
      </w:pPr>
    </w:lvl>
    <w:lvl w:ilvl="6">
      <w:numFmt w:val="bullet"/>
      <w:lvlText w:val="•"/>
      <w:lvlJc w:val="left"/>
      <w:pPr>
        <w:ind w:left="5659" w:hanging="228"/>
      </w:pPr>
    </w:lvl>
    <w:lvl w:ilvl="7">
      <w:numFmt w:val="bullet"/>
      <w:lvlText w:val="•"/>
      <w:lvlJc w:val="left"/>
      <w:pPr>
        <w:ind w:left="6544" w:hanging="228"/>
      </w:pPr>
    </w:lvl>
    <w:lvl w:ilvl="8">
      <w:numFmt w:val="bullet"/>
      <w:lvlText w:val="•"/>
      <w:lvlJc w:val="left"/>
      <w:pPr>
        <w:ind w:left="7429" w:hanging="228"/>
      </w:pPr>
    </w:lvl>
  </w:abstractNum>
  <w:abstractNum w:abstractNumId="4" w15:restartNumberingAfterBreak="0">
    <w:nsid w:val="0000041B"/>
    <w:multiLevelType w:val="multilevel"/>
    <w:tmpl w:val="0000089E"/>
    <w:lvl w:ilvl="0">
      <w:numFmt w:val="bullet"/>
      <w:lvlText w:val=""/>
      <w:lvlJc w:val="left"/>
      <w:pPr>
        <w:ind w:left="678" w:hanging="568"/>
      </w:pPr>
      <w:rPr>
        <w:rFonts w:ascii="Symbol" w:hAnsi="Symbol" w:cs="Symbol"/>
        <w:b w:val="0"/>
        <w:bCs w:val="0"/>
        <w:w w:val="99"/>
        <w:sz w:val="22"/>
        <w:szCs w:val="22"/>
      </w:rPr>
    </w:lvl>
    <w:lvl w:ilvl="1">
      <w:numFmt w:val="bullet"/>
      <w:lvlText w:val="•"/>
      <w:lvlJc w:val="left"/>
      <w:pPr>
        <w:ind w:left="1568"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5" w15:restartNumberingAfterBreak="0">
    <w:nsid w:val="0000041C"/>
    <w:multiLevelType w:val="multilevel"/>
    <w:tmpl w:val="D9DC67D0"/>
    <w:lvl w:ilvl="0">
      <w:start w:val="1"/>
      <w:numFmt w:val="decimal"/>
      <w:lvlText w:val="%1."/>
      <w:lvlJc w:val="left"/>
      <w:pPr>
        <w:ind w:left="678" w:hanging="568"/>
      </w:pPr>
      <w:rPr>
        <w:rFonts w:ascii="Times New Roman" w:hAnsi="Times New Roman" w:cs="Times New Roman"/>
        <w:b w:val="0"/>
        <w:bCs w:val="0"/>
        <w:w w:val="99"/>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6" w15:restartNumberingAfterBreak="0">
    <w:nsid w:val="0000041D"/>
    <w:multiLevelType w:val="multilevel"/>
    <w:tmpl w:val="EC701754"/>
    <w:lvl w:ilvl="0">
      <w:start w:val="6"/>
      <w:numFmt w:val="decimal"/>
      <w:lvlText w:val="%1."/>
      <w:lvlJc w:val="left"/>
      <w:pPr>
        <w:ind w:left="678" w:hanging="568"/>
      </w:pPr>
      <w:rPr>
        <w:rFonts w:ascii="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7" w15:restartNumberingAfterBreak="0">
    <w:nsid w:val="0000041E"/>
    <w:multiLevelType w:val="multilevel"/>
    <w:tmpl w:val="000008A1"/>
    <w:lvl w:ilvl="0">
      <w:start w:val="1"/>
      <w:numFmt w:val="decimal"/>
      <w:lvlText w:val="%1."/>
      <w:lvlJc w:val="left"/>
      <w:pPr>
        <w:ind w:left="111" w:hanging="562"/>
      </w:pPr>
      <w:rPr>
        <w:rFonts w:ascii="Times New Roman" w:hAnsi="Times New Roman" w:cs="Times New Roman"/>
        <w:b/>
        <w:bCs/>
        <w:w w:val="99"/>
        <w:sz w:val="22"/>
        <w:szCs w:val="22"/>
      </w:rPr>
    </w:lvl>
    <w:lvl w:ilvl="1">
      <w:numFmt w:val="bullet"/>
      <w:lvlText w:val=""/>
      <w:lvlJc w:val="left"/>
      <w:pPr>
        <w:ind w:left="831" w:hanging="360"/>
      </w:pPr>
      <w:rPr>
        <w:rFonts w:ascii="Symbol" w:hAnsi="Symbol" w:cs="Symbol"/>
        <w:b w:val="0"/>
        <w:bCs w:val="0"/>
        <w:w w:val="99"/>
        <w:sz w:val="22"/>
        <w:szCs w:val="22"/>
      </w:rPr>
    </w:lvl>
    <w:lvl w:ilvl="2">
      <w:numFmt w:val="bullet"/>
      <w:lvlText w:val=""/>
      <w:lvlJc w:val="left"/>
      <w:pPr>
        <w:ind w:left="1550" w:hanging="360"/>
      </w:pPr>
      <w:rPr>
        <w:rFonts w:ascii="Symbol" w:hAnsi="Symbol" w:cs="Symbol"/>
        <w:b w:val="0"/>
        <w:bCs w:val="0"/>
        <w:w w:val="99"/>
        <w:sz w:val="22"/>
        <w:szCs w:val="22"/>
      </w:rPr>
    </w:lvl>
    <w:lvl w:ilvl="3">
      <w:numFmt w:val="bullet"/>
      <w:lvlText w:val="•"/>
      <w:lvlJc w:val="left"/>
      <w:pPr>
        <w:ind w:left="831" w:hanging="360"/>
      </w:pPr>
    </w:lvl>
    <w:lvl w:ilvl="4">
      <w:numFmt w:val="bullet"/>
      <w:lvlText w:val="•"/>
      <w:lvlJc w:val="left"/>
      <w:pPr>
        <w:ind w:left="931" w:hanging="360"/>
      </w:pPr>
    </w:lvl>
    <w:lvl w:ilvl="5">
      <w:numFmt w:val="bullet"/>
      <w:lvlText w:val="•"/>
      <w:lvlJc w:val="left"/>
      <w:pPr>
        <w:ind w:left="1550" w:hanging="360"/>
      </w:pPr>
    </w:lvl>
    <w:lvl w:ilvl="6">
      <w:numFmt w:val="bullet"/>
      <w:lvlText w:val="•"/>
      <w:lvlJc w:val="left"/>
      <w:pPr>
        <w:ind w:left="1551" w:hanging="360"/>
      </w:pPr>
    </w:lvl>
    <w:lvl w:ilvl="7">
      <w:numFmt w:val="bullet"/>
      <w:lvlText w:val="•"/>
      <w:lvlJc w:val="left"/>
      <w:pPr>
        <w:ind w:left="3538" w:hanging="360"/>
      </w:pPr>
    </w:lvl>
    <w:lvl w:ilvl="8">
      <w:numFmt w:val="bullet"/>
      <w:lvlText w:val="•"/>
      <w:lvlJc w:val="left"/>
      <w:pPr>
        <w:ind w:left="5525" w:hanging="360"/>
      </w:pPr>
    </w:lvl>
  </w:abstractNum>
  <w:abstractNum w:abstractNumId="8" w15:restartNumberingAfterBreak="0">
    <w:nsid w:val="00706C54"/>
    <w:multiLevelType w:val="hybridMultilevel"/>
    <w:tmpl w:val="53A4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7A7768"/>
    <w:multiLevelType w:val="hybridMultilevel"/>
    <w:tmpl w:val="615457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0D21E02"/>
    <w:multiLevelType w:val="hybridMultilevel"/>
    <w:tmpl w:val="F3103F0E"/>
    <w:lvl w:ilvl="0" w:tplc="DD326B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24A0FB1"/>
    <w:multiLevelType w:val="multilevel"/>
    <w:tmpl w:val="00000889"/>
    <w:lvl w:ilvl="0">
      <w:start w:val="1"/>
      <w:numFmt w:val="lowerLetter"/>
      <w:lvlText w:val="%1."/>
      <w:lvlJc w:val="left"/>
      <w:pPr>
        <w:ind w:left="462" w:hanging="330"/>
      </w:pPr>
      <w:rPr>
        <w:rFonts w:ascii="Times New Roman" w:hAnsi="Times New Roman" w:cs="Times New Roman"/>
        <w:b w:val="0"/>
        <w:bCs w:val="0"/>
        <w:spacing w:val="-1"/>
        <w:w w:val="99"/>
        <w:sz w:val="22"/>
        <w:szCs w:val="22"/>
      </w:rPr>
    </w:lvl>
    <w:lvl w:ilvl="1">
      <w:numFmt w:val="bullet"/>
      <w:lvlText w:val="•"/>
      <w:lvlJc w:val="left"/>
      <w:pPr>
        <w:ind w:left="1338" w:hanging="330"/>
      </w:pPr>
    </w:lvl>
    <w:lvl w:ilvl="2">
      <w:numFmt w:val="bullet"/>
      <w:lvlText w:val="•"/>
      <w:lvlJc w:val="left"/>
      <w:pPr>
        <w:ind w:left="2215" w:hanging="330"/>
      </w:pPr>
    </w:lvl>
    <w:lvl w:ilvl="3">
      <w:numFmt w:val="bullet"/>
      <w:lvlText w:val="•"/>
      <w:lvlJc w:val="left"/>
      <w:pPr>
        <w:ind w:left="3091" w:hanging="330"/>
      </w:pPr>
    </w:lvl>
    <w:lvl w:ilvl="4">
      <w:numFmt w:val="bullet"/>
      <w:lvlText w:val="•"/>
      <w:lvlJc w:val="left"/>
      <w:pPr>
        <w:ind w:left="3968" w:hanging="330"/>
      </w:pPr>
    </w:lvl>
    <w:lvl w:ilvl="5">
      <w:numFmt w:val="bullet"/>
      <w:lvlText w:val="•"/>
      <w:lvlJc w:val="left"/>
      <w:pPr>
        <w:ind w:left="4844" w:hanging="330"/>
      </w:pPr>
    </w:lvl>
    <w:lvl w:ilvl="6">
      <w:numFmt w:val="bullet"/>
      <w:lvlText w:val="•"/>
      <w:lvlJc w:val="left"/>
      <w:pPr>
        <w:ind w:left="5721" w:hanging="330"/>
      </w:pPr>
    </w:lvl>
    <w:lvl w:ilvl="7">
      <w:numFmt w:val="bullet"/>
      <w:lvlText w:val="•"/>
      <w:lvlJc w:val="left"/>
      <w:pPr>
        <w:ind w:left="6597" w:hanging="330"/>
      </w:pPr>
    </w:lvl>
    <w:lvl w:ilvl="8">
      <w:numFmt w:val="bullet"/>
      <w:lvlText w:val="•"/>
      <w:lvlJc w:val="left"/>
      <w:pPr>
        <w:ind w:left="7474" w:hanging="330"/>
      </w:pPr>
    </w:lvl>
  </w:abstractNum>
  <w:abstractNum w:abstractNumId="12" w15:restartNumberingAfterBreak="0">
    <w:nsid w:val="039216A6"/>
    <w:multiLevelType w:val="hybridMultilevel"/>
    <w:tmpl w:val="1D2A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B40CC6"/>
    <w:multiLevelType w:val="hybridMultilevel"/>
    <w:tmpl w:val="6EC84692"/>
    <w:lvl w:ilvl="0" w:tplc="08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5303D94"/>
    <w:multiLevelType w:val="hybridMultilevel"/>
    <w:tmpl w:val="2C065640"/>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0729555E"/>
    <w:multiLevelType w:val="hybridMultilevel"/>
    <w:tmpl w:val="6D1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7420BD"/>
    <w:multiLevelType w:val="hybridMultilevel"/>
    <w:tmpl w:val="5196432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1D6702"/>
    <w:multiLevelType w:val="hybridMultilevel"/>
    <w:tmpl w:val="1CBCBE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090F2989"/>
    <w:multiLevelType w:val="hybridMultilevel"/>
    <w:tmpl w:val="12188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68077B"/>
    <w:multiLevelType w:val="hybridMultilevel"/>
    <w:tmpl w:val="65BE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1C37C6"/>
    <w:multiLevelType w:val="hybridMultilevel"/>
    <w:tmpl w:val="DA58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E24C10"/>
    <w:multiLevelType w:val="hybridMultilevel"/>
    <w:tmpl w:val="BDE4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1EE0E93"/>
    <w:multiLevelType w:val="hybridMultilevel"/>
    <w:tmpl w:val="5E44E4BA"/>
    <w:lvl w:ilvl="0" w:tplc="E2B28A2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3E60F96"/>
    <w:multiLevelType w:val="hybridMultilevel"/>
    <w:tmpl w:val="84F42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86163EA"/>
    <w:multiLevelType w:val="hybridMultilevel"/>
    <w:tmpl w:val="1B8E86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187909CD"/>
    <w:multiLevelType w:val="hybridMultilevel"/>
    <w:tmpl w:val="65EA4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200F4B"/>
    <w:multiLevelType w:val="hybridMultilevel"/>
    <w:tmpl w:val="C0A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276282"/>
    <w:multiLevelType w:val="hybridMultilevel"/>
    <w:tmpl w:val="A4780F8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1D7428C1"/>
    <w:multiLevelType w:val="hybridMultilevel"/>
    <w:tmpl w:val="37AC2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0D4FB6"/>
    <w:multiLevelType w:val="hybridMultilevel"/>
    <w:tmpl w:val="A4B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3A35DBF"/>
    <w:multiLevelType w:val="hybridMultilevel"/>
    <w:tmpl w:val="EC96E23E"/>
    <w:lvl w:ilvl="0" w:tplc="57780D1A">
      <w:start w:val="1"/>
      <w:numFmt w:val="bullet"/>
      <w:lvlText w:val=""/>
      <w:lvlPicBulletId w:val="0"/>
      <w:lvlJc w:val="left"/>
      <w:pPr>
        <w:tabs>
          <w:tab w:val="num" w:pos="720"/>
        </w:tabs>
        <w:ind w:left="720" w:hanging="360"/>
      </w:pPr>
      <w:rPr>
        <w:rFonts w:ascii="Symbol" w:hAnsi="Symbol" w:hint="default"/>
      </w:rPr>
    </w:lvl>
    <w:lvl w:ilvl="1" w:tplc="1E180970" w:tentative="1">
      <w:start w:val="1"/>
      <w:numFmt w:val="bullet"/>
      <w:lvlText w:val=""/>
      <w:lvlJc w:val="left"/>
      <w:pPr>
        <w:tabs>
          <w:tab w:val="num" w:pos="1440"/>
        </w:tabs>
        <w:ind w:left="1440" w:hanging="360"/>
      </w:pPr>
      <w:rPr>
        <w:rFonts w:ascii="Symbol" w:hAnsi="Symbol" w:hint="default"/>
      </w:rPr>
    </w:lvl>
    <w:lvl w:ilvl="2" w:tplc="48BA9D4A" w:tentative="1">
      <w:start w:val="1"/>
      <w:numFmt w:val="bullet"/>
      <w:lvlText w:val=""/>
      <w:lvlJc w:val="left"/>
      <w:pPr>
        <w:tabs>
          <w:tab w:val="num" w:pos="2160"/>
        </w:tabs>
        <w:ind w:left="2160" w:hanging="360"/>
      </w:pPr>
      <w:rPr>
        <w:rFonts w:ascii="Symbol" w:hAnsi="Symbol" w:hint="default"/>
      </w:rPr>
    </w:lvl>
    <w:lvl w:ilvl="3" w:tplc="B67AD4D8" w:tentative="1">
      <w:start w:val="1"/>
      <w:numFmt w:val="bullet"/>
      <w:lvlText w:val=""/>
      <w:lvlJc w:val="left"/>
      <w:pPr>
        <w:tabs>
          <w:tab w:val="num" w:pos="2880"/>
        </w:tabs>
        <w:ind w:left="2880" w:hanging="360"/>
      </w:pPr>
      <w:rPr>
        <w:rFonts w:ascii="Symbol" w:hAnsi="Symbol" w:hint="default"/>
      </w:rPr>
    </w:lvl>
    <w:lvl w:ilvl="4" w:tplc="E17AA1CC" w:tentative="1">
      <w:start w:val="1"/>
      <w:numFmt w:val="bullet"/>
      <w:lvlText w:val=""/>
      <w:lvlJc w:val="left"/>
      <w:pPr>
        <w:tabs>
          <w:tab w:val="num" w:pos="3600"/>
        </w:tabs>
        <w:ind w:left="3600" w:hanging="360"/>
      </w:pPr>
      <w:rPr>
        <w:rFonts w:ascii="Symbol" w:hAnsi="Symbol" w:hint="default"/>
      </w:rPr>
    </w:lvl>
    <w:lvl w:ilvl="5" w:tplc="B42EC5B4" w:tentative="1">
      <w:start w:val="1"/>
      <w:numFmt w:val="bullet"/>
      <w:lvlText w:val=""/>
      <w:lvlJc w:val="left"/>
      <w:pPr>
        <w:tabs>
          <w:tab w:val="num" w:pos="4320"/>
        </w:tabs>
        <w:ind w:left="4320" w:hanging="360"/>
      </w:pPr>
      <w:rPr>
        <w:rFonts w:ascii="Symbol" w:hAnsi="Symbol" w:hint="default"/>
      </w:rPr>
    </w:lvl>
    <w:lvl w:ilvl="6" w:tplc="4542439A" w:tentative="1">
      <w:start w:val="1"/>
      <w:numFmt w:val="bullet"/>
      <w:lvlText w:val=""/>
      <w:lvlJc w:val="left"/>
      <w:pPr>
        <w:tabs>
          <w:tab w:val="num" w:pos="5040"/>
        </w:tabs>
        <w:ind w:left="5040" w:hanging="360"/>
      </w:pPr>
      <w:rPr>
        <w:rFonts w:ascii="Symbol" w:hAnsi="Symbol" w:hint="default"/>
      </w:rPr>
    </w:lvl>
    <w:lvl w:ilvl="7" w:tplc="ED822022" w:tentative="1">
      <w:start w:val="1"/>
      <w:numFmt w:val="bullet"/>
      <w:lvlText w:val=""/>
      <w:lvlJc w:val="left"/>
      <w:pPr>
        <w:tabs>
          <w:tab w:val="num" w:pos="5760"/>
        </w:tabs>
        <w:ind w:left="5760" w:hanging="360"/>
      </w:pPr>
      <w:rPr>
        <w:rFonts w:ascii="Symbol" w:hAnsi="Symbol" w:hint="default"/>
      </w:rPr>
    </w:lvl>
    <w:lvl w:ilvl="8" w:tplc="1DBE76D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25461BCF"/>
    <w:multiLevelType w:val="hybridMultilevel"/>
    <w:tmpl w:val="321A5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993A58"/>
    <w:multiLevelType w:val="hybridMultilevel"/>
    <w:tmpl w:val="EC90D6D4"/>
    <w:lvl w:ilvl="0" w:tplc="F76A3C3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D92065C"/>
    <w:multiLevelType w:val="hybridMultilevel"/>
    <w:tmpl w:val="694E72B4"/>
    <w:lvl w:ilvl="0" w:tplc="F76A3C3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2E0C3C76"/>
    <w:multiLevelType w:val="hybridMultilevel"/>
    <w:tmpl w:val="8B8C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586D14"/>
    <w:multiLevelType w:val="hybridMultilevel"/>
    <w:tmpl w:val="CB6698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30CD5ABF"/>
    <w:multiLevelType w:val="hybridMultilevel"/>
    <w:tmpl w:val="20F83F66"/>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A1285A"/>
    <w:multiLevelType w:val="hybridMultilevel"/>
    <w:tmpl w:val="5E88F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213B95"/>
    <w:multiLevelType w:val="hybridMultilevel"/>
    <w:tmpl w:val="E56874DA"/>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3B32A99"/>
    <w:multiLevelType w:val="hybridMultilevel"/>
    <w:tmpl w:val="BD16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5EF5271"/>
    <w:multiLevelType w:val="hybridMultilevel"/>
    <w:tmpl w:val="82F2FA36"/>
    <w:lvl w:ilvl="0" w:tplc="8C30AFFA">
      <w:start w:val="19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6A21D67"/>
    <w:multiLevelType w:val="hybridMultilevel"/>
    <w:tmpl w:val="F9B05BE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7A744D8"/>
    <w:multiLevelType w:val="hybridMultilevel"/>
    <w:tmpl w:val="6118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CFF43BC"/>
    <w:multiLevelType w:val="hybridMultilevel"/>
    <w:tmpl w:val="B18A6DD6"/>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0E1409"/>
    <w:multiLevelType w:val="hybridMultilevel"/>
    <w:tmpl w:val="7CDEF814"/>
    <w:lvl w:ilvl="0" w:tplc="F76A3C3E">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45" w15:restartNumberingAfterBreak="0">
    <w:nsid w:val="44B93381"/>
    <w:multiLevelType w:val="hybridMultilevel"/>
    <w:tmpl w:val="1B562DC0"/>
    <w:lvl w:ilvl="0" w:tplc="2A80D8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8A0094"/>
    <w:multiLevelType w:val="hybridMultilevel"/>
    <w:tmpl w:val="B7E8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EB5FC4"/>
    <w:multiLevelType w:val="hybridMultilevel"/>
    <w:tmpl w:val="60DAE1D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8" w15:restartNumberingAfterBreak="0">
    <w:nsid w:val="4AAA301C"/>
    <w:multiLevelType w:val="hybridMultilevel"/>
    <w:tmpl w:val="C5000546"/>
    <w:lvl w:ilvl="0" w:tplc="04090001">
      <w:start w:val="1"/>
      <w:numFmt w:val="bullet"/>
      <w:lvlText w:val=""/>
      <w:lvlJc w:val="left"/>
      <w:pPr>
        <w:tabs>
          <w:tab w:val="num" w:pos="720"/>
        </w:tabs>
        <w:ind w:left="720" w:hanging="360"/>
      </w:pPr>
      <w:rPr>
        <w:rFonts w:ascii="Symbol" w:hAnsi="Symbol" w:hint="default"/>
      </w:rPr>
    </w:lvl>
    <w:lvl w:ilvl="1" w:tplc="1E180970" w:tentative="1">
      <w:start w:val="1"/>
      <w:numFmt w:val="bullet"/>
      <w:lvlText w:val=""/>
      <w:lvlJc w:val="left"/>
      <w:pPr>
        <w:tabs>
          <w:tab w:val="num" w:pos="1440"/>
        </w:tabs>
        <w:ind w:left="1440" w:hanging="360"/>
      </w:pPr>
      <w:rPr>
        <w:rFonts w:ascii="Symbol" w:hAnsi="Symbol" w:hint="default"/>
      </w:rPr>
    </w:lvl>
    <w:lvl w:ilvl="2" w:tplc="48BA9D4A" w:tentative="1">
      <w:start w:val="1"/>
      <w:numFmt w:val="bullet"/>
      <w:lvlText w:val=""/>
      <w:lvlJc w:val="left"/>
      <w:pPr>
        <w:tabs>
          <w:tab w:val="num" w:pos="2160"/>
        </w:tabs>
        <w:ind w:left="2160" w:hanging="360"/>
      </w:pPr>
      <w:rPr>
        <w:rFonts w:ascii="Symbol" w:hAnsi="Symbol" w:hint="default"/>
      </w:rPr>
    </w:lvl>
    <w:lvl w:ilvl="3" w:tplc="B67AD4D8" w:tentative="1">
      <w:start w:val="1"/>
      <w:numFmt w:val="bullet"/>
      <w:lvlText w:val=""/>
      <w:lvlJc w:val="left"/>
      <w:pPr>
        <w:tabs>
          <w:tab w:val="num" w:pos="2880"/>
        </w:tabs>
        <w:ind w:left="2880" w:hanging="360"/>
      </w:pPr>
      <w:rPr>
        <w:rFonts w:ascii="Symbol" w:hAnsi="Symbol" w:hint="default"/>
      </w:rPr>
    </w:lvl>
    <w:lvl w:ilvl="4" w:tplc="E17AA1CC" w:tentative="1">
      <w:start w:val="1"/>
      <w:numFmt w:val="bullet"/>
      <w:lvlText w:val=""/>
      <w:lvlJc w:val="left"/>
      <w:pPr>
        <w:tabs>
          <w:tab w:val="num" w:pos="3600"/>
        </w:tabs>
        <w:ind w:left="3600" w:hanging="360"/>
      </w:pPr>
      <w:rPr>
        <w:rFonts w:ascii="Symbol" w:hAnsi="Symbol" w:hint="default"/>
      </w:rPr>
    </w:lvl>
    <w:lvl w:ilvl="5" w:tplc="B42EC5B4" w:tentative="1">
      <w:start w:val="1"/>
      <w:numFmt w:val="bullet"/>
      <w:lvlText w:val=""/>
      <w:lvlJc w:val="left"/>
      <w:pPr>
        <w:tabs>
          <w:tab w:val="num" w:pos="4320"/>
        </w:tabs>
        <w:ind w:left="4320" w:hanging="360"/>
      </w:pPr>
      <w:rPr>
        <w:rFonts w:ascii="Symbol" w:hAnsi="Symbol" w:hint="default"/>
      </w:rPr>
    </w:lvl>
    <w:lvl w:ilvl="6" w:tplc="4542439A" w:tentative="1">
      <w:start w:val="1"/>
      <w:numFmt w:val="bullet"/>
      <w:lvlText w:val=""/>
      <w:lvlJc w:val="left"/>
      <w:pPr>
        <w:tabs>
          <w:tab w:val="num" w:pos="5040"/>
        </w:tabs>
        <w:ind w:left="5040" w:hanging="360"/>
      </w:pPr>
      <w:rPr>
        <w:rFonts w:ascii="Symbol" w:hAnsi="Symbol" w:hint="default"/>
      </w:rPr>
    </w:lvl>
    <w:lvl w:ilvl="7" w:tplc="ED822022" w:tentative="1">
      <w:start w:val="1"/>
      <w:numFmt w:val="bullet"/>
      <w:lvlText w:val=""/>
      <w:lvlJc w:val="left"/>
      <w:pPr>
        <w:tabs>
          <w:tab w:val="num" w:pos="5760"/>
        </w:tabs>
        <w:ind w:left="5760" w:hanging="360"/>
      </w:pPr>
      <w:rPr>
        <w:rFonts w:ascii="Symbol" w:hAnsi="Symbol" w:hint="default"/>
      </w:rPr>
    </w:lvl>
    <w:lvl w:ilvl="8" w:tplc="1DBE76D6"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4EFE1BEE"/>
    <w:multiLevelType w:val="hybridMultilevel"/>
    <w:tmpl w:val="7D70CE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907584"/>
    <w:multiLevelType w:val="hybridMultilevel"/>
    <w:tmpl w:val="56BA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C3569B"/>
    <w:multiLevelType w:val="hybridMultilevel"/>
    <w:tmpl w:val="F474B05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225605D"/>
    <w:multiLevelType w:val="hybridMultilevel"/>
    <w:tmpl w:val="F48C55D4"/>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63021250"/>
    <w:multiLevelType w:val="hybridMultilevel"/>
    <w:tmpl w:val="E9A8785C"/>
    <w:lvl w:ilvl="0" w:tplc="F1668C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2F54D7"/>
    <w:multiLevelType w:val="hybridMultilevel"/>
    <w:tmpl w:val="6FA0CE06"/>
    <w:lvl w:ilvl="0" w:tplc="560C87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653ED4"/>
    <w:multiLevelType w:val="hybridMultilevel"/>
    <w:tmpl w:val="F09AC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7B719B"/>
    <w:multiLevelType w:val="hybridMultilevel"/>
    <w:tmpl w:val="CB6698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7" w15:restartNumberingAfterBreak="0">
    <w:nsid w:val="73C760BA"/>
    <w:multiLevelType w:val="hybridMultilevel"/>
    <w:tmpl w:val="CBF89B18"/>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58" w15:restartNumberingAfterBreak="0">
    <w:nsid w:val="74C447CD"/>
    <w:multiLevelType w:val="hybridMultilevel"/>
    <w:tmpl w:val="909C3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7D10A0"/>
    <w:multiLevelType w:val="hybridMultilevel"/>
    <w:tmpl w:val="E07CB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65E45C2"/>
    <w:multiLevelType w:val="hybridMultilevel"/>
    <w:tmpl w:val="EE6C383C"/>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90D3979"/>
    <w:multiLevelType w:val="multilevel"/>
    <w:tmpl w:val="D5DAA268"/>
    <w:lvl w:ilvl="0">
      <w:start w:val="1"/>
      <w:numFmt w:val="decimal"/>
      <w:lvlText w:val="%1."/>
      <w:lvlJc w:val="left"/>
      <w:pPr>
        <w:ind w:left="678" w:hanging="568"/>
      </w:pPr>
      <w:rPr>
        <w:rFonts w:ascii="Times New Roman" w:eastAsia="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62" w15:restartNumberingAfterBreak="0">
    <w:nsid w:val="7EAB292E"/>
    <w:multiLevelType w:val="hybridMultilevel"/>
    <w:tmpl w:val="06CE5372"/>
    <w:lvl w:ilvl="0" w:tplc="DD326B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7F3E3DD6"/>
    <w:multiLevelType w:val="hybridMultilevel"/>
    <w:tmpl w:val="F3E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0497018">
    <w:abstractNumId w:val="9"/>
  </w:num>
  <w:num w:numId="2" w16cid:durableId="1835484737">
    <w:abstractNumId w:val="41"/>
  </w:num>
  <w:num w:numId="3" w16cid:durableId="2103597940">
    <w:abstractNumId w:val="10"/>
  </w:num>
  <w:num w:numId="4" w16cid:durableId="899368122">
    <w:abstractNumId w:val="62"/>
  </w:num>
  <w:num w:numId="5" w16cid:durableId="1441340574">
    <w:abstractNumId w:val="52"/>
  </w:num>
  <w:num w:numId="6" w16cid:durableId="48187320">
    <w:abstractNumId w:val="60"/>
  </w:num>
  <w:num w:numId="7" w16cid:durableId="455876251">
    <w:abstractNumId w:val="51"/>
  </w:num>
  <w:num w:numId="8" w16cid:durableId="1355225329">
    <w:abstractNumId w:val="44"/>
  </w:num>
  <w:num w:numId="9" w16cid:durableId="2123261227">
    <w:abstractNumId w:val="22"/>
  </w:num>
  <w:num w:numId="10" w16cid:durableId="1684089857">
    <w:abstractNumId w:val="33"/>
  </w:num>
  <w:num w:numId="11" w16cid:durableId="1286812723">
    <w:abstractNumId w:val="32"/>
  </w:num>
  <w:num w:numId="12" w16cid:durableId="10139242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541728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0201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14186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7412629">
    <w:abstractNumId w:val="28"/>
  </w:num>
  <w:num w:numId="17" w16cid:durableId="1266187169">
    <w:abstractNumId w:val="39"/>
  </w:num>
  <w:num w:numId="18" w16cid:durableId="551306451">
    <w:abstractNumId w:val="8"/>
  </w:num>
  <w:num w:numId="19" w16cid:durableId="413205051">
    <w:abstractNumId w:val="19"/>
  </w:num>
  <w:num w:numId="20" w16cid:durableId="819887518">
    <w:abstractNumId w:val="63"/>
  </w:num>
  <w:num w:numId="21" w16cid:durableId="2023433234">
    <w:abstractNumId w:val="0"/>
  </w:num>
  <w:num w:numId="22" w16cid:durableId="2068995403">
    <w:abstractNumId w:val="7"/>
  </w:num>
  <w:num w:numId="23" w16cid:durableId="1476875688">
    <w:abstractNumId w:val="6"/>
  </w:num>
  <w:num w:numId="24" w16cid:durableId="1500120056">
    <w:abstractNumId w:val="5"/>
  </w:num>
  <w:num w:numId="25" w16cid:durableId="1803186113">
    <w:abstractNumId w:val="4"/>
  </w:num>
  <w:num w:numId="26" w16cid:durableId="355886496">
    <w:abstractNumId w:val="2"/>
  </w:num>
  <w:num w:numId="27" w16cid:durableId="98111846">
    <w:abstractNumId w:val="1"/>
  </w:num>
  <w:num w:numId="28" w16cid:durableId="641735723">
    <w:abstractNumId w:val="23"/>
  </w:num>
  <w:num w:numId="29" w16cid:durableId="1222012198">
    <w:abstractNumId w:val="58"/>
  </w:num>
  <w:num w:numId="30" w16cid:durableId="187833377">
    <w:abstractNumId w:val="53"/>
  </w:num>
  <w:num w:numId="31" w16cid:durableId="1614938519">
    <w:abstractNumId w:val="55"/>
  </w:num>
  <w:num w:numId="32" w16cid:durableId="540020764">
    <w:abstractNumId w:val="24"/>
  </w:num>
  <w:num w:numId="33" w16cid:durableId="895629933">
    <w:abstractNumId w:val="21"/>
  </w:num>
  <w:num w:numId="34" w16cid:durableId="794064959">
    <w:abstractNumId w:val="17"/>
  </w:num>
  <w:num w:numId="35" w16cid:durableId="1232497647">
    <w:abstractNumId w:val="49"/>
  </w:num>
  <w:num w:numId="36" w16cid:durableId="248657728">
    <w:abstractNumId w:val="15"/>
  </w:num>
  <w:num w:numId="37" w16cid:durableId="1500078162">
    <w:abstractNumId w:val="42"/>
  </w:num>
  <w:num w:numId="38" w16cid:durableId="1768573514">
    <w:abstractNumId w:val="14"/>
  </w:num>
  <w:num w:numId="39" w16cid:durableId="788860005">
    <w:abstractNumId w:val="13"/>
  </w:num>
  <w:num w:numId="40" w16cid:durableId="633216705">
    <w:abstractNumId w:val="26"/>
  </w:num>
  <w:num w:numId="41" w16cid:durableId="375668280">
    <w:abstractNumId w:val="12"/>
  </w:num>
  <w:num w:numId="42" w16cid:durableId="892232833">
    <w:abstractNumId w:val="25"/>
  </w:num>
  <w:num w:numId="43" w16cid:durableId="1962489785">
    <w:abstractNumId w:val="16"/>
  </w:num>
  <w:num w:numId="44" w16cid:durableId="2071883518">
    <w:abstractNumId w:val="27"/>
  </w:num>
  <w:num w:numId="45" w16cid:durableId="1311909879">
    <w:abstractNumId w:val="18"/>
  </w:num>
  <w:num w:numId="46" w16cid:durableId="1914584818">
    <w:abstractNumId w:val="59"/>
  </w:num>
  <w:num w:numId="47" w16cid:durableId="161556259">
    <w:abstractNumId w:val="34"/>
  </w:num>
  <w:num w:numId="48" w16cid:durableId="681132828">
    <w:abstractNumId w:val="20"/>
  </w:num>
  <w:num w:numId="49" w16cid:durableId="1114053191">
    <w:abstractNumId w:val="30"/>
  </w:num>
  <w:num w:numId="50" w16cid:durableId="1039401324">
    <w:abstractNumId w:val="48"/>
  </w:num>
  <w:num w:numId="51" w16cid:durableId="1083842058">
    <w:abstractNumId w:val="57"/>
  </w:num>
  <w:num w:numId="52" w16cid:durableId="378744643">
    <w:abstractNumId w:val="11"/>
  </w:num>
  <w:num w:numId="53" w16cid:durableId="1810854651">
    <w:abstractNumId w:val="3"/>
  </w:num>
  <w:num w:numId="54" w16cid:durableId="1169754768">
    <w:abstractNumId w:val="22"/>
  </w:num>
  <w:num w:numId="55" w16cid:durableId="1697924491">
    <w:abstractNumId w:val="52"/>
  </w:num>
  <w:num w:numId="56" w16cid:durableId="370157059">
    <w:abstractNumId w:val="61"/>
  </w:num>
  <w:num w:numId="57" w16cid:durableId="166947829">
    <w:abstractNumId w:val="45"/>
  </w:num>
  <w:num w:numId="58" w16cid:durableId="1613052982">
    <w:abstractNumId w:val="54"/>
  </w:num>
  <w:num w:numId="59" w16cid:durableId="587733903">
    <w:abstractNumId w:val="50"/>
  </w:num>
  <w:num w:numId="60" w16cid:durableId="1753431705">
    <w:abstractNumId w:val="46"/>
  </w:num>
  <w:num w:numId="61" w16cid:durableId="952132599">
    <w:abstractNumId w:val="29"/>
  </w:num>
  <w:num w:numId="62" w16cid:durableId="1404258316">
    <w:abstractNumId w:val="31"/>
  </w:num>
  <w:num w:numId="63" w16cid:durableId="865364637">
    <w:abstractNumId w:val="37"/>
  </w:num>
  <w:num w:numId="64" w16cid:durableId="1597472148">
    <w:abstractNumId w:val="36"/>
  </w:num>
  <w:num w:numId="65" w16cid:durableId="1857302984">
    <w:abstractNumId w:val="43"/>
  </w:num>
  <w:num w:numId="66" w16cid:durableId="362748102">
    <w:abstractNumId w:val="38"/>
  </w:num>
  <w:num w:numId="67" w16cid:durableId="547373141">
    <w:abstractNumId w:val="40"/>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proofState w:spelling="clean" w:grammar="clean"/>
  <w:defaultTabStop w:val="562"/>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7A"/>
    <w:rsid w:val="00002719"/>
    <w:rsid w:val="00002C0C"/>
    <w:rsid w:val="00003017"/>
    <w:rsid w:val="00003D64"/>
    <w:rsid w:val="0000463E"/>
    <w:rsid w:val="000047F6"/>
    <w:rsid w:val="00004A60"/>
    <w:rsid w:val="00004C2C"/>
    <w:rsid w:val="00004CC2"/>
    <w:rsid w:val="00005828"/>
    <w:rsid w:val="00005CDB"/>
    <w:rsid w:val="00005E2E"/>
    <w:rsid w:val="00005E6C"/>
    <w:rsid w:val="0000627C"/>
    <w:rsid w:val="0000666D"/>
    <w:rsid w:val="00006CDF"/>
    <w:rsid w:val="00007018"/>
    <w:rsid w:val="000072AC"/>
    <w:rsid w:val="00007FF5"/>
    <w:rsid w:val="000102A9"/>
    <w:rsid w:val="00010BA6"/>
    <w:rsid w:val="00011724"/>
    <w:rsid w:val="00011C29"/>
    <w:rsid w:val="00011D58"/>
    <w:rsid w:val="000122EC"/>
    <w:rsid w:val="00012981"/>
    <w:rsid w:val="00012CF6"/>
    <w:rsid w:val="00013356"/>
    <w:rsid w:val="00013811"/>
    <w:rsid w:val="00013C58"/>
    <w:rsid w:val="0001410E"/>
    <w:rsid w:val="00014498"/>
    <w:rsid w:val="000147F7"/>
    <w:rsid w:val="00015FEB"/>
    <w:rsid w:val="00016492"/>
    <w:rsid w:val="0001706E"/>
    <w:rsid w:val="000175DD"/>
    <w:rsid w:val="00017BA2"/>
    <w:rsid w:val="0002005F"/>
    <w:rsid w:val="00020161"/>
    <w:rsid w:val="00020790"/>
    <w:rsid w:val="000207AB"/>
    <w:rsid w:val="0002159D"/>
    <w:rsid w:val="000217A1"/>
    <w:rsid w:val="0002203B"/>
    <w:rsid w:val="000230EA"/>
    <w:rsid w:val="00024AED"/>
    <w:rsid w:val="00025291"/>
    <w:rsid w:val="0002555F"/>
    <w:rsid w:val="000309C6"/>
    <w:rsid w:val="00030A7A"/>
    <w:rsid w:val="00030BF1"/>
    <w:rsid w:val="00031465"/>
    <w:rsid w:val="00031DA1"/>
    <w:rsid w:val="000322AA"/>
    <w:rsid w:val="00032527"/>
    <w:rsid w:val="00032CB5"/>
    <w:rsid w:val="000330D1"/>
    <w:rsid w:val="00033670"/>
    <w:rsid w:val="00033EEF"/>
    <w:rsid w:val="00034374"/>
    <w:rsid w:val="00034455"/>
    <w:rsid w:val="00034A34"/>
    <w:rsid w:val="00034C19"/>
    <w:rsid w:val="000362B3"/>
    <w:rsid w:val="00036D84"/>
    <w:rsid w:val="0003704A"/>
    <w:rsid w:val="0003735C"/>
    <w:rsid w:val="00037957"/>
    <w:rsid w:val="00037C77"/>
    <w:rsid w:val="00037ED2"/>
    <w:rsid w:val="000404C2"/>
    <w:rsid w:val="00041168"/>
    <w:rsid w:val="00041751"/>
    <w:rsid w:val="00041789"/>
    <w:rsid w:val="00041F96"/>
    <w:rsid w:val="00042884"/>
    <w:rsid w:val="00043113"/>
    <w:rsid w:val="00044A8B"/>
    <w:rsid w:val="00045154"/>
    <w:rsid w:val="00045482"/>
    <w:rsid w:val="00046037"/>
    <w:rsid w:val="00046C4F"/>
    <w:rsid w:val="00046CB5"/>
    <w:rsid w:val="00047DBA"/>
    <w:rsid w:val="00047E70"/>
    <w:rsid w:val="00050DC2"/>
    <w:rsid w:val="000514FC"/>
    <w:rsid w:val="00052122"/>
    <w:rsid w:val="00053638"/>
    <w:rsid w:val="00053717"/>
    <w:rsid w:val="00053A37"/>
    <w:rsid w:val="00054847"/>
    <w:rsid w:val="00054A92"/>
    <w:rsid w:val="00054CAB"/>
    <w:rsid w:val="000558D3"/>
    <w:rsid w:val="0005609F"/>
    <w:rsid w:val="00056F25"/>
    <w:rsid w:val="0005739A"/>
    <w:rsid w:val="00057706"/>
    <w:rsid w:val="00060941"/>
    <w:rsid w:val="00060AA8"/>
    <w:rsid w:val="00061638"/>
    <w:rsid w:val="0006191C"/>
    <w:rsid w:val="00061DED"/>
    <w:rsid w:val="00061F0D"/>
    <w:rsid w:val="00062013"/>
    <w:rsid w:val="00062BCD"/>
    <w:rsid w:val="00064180"/>
    <w:rsid w:val="000641EA"/>
    <w:rsid w:val="00064EFA"/>
    <w:rsid w:val="00065271"/>
    <w:rsid w:val="00065E3A"/>
    <w:rsid w:val="000663D0"/>
    <w:rsid w:val="00066557"/>
    <w:rsid w:val="000675BF"/>
    <w:rsid w:val="000709C5"/>
    <w:rsid w:val="00071654"/>
    <w:rsid w:val="00072C9F"/>
    <w:rsid w:val="00074716"/>
    <w:rsid w:val="00074F96"/>
    <w:rsid w:val="00075AEA"/>
    <w:rsid w:val="00077E50"/>
    <w:rsid w:val="000801B7"/>
    <w:rsid w:val="000808D2"/>
    <w:rsid w:val="0008118E"/>
    <w:rsid w:val="0008147A"/>
    <w:rsid w:val="00081520"/>
    <w:rsid w:val="00081A6C"/>
    <w:rsid w:val="00082F18"/>
    <w:rsid w:val="0008338D"/>
    <w:rsid w:val="0008451C"/>
    <w:rsid w:val="00084A94"/>
    <w:rsid w:val="00085720"/>
    <w:rsid w:val="00085E15"/>
    <w:rsid w:val="00086CEE"/>
    <w:rsid w:val="00086FA9"/>
    <w:rsid w:val="0008762A"/>
    <w:rsid w:val="00090092"/>
    <w:rsid w:val="00090607"/>
    <w:rsid w:val="00091912"/>
    <w:rsid w:val="00091EEC"/>
    <w:rsid w:val="00091F30"/>
    <w:rsid w:val="00091FFA"/>
    <w:rsid w:val="0009222A"/>
    <w:rsid w:val="000925E6"/>
    <w:rsid w:val="0009270F"/>
    <w:rsid w:val="000928C5"/>
    <w:rsid w:val="0009296B"/>
    <w:rsid w:val="00092E33"/>
    <w:rsid w:val="0009304A"/>
    <w:rsid w:val="00093CB9"/>
    <w:rsid w:val="00093EDF"/>
    <w:rsid w:val="000941D3"/>
    <w:rsid w:val="00094952"/>
    <w:rsid w:val="0009534C"/>
    <w:rsid w:val="000953C0"/>
    <w:rsid w:val="00095463"/>
    <w:rsid w:val="0009571C"/>
    <w:rsid w:val="0009577A"/>
    <w:rsid w:val="00095A76"/>
    <w:rsid w:val="0009685B"/>
    <w:rsid w:val="00096F1B"/>
    <w:rsid w:val="00097CD1"/>
    <w:rsid w:val="000A0317"/>
    <w:rsid w:val="000A042E"/>
    <w:rsid w:val="000A0BFB"/>
    <w:rsid w:val="000A176B"/>
    <w:rsid w:val="000A2E43"/>
    <w:rsid w:val="000A3830"/>
    <w:rsid w:val="000A3934"/>
    <w:rsid w:val="000A6168"/>
    <w:rsid w:val="000A628E"/>
    <w:rsid w:val="000A6660"/>
    <w:rsid w:val="000A68CA"/>
    <w:rsid w:val="000A73D0"/>
    <w:rsid w:val="000A7A99"/>
    <w:rsid w:val="000A7DF0"/>
    <w:rsid w:val="000A7FE6"/>
    <w:rsid w:val="000B1354"/>
    <w:rsid w:val="000B307D"/>
    <w:rsid w:val="000B31DC"/>
    <w:rsid w:val="000B3690"/>
    <w:rsid w:val="000B37DD"/>
    <w:rsid w:val="000B3D8F"/>
    <w:rsid w:val="000B4BDD"/>
    <w:rsid w:val="000B54A7"/>
    <w:rsid w:val="000B6623"/>
    <w:rsid w:val="000B6E7C"/>
    <w:rsid w:val="000B7CC1"/>
    <w:rsid w:val="000C078E"/>
    <w:rsid w:val="000C0F65"/>
    <w:rsid w:val="000C1171"/>
    <w:rsid w:val="000C123F"/>
    <w:rsid w:val="000C1B81"/>
    <w:rsid w:val="000C1DE3"/>
    <w:rsid w:val="000C2033"/>
    <w:rsid w:val="000C256C"/>
    <w:rsid w:val="000C36D6"/>
    <w:rsid w:val="000C402A"/>
    <w:rsid w:val="000C41C0"/>
    <w:rsid w:val="000C4753"/>
    <w:rsid w:val="000C4ABE"/>
    <w:rsid w:val="000C5978"/>
    <w:rsid w:val="000C59FF"/>
    <w:rsid w:val="000C69A6"/>
    <w:rsid w:val="000C7E4B"/>
    <w:rsid w:val="000D160F"/>
    <w:rsid w:val="000D161F"/>
    <w:rsid w:val="000D27F4"/>
    <w:rsid w:val="000D2984"/>
    <w:rsid w:val="000D2C73"/>
    <w:rsid w:val="000D3022"/>
    <w:rsid w:val="000D3575"/>
    <w:rsid w:val="000D3E92"/>
    <w:rsid w:val="000D4596"/>
    <w:rsid w:val="000D461D"/>
    <w:rsid w:val="000D4745"/>
    <w:rsid w:val="000D6BE3"/>
    <w:rsid w:val="000D75B1"/>
    <w:rsid w:val="000D7799"/>
    <w:rsid w:val="000E0015"/>
    <w:rsid w:val="000E0085"/>
    <w:rsid w:val="000E029A"/>
    <w:rsid w:val="000E06D0"/>
    <w:rsid w:val="000E1436"/>
    <w:rsid w:val="000E1B83"/>
    <w:rsid w:val="000E1BE4"/>
    <w:rsid w:val="000E2689"/>
    <w:rsid w:val="000E2A68"/>
    <w:rsid w:val="000E2D3F"/>
    <w:rsid w:val="000E3250"/>
    <w:rsid w:val="000E344A"/>
    <w:rsid w:val="000E3450"/>
    <w:rsid w:val="000E3F79"/>
    <w:rsid w:val="000E4EF6"/>
    <w:rsid w:val="000E78C9"/>
    <w:rsid w:val="000E7BC6"/>
    <w:rsid w:val="000F03F1"/>
    <w:rsid w:val="000F08D5"/>
    <w:rsid w:val="000F0CA1"/>
    <w:rsid w:val="000F0EB9"/>
    <w:rsid w:val="000F14B3"/>
    <w:rsid w:val="000F1725"/>
    <w:rsid w:val="000F1F1A"/>
    <w:rsid w:val="000F364D"/>
    <w:rsid w:val="000F3F8F"/>
    <w:rsid w:val="000F4235"/>
    <w:rsid w:val="000F470F"/>
    <w:rsid w:val="000F47CD"/>
    <w:rsid w:val="000F4ED5"/>
    <w:rsid w:val="000F66C2"/>
    <w:rsid w:val="000F77F7"/>
    <w:rsid w:val="00100302"/>
    <w:rsid w:val="0010036E"/>
    <w:rsid w:val="001005F5"/>
    <w:rsid w:val="00100D54"/>
    <w:rsid w:val="001020CF"/>
    <w:rsid w:val="00102AA6"/>
    <w:rsid w:val="00103490"/>
    <w:rsid w:val="00103DA2"/>
    <w:rsid w:val="00103E37"/>
    <w:rsid w:val="00104837"/>
    <w:rsid w:val="00104E56"/>
    <w:rsid w:val="00106192"/>
    <w:rsid w:val="00107724"/>
    <w:rsid w:val="001077AA"/>
    <w:rsid w:val="00107CC8"/>
    <w:rsid w:val="0011116C"/>
    <w:rsid w:val="00111345"/>
    <w:rsid w:val="001114E0"/>
    <w:rsid w:val="00111B5B"/>
    <w:rsid w:val="0011226F"/>
    <w:rsid w:val="00113764"/>
    <w:rsid w:val="00113BFC"/>
    <w:rsid w:val="00113ED2"/>
    <w:rsid w:val="00114279"/>
    <w:rsid w:val="00114706"/>
    <w:rsid w:val="00114815"/>
    <w:rsid w:val="00114FF0"/>
    <w:rsid w:val="0011511D"/>
    <w:rsid w:val="001166F5"/>
    <w:rsid w:val="0011718F"/>
    <w:rsid w:val="00117BE9"/>
    <w:rsid w:val="00117FC4"/>
    <w:rsid w:val="00120DA5"/>
    <w:rsid w:val="00121221"/>
    <w:rsid w:val="001220DD"/>
    <w:rsid w:val="001223E4"/>
    <w:rsid w:val="00122502"/>
    <w:rsid w:val="0012288C"/>
    <w:rsid w:val="001237B9"/>
    <w:rsid w:val="001248DF"/>
    <w:rsid w:val="00127227"/>
    <w:rsid w:val="00130132"/>
    <w:rsid w:val="00130A4B"/>
    <w:rsid w:val="00132033"/>
    <w:rsid w:val="00132782"/>
    <w:rsid w:val="001329DD"/>
    <w:rsid w:val="00132CD1"/>
    <w:rsid w:val="001331F6"/>
    <w:rsid w:val="0013439A"/>
    <w:rsid w:val="001345F1"/>
    <w:rsid w:val="001359F3"/>
    <w:rsid w:val="00135BEB"/>
    <w:rsid w:val="00136326"/>
    <w:rsid w:val="0013692B"/>
    <w:rsid w:val="00137247"/>
    <w:rsid w:val="0014096D"/>
    <w:rsid w:val="00141962"/>
    <w:rsid w:val="00141B94"/>
    <w:rsid w:val="001424A7"/>
    <w:rsid w:val="00142590"/>
    <w:rsid w:val="0014272B"/>
    <w:rsid w:val="00142926"/>
    <w:rsid w:val="001430BA"/>
    <w:rsid w:val="001434A4"/>
    <w:rsid w:val="0014383C"/>
    <w:rsid w:val="001439EF"/>
    <w:rsid w:val="00143CBB"/>
    <w:rsid w:val="00143F50"/>
    <w:rsid w:val="00144984"/>
    <w:rsid w:val="00145009"/>
    <w:rsid w:val="001456CD"/>
    <w:rsid w:val="0014574F"/>
    <w:rsid w:val="00145BB7"/>
    <w:rsid w:val="00146E68"/>
    <w:rsid w:val="001471FD"/>
    <w:rsid w:val="00150D33"/>
    <w:rsid w:val="00151BF0"/>
    <w:rsid w:val="001520A8"/>
    <w:rsid w:val="001531E2"/>
    <w:rsid w:val="00153852"/>
    <w:rsid w:val="001540AD"/>
    <w:rsid w:val="00154AA9"/>
    <w:rsid w:val="00154AC8"/>
    <w:rsid w:val="00155496"/>
    <w:rsid w:val="001568E5"/>
    <w:rsid w:val="00156A34"/>
    <w:rsid w:val="00156BFF"/>
    <w:rsid w:val="00157DFC"/>
    <w:rsid w:val="001612FC"/>
    <w:rsid w:val="00161832"/>
    <w:rsid w:val="00162526"/>
    <w:rsid w:val="00163059"/>
    <w:rsid w:val="0016315F"/>
    <w:rsid w:val="0016344D"/>
    <w:rsid w:val="00163E5D"/>
    <w:rsid w:val="00164009"/>
    <w:rsid w:val="0016465E"/>
    <w:rsid w:val="00164BC4"/>
    <w:rsid w:val="001650F0"/>
    <w:rsid w:val="00166354"/>
    <w:rsid w:val="00166693"/>
    <w:rsid w:val="001673AF"/>
    <w:rsid w:val="00167535"/>
    <w:rsid w:val="00167E62"/>
    <w:rsid w:val="00170488"/>
    <w:rsid w:val="00170CC3"/>
    <w:rsid w:val="001713AF"/>
    <w:rsid w:val="00172537"/>
    <w:rsid w:val="00172ABD"/>
    <w:rsid w:val="00172DF4"/>
    <w:rsid w:val="00173324"/>
    <w:rsid w:val="00173E9F"/>
    <w:rsid w:val="00174900"/>
    <w:rsid w:val="001749A3"/>
    <w:rsid w:val="00174D22"/>
    <w:rsid w:val="00174D5C"/>
    <w:rsid w:val="0017564C"/>
    <w:rsid w:val="0017712F"/>
    <w:rsid w:val="00177D51"/>
    <w:rsid w:val="001809D6"/>
    <w:rsid w:val="00180B99"/>
    <w:rsid w:val="00181177"/>
    <w:rsid w:val="001811A3"/>
    <w:rsid w:val="0018150A"/>
    <w:rsid w:val="00182B28"/>
    <w:rsid w:val="0018362D"/>
    <w:rsid w:val="001845A3"/>
    <w:rsid w:val="00185A9F"/>
    <w:rsid w:val="00186764"/>
    <w:rsid w:val="00187186"/>
    <w:rsid w:val="00191303"/>
    <w:rsid w:val="001919CD"/>
    <w:rsid w:val="00192B65"/>
    <w:rsid w:val="00193714"/>
    <w:rsid w:val="00193775"/>
    <w:rsid w:val="00193AC7"/>
    <w:rsid w:val="00193FC0"/>
    <w:rsid w:val="00194625"/>
    <w:rsid w:val="001946D2"/>
    <w:rsid w:val="0019687E"/>
    <w:rsid w:val="00196917"/>
    <w:rsid w:val="00196E2D"/>
    <w:rsid w:val="00197620"/>
    <w:rsid w:val="001A02E3"/>
    <w:rsid w:val="001A0540"/>
    <w:rsid w:val="001A0AF2"/>
    <w:rsid w:val="001A1074"/>
    <w:rsid w:val="001A1687"/>
    <w:rsid w:val="001A1D0F"/>
    <w:rsid w:val="001A2BF4"/>
    <w:rsid w:val="001A3744"/>
    <w:rsid w:val="001A3A50"/>
    <w:rsid w:val="001A3AC3"/>
    <w:rsid w:val="001A3D8A"/>
    <w:rsid w:val="001A43D2"/>
    <w:rsid w:val="001A4EA3"/>
    <w:rsid w:val="001A52A1"/>
    <w:rsid w:val="001A5AC1"/>
    <w:rsid w:val="001A63DD"/>
    <w:rsid w:val="001A73CA"/>
    <w:rsid w:val="001A7555"/>
    <w:rsid w:val="001A798D"/>
    <w:rsid w:val="001B1081"/>
    <w:rsid w:val="001B1911"/>
    <w:rsid w:val="001B1C18"/>
    <w:rsid w:val="001B20C4"/>
    <w:rsid w:val="001B3889"/>
    <w:rsid w:val="001B430D"/>
    <w:rsid w:val="001B5266"/>
    <w:rsid w:val="001B5283"/>
    <w:rsid w:val="001B6AF2"/>
    <w:rsid w:val="001C0964"/>
    <w:rsid w:val="001C15F2"/>
    <w:rsid w:val="001C1AF8"/>
    <w:rsid w:val="001C2C29"/>
    <w:rsid w:val="001C2C5B"/>
    <w:rsid w:val="001C2CEC"/>
    <w:rsid w:val="001C413A"/>
    <w:rsid w:val="001C4A6B"/>
    <w:rsid w:val="001C4BC8"/>
    <w:rsid w:val="001C58FA"/>
    <w:rsid w:val="001C5ABD"/>
    <w:rsid w:val="001C613D"/>
    <w:rsid w:val="001C6721"/>
    <w:rsid w:val="001C7685"/>
    <w:rsid w:val="001D1928"/>
    <w:rsid w:val="001D1A7F"/>
    <w:rsid w:val="001D1E24"/>
    <w:rsid w:val="001D274E"/>
    <w:rsid w:val="001D2C45"/>
    <w:rsid w:val="001D310A"/>
    <w:rsid w:val="001D3E14"/>
    <w:rsid w:val="001D4E35"/>
    <w:rsid w:val="001D4EEA"/>
    <w:rsid w:val="001D51F9"/>
    <w:rsid w:val="001D5A54"/>
    <w:rsid w:val="001D5FCC"/>
    <w:rsid w:val="001D690D"/>
    <w:rsid w:val="001D69B9"/>
    <w:rsid w:val="001D6C10"/>
    <w:rsid w:val="001D74A1"/>
    <w:rsid w:val="001D7737"/>
    <w:rsid w:val="001E0CF3"/>
    <w:rsid w:val="001E0E80"/>
    <w:rsid w:val="001E10DE"/>
    <w:rsid w:val="001E222A"/>
    <w:rsid w:val="001E2FDF"/>
    <w:rsid w:val="001E31FD"/>
    <w:rsid w:val="001E3516"/>
    <w:rsid w:val="001E35BC"/>
    <w:rsid w:val="001E36AD"/>
    <w:rsid w:val="001E4777"/>
    <w:rsid w:val="001E5F97"/>
    <w:rsid w:val="001E75A1"/>
    <w:rsid w:val="001E7ED6"/>
    <w:rsid w:val="001F0547"/>
    <w:rsid w:val="001F1C30"/>
    <w:rsid w:val="001F37F4"/>
    <w:rsid w:val="001F3990"/>
    <w:rsid w:val="001F4A8C"/>
    <w:rsid w:val="001F4E21"/>
    <w:rsid w:val="001F5369"/>
    <w:rsid w:val="001F5549"/>
    <w:rsid w:val="001F568E"/>
    <w:rsid w:val="001F5B0B"/>
    <w:rsid w:val="001F698C"/>
    <w:rsid w:val="001F71DA"/>
    <w:rsid w:val="001F735A"/>
    <w:rsid w:val="001F753B"/>
    <w:rsid w:val="001F7C6A"/>
    <w:rsid w:val="001F7E7A"/>
    <w:rsid w:val="001F7F58"/>
    <w:rsid w:val="00200764"/>
    <w:rsid w:val="00200C48"/>
    <w:rsid w:val="00201972"/>
    <w:rsid w:val="00203AD2"/>
    <w:rsid w:val="00205F00"/>
    <w:rsid w:val="00205F6E"/>
    <w:rsid w:val="002066BE"/>
    <w:rsid w:val="00206B4A"/>
    <w:rsid w:val="00207FD1"/>
    <w:rsid w:val="00210D8C"/>
    <w:rsid w:val="002112F0"/>
    <w:rsid w:val="002116FC"/>
    <w:rsid w:val="00211CB9"/>
    <w:rsid w:val="00213381"/>
    <w:rsid w:val="00213C78"/>
    <w:rsid w:val="00214156"/>
    <w:rsid w:val="0021417A"/>
    <w:rsid w:val="00214F2A"/>
    <w:rsid w:val="00215BB2"/>
    <w:rsid w:val="00216223"/>
    <w:rsid w:val="00216602"/>
    <w:rsid w:val="00216E48"/>
    <w:rsid w:val="002170AF"/>
    <w:rsid w:val="002177EB"/>
    <w:rsid w:val="00217B6D"/>
    <w:rsid w:val="002202A4"/>
    <w:rsid w:val="00220ADA"/>
    <w:rsid w:val="00220D4F"/>
    <w:rsid w:val="00220FD6"/>
    <w:rsid w:val="00221102"/>
    <w:rsid w:val="002215BF"/>
    <w:rsid w:val="002216B3"/>
    <w:rsid w:val="00222456"/>
    <w:rsid w:val="002224D0"/>
    <w:rsid w:val="0022293E"/>
    <w:rsid w:val="002229CB"/>
    <w:rsid w:val="002254B3"/>
    <w:rsid w:val="00226126"/>
    <w:rsid w:val="00226B33"/>
    <w:rsid w:val="002272B0"/>
    <w:rsid w:val="002273C4"/>
    <w:rsid w:val="00227730"/>
    <w:rsid w:val="00227D30"/>
    <w:rsid w:val="0023013A"/>
    <w:rsid w:val="002302C5"/>
    <w:rsid w:val="00230E29"/>
    <w:rsid w:val="00231E21"/>
    <w:rsid w:val="002327BB"/>
    <w:rsid w:val="0023282C"/>
    <w:rsid w:val="00232B59"/>
    <w:rsid w:val="002330B2"/>
    <w:rsid w:val="00233F7A"/>
    <w:rsid w:val="00234A02"/>
    <w:rsid w:val="00234F3C"/>
    <w:rsid w:val="00236052"/>
    <w:rsid w:val="002363C0"/>
    <w:rsid w:val="0023665E"/>
    <w:rsid w:val="00236C59"/>
    <w:rsid w:val="00237027"/>
    <w:rsid w:val="002378A1"/>
    <w:rsid w:val="002405F3"/>
    <w:rsid w:val="00240C6A"/>
    <w:rsid w:val="00241190"/>
    <w:rsid w:val="002418DA"/>
    <w:rsid w:val="002420F3"/>
    <w:rsid w:val="00242AD0"/>
    <w:rsid w:val="00242B3F"/>
    <w:rsid w:val="00244663"/>
    <w:rsid w:val="00244A41"/>
    <w:rsid w:val="00245CA1"/>
    <w:rsid w:val="00246517"/>
    <w:rsid w:val="002469CB"/>
    <w:rsid w:val="002508C4"/>
    <w:rsid w:val="002509C7"/>
    <w:rsid w:val="00250CF4"/>
    <w:rsid w:val="00250DA0"/>
    <w:rsid w:val="00250E46"/>
    <w:rsid w:val="00250F9D"/>
    <w:rsid w:val="002510E7"/>
    <w:rsid w:val="0025318B"/>
    <w:rsid w:val="00253214"/>
    <w:rsid w:val="002536E0"/>
    <w:rsid w:val="00253786"/>
    <w:rsid w:val="0025616F"/>
    <w:rsid w:val="002564DA"/>
    <w:rsid w:val="00257CFF"/>
    <w:rsid w:val="00260209"/>
    <w:rsid w:val="00260A57"/>
    <w:rsid w:val="00260E03"/>
    <w:rsid w:val="0026128F"/>
    <w:rsid w:val="00261D67"/>
    <w:rsid w:val="00262E4C"/>
    <w:rsid w:val="00263474"/>
    <w:rsid w:val="00264096"/>
    <w:rsid w:val="002649A6"/>
    <w:rsid w:val="00264D4A"/>
    <w:rsid w:val="002652B9"/>
    <w:rsid w:val="00265393"/>
    <w:rsid w:val="00265DF4"/>
    <w:rsid w:val="002668F7"/>
    <w:rsid w:val="00267B89"/>
    <w:rsid w:val="00270C19"/>
    <w:rsid w:val="0027179E"/>
    <w:rsid w:val="00271CDD"/>
    <w:rsid w:val="00272BD2"/>
    <w:rsid w:val="00272C72"/>
    <w:rsid w:val="00272DE1"/>
    <w:rsid w:val="00273E51"/>
    <w:rsid w:val="00273F4D"/>
    <w:rsid w:val="002740A6"/>
    <w:rsid w:val="002756B8"/>
    <w:rsid w:val="0027584B"/>
    <w:rsid w:val="00275D37"/>
    <w:rsid w:val="00276155"/>
    <w:rsid w:val="00277877"/>
    <w:rsid w:val="00277A46"/>
    <w:rsid w:val="00277C13"/>
    <w:rsid w:val="002803DB"/>
    <w:rsid w:val="002807AF"/>
    <w:rsid w:val="00280DFF"/>
    <w:rsid w:val="002811F5"/>
    <w:rsid w:val="002814CD"/>
    <w:rsid w:val="00282540"/>
    <w:rsid w:val="002825B7"/>
    <w:rsid w:val="00282C11"/>
    <w:rsid w:val="0028362B"/>
    <w:rsid w:val="00284375"/>
    <w:rsid w:val="00286BBD"/>
    <w:rsid w:val="00287241"/>
    <w:rsid w:val="002872A2"/>
    <w:rsid w:val="00287374"/>
    <w:rsid w:val="00287D6F"/>
    <w:rsid w:val="00290EEB"/>
    <w:rsid w:val="00291C62"/>
    <w:rsid w:val="002924C7"/>
    <w:rsid w:val="00292715"/>
    <w:rsid w:val="00293248"/>
    <w:rsid w:val="0029342B"/>
    <w:rsid w:val="002942EB"/>
    <w:rsid w:val="0029457A"/>
    <w:rsid w:val="0029463F"/>
    <w:rsid w:val="00295341"/>
    <w:rsid w:val="00295343"/>
    <w:rsid w:val="002953BE"/>
    <w:rsid w:val="002962C7"/>
    <w:rsid w:val="00296800"/>
    <w:rsid w:val="0029760B"/>
    <w:rsid w:val="002A06B7"/>
    <w:rsid w:val="002A0E24"/>
    <w:rsid w:val="002A23B9"/>
    <w:rsid w:val="002A313A"/>
    <w:rsid w:val="002A3A97"/>
    <w:rsid w:val="002A4A44"/>
    <w:rsid w:val="002A5A6F"/>
    <w:rsid w:val="002A60C0"/>
    <w:rsid w:val="002A6BAF"/>
    <w:rsid w:val="002A6F05"/>
    <w:rsid w:val="002A7141"/>
    <w:rsid w:val="002A71FB"/>
    <w:rsid w:val="002A7B44"/>
    <w:rsid w:val="002A7CDF"/>
    <w:rsid w:val="002A7F87"/>
    <w:rsid w:val="002B013F"/>
    <w:rsid w:val="002B07CC"/>
    <w:rsid w:val="002B08F5"/>
    <w:rsid w:val="002B0B49"/>
    <w:rsid w:val="002B0EF6"/>
    <w:rsid w:val="002B10B6"/>
    <w:rsid w:val="002B12C1"/>
    <w:rsid w:val="002B131A"/>
    <w:rsid w:val="002B1969"/>
    <w:rsid w:val="002B2067"/>
    <w:rsid w:val="002B32EE"/>
    <w:rsid w:val="002B331C"/>
    <w:rsid w:val="002B3B52"/>
    <w:rsid w:val="002B3B98"/>
    <w:rsid w:val="002B461C"/>
    <w:rsid w:val="002B493D"/>
    <w:rsid w:val="002B5B8F"/>
    <w:rsid w:val="002B5BDC"/>
    <w:rsid w:val="002B5EA1"/>
    <w:rsid w:val="002B65E3"/>
    <w:rsid w:val="002B70DF"/>
    <w:rsid w:val="002B7F50"/>
    <w:rsid w:val="002C0F17"/>
    <w:rsid w:val="002C203C"/>
    <w:rsid w:val="002C206A"/>
    <w:rsid w:val="002C2615"/>
    <w:rsid w:val="002C2870"/>
    <w:rsid w:val="002C31E4"/>
    <w:rsid w:val="002C5437"/>
    <w:rsid w:val="002C597C"/>
    <w:rsid w:val="002C6696"/>
    <w:rsid w:val="002C76C6"/>
    <w:rsid w:val="002D0173"/>
    <w:rsid w:val="002D0238"/>
    <w:rsid w:val="002D0A94"/>
    <w:rsid w:val="002D150D"/>
    <w:rsid w:val="002D3129"/>
    <w:rsid w:val="002D366A"/>
    <w:rsid w:val="002D42FF"/>
    <w:rsid w:val="002D4CCB"/>
    <w:rsid w:val="002D51EE"/>
    <w:rsid w:val="002D5545"/>
    <w:rsid w:val="002D5B46"/>
    <w:rsid w:val="002D5E9B"/>
    <w:rsid w:val="002D5F43"/>
    <w:rsid w:val="002D6D60"/>
    <w:rsid w:val="002D6FFF"/>
    <w:rsid w:val="002D762E"/>
    <w:rsid w:val="002E0429"/>
    <w:rsid w:val="002E0EC0"/>
    <w:rsid w:val="002E2C7E"/>
    <w:rsid w:val="002E3196"/>
    <w:rsid w:val="002E3654"/>
    <w:rsid w:val="002E475C"/>
    <w:rsid w:val="002E4C33"/>
    <w:rsid w:val="002E513E"/>
    <w:rsid w:val="002E51EA"/>
    <w:rsid w:val="002E5C6A"/>
    <w:rsid w:val="002E5D57"/>
    <w:rsid w:val="002E5FEA"/>
    <w:rsid w:val="002E64C9"/>
    <w:rsid w:val="002E67CB"/>
    <w:rsid w:val="002E6C1E"/>
    <w:rsid w:val="002E704D"/>
    <w:rsid w:val="002E7575"/>
    <w:rsid w:val="002F00DB"/>
    <w:rsid w:val="002F0197"/>
    <w:rsid w:val="002F01E1"/>
    <w:rsid w:val="002F04C8"/>
    <w:rsid w:val="002F17C7"/>
    <w:rsid w:val="002F19CF"/>
    <w:rsid w:val="002F19E7"/>
    <w:rsid w:val="002F2873"/>
    <w:rsid w:val="002F28DB"/>
    <w:rsid w:val="002F39BA"/>
    <w:rsid w:val="002F401E"/>
    <w:rsid w:val="002F444E"/>
    <w:rsid w:val="002F46B4"/>
    <w:rsid w:val="002F4AEA"/>
    <w:rsid w:val="002F4B65"/>
    <w:rsid w:val="002F4E10"/>
    <w:rsid w:val="002F541D"/>
    <w:rsid w:val="002F558F"/>
    <w:rsid w:val="002F6792"/>
    <w:rsid w:val="002F6E8E"/>
    <w:rsid w:val="002F6F9C"/>
    <w:rsid w:val="002F7167"/>
    <w:rsid w:val="002F7C20"/>
    <w:rsid w:val="002F7C70"/>
    <w:rsid w:val="002F7F02"/>
    <w:rsid w:val="003000D8"/>
    <w:rsid w:val="00300B1C"/>
    <w:rsid w:val="00302AD6"/>
    <w:rsid w:val="00302EE1"/>
    <w:rsid w:val="003032B3"/>
    <w:rsid w:val="003032C5"/>
    <w:rsid w:val="003036CF"/>
    <w:rsid w:val="003047FC"/>
    <w:rsid w:val="003056F8"/>
    <w:rsid w:val="00306103"/>
    <w:rsid w:val="003073BE"/>
    <w:rsid w:val="003078AF"/>
    <w:rsid w:val="0031032C"/>
    <w:rsid w:val="00310481"/>
    <w:rsid w:val="00310811"/>
    <w:rsid w:val="003109E0"/>
    <w:rsid w:val="00311ADD"/>
    <w:rsid w:val="00312A81"/>
    <w:rsid w:val="003132BD"/>
    <w:rsid w:val="00313DFF"/>
    <w:rsid w:val="003140DD"/>
    <w:rsid w:val="003143AF"/>
    <w:rsid w:val="003146E9"/>
    <w:rsid w:val="003159BF"/>
    <w:rsid w:val="003162B4"/>
    <w:rsid w:val="003165D6"/>
    <w:rsid w:val="00316B5B"/>
    <w:rsid w:val="00317A80"/>
    <w:rsid w:val="003200C3"/>
    <w:rsid w:val="00321A0B"/>
    <w:rsid w:val="00322047"/>
    <w:rsid w:val="00322154"/>
    <w:rsid w:val="0032337B"/>
    <w:rsid w:val="00323793"/>
    <w:rsid w:val="00327D5D"/>
    <w:rsid w:val="00330536"/>
    <w:rsid w:val="00330D5F"/>
    <w:rsid w:val="00333745"/>
    <w:rsid w:val="00333867"/>
    <w:rsid w:val="00333B70"/>
    <w:rsid w:val="00333C34"/>
    <w:rsid w:val="0033450E"/>
    <w:rsid w:val="00334FA1"/>
    <w:rsid w:val="00335191"/>
    <w:rsid w:val="00335ADA"/>
    <w:rsid w:val="003362C4"/>
    <w:rsid w:val="00336361"/>
    <w:rsid w:val="00336C36"/>
    <w:rsid w:val="0033786F"/>
    <w:rsid w:val="00337AAB"/>
    <w:rsid w:val="00337B70"/>
    <w:rsid w:val="00337D78"/>
    <w:rsid w:val="0034061D"/>
    <w:rsid w:val="00342863"/>
    <w:rsid w:val="00342ED8"/>
    <w:rsid w:val="0034359D"/>
    <w:rsid w:val="0034365D"/>
    <w:rsid w:val="00343752"/>
    <w:rsid w:val="00343885"/>
    <w:rsid w:val="00345406"/>
    <w:rsid w:val="00345C0F"/>
    <w:rsid w:val="00347045"/>
    <w:rsid w:val="00347A3B"/>
    <w:rsid w:val="003508ED"/>
    <w:rsid w:val="003510E7"/>
    <w:rsid w:val="003518DD"/>
    <w:rsid w:val="003518E2"/>
    <w:rsid w:val="00351BAA"/>
    <w:rsid w:val="00351E11"/>
    <w:rsid w:val="003525A0"/>
    <w:rsid w:val="003526B6"/>
    <w:rsid w:val="0035281B"/>
    <w:rsid w:val="00352DF6"/>
    <w:rsid w:val="00352EDF"/>
    <w:rsid w:val="00353EF2"/>
    <w:rsid w:val="003540B3"/>
    <w:rsid w:val="003540FE"/>
    <w:rsid w:val="00354102"/>
    <w:rsid w:val="003544E5"/>
    <w:rsid w:val="00354DBF"/>
    <w:rsid w:val="00355B9D"/>
    <w:rsid w:val="00356926"/>
    <w:rsid w:val="00356BB4"/>
    <w:rsid w:val="00356DBD"/>
    <w:rsid w:val="00356DC3"/>
    <w:rsid w:val="00357572"/>
    <w:rsid w:val="00357B19"/>
    <w:rsid w:val="00357CE7"/>
    <w:rsid w:val="00357E0E"/>
    <w:rsid w:val="00360FDC"/>
    <w:rsid w:val="00361083"/>
    <w:rsid w:val="00361142"/>
    <w:rsid w:val="00361263"/>
    <w:rsid w:val="00361471"/>
    <w:rsid w:val="00361EEF"/>
    <w:rsid w:val="003633AA"/>
    <w:rsid w:val="00363458"/>
    <w:rsid w:val="003639DF"/>
    <w:rsid w:val="0036447A"/>
    <w:rsid w:val="00364A80"/>
    <w:rsid w:val="00364E13"/>
    <w:rsid w:val="00365159"/>
    <w:rsid w:val="00366E2C"/>
    <w:rsid w:val="00366ECC"/>
    <w:rsid w:val="00367E19"/>
    <w:rsid w:val="00370122"/>
    <w:rsid w:val="0037051C"/>
    <w:rsid w:val="00370567"/>
    <w:rsid w:val="00370E0C"/>
    <w:rsid w:val="003716CB"/>
    <w:rsid w:val="0037204E"/>
    <w:rsid w:val="0037217A"/>
    <w:rsid w:val="00372788"/>
    <w:rsid w:val="00373879"/>
    <w:rsid w:val="00374666"/>
    <w:rsid w:val="0037667D"/>
    <w:rsid w:val="00377397"/>
    <w:rsid w:val="003802E5"/>
    <w:rsid w:val="0038043D"/>
    <w:rsid w:val="00380B38"/>
    <w:rsid w:val="00380DC6"/>
    <w:rsid w:val="00380E2A"/>
    <w:rsid w:val="003816C9"/>
    <w:rsid w:val="00381A02"/>
    <w:rsid w:val="003834FD"/>
    <w:rsid w:val="00383587"/>
    <w:rsid w:val="00383A9D"/>
    <w:rsid w:val="00384585"/>
    <w:rsid w:val="00384DCB"/>
    <w:rsid w:val="00385B65"/>
    <w:rsid w:val="00385F78"/>
    <w:rsid w:val="00386E4B"/>
    <w:rsid w:val="003879F1"/>
    <w:rsid w:val="00387D0C"/>
    <w:rsid w:val="00390078"/>
    <w:rsid w:val="0039015B"/>
    <w:rsid w:val="003911BD"/>
    <w:rsid w:val="00391839"/>
    <w:rsid w:val="00391F6A"/>
    <w:rsid w:val="00392573"/>
    <w:rsid w:val="00393035"/>
    <w:rsid w:val="003939E2"/>
    <w:rsid w:val="00393CBC"/>
    <w:rsid w:val="00394EA4"/>
    <w:rsid w:val="00395077"/>
    <w:rsid w:val="00396513"/>
    <w:rsid w:val="00396862"/>
    <w:rsid w:val="00396A97"/>
    <w:rsid w:val="00397556"/>
    <w:rsid w:val="003A04CA"/>
    <w:rsid w:val="003A0D21"/>
    <w:rsid w:val="003A1D20"/>
    <w:rsid w:val="003A2C44"/>
    <w:rsid w:val="003A3359"/>
    <w:rsid w:val="003A37C6"/>
    <w:rsid w:val="003A4854"/>
    <w:rsid w:val="003A4A16"/>
    <w:rsid w:val="003A4FE8"/>
    <w:rsid w:val="003A54EA"/>
    <w:rsid w:val="003A5B7A"/>
    <w:rsid w:val="003A5DC9"/>
    <w:rsid w:val="003A62CB"/>
    <w:rsid w:val="003A6B5C"/>
    <w:rsid w:val="003A6EEC"/>
    <w:rsid w:val="003A7506"/>
    <w:rsid w:val="003A774D"/>
    <w:rsid w:val="003A781F"/>
    <w:rsid w:val="003A7F0A"/>
    <w:rsid w:val="003B1B16"/>
    <w:rsid w:val="003B1D2A"/>
    <w:rsid w:val="003B2330"/>
    <w:rsid w:val="003B278C"/>
    <w:rsid w:val="003B2912"/>
    <w:rsid w:val="003B3469"/>
    <w:rsid w:val="003B404C"/>
    <w:rsid w:val="003B4F8A"/>
    <w:rsid w:val="003B563C"/>
    <w:rsid w:val="003B5738"/>
    <w:rsid w:val="003B6785"/>
    <w:rsid w:val="003B6977"/>
    <w:rsid w:val="003B76C9"/>
    <w:rsid w:val="003B780C"/>
    <w:rsid w:val="003C0681"/>
    <w:rsid w:val="003C1787"/>
    <w:rsid w:val="003C1C89"/>
    <w:rsid w:val="003C2DE6"/>
    <w:rsid w:val="003C3951"/>
    <w:rsid w:val="003C4379"/>
    <w:rsid w:val="003C4912"/>
    <w:rsid w:val="003C568C"/>
    <w:rsid w:val="003C5BAC"/>
    <w:rsid w:val="003C61F2"/>
    <w:rsid w:val="003C64B8"/>
    <w:rsid w:val="003C6824"/>
    <w:rsid w:val="003C6EC1"/>
    <w:rsid w:val="003D045A"/>
    <w:rsid w:val="003D05BF"/>
    <w:rsid w:val="003D0DDE"/>
    <w:rsid w:val="003D0F0A"/>
    <w:rsid w:val="003D0F5D"/>
    <w:rsid w:val="003D1601"/>
    <w:rsid w:val="003D1A6D"/>
    <w:rsid w:val="003D2782"/>
    <w:rsid w:val="003D2D77"/>
    <w:rsid w:val="003D30E4"/>
    <w:rsid w:val="003D3F89"/>
    <w:rsid w:val="003D4368"/>
    <w:rsid w:val="003D466B"/>
    <w:rsid w:val="003D476C"/>
    <w:rsid w:val="003D4A19"/>
    <w:rsid w:val="003D4DB8"/>
    <w:rsid w:val="003D4E76"/>
    <w:rsid w:val="003D5162"/>
    <w:rsid w:val="003D5CC2"/>
    <w:rsid w:val="003D621F"/>
    <w:rsid w:val="003D699E"/>
    <w:rsid w:val="003D7230"/>
    <w:rsid w:val="003D7365"/>
    <w:rsid w:val="003D7FFE"/>
    <w:rsid w:val="003E0EB1"/>
    <w:rsid w:val="003E1B8A"/>
    <w:rsid w:val="003E1D67"/>
    <w:rsid w:val="003E1F9F"/>
    <w:rsid w:val="003E26B9"/>
    <w:rsid w:val="003E2827"/>
    <w:rsid w:val="003E30A2"/>
    <w:rsid w:val="003E3966"/>
    <w:rsid w:val="003E3A39"/>
    <w:rsid w:val="003E4479"/>
    <w:rsid w:val="003E4A19"/>
    <w:rsid w:val="003E4C7F"/>
    <w:rsid w:val="003E4EE4"/>
    <w:rsid w:val="003E58A8"/>
    <w:rsid w:val="003F0571"/>
    <w:rsid w:val="003F0680"/>
    <w:rsid w:val="003F0C06"/>
    <w:rsid w:val="003F1058"/>
    <w:rsid w:val="003F23CE"/>
    <w:rsid w:val="003F3208"/>
    <w:rsid w:val="003F32EF"/>
    <w:rsid w:val="003F3CAC"/>
    <w:rsid w:val="003F473E"/>
    <w:rsid w:val="003F4BF3"/>
    <w:rsid w:val="003F55F5"/>
    <w:rsid w:val="003F5AE0"/>
    <w:rsid w:val="003F5C3E"/>
    <w:rsid w:val="003F613A"/>
    <w:rsid w:val="003F71BD"/>
    <w:rsid w:val="003F7837"/>
    <w:rsid w:val="003F7E8F"/>
    <w:rsid w:val="004002F8"/>
    <w:rsid w:val="00401BC5"/>
    <w:rsid w:val="00403BB8"/>
    <w:rsid w:val="00404065"/>
    <w:rsid w:val="004045BD"/>
    <w:rsid w:val="00404685"/>
    <w:rsid w:val="0040532D"/>
    <w:rsid w:val="00405371"/>
    <w:rsid w:val="004056DA"/>
    <w:rsid w:val="0040570F"/>
    <w:rsid w:val="00405C5C"/>
    <w:rsid w:val="00405D92"/>
    <w:rsid w:val="00406138"/>
    <w:rsid w:val="004066E2"/>
    <w:rsid w:val="004079EF"/>
    <w:rsid w:val="00407F35"/>
    <w:rsid w:val="00410BCA"/>
    <w:rsid w:val="00410DCF"/>
    <w:rsid w:val="00411DFE"/>
    <w:rsid w:val="0041203B"/>
    <w:rsid w:val="004122E1"/>
    <w:rsid w:val="004125FD"/>
    <w:rsid w:val="00412D8F"/>
    <w:rsid w:val="004151F0"/>
    <w:rsid w:val="0041552E"/>
    <w:rsid w:val="004159A2"/>
    <w:rsid w:val="00415EA3"/>
    <w:rsid w:val="0041652B"/>
    <w:rsid w:val="00416676"/>
    <w:rsid w:val="004168AE"/>
    <w:rsid w:val="004168FC"/>
    <w:rsid w:val="004175F8"/>
    <w:rsid w:val="00417E7D"/>
    <w:rsid w:val="0042050C"/>
    <w:rsid w:val="0042075A"/>
    <w:rsid w:val="0042081B"/>
    <w:rsid w:val="004214EC"/>
    <w:rsid w:val="004218C2"/>
    <w:rsid w:val="00421A6D"/>
    <w:rsid w:val="004226B7"/>
    <w:rsid w:val="00422A39"/>
    <w:rsid w:val="00422CC0"/>
    <w:rsid w:val="0042334E"/>
    <w:rsid w:val="0042349A"/>
    <w:rsid w:val="00423727"/>
    <w:rsid w:val="00424F32"/>
    <w:rsid w:val="004268B4"/>
    <w:rsid w:val="00426BA6"/>
    <w:rsid w:val="00430E25"/>
    <w:rsid w:val="004312D8"/>
    <w:rsid w:val="00432F58"/>
    <w:rsid w:val="00435311"/>
    <w:rsid w:val="00435578"/>
    <w:rsid w:val="00435B63"/>
    <w:rsid w:val="00437FA1"/>
    <w:rsid w:val="00440D89"/>
    <w:rsid w:val="0044107C"/>
    <w:rsid w:val="00441392"/>
    <w:rsid w:val="00441BE2"/>
    <w:rsid w:val="00442155"/>
    <w:rsid w:val="00442625"/>
    <w:rsid w:val="00442D71"/>
    <w:rsid w:val="00443172"/>
    <w:rsid w:val="00443471"/>
    <w:rsid w:val="0044357A"/>
    <w:rsid w:val="00443AC9"/>
    <w:rsid w:val="00443B21"/>
    <w:rsid w:val="00443B50"/>
    <w:rsid w:val="004450CA"/>
    <w:rsid w:val="00446438"/>
    <w:rsid w:val="00446967"/>
    <w:rsid w:val="00447145"/>
    <w:rsid w:val="004479DC"/>
    <w:rsid w:val="00447A72"/>
    <w:rsid w:val="00447EB3"/>
    <w:rsid w:val="00451542"/>
    <w:rsid w:val="0045156A"/>
    <w:rsid w:val="00452285"/>
    <w:rsid w:val="004532E2"/>
    <w:rsid w:val="00453CB6"/>
    <w:rsid w:val="0045425F"/>
    <w:rsid w:val="00454301"/>
    <w:rsid w:val="0045450B"/>
    <w:rsid w:val="004550F1"/>
    <w:rsid w:val="004557C0"/>
    <w:rsid w:val="0045612A"/>
    <w:rsid w:val="00456A4F"/>
    <w:rsid w:val="00457BCB"/>
    <w:rsid w:val="00460745"/>
    <w:rsid w:val="004611AC"/>
    <w:rsid w:val="004613ED"/>
    <w:rsid w:val="00461620"/>
    <w:rsid w:val="00461BCB"/>
    <w:rsid w:val="00461EC8"/>
    <w:rsid w:val="00461F70"/>
    <w:rsid w:val="00462FFC"/>
    <w:rsid w:val="00463370"/>
    <w:rsid w:val="00463596"/>
    <w:rsid w:val="004635DC"/>
    <w:rsid w:val="00464112"/>
    <w:rsid w:val="00464875"/>
    <w:rsid w:val="00465694"/>
    <w:rsid w:val="0046605D"/>
    <w:rsid w:val="004668A4"/>
    <w:rsid w:val="0046691B"/>
    <w:rsid w:val="0046775A"/>
    <w:rsid w:val="004705C4"/>
    <w:rsid w:val="00470647"/>
    <w:rsid w:val="004709A8"/>
    <w:rsid w:val="00471030"/>
    <w:rsid w:val="004712BF"/>
    <w:rsid w:val="0047184B"/>
    <w:rsid w:val="00471CCB"/>
    <w:rsid w:val="00471F96"/>
    <w:rsid w:val="00472026"/>
    <w:rsid w:val="00472D63"/>
    <w:rsid w:val="00472ECC"/>
    <w:rsid w:val="00473128"/>
    <w:rsid w:val="0047324A"/>
    <w:rsid w:val="00473819"/>
    <w:rsid w:val="00474188"/>
    <w:rsid w:val="00474796"/>
    <w:rsid w:val="00474C0D"/>
    <w:rsid w:val="0047558E"/>
    <w:rsid w:val="004756FE"/>
    <w:rsid w:val="00475E68"/>
    <w:rsid w:val="004761E6"/>
    <w:rsid w:val="00476685"/>
    <w:rsid w:val="00476908"/>
    <w:rsid w:val="0047716E"/>
    <w:rsid w:val="00477470"/>
    <w:rsid w:val="0047796F"/>
    <w:rsid w:val="004813D7"/>
    <w:rsid w:val="004813FD"/>
    <w:rsid w:val="00481503"/>
    <w:rsid w:val="00481633"/>
    <w:rsid w:val="00482D88"/>
    <w:rsid w:val="004831E0"/>
    <w:rsid w:val="00483482"/>
    <w:rsid w:val="0048348D"/>
    <w:rsid w:val="00483BD2"/>
    <w:rsid w:val="00485704"/>
    <w:rsid w:val="00485853"/>
    <w:rsid w:val="00485C78"/>
    <w:rsid w:val="00485DC3"/>
    <w:rsid w:val="0048736B"/>
    <w:rsid w:val="00490178"/>
    <w:rsid w:val="004906AD"/>
    <w:rsid w:val="00490D75"/>
    <w:rsid w:val="00491257"/>
    <w:rsid w:val="00491769"/>
    <w:rsid w:val="0049189A"/>
    <w:rsid w:val="00491C18"/>
    <w:rsid w:val="00491CEC"/>
    <w:rsid w:val="004922EE"/>
    <w:rsid w:val="0049343D"/>
    <w:rsid w:val="00493959"/>
    <w:rsid w:val="00493E0F"/>
    <w:rsid w:val="00493E8B"/>
    <w:rsid w:val="00493EF9"/>
    <w:rsid w:val="004942BA"/>
    <w:rsid w:val="004946CC"/>
    <w:rsid w:val="00494D2A"/>
    <w:rsid w:val="0049502D"/>
    <w:rsid w:val="004957C1"/>
    <w:rsid w:val="0049698C"/>
    <w:rsid w:val="004A004E"/>
    <w:rsid w:val="004A1903"/>
    <w:rsid w:val="004A1C9C"/>
    <w:rsid w:val="004A24CF"/>
    <w:rsid w:val="004A2E2D"/>
    <w:rsid w:val="004A3523"/>
    <w:rsid w:val="004A37ED"/>
    <w:rsid w:val="004A42B8"/>
    <w:rsid w:val="004A501F"/>
    <w:rsid w:val="004A523F"/>
    <w:rsid w:val="004A5537"/>
    <w:rsid w:val="004A5AE0"/>
    <w:rsid w:val="004A613E"/>
    <w:rsid w:val="004A637C"/>
    <w:rsid w:val="004A65E2"/>
    <w:rsid w:val="004A7BC2"/>
    <w:rsid w:val="004B0268"/>
    <w:rsid w:val="004B1166"/>
    <w:rsid w:val="004B147A"/>
    <w:rsid w:val="004B1946"/>
    <w:rsid w:val="004B1A9E"/>
    <w:rsid w:val="004B2108"/>
    <w:rsid w:val="004B30C8"/>
    <w:rsid w:val="004B33D5"/>
    <w:rsid w:val="004B3412"/>
    <w:rsid w:val="004B3B07"/>
    <w:rsid w:val="004B4652"/>
    <w:rsid w:val="004B496A"/>
    <w:rsid w:val="004B5EA3"/>
    <w:rsid w:val="004B64C8"/>
    <w:rsid w:val="004B6804"/>
    <w:rsid w:val="004B6BEF"/>
    <w:rsid w:val="004C0743"/>
    <w:rsid w:val="004C135F"/>
    <w:rsid w:val="004C13D3"/>
    <w:rsid w:val="004C14CB"/>
    <w:rsid w:val="004C1D7E"/>
    <w:rsid w:val="004C2A9B"/>
    <w:rsid w:val="004C2DF0"/>
    <w:rsid w:val="004C2E56"/>
    <w:rsid w:val="004C3306"/>
    <w:rsid w:val="004C35EE"/>
    <w:rsid w:val="004C410F"/>
    <w:rsid w:val="004C48F7"/>
    <w:rsid w:val="004C4EBF"/>
    <w:rsid w:val="004C5128"/>
    <w:rsid w:val="004C5CEE"/>
    <w:rsid w:val="004C5F9E"/>
    <w:rsid w:val="004C70DE"/>
    <w:rsid w:val="004C7A45"/>
    <w:rsid w:val="004C7DFF"/>
    <w:rsid w:val="004C7F98"/>
    <w:rsid w:val="004D0185"/>
    <w:rsid w:val="004D0A56"/>
    <w:rsid w:val="004D13B2"/>
    <w:rsid w:val="004D18B5"/>
    <w:rsid w:val="004D18F6"/>
    <w:rsid w:val="004D303B"/>
    <w:rsid w:val="004D30D4"/>
    <w:rsid w:val="004D3743"/>
    <w:rsid w:val="004D376F"/>
    <w:rsid w:val="004D40FD"/>
    <w:rsid w:val="004D426D"/>
    <w:rsid w:val="004D46DF"/>
    <w:rsid w:val="004D5252"/>
    <w:rsid w:val="004D52DC"/>
    <w:rsid w:val="004E05D0"/>
    <w:rsid w:val="004E079F"/>
    <w:rsid w:val="004E100B"/>
    <w:rsid w:val="004E19BE"/>
    <w:rsid w:val="004E1C82"/>
    <w:rsid w:val="004E2237"/>
    <w:rsid w:val="004E2704"/>
    <w:rsid w:val="004E2856"/>
    <w:rsid w:val="004E39F4"/>
    <w:rsid w:val="004E421D"/>
    <w:rsid w:val="004E4C6D"/>
    <w:rsid w:val="004E573C"/>
    <w:rsid w:val="004E580C"/>
    <w:rsid w:val="004E5EC8"/>
    <w:rsid w:val="004E6ADB"/>
    <w:rsid w:val="004E705D"/>
    <w:rsid w:val="004E775E"/>
    <w:rsid w:val="004E7930"/>
    <w:rsid w:val="004F136E"/>
    <w:rsid w:val="004F1AFE"/>
    <w:rsid w:val="004F250F"/>
    <w:rsid w:val="004F2C56"/>
    <w:rsid w:val="004F2F3B"/>
    <w:rsid w:val="004F393A"/>
    <w:rsid w:val="004F3DD5"/>
    <w:rsid w:val="004F3E31"/>
    <w:rsid w:val="004F40D9"/>
    <w:rsid w:val="004F418D"/>
    <w:rsid w:val="004F4D5A"/>
    <w:rsid w:val="004F4F8F"/>
    <w:rsid w:val="004F5825"/>
    <w:rsid w:val="004F6641"/>
    <w:rsid w:val="004F66AB"/>
    <w:rsid w:val="005002C4"/>
    <w:rsid w:val="005015F5"/>
    <w:rsid w:val="00501C56"/>
    <w:rsid w:val="0050266C"/>
    <w:rsid w:val="00502CD7"/>
    <w:rsid w:val="0050338E"/>
    <w:rsid w:val="00504550"/>
    <w:rsid w:val="005057D5"/>
    <w:rsid w:val="005062A9"/>
    <w:rsid w:val="00506D83"/>
    <w:rsid w:val="005074AF"/>
    <w:rsid w:val="00507786"/>
    <w:rsid w:val="00511902"/>
    <w:rsid w:val="005123EE"/>
    <w:rsid w:val="005126DA"/>
    <w:rsid w:val="00512C65"/>
    <w:rsid w:val="00512CE0"/>
    <w:rsid w:val="00513C9B"/>
    <w:rsid w:val="00513CA1"/>
    <w:rsid w:val="00513E45"/>
    <w:rsid w:val="00514BFF"/>
    <w:rsid w:val="00515687"/>
    <w:rsid w:val="00515C79"/>
    <w:rsid w:val="005175CB"/>
    <w:rsid w:val="00517797"/>
    <w:rsid w:val="005206F2"/>
    <w:rsid w:val="00520786"/>
    <w:rsid w:val="005207E9"/>
    <w:rsid w:val="00520D10"/>
    <w:rsid w:val="00523044"/>
    <w:rsid w:val="005246BE"/>
    <w:rsid w:val="00524D69"/>
    <w:rsid w:val="0052544C"/>
    <w:rsid w:val="00525636"/>
    <w:rsid w:val="005265B4"/>
    <w:rsid w:val="00526721"/>
    <w:rsid w:val="00526974"/>
    <w:rsid w:val="005273BF"/>
    <w:rsid w:val="005302E8"/>
    <w:rsid w:val="00530409"/>
    <w:rsid w:val="00531109"/>
    <w:rsid w:val="00531927"/>
    <w:rsid w:val="00531EE0"/>
    <w:rsid w:val="005321D7"/>
    <w:rsid w:val="00532C97"/>
    <w:rsid w:val="00533416"/>
    <w:rsid w:val="00533435"/>
    <w:rsid w:val="00533B44"/>
    <w:rsid w:val="00533C4E"/>
    <w:rsid w:val="00533EEC"/>
    <w:rsid w:val="00533F20"/>
    <w:rsid w:val="0053437A"/>
    <w:rsid w:val="00534976"/>
    <w:rsid w:val="00534BF6"/>
    <w:rsid w:val="00534F55"/>
    <w:rsid w:val="00535983"/>
    <w:rsid w:val="00536498"/>
    <w:rsid w:val="0053696E"/>
    <w:rsid w:val="00536FF5"/>
    <w:rsid w:val="0053740A"/>
    <w:rsid w:val="0053756E"/>
    <w:rsid w:val="005377D6"/>
    <w:rsid w:val="00540150"/>
    <w:rsid w:val="0054027E"/>
    <w:rsid w:val="005402D6"/>
    <w:rsid w:val="00540D8F"/>
    <w:rsid w:val="005411FF"/>
    <w:rsid w:val="00541C6F"/>
    <w:rsid w:val="00541D0F"/>
    <w:rsid w:val="0054362D"/>
    <w:rsid w:val="005438DE"/>
    <w:rsid w:val="00544375"/>
    <w:rsid w:val="0054446F"/>
    <w:rsid w:val="0054580D"/>
    <w:rsid w:val="00545962"/>
    <w:rsid w:val="00546A42"/>
    <w:rsid w:val="00546F81"/>
    <w:rsid w:val="0054771D"/>
    <w:rsid w:val="00547DDC"/>
    <w:rsid w:val="005500A5"/>
    <w:rsid w:val="005503A6"/>
    <w:rsid w:val="00550B56"/>
    <w:rsid w:val="00551E90"/>
    <w:rsid w:val="00551F5E"/>
    <w:rsid w:val="00552C87"/>
    <w:rsid w:val="00553817"/>
    <w:rsid w:val="00553989"/>
    <w:rsid w:val="00553A89"/>
    <w:rsid w:val="00553FB3"/>
    <w:rsid w:val="00554B1A"/>
    <w:rsid w:val="00554DBB"/>
    <w:rsid w:val="00554F8D"/>
    <w:rsid w:val="00554FE3"/>
    <w:rsid w:val="0055505B"/>
    <w:rsid w:val="005577C3"/>
    <w:rsid w:val="0056065F"/>
    <w:rsid w:val="00560B5D"/>
    <w:rsid w:val="00562A57"/>
    <w:rsid w:val="00562F71"/>
    <w:rsid w:val="00563E7C"/>
    <w:rsid w:val="0056561D"/>
    <w:rsid w:val="00565E19"/>
    <w:rsid w:val="00565FC2"/>
    <w:rsid w:val="00566288"/>
    <w:rsid w:val="00567848"/>
    <w:rsid w:val="00567F46"/>
    <w:rsid w:val="005700E5"/>
    <w:rsid w:val="0057104B"/>
    <w:rsid w:val="005746FF"/>
    <w:rsid w:val="005748FA"/>
    <w:rsid w:val="00574E4B"/>
    <w:rsid w:val="005764C6"/>
    <w:rsid w:val="00576E07"/>
    <w:rsid w:val="005776BD"/>
    <w:rsid w:val="00577714"/>
    <w:rsid w:val="00577ABD"/>
    <w:rsid w:val="00577C84"/>
    <w:rsid w:val="00577E68"/>
    <w:rsid w:val="00577EB7"/>
    <w:rsid w:val="00580BE5"/>
    <w:rsid w:val="00582146"/>
    <w:rsid w:val="005823A5"/>
    <w:rsid w:val="005824F0"/>
    <w:rsid w:val="00582911"/>
    <w:rsid w:val="00582E79"/>
    <w:rsid w:val="005830C6"/>
    <w:rsid w:val="0058324F"/>
    <w:rsid w:val="0058432E"/>
    <w:rsid w:val="005843A9"/>
    <w:rsid w:val="00585C66"/>
    <w:rsid w:val="00585DAF"/>
    <w:rsid w:val="005860E8"/>
    <w:rsid w:val="00586A67"/>
    <w:rsid w:val="0058750C"/>
    <w:rsid w:val="00587ACE"/>
    <w:rsid w:val="00590399"/>
    <w:rsid w:val="0059060F"/>
    <w:rsid w:val="00590B6F"/>
    <w:rsid w:val="005910F1"/>
    <w:rsid w:val="005912E8"/>
    <w:rsid w:val="00591A88"/>
    <w:rsid w:val="005921C9"/>
    <w:rsid w:val="00593D53"/>
    <w:rsid w:val="005942D0"/>
    <w:rsid w:val="00594865"/>
    <w:rsid w:val="00594DE8"/>
    <w:rsid w:val="005950F5"/>
    <w:rsid w:val="00595512"/>
    <w:rsid w:val="0059559C"/>
    <w:rsid w:val="00595904"/>
    <w:rsid w:val="0059594F"/>
    <w:rsid w:val="0059599E"/>
    <w:rsid w:val="00595C8E"/>
    <w:rsid w:val="00595F1B"/>
    <w:rsid w:val="0059603B"/>
    <w:rsid w:val="00596182"/>
    <w:rsid w:val="005965A8"/>
    <w:rsid w:val="00596CB8"/>
    <w:rsid w:val="00596D2D"/>
    <w:rsid w:val="00596EC6"/>
    <w:rsid w:val="0059782B"/>
    <w:rsid w:val="005979ED"/>
    <w:rsid w:val="005A090D"/>
    <w:rsid w:val="005A0D4A"/>
    <w:rsid w:val="005A0FA3"/>
    <w:rsid w:val="005A1DCF"/>
    <w:rsid w:val="005A4709"/>
    <w:rsid w:val="005A52F2"/>
    <w:rsid w:val="005A5E6E"/>
    <w:rsid w:val="005A65A6"/>
    <w:rsid w:val="005A68B9"/>
    <w:rsid w:val="005A69FE"/>
    <w:rsid w:val="005A6C3C"/>
    <w:rsid w:val="005A6C9A"/>
    <w:rsid w:val="005A71A6"/>
    <w:rsid w:val="005A7F7E"/>
    <w:rsid w:val="005B0346"/>
    <w:rsid w:val="005B0B4F"/>
    <w:rsid w:val="005B194F"/>
    <w:rsid w:val="005B2E82"/>
    <w:rsid w:val="005B336D"/>
    <w:rsid w:val="005B4817"/>
    <w:rsid w:val="005B4EBE"/>
    <w:rsid w:val="005B515E"/>
    <w:rsid w:val="005B54C2"/>
    <w:rsid w:val="005B55B1"/>
    <w:rsid w:val="005B5CC1"/>
    <w:rsid w:val="005B60C0"/>
    <w:rsid w:val="005B6343"/>
    <w:rsid w:val="005B6520"/>
    <w:rsid w:val="005B66A2"/>
    <w:rsid w:val="005B66A5"/>
    <w:rsid w:val="005B671B"/>
    <w:rsid w:val="005B7098"/>
    <w:rsid w:val="005C0BF6"/>
    <w:rsid w:val="005C14AA"/>
    <w:rsid w:val="005C15E8"/>
    <w:rsid w:val="005C1646"/>
    <w:rsid w:val="005C2191"/>
    <w:rsid w:val="005C2359"/>
    <w:rsid w:val="005C33D2"/>
    <w:rsid w:val="005C3FBC"/>
    <w:rsid w:val="005C4454"/>
    <w:rsid w:val="005C4E13"/>
    <w:rsid w:val="005C58B5"/>
    <w:rsid w:val="005C5FF5"/>
    <w:rsid w:val="005C6564"/>
    <w:rsid w:val="005C7266"/>
    <w:rsid w:val="005C7483"/>
    <w:rsid w:val="005C790C"/>
    <w:rsid w:val="005C7D1D"/>
    <w:rsid w:val="005D025C"/>
    <w:rsid w:val="005D0986"/>
    <w:rsid w:val="005D0E9A"/>
    <w:rsid w:val="005D12B7"/>
    <w:rsid w:val="005D310D"/>
    <w:rsid w:val="005D3F55"/>
    <w:rsid w:val="005D4C7D"/>
    <w:rsid w:val="005D4E3C"/>
    <w:rsid w:val="005D5ED5"/>
    <w:rsid w:val="005D644B"/>
    <w:rsid w:val="005D6853"/>
    <w:rsid w:val="005D6D7B"/>
    <w:rsid w:val="005E0640"/>
    <w:rsid w:val="005E089A"/>
    <w:rsid w:val="005E10C0"/>
    <w:rsid w:val="005E242B"/>
    <w:rsid w:val="005E268C"/>
    <w:rsid w:val="005E2E36"/>
    <w:rsid w:val="005E392B"/>
    <w:rsid w:val="005E427B"/>
    <w:rsid w:val="005E5466"/>
    <w:rsid w:val="005E55FC"/>
    <w:rsid w:val="005E5EF5"/>
    <w:rsid w:val="005E6FE9"/>
    <w:rsid w:val="005E74F6"/>
    <w:rsid w:val="005E77CB"/>
    <w:rsid w:val="005E7A02"/>
    <w:rsid w:val="005E7C50"/>
    <w:rsid w:val="005E7DFC"/>
    <w:rsid w:val="005E7EB0"/>
    <w:rsid w:val="005F00AA"/>
    <w:rsid w:val="005F022A"/>
    <w:rsid w:val="005F055F"/>
    <w:rsid w:val="005F0A74"/>
    <w:rsid w:val="005F1EE7"/>
    <w:rsid w:val="005F21D7"/>
    <w:rsid w:val="005F2B6F"/>
    <w:rsid w:val="005F337E"/>
    <w:rsid w:val="005F44AD"/>
    <w:rsid w:val="005F4682"/>
    <w:rsid w:val="005F48DE"/>
    <w:rsid w:val="005F594A"/>
    <w:rsid w:val="005F6129"/>
    <w:rsid w:val="005F7C27"/>
    <w:rsid w:val="00600015"/>
    <w:rsid w:val="006003B3"/>
    <w:rsid w:val="00600579"/>
    <w:rsid w:val="00600816"/>
    <w:rsid w:val="00601484"/>
    <w:rsid w:val="00601E25"/>
    <w:rsid w:val="0060301C"/>
    <w:rsid w:val="006032EA"/>
    <w:rsid w:val="00604A96"/>
    <w:rsid w:val="00604CF7"/>
    <w:rsid w:val="00604D59"/>
    <w:rsid w:val="00605B28"/>
    <w:rsid w:val="00606121"/>
    <w:rsid w:val="00606795"/>
    <w:rsid w:val="00606EE4"/>
    <w:rsid w:val="006106A6"/>
    <w:rsid w:val="0061263C"/>
    <w:rsid w:val="0061401C"/>
    <w:rsid w:val="00614405"/>
    <w:rsid w:val="006146BB"/>
    <w:rsid w:val="00616CB4"/>
    <w:rsid w:val="00616FA4"/>
    <w:rsid w:val="00617BDE"/>
    <w:rsid w:val="00617EFD"/>
    <w:rsid w:val="00621663"/>
    <w:rsid w:val="00622B3A"/>
    <w:rsid w:val="00623041"/>
    <w:rsid w:val="006235F9"/>
    <w:rsid w:val="00623AA9"/>
    <w:rsid w:val="0062404D"/>
    <w:rsid w:val="00624CFA"/>
    <w:rsid w:val="00624F77"/>
    <w:rsid w:val="006255EE"/>
    <w:rsid w:val="00625C36"/>
    <w:rsid w:val="0062604B"/>
    <w:rsid w:val="006271A6"/>
    <w:rsid w:val="0062725B"/>
    <w:rsid w:val="00627651"/>
    <w:rsid w:val="006304AB"/>
    <w:rsid w:val="00630928"/>
    <w:rsid w:val="00630A3C"/>
    <w:rsid w:val="00630FDD"/>
    <w:rsid w:val="00631203"/>
    <w:rsid w:val="006313B7"/>
    <w:rsid w:val="00632060"/>
    <w:rsid w:val="006325A9"/>
    <w:rsid w:val="006330EA"/>
    <w:rsid w:val="00633CCB"/>
    <w:rsid w:val="00633F25"/>
    <w:rsid w:val="00635DA2"/>
    <w:rsid w:val="00636AE5"/>
    <w:rsid w:val="00636F3E"/>
    <w:rsid w:val="00637923"/>
    <w:rsid w:val="00637CF5"/>
    <w:rsid w:val="00640BF2"/>
    <w:rsid w:val="00640D64"/>
    <w:rsid w:val="00641103"/>
    <w:rsid w:val="0064270C"/>
    <w:rsid w:val="00643AF8"/>
    <w:rsid w:val="00644126"/>
    <w:rsid w:val="006448FF"/>
    <w:rsid w:val="00644DA8"/>
    <w:rsid w:val="00645A6C"/>
    <w:rsid w:val="006463F7"/>
    <w:rsid w:val="00646DC6"/>
    <w:rsid w:val="00647716"/>
    <w:rsid w:val="00651B8A"/>
    <w:rsid w:val="00652319"/>
    <w:rsid w:val="00652AC7"/>
    <w:rsid w:val="00653109"/>
    <w:rsid w:val="00653C80"/>
    <w:rsid w:val="006542CF"/>
    <w:rsid w:val="00654493"/>
    <w:rsid w:val="00654810"/>
    <w:rsid w:val="00654E7B"/>
    <w:rsid w:val="00654F00"/>
    <w:rsid w:val="00655160"/>
    <w:rsid w:val="00656126"/>
    <w:rsid w:val="00656C72"/>
    <w:rsid w:val="00656CC3"/>
    <w:rsid w:val="0065728E"/>
    <w:rsid w:val="00657C0C"/>
    <w:rsid w:val="0066069E"/>
    <w:rsid w:val="00660970"/>
    <w:rsid w:val="00662A48"/>
    <w:rsid w:val="00662E58"/>
    <w:rsid w:val="006636B5"/>
    <w:rsid w:val="006639F5"/>
    <w:rsid w:val="0066407F"/>
    <w:rsid w:val="00664796"/>
    <w:rsid w:val="006649AF"/>
    <w:rsid w:val="00664E72"/>
    <w:rsid w:val="0066731C"/>
    <w:rsid w:val="006678E6"/>
    <w:rsid w:val="0067067E"/>
    <w:rsid w:val="006707E7"/>
    <w:rsid w:val="00670BDF"/>
    <w:rsid w:val="00670FB5"/>
    <w:rsid w:val="006711D1"/>
    <w:rsid w:val="00671727"/>
    <w:rsid w:val="00671B82"/>
    <w:rsid w:val="0067297C"/>
    <w:rsid w:val="00673336"/>
    <w:rsid w:val="0067392C"/>
    <w:rsid w:val="00675B3C"/>
    <w:rsid w:val="00675F71"/>
    <w:rsid w:val="00676232"/>
    <w:rsid w:val="00676D06"/>
    <w:rsid w:val="00676EC5"/>
    <w:rsid w:val="006775F5"/>
    <w:rsid w:val="0068002D"/>
    <w:rsid w:val="00680966"/>
    <w:rsid w:val="00680A8C"/>
    <w:rsid w:val="0068197E"/>
    <w:rsid w:val="006820B5"/>
    <w:rsid w:val="00683554"/>
    <w:rsid w:val="00683A84"/>
    <w:rsid w:val="00683ABE"/>
    <w:rsid w:val="006843F5"/>
    <w:rsid w:val="006847A4"/>
    <w:rsid w:val="0068537E"/>
    <w:rsid w:val="00685A30"/>
    <w:rsid w:val="00685E94"/>
    <w:rsid w:val="00686266"/>
    <w:rsid w:val="00686AD0"/>
    <w:rsid w:val="00687341"/>
    <w:rsid w:val="006874C2"/>
    <w:rsid w:val="00687A40"/>
    <w:rsid w:val="00687A9B"/>
    <w:rsid w:val="00690589"/>
    <w:rsid w:val="00691065"/>
    <w:rsid w:val="006914A1"/>
    <w:rsid w:val="00692412"/>
    <w:rsid w:val="006926B3"/>
    <w:rsid w:val="00692B22"/>
    <w:rsid w:val="0069312F"/>
    <w:rsid w:val="0069375B"/>
    <w:rsid w:val="00693760"/>
    <w:rsid w:val="0069379A"/>
    <w:rsid w:val="00693948"/>
    <w:rsid w:val="006942A6"/>
    <w:rsid w:val="0069483F"/>
    <w:rsid w:val="00694D04"/>
    <w:rsid w:val="00696293"/>
    <w:rsid w:val="00696486"/>
    <w:rsid w:val="00696F48"/>
    <w:rsid w:val="006971E8"/>
    <w:rsid w:val="00697CD7"/>
    <w:rsid w:val="006A0129"/>
    <w:rsid w:val="006A0AEB"/>
    <w:rsid w:val="006A0B43"/>
    <w:rsid w:val="006A0F7E"/>
    <w:rsid w:val="006A1144"/>
    <w:rsid w:val="006A20ED"/>
    <w:rsid w:val="006A2129"/>
    <w:rsid w:val="006A2275"/>
    <w:rsid w:val="006A251A"/>
    <w:rsid w:val="006A3692"/>
    <w:rsid w:val="006A3A6D"/>
    <w:rsid w:val="006A3BA1"/>
    <w:rsid w:val="006A3FF6"/>
    <w:rsid w:val="006A4168"/>
    <w:rsid w:val="006A5FBC"/>
    <w:rsid w:val="006A6449"/>
    <w:rsid w:val="006A6E9E"/>
    <w:rsid w:val="006A7434"/>
    <w:rsid w:val="006B001C"/>
    <w:rsid w:val="006B027D"/>
    <w:rsid w:val="006B0F93"/>
    <w:rsid w:val="006B16A9"/>
    <w:rsid w:val="006B1768"/>
    <w:rsid w:val="006B1CB6"/>
    <w:rsid w:val="006B24EE"/>
    <w:rsid w:val="006B275B"/>
    <w:rsid w:val="006B2FBE"/>
    <w:rsid w:val="006B4E04"/>
    <w:rsid w:val="006B52B5"/>
    <w:rsid w:val="006B5D6D"/>
    <w:rsid w:val="006B601B"/>
    <w:rsid w:val="006B6C54"/>
    <w:rsid w:val="006B7B9A"/>
    <w:rsid w:val="006B7D5A"/>
    <w:rsid w:val="006C0593"/>
    <w:rsid w:val="006C0A01"/>
    <w:rsid w:val="006C0B9C"/>
    <w:rsid w:val="006C1DEB"/>
    <w:rsid w:val="006C30FE"/>
    <w:rsid w:val="006C365F"/>
    <w:rsid w:val="006C3AE3"/>
    <w:rsid w:val="006C57D0"/>
    <w:rsid w:val="006C6899"/>
    <w:rsid w:val="006C6DD9"/>
    <w:rsid w:val="006C7489"/>
    <w:rsid w:val="006C7827"/>
    <w:rsid w:val="006D03CC"/>
    <w:rsid w:val="006D0673"/>
    <w:rsid w:val="006D0A32"/>
    <w:rsid w:val="006D1A33"/>
    <w:rsid w:val="006D1B5D"/>
    <w:rsid w:val="006D2740"/>
    <w:rsid w:val="006D2C01"/>
    <w:rsid w:val="006D35FC"/>
    <w:rsid w:val="006D3C32"/>
    <w:rsid w:val="006D3D20"/>
    <w:rsid w:val="006D4658"/>
    <w:rsid w:val="006D495F"/>
    <w:rsid w:val="006D4F73"/>
    <w:rsid w:val="006D5011"/>
    <w:rsid w:val="006D5B31"/>
    <w:rsid w:val="006D68D8"/>
    <w:rsid w:val="006D6B30"/>
    <w:rsid w:val="006D7DBB"/>
    <w:rsid w:val="006E03B5"/>
    <w:rsid w:val="006E03C1"/>
    <w:rsid w:val="006E0523"/>
    <w:rsid w:val="006E083C"/>
    <w:rsid w:val="006E0AA3"/>
    <w:rsid w:val="006E11A4"/>
    <w:rsid w:val="006E1391"/>
    <w:rsid w:val="006E17DF"/>
    <w:rsid w:val="006E1FC1"/>
    <w:rsid w:val="006E2417"/>
    <w:rsid w:val="006E30DB"/>
    <w:rsid w:val="006E3428"/>
    <w:rsid w:val="006E3E21"/>
    <w:rsid w:val="006E3F02"/>
    <w:rsid w:val="006E4244"/>
    <w:rsid w:val="006E46E6"/>
    <w:rsid w:val="006E49A5"/>
    <w:rsid w:val="006E6662"/>
    <w:rsid w:val="006E67E1"/>
    <w:rsid w:val="006E71AB"/>
    <w:rsid w:val="006E79E1"/>
    <w:rsid w:val="006F00E3"/>
    <w:rsid w:val="006F08BD"/>
    <w:rsid w:val="006F10E6"/>
    <w:rsid w:val="006F115D"/>
    <w:rsid w:val="006F2708"/>
    <w:rsid w:val="006F2D15"/>
    <w:rsid w:val="006F30A1"/>
    <w:rsid w:val="006F375C"/>
    <w:rsid w:val="006F3B51"/>
    <w:rsid w:val="006F405C"/>
    <w:rsid w:val="006F55BE"/>
    <w:rsid w:val="006F55E9"/>
    <w:rsid w:val="006F6E70"/>
    <w:rsid w:val="006F75D7"/>
    <w:rsid w:val="00700529"/>
    <w:rsid w:val="00701AFC"/>
    <w:rsid w:val="00701B1E"/>
    <w:rsid w:val="00701CD9"/>
    <w:rsid w:val="007021AE"/>
    <w:rsid w:val="007022A7"/>
    <w:rsid w:val="00704408"/>
    <w:rsid w:val="00704497"/>
    <w:rsid w:val="00705363"/>
    <w:rsid w:val="00705A6A"/>
    <w:rsid w:val="00705BA3"/>
    <w:rsid w:val="00705E08"/>
    <w:rsid w:val="00706723"/>
    <w:rsid w:val="007067FB"/>
    <w:rsid w:val="00706EE1"/>
    <w:rsid w:val="00710DEA"/>
    <w:rsid w:val="0071119C"/>
    <w:rsid w:val="00711344"/>
    <w:rsid w:val="00711497"/>
    <w:rsid w:val="0071184C"/>
    <w:rsid w:val="00712496"/>
    <w:rsid w:val="00712A10"/>
    <w:rsid w:val="00712D73"/>
    <w:rsid w:val="00712DB2"/>
    <w:rsid w:val="00712EDE"/>
    <w:rsid w:val="00713907"/>
    <w:rsid w:val="00713A0D"/>
    <w:rsid w:val="00713A84"/>
    <w:rsid w:val="00713CC8"/>
    <w:rsid w:val="00715515"/>
    <w:rsid w:val="00721408"/>
    <w:rsid w:val="00721CB0"/>
    <w:rsid w:val="0072207D"/>
    <w:rsid w:val="007224D7"/>
    <w:rsid w:val="00722539"/>
    <w:rsid w:val="00722BA9"/>
    <w:rsid w:val="0072357F"/>
    <w:rsid w:val="00724AF5"/>
    <w:rsid w:val="00724E80"/>
    <w:rsid w:val="00725813"/>
    <w:rsid w:val="007258D2"/>
    <w:rsid w:val="00726E69"/>
    <w:rsid w:val="0072712F"/>
    <w:rsid w:val="00727B93"/>
    <w:rsid w:val="00727CBB"/>
    <w:rsid w:val="00730402"/>
    <w:rsid w:val="00731144"/>
    <w:rsid w:val="0073116F"/>
    <w:rsid w:val="007319AE"/>
    <w:rsid w:val="00731F85"/>
    <w:rsid w:val="00732085"/>
    <w:rsid w:val="0073238C"/>
    <w:rsid w:val="00732738"/>
    <w:rsid w:val="00732F67"/>
    <w:rsid w:val="00733A97"/>
    <w:rsid w:val="00733F3E"/>
    <w:rsid w:val="007348BA"/>
    <w:rsid w:val="00734D3F"/>
    <w:rsid w:val="007352E8"/>
    <w:rsid w:val="007356AD"/>
    <w:rsid w:val="00735BC7"/>
    <w:rsid w:val="00735D36"/>
    <w:rsid w:val="007362DB"/>
    <w:rsid w:val="007379B1"/>
    <w:rsid w:val="00737B3C"/>
    <w:rsid w:val="00740826"/>
    <w:rsid w:val="00740C32"/>
    <w:rsid w:val="00742461"/>
    <w:rsid w:val="007426DB"/>
    <w:rsid w:val="007427A9"/>
    <w:rsid w:val="0074294F"/>
    <w:rsid w:val="00742DAA"/>
    <w:rsid w:val="007431C8"/>
    <w:rsid w:val="007441BC"/>
    <w:rsid w:val="0074448F"/>
    <w:rsid w:val="00745163"/>
    <w:rsid w:val="007455DD"/>
    <w:rsid w:val="007460ED"/>
    <w:rsid w:val="0074621F"/>
    <w:rsid w:val="007469E5"/>
    <w:rsid w:val="00747E24"/>
    <w:rsid w:val="0075042B"/>
    <w:rsid w:val="007521E8"/>
    <w:rsid w:val="00752743"/>
    <w:rsid w:val="007530C3"/>
    <w:rsid w:val="0075353E"/>
    <w:rsid w:val="0075367E"/>
    <w:rsid w:val="0075388A"/>
    <w:rsid w:val="0075475A"/>
    <w:rsid w:val="00755463"/>
    <w:rsid w:val="00755502"/>
    <w:rsid w:val="00755F77"/>
    <w:rsid w:val="00756274"/>
    <w:rsid w:val="007566F3"/>
    <w:rsid w:val="0075699B"/>
    <w:rsid w:val="007571D9"/>
    <w:rsid w:val="0075745A"/>
    <w:rsid w:val="007576E1"/>
    <w:rsid w:val="00757BCE"/>
    <w:rsid w:val="0076074D"/>
    <w:rsid w:val="00760DE7"/>
    <w:rsid w:val="007610CE"/>
    <w:rsid w:val="00761638"/>
    <w:rsid w:val="00761BB3"/>
    <w:rsid w:val="0076243D"/>
    <w:rsid w:val="007624A6"/>
    <w:rsid w:val="00763323"/>
    <w:rsid w:val="00763882"/>
    <w:rsid w:val="007644D2"/>
    <w:rsid w:val="00764B9A"/>
    <w:rsid w:val="0076524E"/>
    <w:rsid w:val="00766ABD"/>
    <w:rsid w:val="00766CE5"/>
    <w:rsid w:val="00766E08"/>
    <w:rsid w:val="00767535"/>
    <w:rsid w:val="00767A1A"/>
    <w:rsid w:val="00767AFF"/>
    <w:rsid w:val="00767BAB"/>
    <w:rsid w:val="00767BFA"/>
    <w:rsid w:val="00767E3F"/>
    <w:rsid w:val="00770654"/>
    <w:rsid w:val="00770C6E"/>
    <w:rsid w:val="007710F5"/>
    <w:rsid w:val="00771429"/>
    <w:rsid w:val="007719AB"/>
    <w:rsid w:val="00772762"/>
    <w:rsid w:val="007729A9"/>
    <w:rsid w:val="00772CFA"/>
    <w:rsid w:val="00772F5E"/>
    <w:rsid w:val="0077358F"/>
    <w:rsid w:val="00773B72"/>
    <w:rsid w:val="00773E7E"/>
    <w:rsid w:val="00775887"/>
    <w:rsid w:val="00775C1C"/>
    <w:rsid w:val="0077682F"/>
    <w:rsid w:val="00776D2E"/>
    <w:rsid w:val="00780214"/>
    <w:rsid w:val="00780560"/>
    <w:rsid w:val="00780E30"/>
    <w:rsid w:val="0078186B"/>
    <w:rsid w:val="0078203C"/>
    <w:rsid w:val="00782112"/>
    <w:rsid w:val="00782F64"/>
    <w:rsid w:val="00783000"/>
    <w:rsid w:val="0078397C"/>
    <w:rsid w:val="00783B79"/>
    <w:rsid w:val="00784A23"/>
    <w:rsid w:val="0078559D"/>
    <w:rsid w:val="00785BDA"/>
    <w:rsid w:val="00785DA4"/>
    <w:rsid w:val="00786860"/>
    <w:rsid w:val="00786C99"/>
    <w:rsid w:val="00786E33"/>
    <w:rsid w:val="007876E0"/>
    <w:rsid w:val="0079026C"/>
    <w:rsid w:val="007915FB"/>
    <w:rsid w:val="00792CD9"/>
    <w:rsid w:val="00792D7D"/>
    <w:rsid w:val="00792EB8"/>
    <w:rsid w:val="00792F5D"/>
    <w:rsid w:val="00793D97"/>
    <w:rsid w:val="007942A5"/>
    <w:rsid w:val="007943DC"/>
    <w:rsid w:val="007944FF"/>
    <w:rsid w:val="00795F8E"/>
    <w:rsid w:val="0079670D"/>
    <w:rsid w:val="007977DE"/>
    <w:rsid w:val="007A179D"/>
    <w:rsid w:val="007A26D7"/>
    <w:rsid w:val="007A2E3D"/>
    <w:rsid w:val="007A3031"/>
    <w:rsid w:val="007A3267"/>
    <w:rsid w:val="007A4999"/>
    <w:rsid w:val="007A4E36"/>
    <w:rsid w:val="007A553A"/>
    <w:rsid w:val="007A5D3D"/>
    <w:rsid w:val="007A5F14"/>
    <w:rsid w:val="007A6D86"/>
    <w:rsid w:val="007A729C"/>
    <w:rsid w:val="007A7605"/>
    <w:rsid w:val="007A7BFD"/>
    <w:rsid w:val="007B0943"/>
    <w:rsid w:val="007B106F"/>
    <w:rsid w:val="007B141D"/>
    <w:rsid w:val="007B1B5C"/>
    <w:rsid w:val="007B1CC7"/>
    <w:rsid w:val="007B1D54"/>
    <w:rsid w:val="007B1DF4"/>
    <w:rsid w:val="007B2411"/>
    <w:rsid w:val="007B254D"/>
    <w:rsid w:val="007B2902"/>
    <w:rsid w:val="007B2F70"/>
    <w:rsid w:val="007B393D"/>
    <w:rsid w:val="007B401A"/>
    <w:rsid w:val="007B44F0"/>
    <w:rsid w:val="007B66B6"/>
    <w:rsid w:val="007C0343"/>
    <w:rsid w:val="007C0A4F"/>
    <w:rsid w:val="007C0F85"/>
    <w:rsid w:val="007C1C00"/>
    <w:rsid w:val="007C1CBC"/>
    <w:rsid w:val="007C1CF2"/>
    <w:rsid w:val="007C2DFD"/>
    <w:rsid w:val="007C3179"/>
    <w:rsid w:val="007C36C6"/>
    <w:rsid w:val="007C3794"/>
    <w:rsid w:val="007C464A"/>
    <w:rsid w:val="007C4A46"/>
    <w:rsid w:val="007C4B2C"/>
    <w:rsid w:val="007C4B51"/>
    <w:rsid w:val="007C5117"/>
    <w:rsid w:val="007C56AC"/>
    <w:rsid w:val="007C5B83"/>
    <w:rsid w:val="007C608C"/>
    <w:rsid w:val="007C6395"/>
    <w:rsid w:val="007C643D"/>
    <w:rsid w:val="007D0396"/>
    <w:rsid w:val="007D059C"/>
    <w:rsid w:val="007D0D05"/>
    <w:rsid w:val="007D210F"/>
    <w:rsid w:val="007D2614"/>
    <w:rsid w:val="007D2B84"/>
    <w:rsid w:val="007D2E3F"/>
    <w:rsid w:val="007D3F69"/>
    <w:rsid w:val="007D4335"/>
    <w:rsid w:val="007D485E"/>
    <w:rsid w:val="007D5485"/>
    <w:rsid w:val="007D6448"/>
    <w:rsid w:val="007D6789"/>
    <w:rsid w:val="007D6A48"/>
    <w:rsid w:val="007D6AD2"/>
    <w:rsid w:val="007D6D01"/>
    <w:rsid w:val="007D6E0A"/>
    <w:rsid w:val="007D708B"/>
    <w:rsid w:val="007D7099"/>
    <w:rsid w:val="007D79EC"/>
    <w:rsid w:val="007E020A"/>
    <w:rsid w:val="007E0432"/>
    <w:rsid w:val="007E04A6"/>
    <w:rsid w:val="007E04BD"/>
    <w:rsid w:val="007E073C"/>
    <w:rsid w:val="007E0CA5"/>
    <w:rsid w:val="007E0DEB"/>
    <w:rsid w:val="007E1300"/>
    <w:rsid w:val="007E1954"/>
    <w:rsid w:val="007E1956"/>
    <w:rsid w:val="007E19E1"/>
    <w:rsid w:val="007E214D"/>
    <w:rsid w:val="007E3411"/>
    <w:rsid w:val="007E45BE"/>
    <w:rsid w:val="007E4EAC"/>
    <w:rsid w:val="007E5681"/>
    <w:rsid w:val="007E56CC"/>
    <w:rsid w:val="007E5769"/>
    <w:rsid w:val="007E5B04"/>
    <w:rsid w:val="007E6CF0"/>
    <w:rsid w:val="007E7762"/>
    <w:rsid w:val="007E77CB"/>
    <w:rsid w:val="007F034F"/>
    <w:rsid w:val="007F06C3"/>
    <w:rsid w:val="007F14E5"/>
    <w:rsid w:val="007F2009"/>
    <w:rsid w:val="007F3C5C"/>
    <w:rsid w:val="007F419D"/>
    <w:rsid w:val="007F42F7"/>
    <w:rsid w:val="007F49AA"/>
    <w:rsid w:val="007F6ECC"/>
    <w:rsid w:val="007F7D85"/>
    <w:rsid w:val="007F7EC0"/>
    <w:rsid w:val="00800BA5"/>
    <w:rsid w:val="00800C53"/>
    <w:rsid w:val="00801B57"/>
    <w:rsid w:val="00802838"/>
    <w:rsid w:val="00802E48"/>
    <w:rsid w:val="0080359A"/>
    <w:rsid w:val="00803751"/>
    <w:rsid w:val="00803837"/>
    <w:rsid w:val="00803A33"/>
    <w:rsid w:val="00803F8F"/>
    <w:rsid w:val="008050DD"/>
    <w:rsid w:val="00805900"/>
    <w:rsid w:val="00806ABF"/>
    <w:rsid w:val="0080717C"/>
    <w:rsid w:val="00807B74"/>
    <w:rsid w:val="00810C33"/>
    <w:rsid w:val="00812158"/>
    <w:rsid w:val="00812386"/>
    <w:rsid w:val="00812671"/>
    <w:rsid w:val="008127A0"/>
    <w:rsid w:val="00812A5B"/>
    <w:rsid w:val="00812E4F"/>
    <w:rsid w:val="00813D08"/>
    <w:rsid w:val="00814FB0"/>
    <w:rsid w:val="008160D7"/>
    <w:rsid w:val="00816240"/>
    <w:rsid w:val="00816E47"/>
    <w:rsid w:val="00817A76"/>
    <w:rsid w:val="0082016F"/>
    <w:rsid w:val="008209CE"/>
    <w:rsid w:val="00820F64"/>
    <w:rsid w:val="008213A0"/>
    <w:rsid w:val="00822D98"/>
    <w:rsid w:val="00822E93"/>
    <w:rsid w:val="00823223"/>
    <w:rsid w:val="00823CDC"/>
    <w:rsid w:val="008243CE"/>
    <w:rsid w:val="008265BD"/>
    <w:rsid w:val="0082692D"/>
    <w:rsid w:val="00826B96"/>
    <w:rsid w:val="00827094"/>
    <w:rsid w:val="008274F6"/>
    <w:rsid w:val="00830E69"/>
    <w:rsid w:val="00830FBB"/>
    <w:rsid w:val="00831807"/>
    <w:rsid w:val="00831E43"/>
    <w:rsid w:val="00832D28"/>
    <w:rsid w:val="00833EAC"/>
    <w:rsid w:val="00834BC5"/>
    <w:rsid w:val="00834BDF"/>
    <w:rsid w:val="008353FC"/>
    <w:rsid w:val="0083756D"/>
    <w:rsid w:val="00837AFD"/>
    <w:rsid w:val="00837C5D"/>
    <w:rsid w:val="008401F1"/>
    <w:rsid w:val="00841C5F"/>
    <w:rsid w:val="008428F0"/>
    <w:rsid w:val="00843C33"/>
    <w:rsid w:val="008444F9"/>
    <w:rsid w:val="00844894"/>
    <w:rsid w:val="00844E32"/>
    <w:rsid w:val="0084514B"/>
    <w:rsid w:val="008451B3"/>
    <w:rsid w:val="00846D67"/>
    <w:rsid w:val="00847575"/>
    <w:rsid w:val="00847F8A"/>
    <w:rsid w:val="0085074E"/>
    <w:rsid w:val="0085099A"/>
    <w:rsid w:val="00850B4B"/>
    <w:rsid w:val="00851122"/>
    <w:rsid w:val="008512C9"/>
    <w:rsid w:val="0085178F"/>
    <w:rsid w:val="00851D63"/>
    <w:rsid w:val="00852253"/>
    <w:rsid w:val="00852D83"/>
    <w:rsid w:val="00853002"/>
    <w:rsid w:val="008541E0"/>
    <w:rsid w:val="008545DC"/>
    <w:rsid w:val="008548AD"/>
    <w:rsid w:val="00854EC0"/>
    <w:rsid w:val="00855029"/>
    <w:rsid w:val="00855CBE"/>
    <w:rsid w:val="00856C32"/>
    <w:rsid w:val="00856FE3"/>
    <w:rsid w:val="008610E3"/>
    <w:rsid w:val="00861A4D"/>
    <w:rsid w:val="00861B0A"/>
    <w:rsid w:val="008620EF"/>
    <w:rsid w:val="00862C5F"/>
    <w:rsid w:val="00862C8C"/>
    <w:rsid w:val="00862E7B"/>
    <w:rsid w:val="00862FD4"/>
    <w:rsid w:val="0086344C"/>
    <w:rsid w:val="008637E6"/>
    <w:rsid w:val="008637ED"/>
    <w:rsid w:val="008639F1"/>
    <w:rsid w:val="00863A94"/>
    <w:rsid w:val="00865335"/>
    <w:rsid w:val="0086650A"/>
    <w:rsid w:val="00867ADD"/>
    <w:rsid w:val="008705FF"/>
    <w:rsid w:val="00870995"/>
    <w:rsid w:val="008736FA"/>
    <w:rsid w:val="008751E5"/>
    <w:rsid w:val="00875369"/>
    <w:rsid w:val="00875ABB"/>
    <w:rsid w:val="00876BCE"/>
    <w:rsid w:val="008771F8"/>
    <w:rsid w:val="008775C4"/>
    <w:rsid w:val="008806AC"/>
    <w:rsid w:val="008811A8"/>
    <w:rsid w:val="00881279"/>
    <w:rsid w:val="00881AF9"/>
    <w:rsid w:val="00881C8B"/>
    <w:rsid w:val="00881DFB"/>
    <w:rsid w:val="008828E9"/>
    <w:rsid w:val="00882F07"/>
    <w:rsid w:val="00882F19"/>
    <w:rsid w:val="008844CE"/>
    <w:rsid w:val="00885870"/>
    <w:rsid w:val="00885CBA"/>
    <w:rsid w:val="008872DD"/>
    <w:rsid w:val="0088772E"/>
    <w:rsid w:val="008879C7"/>
    <w:rsid w:val="00887F51"/>
    <w:rsid w:val="008903D9"/>
    <w:rsid w:val="00891274"/>
    <w:rsid w:val="00891D95"/>
    <w:rsid w:val="0089230D"/>
    <w:rsid w:val="00892E39"/>
    <w:rsid w:val="0089352E"/>
    <w:rsid w:val="00893EC9"/>
    <w:rsid w:val="00894776"/>
    <w:rsid w:val="00894E1B"/>
    <w:rsid w:val="008959BA"/>
    <w:rsid w:val="008960E0"/>
    <w:rsid w:val="00897712"/>
    <w:rsid w:val="008A0837"/>
    <w:rsid w:val="008A08F0"/>
    <w:rsid w:val="008A2D5A"/>
    <w:rsid w:val="008A33BB"/>
    <w:rsid w:val="008A3866"/>
    <w:rsid w:val="008A3A3F"/>
    <w:rsid w:val="008A410F"/>
    <w:rsid w:val="008A56A6"/>
    <w:rsid w:val="008A5DEF"/>
    <w:rsid w:val="008A656A"/>
    <w:rsid w:val="008A6605"/>
    <w:rsid w:val="008A732E"/>
    <w:rsid w:val="008A73A6"/>
    <w:rsid w:val="008A79B9"/>
    <w:rsid w:val="008A7C28"/>
    <w:rsid w:val="008A7EE2"/>
    <w:rsid w:val="008B29B1"/>
    <w:rsid w:val="008B3B07"/>
    <w:rsid w:val="008B4491"/>
    <w:rsid w:val="008B4556"/>
    <w:rsid w:val="008B5376"/>
    <w:rsid w:val="008B5BDB"/>
    <w:rsid w:val="008B5C8B"/>
    <w:rsid w:val="008B6BAC"/>
    <w:rsid w:val="008B6DFE"/>
    <w:rsid w:val="008B7FEA"/>
    <w:rsid w:val="008C21BA"/>
    <w:rsid w:val="008C2754"/>
    <w:rsid w:val="008C2F89"/>
    <w:rsid w:val="008C394A"/>
    <w:rsid w:val="008C3ABC"/>
    <w:rsid w:val="008C4629"/>
    <w:rsid w:val="008C4D12"/>
    <w:rsid w:val="008C4E5F"/>
    <w:rsid w:val="008C501A"/>
    <w:rsid w:val="008C5A43"/>
    <w:rsid w:val="008C5A6D"/>
    <w:rsid w:val="008C5AD5"/>
    <w:rsid w:val="008C7905"/>
    <w:rsid w:val="008D12A6"/>
    <w:rsid w:val="008D1CDA"/>
    <w:rsid w:val="008D243B"/>
    <w:rsid w:val="008D250D"/>
    <w:rsid w:val="008D294D"/>
    <w:rsid w:val="008D2C0A"/>
    <w:rsid w:val="008D2D47"/>
    <w:rsid w:val="008D2E8E"/>
    <w:rsid w:val="008D48C4"/>
    <w:rsid w:val="008D4975"/>
    <w:rsid w:val="008D4DE8"/>
    <w:rsid w:val="008D582D"/>
    <w:rsid w:val="008D622F"/>
    <w:rsid w:val="008D66F3"/>
    <w:rsid w:val="008D6FF1"/>
    <w:rsid w:val="008D712B"/>
    <w:rsid w:val="008D7156"/>
    <w:rsid w:val="008D74DD"/>
    <w:rsid w:val="008D7545"/>
    <w:rsid w:val="008D7EBF"/>
    <w:rsid w:val="008E0254"/>
    <w:rsid w:val="008E102C"/>
    <w:rsid w:val="008E116F"/>
    <w:rsid w:val="008E11F2"/>
    <w:rsid w:val="008E139F"/>
    <w:rsid w:val="008E1A29"/>
    <w:rsid w:val="008E1B82"/>
    <w:rsid w:val="008E27D6"/>
    <w:rsid w:val="008E28AE"/>
    <w:rsid w:val="008E3030"/>
    <w:rsid w:val="008E3739"/>
    <w:rsid w:val="008E4907"/>
    <w:rsid w:val="008E5344"/>
    <w:rsid w:val="008E57AA"/>
    <w:rsid w:val="008E5E71"/>
    <w:rsid w:val="008E6AD5"/>
    <w:rsid w:val="008E6AE8"/>
    <w:rsid w:val="008E6B7B"/>
    <w:rsid w:val="008E7545"/>
    <w:rsid w:val="008F0FD9"/>
    <w:rsid w:val="008F115D"/>
    <w:rsid w:val="008F1345"/>
    <w:rsid w:val="008F1A68"/>
    <w:rsid w:val="008F2DB7"/>
    <w:rsid w:val="008F444F"/>
    <w:rsid w:val="008F4D22"/>
    <w:rsid w:val="008F4D37"/>
    <w:rsid w:val="008F4E17"/>
    <w:rsid w:val="008F50C9"/>
    <w:rsid w:val="008F511B"/>
    <w:rsid w:val="008F5201"/>
    <w:rsid w:val="008F5F71"/>
    <w:rsid w:val="008F6555"/>
    <w:rsid w:val="008F6F0C"/>
    <w:rsid w:val="008F78B2"/>
    <w:rsid w:val="008F7E99"/>
    <w:rsid w:val="0090040F"/>
    <w:rsid w:val="009013F5"/>
    <w:rsid w:val="0090141F"/>
    <w:rsid w:val="00901624"/>
    <w:rsid w:val="00901845"/>
    <w:rsid w:val="00902AAA"/>
    <w:rsid w:val="00902E49"/>
    <w:rsid w:val="009032B9"/>
    <w:rsid w:val="0090336C"/>
    <w:rsid w:val="009035FD"/>
    <w:rsid w:val="00904113"/>
    <w:rsid w:val="00904338"/>
    <w:rsid w:val="009047DB"/>
    <w:rsid w:val="00905592"/>
    <w:rsid w:val="00905A53"/>
    <w:rsid w:val="00905FFD"/>
    <w:rsid w:val="00907578"/>
    <w:rsid w:val="0090762A"/>
    <w:rsid w:val="009077F4"/>
    <w:rsid w:val="00912240"/>
    <w:rsid w:val="009129EF"/>
    <w:rsid w:val="00912CB2"/>
    <w:rsid w:val="009138D9"/>
    <w:rsid w:val="00914F4E"/>
    <w:rsid w:val="009162AC"/>
    <w:rsid w:val="00916313"/>
    <w:rsid w:val="00917602"/>
    <w:rsid w:val="0091786B"/>
    <w:rsid w:val="009178B8"/>
    <w:rsid w:val="00917D05"/>
    <w:rsid w:val="00917E35"/>
    <w:rsid w:val="0092007B"/>
    <w:rsid w:val="00920CA5"/>
    <w:rsid w:val="00921D8E"/>
    <w:rsid w:val="00922216"/>
    <w:rsid w:val="00922261"/>
    <w:rsid w:val="00922A1B"/>
    <w:rsid w:val="00922C64"/>
    <w:rsid w:val="00922EFB"/>
    <w:rsid w:val="00923385"/>
    <w:rsid w:val="0092407D"/>
    <w:rsid w:val="00924735"/>
    <w:rsid w:val="009248BE"/>
    <w:rsid w:val="009259A5"/>
    <w:rsid w:val="00925F52"/>
    <w:rsid w:val="00926520"/>
    <w:rsid w:val="0092755A"/>
    <w:rsid w:val="009277B4"/>
    <w:rsid w:val="00927B74"/>
    <w:rsid w:val="00930C0D"/>
    <w:rsid w:val="00931186"/>
    <w:rsid w:val="009314BF"/>
    <w:rsid w:val="00931C98"/>
    <w:rsid w:val="00932691"/>
    <w:rsid w:val="009328E0"/>
    <w:rsid w:val="0093388F"/>
    <w:rsid w:val="00933DF1"/>
    <w:rsid w:val="0093431B"/>
    <w:rsid w:val="00934822"/>
    <w:rsid w:val="00934A4A"/>
    <w:rsid w:val="00934AB4"/>
    <w:rsid w:val="00934E7B"/>
    <w:rsid w:val="00936054"/>
    <w:rsid w:val="0093679D"/>
    <w:rsid w:val="00940467"/>
    <w:rsid w:val="00941B47"/>
    <w:rsid w:val="00941BE0"/>
    <w:rsid w:val="009423DD"/>
    <w:rsid w:val="00943A25"/>
    <w:rsid w:val="00943C81"/>
    <w:rsid w:val="00943FF6"/>
    <w:rsid w:val="00944B87"/>
    <w:rsid w:val="00945546"/>
    <w:rsid w:val="00945E10"/>
    <w:rsid w:val="00946115"/>
    <w:rsid w:val="0094695D"/>
    <w:rsid w:val="00947144"/>
    <w:rsid w:val="009473C0"/>
    <w:rsid w:val="00947637"/>
    <w:rsid w:val="00947977"/>
    <w:rsid w:val="00947BA0"/>
    <w:rsid w:val="00947BFC"/>
    <w:rsid w:val="009509B9"/>
    <w:rsid w:val="0095181C"/>
    <w:rsid w:val="00951B82"/>
    <w:rsid w:val="00952FA4"/>
    <w:rsid w:val="009531E4"/>
    <w:rsid w:val="00953253"/>
    <w:rsid w:val="009532FA"/>
    <w:rsid w:val="00954C78"/>
    <w:rsid w:val="0095579C"/>
    <w:rsid w:val="00955AB3"/>
    <w:rsid w:val="00955F88"/>
    <w:rsid w:val="00956849"/>
    <w:rsid w:val="00956CF8"/>
    <w:rsid w:val="00956FDF"/>
    <w:rsid w:val="00960C1E"/>
    <w:rsid w:val="0096285A"/>
    <w:rsid w:val="00962C35"/>
    <w:rsid w:val="00962E50"/>
    <w:rsid w:val="00962F62"/>
    <w:rsid w:val="00963B34"/>
    <w:rsid w:val="00963DA0"/>
    <w:rsid w:val="00964AFD"/>
    <w:rsid w:val="00965D9F"/>
    <w:rsid w:val="00966161"/>
    <w:rsid w:val="00966276"/>
    <w:rsid w:val="00966BA6"/>
    <w:rsid w:val="00967931"/>
    <w:rsid w:val="00970397"/>
    <w:rsid w:val="0097079A"/>
    <w:rsid w:val="00970F99"/>
    <w:rsid w:val="00971955"/>
    <w:rsid w:val="0097214C"/>
    <w:rsid w:val="00972AA0"/>
    <w:rsid w:val="00972CF3"/>
    <w:rsid w:val="00973364"/>
    <w:rsid w:val="00974830"/>
    <w:rsid w:val="00974C23"/>
    <w:rsid w:val="00974E61"/>
    <w:rsid w:val="00975593"/>
    <w:rsid w:val="009756D9"/>
    <w:rsid w:val="00975B81"/>
    <w:rsid w:val="009765E4"/>
    <w:rsid w:val="009769B5"/>
    <w:rsid w:val="00976D85"/>
    <w:rsid w:val="00977973"/>
    <w:rsid w:val="0098010A"/>
    <w:rsid w:val="00981F9D"/>
    <w:rsid w:val="00982118"/>
    <w:rsid w:val="00982F91"/>
    <w:rsid w:val="009833EA"/>
    <w:rsid w:val="00983544"/>
    <w:rsid w:val="00983951"/>
    <w:rsid w:val="00983A74"/>
    <w:rsid w:val="0098487F"/>
    <w:rsid w:val="00984B88"/>
    <w:rsid w:val="009850BE"/>
    <w:rsid w:val="00986295"/>
    <w:rsid w:val="00986D79"/>
    <w:rsid w:val="00986FC4"/>
    <w:rsid w:val="00987703"/>
    <w:rsid w:val="00990229"/>
    <w:rsid w:val="009904E4"/>
    <w:rsid w:val="0099068C"/>
    <w:rsid w:val="009921EB"/>
    <w:rsid w:val="00993AAF"/>
    <w:rsid w:val="00994DA6"/>
    <w:rsid w:val="00995D38"/>
    <w:rsid w:val="00996001"/>
    <w:rsid w:val="009963F3"/>
    <w:rsid w:val="0099647C"/>
    <w:rsid w:val="00996D75"/>
    <w:rsid w:val="00996F94"/>
    <w:rsid w:val="00997149"/>
    <w:rsid w:val="009972B8"/>
    <w:rsid w:val="009975C7"/>
    <w:rsid w:val="0099763D"/>
    <w:rsid w:val="00997D27"/>
    <w:rsid w:val="00997FA2"/>
    <w:rsid w:val="009A008C"/>
    <w:rsid w:val="009A02AF"/>
    <w:rsid w:val="009A0A88"/>
    <w:rsid w:val="009A0E40"/>
    <w:rsid w:val="009A23AC"/>
    <w:rsid w:val="009A26D2"/>
    <w:rsid w:val="009A2B86"/>
    <w:rsid w:val="009A2E47"/>
    <w:rsid w:val="009A36CB"/>
    <w:rsid w:val="009A4BA1"/>
    <w:rsid w:val="009A4E8B"/>
    <w:rsid w:val="009A5D59"/>
    <w:rsid w:val="009A6171"/>
    <w:rsid w:val="009A69F5"/>
    <w:rsid w:val="009A6B22"/>
    <w:rsid w:val="009A6F3F"/>
    <w:rsid w:val="009A70DA"/>
    <w:rsid w:val="009A7181"/>
    <w:rsid w:val="009A75C3"/>
    <w:rsid w:val="009B000E"/>
    <w:rsid w:val="009B00D2"/>
    <w:rsid w:val="009B056F"/>
    <w:rsid w:val="009B0A71"/>
    <w:rsid w:val="009B0B27"/>
    <w:rsid w:val="009B0B7B"/>
    <w:rsid w:val="009B1200"/>
    <w:rsid w:val="009B224B"/>
    <w:rsid w:val="009B2599"/>
    <w:rsid w:val="009B37A2"/>
    <w:rsid w:val="009B3F0C"/>
    <w:rsid w:val="009B49E5"/>
    <w:rsid w:val="009B4AB9"/>
    <w:rsid w:val="009B7827"/>
    <w:rsid w:val="009C010A"/>
    <w:rsid w:val="009C02FF"/>
    <w:rsid w:val="009C0B47"/>
    <w:rsid w:val="009C1220"/>
    <w:rsid w:val="009C14F6"/>
    <w:rsid w:val="009C1C3A"/>
    <w:rsid w:val="009C38FA"/>
    <w:rsid w:val="009C4465"/>
    <w:rsid w:val="009C47DF"/>
    <w:rsid w:val="009C489C"/>
    <w:rsid w:val="009C4ADE"/>
    <w:rsid w:val="009C4BE0"/>
    <w:rsid w:val="009C4D86"/>
    <w:rsid w:val="009C5C2C"/>
    <w:rsid w:val="009C7E1B"/>
    <w:rsid w:val="009D048D"/>
    <w:rsid w:val="009D0D34"/>
    <w:rsid w:val="009D0E37"/>
    <w:rsid w:val="009D17F3"/>
    <w:rsid w:val="009D18FE"/>
    <w:rsid w:val="009D1921"/>
    <w:rsid w:val="009D1AD9"/>
    <w:rsid w:val="009D23FE"/>
    <w:rsid w:val="009D2B9D"/>
    <w:rsid w:val="009D2DF8"/>
    <w:rsid w:val="009D301C"/>
    <w:rsid w:val="009D38C5"/>
    <w:rsid w:val="009D4192"/>
    <w:rsid w:val="009D46BB"/>
    <w:rsid w:val="009D5DC6"/>
    <w:rsid w:val="009D603D"/>
    <w:rsid w:val="009D62A1"/>
    <w:rsid w:val="009D6591"/>
    <w:rsid w:val="009D65D0"/>
    <w:rsid w:val="009D6AA2"/>
    <w:rsid w:val="009D6EB0"/>
    <w:rsid w:val="009D7569"/>
    <w:rsid w:val="009D7DA4"/>
    <w:rsid w:val="009D7DF1"/>
    <w:rsid w:val="009E21DF"/>
    <w:rsid w:val="009E22B4"/>
    <w:rsid w:val="009E2FF7"/>
    <w:rsid w:val="009E3388"/>
    <w:rsid w:val="009E3665"/>
    <w:rsid w:val="009E3816"/>
    <w:rsid w:val="009E3C0A"/>
    <w:rsid w:val="009E4817"/>
    <w:rsid w:val="009E5973"/>
    <w:rsid w:val="009E5E34"/>
    <w:rsid w:val="009E62F4"/>
    <w:rsid w:val="009E68DB"/>
    <w:rsid w:val="009E6D01"/>
    <w:rsid w:val="009E7112"/>
    <w:rsid w:val="009E777C"/>
    <w:rsid w:val="009F278D"/>
    <w:rsid w:val="009F3F07"/>
    <w:rsid w:val="009F421A"/>
    <w:rsid w:val="009F6537"/>
    <w:rsid w:val="009F656C"/>
    <w:rsid w:val="009F6669"/>
    <w:rsid w:val="009F7C2E"/>
    <w:rsid w:val="00A00EF6"/>
    <w:rsid w:val="00A01FDD"/>
    <w:rsid w:val="00A02180"/>
    <w:rsid w:val="00A025CA"/>
    <w:rsid w:val="00A03AFD"/>
    <w:rsid w:val="00A04AB9"/>
    <w:rsid w:val="00A057B8"/>
    <w:rsid w:val="00A0614E"/>
    <w:rsid w:val="00A064A0"/>
    <w:rsid w:val="00A06906"/>
    <w:rsid w:val="00A07168"/>
    <w:rsid w:val="00A0796D"/>
    <w:rsid w:val="00A07D7B"/>
    <w:rsid w:val="00A07EA2"/>
    <w:rsid w:val="00A1006D"/>
    <w:rsid w:val="00A1014F"/>
    <w:rsid w:val="00A10233"/>
    <w:rsid w:val="00A10FE3"/>
    <w:rsid w:val="00A11395"/>
    <w:rsid w:val="00A11AB9"/>
    <w:rsid w:val="00A124C6"/>
    <w:rsid w:val="00A132C9"/>
    <w:rsid w:val="00A134D1"/>
    <w:rsid w:val="00A13AE4"/>
    <w:rsid w:val="00A13CFD"/>
    <w:rsid w:val="00A152D3"/>
    <w:rsid w:val="00A1561C"/>
    <w:rsid w:val="00A16217"/>
    <w:rsid w:val="00A16D9C"/>
    <w:rsid w:val="00A20246"/>
    <w:rsid w:val="00A2085D"/>
    <w:rsid w:val="00A20A5A"/>
    <w:rsid w:val="00A21328"/>
    <w:rsid w:val="00A2214D"/>
    <w:rsid w:val="00A22CC7"/>
    <w:rsid w:val="00A23695"/>
    <w:rsid w:val="00A237FF"/>
    <w:rsid w:val="00A23B31"/>
    <w:rsid w:val="00A23E90"/>
    <w:rsid w:val="00A247FE"/>
    <w:rsid w:val="00A24823"/>
    <w:rsid w:val="00A25842"/>
    <w:rsid w:val="00A26BF3"/>
    <w:rsid w:val="00A26D5D"/>
    <w:rsid w:val="00A26E40"/>
    <w:rsid w:val="00A27645"/>
    <w:rsid w:val="00A27BBE"/>
    <w:rsid w:val="00A30019"/>
    <w:rsid w:val="00A30AD6"/>
    <w:rsid w:val="00A30CDD"/>
    <w:rsid w:val="00A31313"/>
    <w:rsid w:val="00A31C65"/>
    <w:rsid w:val="00A322CC"/>
    <w:rsid w:val="00A336E5"/>
    <w:rsid w:val="00A33CCC"/>
    <w:rsid w:val="00A34BBB"/>
    <w:rsid w:val="00A351FC"/>
    <w:rsid w:val="00A35350"/>
    <w:rsid w:val="00A35B02"/>
    <w:rsid w:val="00A35F10"/>
    <w:rsid w:val="00A370A9"/>
    <w:rsid w:val="00A37B89"/>
    <w:rsid w:val="00A37C6C"/>
    <w:rsid w:val="00A40374"/>
    <w:rsid w:val="00A410D9"/>
    <w:rsid w:val="00A415C3"/>
    <w:rsid w:val="00A416E7"/>
    <w:rsid w:val="00A41F3D"/>
    <w:rsid w:val="00A42C3A"/>
    <w:rsid w:val="00A43BB2"/>
    <w:rsid w:val="00A457D5"/>
    <w:rsid w:val="00A457FE"/>
    <w:rsid w:val="00A45D13"/>
    <w:rsid w:val="00A4711D"/>
    <w:rsid w:val="00A47843"/>
    <w:rsid w:val="00A47901"/>
    <w:rsid w:val="00A47D2B"/>
    <w:rsid w:val="00A47D9E"/>
    <w:rsid w:val="00A50120"/>
    <w:rsid w:val="00A50958"/>
    <w:rsid w:val="00A52AC6"/>
    <w:rsid w:val="00A53DF0"/>
    <w:rsid w:val="00A53E17"/>
    <w:rsid w:val="00A5477A"/>
    <w:rsid w:val="00A54879"/>
    <w:rsid w:val="00A5597F"/>
    <w:rsid w:val="00A55A07"/>
    <w:rsid w:val="00A56F0F"/>
    <w:rsid w:val="00A575FC"/>
    <w:rsid w:val="00A57F6C"/>
    <w:rsid w:val="00A6031F"/>
    <w:rsid w:val="00A60387"/>
    <w:rsid w:val="00A60722"/>
    <w:rsid w:val="00A610FE"/>
    <w:rsid w:val="00A612F7"/>
    <w:rsid w:val="00A635DA"/>
    <w:rsid w:val="00A63816"/>
    <w:rsid w:val="00A63A3F"/>
    <w:rsid w:val="00A642AE"/>
    <w:rsid w:val="00A64514"/>
    <w:rsid w:val="00A65294"/>
    <w:rsid w:val="00A65E67"/>
    <w:rsid w:val="00A675BE"/>
    <w:rsid w:val="00A67736"/>
    <w:rsid w:val="00A67962"/>
    <w:rsid w:val="00A679B8"/>
    <w:rsid w:val="00A70FBE"/>
    <w:rsid w:val="00A71117"/>
    <w:rsid w:val="00A71E29"/>
    <w:rsid w:val="00A7225C"/>
    <w:rsid w:val="00A725CA"/>
    <w:rsid w:val="00A72EF6"/>
    <w:rsid w:val="00A7312E"/>
    <w:rsid w:val="00A7364D"/>
    <w:rsid w:val="00A73A84"/>
    <w:rsid w:val="00A73F9B"/>
    <w:rsid w:val="00A742D0"/>
    <w:rsid w:val="00A74889"/>
    <w:rsid w:val="00A74C3C"/>
    <w:rsid w:val="00A752BB"/>
    <w:rsid w:val="00A76EB5"/>
    <w:rsid w:val="00A77777"/>
    <w:rsid w:val="00A77AB3"/>
    <w:rsid w:val="00A80081"/>
    <w:rsid w:val="00A805B1"/>
    <w:rsid w:val="00A8236E"/>
    <w:rsid w:val="00A83AF3"/>
    <w:rsid w:val="00A83C20"/>
    <w:rsid w:val="00A845F9"/>
    <w:rsid w:val="00A8491F"/>
    <w:rsid w:val="00A84E59"/>
    <w:rsid w:val="00A85508"/>
    <w:rsid w:val="00A859D7"/>
    <w:rsid w:val="00A85D23"/>
    <w:rsid w:val="00A8620A"/>
    <w:rsid w:val="00A87777"/>
    <w:rsid w:val="00A90DDD"/>
    <w:rsid w:val="00A91BDA"/>
    <w:rsid w:val="00A91F80"/>
    <w:rsid w:val="00A920DC"/>
    <w:rsid w:val="00A924EE"/>
    <w:rsid w:val="00A92C88"/>
    <w:rsid w:val="00A93095"/>
    <w:rsid w:val="00A9361E"/>
    <w:rsid w:val="00A93D2B"/>
    <w:rsid w:val="00A93DAB"/>
    <w:rsid w:val="00A94D54"/>
    <w:rsid w:val="00A9593D"/>
    <w:rsid w:val="00A964DC"/>
    <w:rsid w:val="00A96D6B"/>
    <w:rsid w:val="00A974B7"/>
    <w:rsid w:val="00A975CF"/>
    <w:rsid w:val="00A97601"/>
    <w:rsid w:val="00AA0F18"/>
    <w:rsid w:val="00AA108E"/>
    <w:rsid w:val="00AA1274"/>
    <w:rsid w:val="00AA1625"/>
    <w:rsid w:val="00AA1D55"/>
    <w:rsid w:val="00AA2493"/>
    <w:rsid w:val="00AA24F0"/>
    <w:rsid w:val="00AA4681"/>
    <w:rsid w:val="00AA4AFB"/>
    <w:rsid w:val="00AA5273"/>
    <w:rsid w:val="00AA5839"/>
    <w:rsid w:val="00AA64C9"/>
    <w:rsid w:val="00AA6A62"/>
    <w:rsid w:val="00AA70CE"/>
    <w:rsid w:val="00AB0240"/>
    <w:rsid w:val="00AB05B9"/>
    <w:rsid w:val="00AB0669"/>
    <w:rsid w:val="00AB0BCA"/>
    <w:rsid w:val="00AB120E"/>
    <w:rsid w:val="00AB1859"/>
    <w:rsid w:val="00AB1D7A"/>
    <w:rsid w:val="00AB3754"/>
    <w:rsid w:val="00AB4003"/>
    <w:rsid w:val="00AB461E"/>
    <w:rsid w:val="00AB4643"/>
    <w:rsid w:val="00AB48D1"/>
    <w:rsid w:val="00AB49A4"/>
    <w:rsid w:val="00AB4F4F"/>
    <w:rsid w:val="00AB5164"/>
    <w:rsid w:val="00AB5739"/>
    <w:rsid w:val="00AB6188"/>
    <w:rsid w:val="00AB6C6A"/>
    <w:rsid w:val="00AB739A"/>
    <w:rsid w:val="00AB7767"/>
    <w:rsid w:val="00AB79BB"/>
    <w:rsid w:val="00AB7DCB"/>
    <w:rsid w:val="00AC107D"/>
    <w:rsid w:val="00AC237B"/>
    <w:rsid w:val="00AC4551"/>
    <w:rsid w:val="00AC47D9"/>
    <w:rsid w:val="00AC48DD"/>
    <w:rsid w:val="00AC5077"/>
    <w:rsid w:val="00AC54D9"/>
    <w:rsid w:val="00AC62C8"/>
    <w:rsid w:val="00AC76AC"/>
    <w:rsid w:val="00AC7D6B"/>
    <w:rsid w:val="00AC7F87"/>
    <w:rsid w:val="00AD06F1"/>
    <w:rsid w:val="00AD0E60"/>
    <w:rsid w:val="00AD11FF"/>
    <w:rsid w:val="00AD2F1B"/>
    <w:rsid w:val="00AD44A0"/>
    <w:rsid w:val="00AD4C85"/>
    <w:rsid w:val="00AD54F7"/>
    <w:rsid w:val="00AD64C4"/>
    <w:rsid w:val="00AD6931"/>
    <w:rsid w:val="00AD6A93"/>
    <w:rsid w:val="00AD72F3"/>
    <w:rsid w:val="00AE004B"/>
    <w:rsid w:val="00AE1099"/>
    <w:rsid w:val="00AE16B0"/>
    <w:rsid w:val="00AE1DD9"/>
    <w:rsid w:val="00AE2106"/>
    <w:rsid w:val="00AE2531"/>
    <w:rsid w:val="00AE2E14"/>
    <w:rsid w:val="00AE52CF"/>
    <w:rsid w:val="00AE5C43"/>
    <w:rsid w:val="00AE6694"/>
    <w:rsid w:val="00AE6FC6"/>
    <w:rsid w:val="00AF00F3"/>
    <w:rsid w:val="00AF086F"/>
    <w:rsid w:val="00AF1914"/>
    <w:rsid w:val="00AF1FB3"/>
    <w:rsid w:val="00AF23E2"/>
    <w:rsid w:val="00AF2F34"/>
    <w:rsid w:val="00AF3C7C"/>
    <w:rsid w:val="00AF400D"/>
    <w:rsid w:val="00AF47FF"/>
    <w:rsid w:val="00AF5ECA"/>
    <w:rsid w:val="00AF6A4B"/>
    <w:rsid w:val="00AF7B2F"/>
    <w:rsid w:val="00B00CBD"/>
    <w:rsid w:val="00B00D2F"/>
    <w:rsid w:val="00B0173B"/>
    <w:rsid w:val="00B01771"/>
    <w:rsid w:val="00B01DFF"/>
    <w:rsid w:val="00B01EE8"/>
    <w:rsid w:val="00B022A1"/>
    <w:rsid w:val="00B02706"/>
    <w:rsid w:val="00B02740"/>
    <w:rsid w:val="00B03647"/>
    <w:rsid w:val="00B03AE9"/>
    <w:rsid w:val="00B03C37"/>
    <w:rsid w:val="00B05538"/>
    <w:rsid w:val="00B05D1D"/>
    <w:rsid w:val="00B06871"/>
    <w:rsid w:val="00B06988"/>
    <w:rsid w:val="00B06D77"/>
    <w:rsid w:val="00B07214"/>
    <w:rsid w:val="00B07390"/>
    <w:rsid w:val="00B103DF"/>
    <w:rsid w:val="00B1063B"/>
    <w:rsid w:val="00B10851"/>
    <w:rsid w:val="00B10867"/>
    <w:rsid w:val="00B113E8"/>
    <w:rsid w:val="00B114DE"/>
    <w:rsid w:val="00B11789"/>
    <w:rsid w:val="00B1279D"/>
    <w:rsid w:val="00B132A6"/>
    <w:rsid w:val="00B14D54"/>
    <w:rsid w:val="00B15271"/>
    <w:rsid w:val="00B1534C"/>
    <w:rsid w:val="00B1597D"/>
    <w:rsid w:val="00B159BF"/>
    <w:rsid w:val="00B15B20"/>
    <w:rsid w:val="00B17645"/>
    <w:rsid w:val="00B1792B"/>
    <w:rsid w:val="00B17BE2"/>
    <w:rsid w:val="00B21751"/>
    <w:rsid w:val="00B2210A"/>
    <w:rsid w:val="00B223FD"/>
    <w:rsid w:val="00B22647"/>
    <w:rsid w:val="00B23549"/>
    <w:rsid w:val="00B23645"/>
    <w:rsid w:val="00B238BC"/>
    <w:rsid w:val="00B238D4"/>
    <w:rsid w:val="00B23AAF"/>
    <w:rsid w:val="00B23FB1"/>
    <w:rsid w:val="00B24634"/>
    <w:rsid w:val="00B2479F"/>
    <w:rsid w:val="00B2534F"/>
    <w:rsid w:val="00B271F8"/>
    <w:rsid w:val="00B27C89"/>
    <w:rsid w:val="00B30E2E"/>
    <w:rsid w:val="00B31284"/>
    <w:rsid w:val="00B32725"/>
    <w:rsid w:val="00B3459C"/>
    <w:rsid w:val="00B34D57"/>
    <w:rsid w:val="00B34F4F"/>
    <w:rsid w:val="00B37BDD"/>
    <w:rsid w:val="00B400E4"/>
    <w:rsid w:val="00B40D36"/>
    <w:rsid w:val="00B4115A"/>
    <w:rsid w:val="00B412CF"/>
    <w:rsid w:val="00B41A95"/>
    <w:rsid w:val="00B42EC9"/>
    <w:rsid w:val="00B43027"/>
    <w:rsid w:val="00B43A73"/>
    <w:rsid w:val="00B441A0"/>
    <w:rsid w:val="00B444E3"/>
    <w:rsid w:val="00B448BE"/>
    <w:rsid w:val="00B4495C"/>
    <w:rsid w:val="00B44D1F"/>
    <w:rsid w:val="00B45558"/>
    <w:rsid w:val="00B466EE"/>
    <w:rsid w:val="00B467DB"/>
    <w:rsid w:val="00B471B5"/>
    <w:rsid w:val="00B5048C"/>
    <w:rsid w:val="00B505DB"/>
    <w:rsid w:val="00B50756"/>
    <w:rsid w:val="00B5171C"/>
    <w:rsid w:val="00B51885"/>
    <w:rsid w:val="00B51A46"/>
    <w:rsid w:val="00B51C8C"/>
    <w:rsid w:val="00B52D4E"/>
    <w:rsid w:val="00B53A18"/>
    <w:rsid w:val="00B53D4F"/>
    <w:rsid w:val="00B549DB"/>
    <w:rsid w:val="00B550A1"/>
    <w:rsid w:val="00B55404"/>
    <w:rsid w:val="00B55C5D"/>
    <w:rsid w:val="00B55D3E"/>
    <w:rsid w:val="00B56A49"/>
    <w:rsid w:val="00B57016"/>
    <w:rsid w:val="00B570EB"/>
    <w:rsid w:val="00B600CF"/>
    <w:rsid w:val="00B60806"/>
    <w:rsid w:val="00B60BF3"/>
    <w:rsid w:val="00B60C60"/>
    <w:rsid w:val="00B6152E"/>
    <w:rsid w:val="00B61CCE"/>
    <w:rsid w:val="00B61DCB"/>
    <w:rsid w:val="00B61E57"/>
    <w:rsid w:val="00B6254D"/>
    <w:rsid w:val="00B62612"/>
    <w:rsid w:val="00B633E5"/>
    <w:rsid w:val="00B6368A"/>
    <w:rsid w:val="00B63A4C"/>
    <w:rsid w:val="00B672D7"/>
    <w:rsid w:val="00B6734B"/>
    <w:rsid w:val="00B67605"/>
    <w:rsid w:val="00B702EA"/>
    <w:rsid w:val="00B71333"/>
    <w:rsid w:val="00B71CF0"/>
    <w:rsid w:val="00B75C51"/>
    <w:rsid w:val="00B766F9"/>
    <w:rsid w:val="00B77928"/>
    <w:rsid w:val="00B80057"/>
    <w:rsid w:val="00B800D5"/>
    <w:rsid w:val="00B800EE"/>
    <w:rsid w:val="00B80F8E"/>
    <w:rsid w:val="00B8132D"/>
    <w:rsid w:val="00B8172B"/>
    <w:rsid w:val="00B81806"/>
    <w:rsid w:val="00B82491"/>
    <w:rsid w:val="00B8288A"/>
    <w:rsid w:val="00B83327"/>
    <w:rsid w:val="00B83C63"/>
    <w:rsid w:val="00B844A9"/>
    <w:rsid w:val="00B84F4E"/>
    <w:rsid w:val="00B851BD"/>
    <w:rsid w:val="00B85725"/>
    <w:rsid w:val="00B859E4"/>
    <w:rsid w:val="00B85A15"/>
    <w:rsid w:val="00B85BD7"/>
    <w:rsid w:val="00B85F8D"/>
    <w:rsid w:val="00B8663F"/>
    <w:rsid w:val="00B86D88"/>
    <w:rsid w:val="00B87AD5"/>
    <w:rsid w:val="00B902CA"/>
    <w:rsid w:val="00B903FA"/>
    <w:rsid w:val="00B9074A"/>
    <w:rsid w:val="00B913D6"/>
    <w:rsid w:val="00B913E4"/>
    <w:rsid w:val="00B92CBC"/>
    <w:rsid w:val="00B92D5D"/>
    <w:rsid w:val="00B93957"/>
    <w:rsid w:val="00B93DAC"/>
    <w:rsid w:val="00B93E60"/>
    <w:rsid w:val="00B9408E"/>
    <w:rsid w:val="00B94207"/>
    <w:rsid w:val="00B94379"/>
    <w:rsid w:val="00B94511"/>
    <w:rsid w:val="00B94816"/>
    <w:rsid w:val="00B94849"/>
    <w:rsid w:val="00B94ECD"/>
    <w:rsid w:val="00B96205"/>
    <w:rsid w:val="00B962D3"/>
    <w:rsid w:val="00B966BF"/>
    <w:rsid w:val="00BA0AD5"/>
    <w:rsid w:val="00BA0CC1"/>
    <w:rsid w:val="00BA0F90"/>
    <w:rsid w:val="00BA114F"/>
    <w:rsid w:val="00BA1BB4"/>
    <w:rsid w:val="00BA2033"/>
    <w:rsid w:val="00BA310A"/>
    <w:rsid w:val="00BA3C3F"/>
    <w:rsid w:val="00BA695B"/>
    <w:rsid w:val="00BA7A54"/>
    <w:rsid w:val="00BB00A4"/>
    <w:rsid w:val="00BB0131"/>
    <w:rsid w:val="00BB04B2"/>
    <w:rsid w:val="00BB089F"/>
    <w:rsid w:val="00BB09C6"/>
    <w:rsid w:val="00BB1003"/>
    <w:rsid w:val="00BB348B"/>
    <w:rsid w:val="00BB43E0"/>
    <w:rsid w:val="00BB5543"/>
    <w:rsid w:val="00BB61C9"/>
    <w:rsid w:val="00BB64DD"/>
    <w:rsid w:val="00BB6EB8"/>
    <w:rsid w:val="00BB6F6C"/>
    <w:rsid w:val="00BB6FA3"/>
    <w:rsid w:val="00BB7C74"/>
    <w:rsid w:val="00BC06DC"/>
    <w:rsid w:val="00BC0BCD"/>
    <w:rsid w:val="00BC0EF5"/>
    <w:rsid w:val="00BC1483"/>
    <w:rsid w:val="00BC14B3"/>
    <w:rsid w:val="00BC23CE"/>
    <w:rsid w:val="00BC29A4"/>
    <w:rsid w:val="00BC2EF6"/>
    <w:rsid w:val="00BC3084"/>
    <w:rsid w:val="00BC315A"/>
    <w:rsid w:val="00BC3FCA"/>
    <w:rsid w:val="00BC498B"/>
    <w:rsid w:val="00BC4E87"/>
    <w:rsid w:val="00BC51C9"/>
    <w:rsid w:val="00BC5A1F"/>
    <w:rsid w:val="00BC5E46"/>
    <w:rsid w:val="00BC673C"/>
    <w:rsid w:val="00BC72CD"/>
    <w:rsid w:val="00BD0386"/>
    <w:rsid w:val="00BD13E0"/>
    <w:rsid w:val="00BD2ABE"/>
    <w:rsid w:val="00BD3A11"/>
    <w:rsid w:val="00BD514C"/>
    <w:rsid w:val="00BD617A"/>
    <w:rsid w:val="00BD6F49"/>
    <w:rsid w:val="00BD7BA0"/>
    <w:rsid w:val="00BD7C44"/>
    <w:rsid w:val="00BD7E60"/>
    <w:rsid w:val="00BD7F81"/>
    <w:rsid w:val="00BE0644"/>
    <w:rsid w:val="00BE06BF"/>
    <w:rsid w:val="00BE1B2B"/>
    <w:rsid w:val="00BE3A34"/>
    <w:rsid w:val="00BE3BD2"/>
    <w:rsid w:val="00BE3D69"/>
    <w:rsid w:val="00BE4541"/>
    <w:rsid w:val="00BE4A9C"/>
    <w:rsid w:val="00BE509F"/>
    <w:rsid w:val="00BE56DB"/>
    <w:rsid w:val="00BE5C10"/>
    <w:rsid w:val="00BE5E7E"/>
    <w:rsid w:val="00BE6455"/>
    <w:rsid w:val="00BE6BF8"/>
    <w:rsid w:val="00BE6D8A"/>
    <w:rsid w:val="00BF0414"/>
    <w:rsid w:val="00BF11DA"/>
    <w:rsid w:val="00BF1C5A"/>
    <w:rsid w:val="00BF2C7E"/>
    <w:rsid w:val="00BF2DC8"/>
    <w:rsid w:val="00BF3CEC"/>
    <w:rsid w:val="00BF3F72"/>
    <w:rsid w:val="00BF4019"/>
    <w:rsid w:val="00BF54FE"/>
    <w:rsid w:val="00BF5D67"/>
    <w:rsid w:val="00BF6B69"/>
    <w:rsid w:val="00BF6F7A"/>
    <w:rsid w:val="00BF72C5"/>
    <w:rsid w:val="00BF75AA"/>
    <w:rsid w:val="00BF7741"/>
    <w:rsid w:val="00BF7B5F"/>
    <w:rsid w:val="00BF7BFC"/>
    <w:rsid w:val="00BF7E23"/>
    <w:rsid w:val="00C011BA"/>
    <w:rsid w:val="00C0328B"/>
    <w:rsid w:val="00C0396D"/>
    <w:rsid w:val="00C03A90"/>
    <w:rsid w:val="00C03EAD"/>
    <w:rsid w:val="00C03EDE"/>
    <w:rsid w:val="00C0457F"/>
    <w:rsid w:val="00C05484"/>
    <w:rsid w:val="00C05E4E"/>
    <w:rsid w:val="00C06F07"/>
    <w:rsid w:val="00C07523"/>
    <w:rsid w:val="00C11225"/>
    <w:rsid w:val="00C11533"/>
    <w:rsid w:val="00C1245C"/>
    <w:rsid w:val="00C137FB"/>
    <w:rsid w:val="00C13BE3"/>
    <w:rsid w:val="00C13D5B"/>
    <w:rsid w:val="00C141DB"/>
    <w:rsid w:val="00C1438F"/>
    <w:rsid w:val="00C1481F"/>
    <w:rsid w:val="00C14F75"/>
    <w:rsid w:val="00C15D2A"/>
    <w:rsid w:val="00C16341"/>
    <w:rsid w:val="00C163CF"/>
    <w:rsid w:val="00C17907"/>
    <w:rsid w:val="00C210C7"/>
    <w:rsid w:val="00C22058"/>
    <w:rsid w:val="00C2218F"/>
    <w:rsid w:val="00C2239D"/>
    <w:rsid w:val="00C23E2F"/>
    <w:rsid w:val="00C25F3A"/>
    <w:rsid w:val="00C27C41"/>
    <w:rsid w:val="00C27C54"/>
    <w:rsid w:val="00C27FEF"/>
    <w:rsid w:val="00C3087A"/>
    <w:rsid w:val="00C325D0"/>
    <w:rsid w:val="00C3273A"/>
    <w:rsid w:val="00C32A90"/>
    <w:rsid w:val="00C32FF5"/>
    <w:rsid w:val="00C33D47"/>
    <w:rsid w:val="00C3412D"/>
    <w:rsid w:val="00C34F2C"/>
    <w:rsid w:val="00C352C0"/>
    <w:rsid w:val="00C355EC"/>
    <w:rsid w:val="00C3693C"/>
    <w:rsid w:val="00C37077"/>
    <w:rsid w:val="00C374A5"/>
    <w:rsid w:val="00C374C9"/>
    <w:rsid w:val="00C37620"/>
    <w:rsid w:val="00C4057A"/>
    <w:rsid w:val="00C40BA8"/>
    <w:rsid w:val="00C41F7C"/>
    <w:rsid w:val="00C42701"/>
    <w:rsid w:val="00C43DBC"/>
    <w:rsid w:val="00C44BED"/>
    <w:rsid w:val="00C44C80"/>
    <w:rsid w:val="00C44CA0"/>
    <w:rsid w:val="00C45A08"/>
    <w:rsid w:val="00C45C0F"/>
    <w:rsid w:val="00C46587"/>
    <w:rsid w:val="00C46A41"/>
    <w:rsid w:val="00C46AE9"/>
    <w:rsid w:val="00C46C28"/>
    <w:rsid w:val="00C46F5B"/>
    <w:rsid w:val="00C474D6"/>
    <w:rsid w:val="00C50EAF"/>
    <w:rsid w:val="00C50EEB"/>
    <w:rsid w:val="00C51E44"/>
    <w:rsid w:val="00C52CDC"/>
    <w:rsid w:val="00C5374C"/>
    <w:rsid w:val="00C53EAD"/>
    <w:rsid w:val="00C54751"/>
    <w:rsid w:val="00C54864"/>
    <w:rsid w:val="00C54A04"/>
    <w:rsid w:val="00C55024"/>
    <w:rsid w:val="00C55A80"/>
    <w:rsid w:val="00C55C01"/>
    <w:rsid w:val="00C564BD"/>
    <w:rsid w:val="00C57002"/>
    <w:rsid w:val="00C57DA3"/>
    <w:rsid w:val="00C60901"/>
    <w:rsid w:val="00C633B3"/>
    <w:rsid w:val="00C64288"/>
    <w:rsid w:val="00C6488B"/>
    <w:rsid w:val="00C65918"/>
    <w:rsid w:val="00C6697A"/>
    <w:rsid w:val="00C67026"/>
    <w:rsid w:val="00C70A31"/>
    <w:rsid w:val="00C71994"/>
    <w:rsid w:val="00C729CA"/>
    <w:rsid w:val="00C72A26"/>
    <w:rsid w:val="00C72CFF"/>
    <w:rsid w:val="00C73460"/>
    <w:rsid w:val="00C73765"/>
    <w:rsid w:val="00C759A4"/>
    <w:rsid w:val="00C75BD5"/>
    <w:rsid w:val="00C76100"/>
    <w:rsid w:val="00C762B8"/>
    <w:rsid w:val="00C7642C"/>
    <w:rsid w:val="00C76447"/>
    <w:rsid w:val="00C81365"/>
    <w:rsid w:val="00C82BCA"/>
    <w:rsid w:val="00C831C4"/>
    <w:rsid w:val="00C83630"/>
    <w:rsid w:val="00C850AE"/>
    <w:rsid w:val="00C85660"/>
    <w:rsid w:val="00C85E12"/>
    <w:rsid w:val="00C8699C"/>
    <w:rsid w:val="00C869CC"/>
    <w:rsid w:val="00C86A04"/>
    <w:rsid w:val="00C86BC9"/>
    <w:rsid w:val="00C870D2"/>
    <w:rsid w:val="00C87F8F"/>
    <w:rsid w:val="00C9085A"/>
    <w:rsid w:val="00C90B0A"/>
    <w:rsid w:val="00C90FE9"/>
    <w:rsid w:val="00C91378"/>
    <w:rsid w:val="00C93781"/>
    <w:rsid w:val="00C937F2"/>
    <w:rsid w:val="00C93D5F"/>
    <w:rsid w:val="00C93D96"/>
    <w:rsid w:val="00C9487A"/>
    <w:rsid w:val="00C95465"/>
    <w:rsid w:val="00C96598"/>
    <w:rsid w:val="00C9690D"/>
    <w:rsid w:val="00CA01BA"/>
    <w:rsid w:val="00CA0778"/>
    <w:rsid w:val="00CA1661"/>
    <w:rsid w:val="00CA2D0E"/>
    <w:rsid w:val="00CA2FE1"/>
    <w:rsid w:val="00CA32FB"/>
    <w:rsid w:val="00CA37D2"/>
    <w:rsid w:val="00CA4025"/>
    <w:rsid w:val="00CA4047"/>
    <w:rsid w:val="00CA435B"/>
    <w:rsid w:val="00CA46C8"/>
    <w:rsid w:val="00CA490C"/>
    <w:rsid w:val="00CA53EA"/>
    <w:rsid w:val="00CA5D39"/>
    <w:rsid w:val="00CA5E10"/>
    <w:rsid w:val="00CA6613"/>
    <w:rsid w:val="00CA6DD2"/>
    <w:rsid w:val="00CA6EE6"/>
    <w:rsid w:val="00CA70AB"/>
    <w:rsid w:val="00CA79B4"/>
    <w:rsid w:val="00CB0447"/>
    <w:rsid w:val="00CB04CA"/>
    <w:rsid w:val="00CB0A35"/>
    <w:rsid w:val="00CB1BA7"/>
    <w:rsid w:val="00CB2F8F"/>
    <w:rsid w:val="00CB3023"/>
    <w:rsid w:val="00CB3695"/>
    <w:rsid w:val="00CB40FB"/>
    <w:rsid w:val="00CB470D"/>
    <w:rsid w:val="00CB483D"/>
    <w:rsid w:val="00CB4A73"/>
    <w:rsid w:val="00CB4EC3"/>
    <w:rsid w:val="00CB6495"/>
    <w:rsid w:val="00CB669F"/>
    <w:rsid w:val="00CB66CF"/>
    <w:rsid w:val="00CB6818"/>
    <w:rsid w:val="00CB72AD"/>
    <w:rsid w:val="00CB744D"/>
    <w:rsid w:val="00CB7E36"/>
    <w:rsid w:val="00CC00FF"/>
    <w:rsid w:val="00CC06FD"/>
    <w:rsid w:val="00CC0C3D"/>
    <w:rsid w:val="00CC0C5F"/>
    <w:rsid w:val="00CC0D3B"/>
    <w:rsid w:val="00CC115E"/>
    <w:rsid w:val="00CC19D2"/>
    <w:rsid w:val="00CC1F72"/>
    <w:rsid w:val="00CC25F6"/>
    <w:rsid w:val="00CC6B5A"/>
    <w:rsid w:val="00CC7B42"/>
    <w:rsid w:val="00CC7E1B"/>
    <w:rsid w:val="00CD06A7"/>
    <w:rsid w:val="00CD09FD"/>
    <w:rsid w:val="00CD0B7A"/>
    <w:rsid w:val="00CD0D04"/>
    <w:rsid w:val="00CD0EE5"/>
    <w:rsid w:val="00CD1576"/>
    <w:rsid w:val="00CD1863"/>
    <w:rsid w:val="00CD1E01"/>
    <w:rsid w:val="00CD2231"/>
    <w:rsid w:val="00CD3148"/>
    <w:rsid w:val="00CD3253"/>
    <w:rsid w:val="00CD3278"/>
    <w:rsid w:val="00CD34EE"/>
    <w:rsid w:val="00CD4120"/>
    <w:rsid w:val="00CD473C"/>
    <w:rsid w:val="00CD53EC"/>
    <w:rsid w:val="00CD5577"/>
    <w:rsid w:val="00CD66AA"/>
    <w:rsid w:val="00CD6A62"/>
    <w:rsid w:val="00CD6C45"/>
    <w:rsid w:val="00CD6E04"/>
    <w:rsid w:val="00CD7763"/>
    <w:rsid w:val="00CD77DB"/>
    <w:rsid w:val="00CE0330"/>
    <w:rsid w:val="00CE0639"/>
    <w:rsid w:val="00CE08AA"/>
    <w:rsid w:val="00CE4353"/>
    <w:rsid w:val="00CE4831"/>
    <w:rsid w:val="00CE5DEE"/>
    <w:rsid w:val="00CE6A27"/>
    <w:rsid w:val="00CE7C5B"/>
    <w:rsid w:val="00CF1479"/>
    <w:rsid w:val="00CF28CA"/>
    <w:rsid w:val="00CF33E4"/>
    <w:rsid w:val="00CF34DD"/>
    <w:rsid w:val="00CF3C7C"/>
    <w:rsid w:val="00CF3EFE"/>
    <w:rsid w:val="00CF4423"/>
    <w:rsid w:val="00CF46CF"/>
    <w:rsid w:val="00CF4847"/>
    <w:rsid w:val="00CF4EE7"/>
    <w:rsid w:val="00CF5C4A"/>
    <w:rsid w:val="00CF6EAF"/>
    <w:rsid w:val="00CF708A"/>
    <w:rsid w:val="00CF79FB"/>
    <w:rsid w:val="00CF7BC2"/>
    <w:rsid w:val="00CF7C33"/>
    <w:rsid w:val="00D002C0"/>
    <w:rsid w:val="00D008E1"/>
    <w:rsid w:val="00D01810"/>
    <w:rsid w:val="00D01EF7"/>
    <w:rsid w:val="00D023A3"/>
    <w:rsid w:val="00D025E3"/>
    <w:rsid w:val="00D02742"/>
    <w:rsid w:val="00D02E32"/>
    <w:rsid w:val="00D03468"/>
    <w:rsid w:val="00D03B10"/>
    <w:rsid w:val="00D03C4B"/>
    <w:rsid w:val="00D05A5F"/>
    <w:rsid w:val="00D06697"/>
    <w:rsid w:val="00D069BD"/>
    <w:rsid w:val="00D06BF9"/>
    <w:rsid w:val="00D07738"/>
    <w:rsid w:val="00D10176"/>
    <w:rsid w:val="00D10CE1"/>
    <w:rsid w:val="00D12C3F"/>
    <w:rsid w:val="00D1361B"/>
    <w:rsid w:val="00D139E1"/>
    <w:rsid w:val="00D14329"/>
    <w:rsid w:val="00D14E07"/>
    <w:rsid w:val="00D14EEF"/>
    <w:rsid w:val="00D150EB"/>
    <w:rsid w:val="00D15DFF"/>
    <w:rsid w:val="00D15E35"/>
    <w:rsid w:val="00D16679"/>
    <w:rsid w:val="00D16BB7"/>
    <w:rsid w:val="00D16C94"/>
    <w:rsid w:val="00D176AE"/>
    <w:rsid w:val="00D17904"/>
    <w:rsid w:val="00D17C24"/>
    <w:rsid w:val="00D20E31"/>
    <w:rsid w:val="00D216FB"/>
    <w:rsid w:val="00D21D6E"/>
    <w:rsid w:val="00D2227E"/>
    <w:rsid w:val="00D23702"/>
    <w:rsid w:val="00D25870"/>
    <w:rsid w:val="00D26B40"/>
    <w:rsid w:val="00D2712A"/>
    <w:rsid w:val="00D27632"/>
    <w:rsid w:val="00D2772B"/>
    <w:rsid w:val="00D27A26"/>
    <w:rsid w:val="00D27AD3"/>
    <w:rsid w:val="00D30948"/>
    <w:rsid w:val="00D30A49"/>
    <w:rsid w:val="00D31DE1"/>
    <w:rsid w:val="00D31E37"/>
    <w:rsid w:val="00D32579"/>
    <w:rsid w:val="00D329A4"/>
    <w:rsid w:val="00D32B33"/>
    <w:rsid w:val="00D32BF1"/>
    <w:rsid w:val="00D32FF9"/>
    <w:rsid w:val="00D337D8"/>
    <w:rsid w:val="00D337DC"/>
    <w:rsid w:val="00D34438"/>
    <w:rsid w:val="00D35153"/>
    <w:rsid w:val="00D35326"/>
    <w:rsid w:val="00D376F0"/>
    <w:rsid w:val="00D407B1"/>
    <w:rsid w:val="00D41360"/>
    <w:rsid w:val="00D426F5"/>
    <w:rsid w:val="00D42D25"/>
    <w:rsid w:val="00D433EA"/>
    <w:rsid w:val="00D43642"/>
    <w:rsid w:val="00D4380A"/>
    <w:rsid w:val="00D43CD7"/>
    <w:rsid w:val="00D44980"/>
    <w:rsid w:val="00D44D72"/>
    <w:rsid w:val="00D459A6"/>
    <w:rsid w:val="00D45E2F"/>
    <w:rsid w:val="00D45EE7"/>
    <w:rsid w:val="00D46BF7"/>
    <w:rsid w:val="00D46F0B"/>
    <w:rsid w:val="00D4728D"/>
    <w:rsid w:val="00D505DD"/>
    <w:rsid w:val="00D50AB5"/>
    <w:rsid w:val="00D50B1C"/>
    <w:rsid w:val="00D50EFE"/>
    <w:rsid w:val="00D5188D"/>
    <w:rsid w:val="00D51DC6"/>
    <w:rsid w:val="00D52372"/>
    <w:rsid w:val="00D52FB1"/>
    <w:rsid w:val="00D53A27"/>
    <w:rsid w:val="00D53BED"/>
    <w:rsid w:val="00D53C07"/>
    <w:rsid w:val="00D54503"/>
    <w:rsid w:val="00D545B8"/>
    <w:rsid w:val="00D545D9"/>
    <w:rsid w:val="00D546C9"/>
    <w:rsid w:val="00D546E2"/>
    <w:rsid w:val="00D575C6"/>
    <w:rsid w:val="00D577FA"/>
    <w:rsid w:val="00D60AD8"/>
    <w:rsid w:val="00D60E05"/>
    <w:rsid w:val="00D60E76"/>
    <w:rsid w:val="00D61451"/>
    <w:rsid w:val="00D62E58"/>
    <w:rsid w:val="00D6334D"/>
    <w:rsid w:val="00D633A6"/>
    <w:rsid w:val="00D63C11"/>
    <w:rsid w:val="00D6435F"/>
    <w:rsid w:val="00D64D24"/>
    <w:rsid w:val="00D660E7"/>
    <w:rsid w:val="00D669BC"/>
    <w:rsid w:val="00D67346"/>
    <w:rsid w:val="00D6796D"/>
    <w:rsid w:val="00D67A1A"/>
    <w:rsid w:val="00D67AE4"/>
    <w:rsid w:val="00D67F48"/>
    <w:rsid w:val="00D702B2"/>
    <w:rsid w:val="00D707CD"/>
    <w:rsid w:val="00D70EF7"/>
    <w:rsid w:val="00D7168A"/>
    <w:rsid w:val="00D71AD1"/>
    <w:rsid w:val="00D72338"/>
    <w:rsid w:val="00D7307F"/>
    <w:rsid w:val="00D76461"/>
    <w:rsid w:val="00D768AF"/>
    <w:rsid w:val="00D76AF1"/>
    <w:rsid w:val="00D77034"/>
    <w:rsid w:val="00D7779C"/>
    <w:rsid w:val="00D80379"/>
    <w:rsid w:val="00D81386"/>
    <w:rsid w:val="00D81934"/>
    <w:rsid w:val="00D822B7"/>
    <w:rsid w:val="00D82FB4"/>
    <w:rsid w:val="00D843F5"/>
    <w:rsid w:val="00D847A5"/>
    <w:rsid w:val="00D85A0A"/>
    <w:rsid w:val="00D85AAF"/>
    <w:rsid w:val="00D85F8B"/>
    <w:rsid w:val="00D86244"/>
    <w:rsid w:val="00D86A3A"/>
    <w:rsid w:val="00D877DF"/>
    <w:rsid w:val="00D92862"/>
    <w:rsid w:val="00D92C61"/>
    <w:rsid w:val="00D9328E"/>
    <w:rsid w:val="00D9446B"/>
    <w:rsid w:val="00D9510A"/>
    <w:rsid w:val="00D953B6"/>
    <w:rsid w:val="00D95461"/>
    <w:rsid w:val="00D95967"/>
    <w:rsid w:val="00D96394"/>
    <w:rsid w:val="00D96541"/>
    <w:rsid w:val="00D97078"/>
    <w:rsid w:val="00D970FF"/>
    <w:rsid w:val="00D971F2"/>
    <w:rsid w:val="00D97493"/>
    <w:rsid w:val="00D978C5"/>
    <w:rsid w:val="00DA02DB"/>
    <w:rsid w:val="00DA0FC8"/>
    <w:rsid w:val="00DA16F6"/>
    <w:rsid w:val="00DA19A6"/>
    <w:rsid w:val="00DA1CD7"/>
    <w:rsid w:val="00DA1E23"/>
    <w:rsid w:val="00DA1F48"/>
    <w:rsid w:val="00DA2253"/>
    <w:rsid w:val="00DA260F"/>
    <w:rsid w:val="00DA2F66"/>
    <w:rsid w:val="00DA3657"/>
    <w:rsid w:val="00DA48AB"/>
    <w:rsid w:val="00DA5D2B"/>
    <w:rsid w:val="00DA6255"/>
    <w:rsid w:val="00DA6620"/>
    <w:rsid w:val="00DA67B2"/>
    <w:rsid w:val="00DA6B86"/>
    <w:rsid w:val="00DA6C93"/>
    <w:rsid w:val="00DA7674"/>
    <w:rsid w:val="00DA7749"/>
    <w:rsid w:val="00DA7FA7"/>
    <w:rsid w:val="00DB03B2"/>
    <w:rsid w:val="00DB0444"/>
    <w:rsid w:val="00DB08EA"/>
    <w:rsid w:val="00DB151C"/>
    <w:rsid w:val="00DB15E3"/>
    <w:rsid w:val="00DB1CB7"/>
    <w:rsid w:val="00DB1D33"/>
    <w:rsid w:val="00DB2437"/>
    <w:rsid w:val="00DB250E"/>
    <w:rsid w:val="00DB320E"/>
    <w:rsid w:val="00DB3950"/>
    <w:rsid w:val="00DB4096"/>
    <w:rsid w:val="00DB5157"/>
    <w:rsid w:val="00DB6A07"/>
    <w:rsid w:val="00DB71DE"/>
    <w:rsid w:val="00DC0B7F"/>
    <w:rsid w:val="00DC0B96"/>
    <w:rsid w:val="00DC2650"/>
    <w:rsid w:val="00DC2AFA"/>
    <w:rsid w:val="00DC2C0C"/>
    <w:rsid w:val="00DC320E"/>
    <w:rsid w:val="00DC3766"/>
    <w:rsid w:val="00DC3A99"/>
    <w:rsid w:val="00DC4EDE"/>
    <w:rsid w:val="00DC50B9"/>
    <w:rsid w:val="00DC64DF"/>
    <w:rsid w:val="00DC70DD"/>
    <w:rsid w:val="00DC796E"/>
    <w:rsid w:val="00DD002D"/>
    <w:rsid w:val="00DD1337"/>
    <w:rsid w:val="00DD1457"/>
    <w:rsid w:val="00DD1F22"/>
    <w:rsid w:val="00DD2F7E"/>
    <w:rsid w:val="00DD3836"/>
    <w:rsid w:val="00DD3D03"/>
    <w:rsid w:val="00DD4287"/>
    <w:rsid w:val="00DD4B2A"/>
    <w:rsid w:val="00DD4E4D"/>
    <w:rsid w:val="00DD63EB"/>
    <w:rsid w:val="00DD6771"/>
    <w:rsid w:val="00DD6A86"/>
    <w:rsid w:val="00DD6AA9"/>
    <w:rsid w:val="00DD75F2"/>
    <w:rsid w:val="00DD7A85"/>
    <w:rsid w:val="00DE0B17"/>
    <w:rsid w:val="00DE19D0"/>
    <w:rsid w:val="00DE2500"/>
    <w:rsid w:val="00DE28F4"/>
    <w:rsid w:val="00DE2D0A"/>
    <w:rsid w:val="00DE2D2D"/>
    <w:rsid w:val="00DE2D73"/>
    <w:rsid w:val="00DE2DC0"/>
    <w:rsid w:val="00DE2E12"/>
    <w:rsid w:val="00DE303A"/>
    <w:rsid w:val="00DE35E9"/>
    <w:rsid w:val="00DE375A"/>
    <w:rsid w:val="00DE37D9"/>
    <w:rsid w:val="00DE3FC3"/>
    <w:rsid w:val="00DE4467"/>
    <w:rsid w:val="00DE4A97"/>
    <w:rsid w:val="00DE5791"/>
    <w:rsid w:val="00DE583B"/>
    <w:rsid w:val="00DE6A52"/>
    <w:rsid w:val="00DE6FF4"/>
    <w:rsid w:val="00DE710D"/>
    <w:rsid w:val="00DE72EE"/>
    <w:rsid w:val="00DE7780"/>
    <w:rsid w:val="00DF03CC"/>
    <w:rsid w:val="00DF0F5F"/>
    <w:rsid w:val="00DF1DC5"/>
    <w:rsid w:val="00DF2180"/>
    <w:rsid w:val="00DF2515"/>
    <w:rsid w:val="00DF2A39"/>
    <w:rsid w:val="00DF2B57"/>
    <w:rsid w:val="00DF52BA"/>
    <w:rsid w:val="00DF5369"/>
    <w:rsid w:val="00DF5384"/>
    <w:rsid w:val="00DF5639"/>
    <w:rsid w:val="00DF5B22"/>
    <w:rsid w:val="00DF64F0"/>
    <w:rsid w:val="00DF6694"/>
    <w:rsid w:val="00DF6AF7"/>
    <w:rsid w:val="00DF7121"/>
    <w:rsid w:val="00DF78FB"/>
    <w:rsid w:val="00E006EE"/>
    <w:rsid w:val="00E0076F"/>
    <w:rsid w:val="00E00B6B"/>
    <w:rsid w:val="00E01200"/>
    <w:rsid w:val="00E0125D"/>
    <w:rsid w:val="00E0128C"/>
    <w:rsid w:val="00E0131D"/>
    <w:rsid w:val="00E02823"/>
    <w:rsid w:val="00E02D09"/>
    <w:rsid w:val="00E0327C"/>
    <w:rsid w:val="00E03946"/>
    <w:rsid w:val="00E04200"/>
    <w:rsid w:val="00E0473B"/>
    <w:rsid w:val="00E05C4C"/>
    <w:rsid w:val="00E0624F"/>
    <w:rsid w:val="00E06402"/>
    <w:rsid w:val="00E06B7D"/>
    <w:rsid w:val="00E06D98"/>
    <w:rsid w:val="00E07314"/>
    <w:rsid w:val="00E1057B"/>
    <w:rsid w:val="00E10C7E"/>
    <w:rsid w:val="00E11A09"/>
    <w:rsid w:val="00E11A2C"/>
    <w:rsid w:val="00E11B82"/>
    <w:rsid w:val="00E11F2F"/>
    <w:rsid w:val="00E129C1"/>
    <w:rsid w:val="00E12EBC"/>
    <w:rsid w:val="00E1434E"/>
    <w:rsid w:val="00E14393"/>
    <w:rsid w:val="00E1462A"/>
    <w:rsid w:val="00E149C2"/>
    <w:rsid w:val="00E14B78"/>
    <w:rsid w:val="00E15301"/>
    <w:rsid w:val="00E15678"/>
    <w:rsid w:val="00E16601"/>
    <w:rsid w:val="00E20789"/>
    <w:rsid w:val="00E21B5C"/>
    <w:rsid w:val="00E23160"/>
    <w:rsid w:val="00E23985"/>
    <w:rsid w:val="00E25380"/>
    <w:rsid w:val="00E25AB4"/>
    <w:rsid w:val="00E2633A"/>
    <w:rsid w:val="00E3172F"/>
    <w:rsid w:val="00E31D60"/>
    <w:rsid w:val="00E3432A"/>
    <w:rsid w:val="00E34BF7"/>
    <w:rsid w:val="00E34EAD"/>
    <w:rsid w:val="00E359A3"/>
    <w:rsid w:val="00E3626D"/>
    <w:rsid w:val="00E3672A"/>
    <w:rsid w:val="00E36A76"/>
    <w:rsid w:val="00E36C6C"/>
    <w:rsid w:val="00E36E0C"/>
    <w:rsid w:val="00E37DA3"/>
    <w:rsid w:val="00E4038A"/>
    <w:rsid w:val="00E405CB"/>
    <w:rsid w:val="00E40C42"/>
    <w:rsid w:val="00E40CB2"/>
    <w:rsid w:val="00E40DEE"/>
    <w:rsid w:val="00E411F0"/>
    <w:rsid w:val="00E41242"/>
    <w:rsid w:val="00E438F3"/>
    <w:rsid w:val="00E43C06"/>
    <w:rsid w:val="00E45527"/>
    <w:rsid w:val="00E4556C"/>
    <w:rsid w:val="00E45B82"/>
    <w:rsid w:val="00E45E4A"/>
    <w:rsid w:val="00E464F0"/>
    <w:rsid w:val="00E4670C"/>
    <w:rsid w:val="00E46B4D"/>
    <w:rsid w:val="00E50593"/>
    <w:rsid w:val="00E50A7D"/>
    <w:rsid w:val="00E5141F"/>
    <w:rsid w:val="00E51757"/>
    <w:rsid w:val="00E52316"/>
    <w:rsid w:val="00E54141"/>
    <w:rsid w:val="00E541BB"/>
    <w:rsid w:val="00E54383"/>
    <w:rsid w:val="00E546AA"/>
    <w:rsid w:val="00E55538"/>
    <w:rsid w:val="00E55D79"/>
    <w:rsid w:val="00E562AD"/>
    <w:rsid w:val="00E56A72"/>
    <w:rsid w:val="00E56EF7"/>
    <w:rsid w:val="00E57231"/>
    <w:rsid w:val="00E57860"/>
    <w:rsid w:val="00E57B3C"/>
    <w:rsid w:val="00E57F54"/>
    <w:rsid w:val="00E6005E"/>
    <w:rsid w:val="00E60C81"/>
    <w:rsid w:val="00E63086"/>
    <w:rsid w:val="00E63A84"/>
    <w:rsid w:val="00E64730"/>
    <w:rsid w:val="00E64BC4"/>
    <w:rsid w:val="00E6521B"/>
    <w:rsid w:val="00E6674D"/>
    <w:rsid w:val="00E66C82"/>
    <w:rsid w:val="00E66FED"/>
    <w:rsid w:val="00E67B55"/>
    <w:rsid w:val="00E70D87"/>
    <w:rsid w:val="00E712DB"/>
    <w:rsid w:val="00E7136C"/>
    <w:rsid w:val="00E71661"/>
    <w:rsid w:val="00E721B8"/>
    <w:rsid w:val="00E72584"/>
    <w:rsid w:val="00E728A2"/>
    <w:rsid w:val="00E73214"/>
    <w:rsid w:val="00E733C4"/>
    <w:rsid w:val="00E7401C"/>
    <w:rsid w:val="00E75C08"/>
    <w:rsid w:val="00E7624C"/>
    <w:rsid w:val="00E77BBB"/>
    <w:rsid w:val="00E77FA7"/>
    <w:rsid w:val="00E8082C"/>
    <w:rsid w:val="00E810EF"/>
    <w:rsid w:val="00E813BC"/>
    <w:rsid w:val="00E81AFC"/>
    <w:rsid w:val="00E81D1E"/>
    <w:rsid w:val="00E81DA5"/>
    <w:rsid w:val="00E81DE6"/>
    <w:rsid w:val="00E829FB"/>
    <w:rsid w:val="00E82F97"/>
    <w:rsid w:val="00E82FE8"/>
    <w:rsid w:val="00E8411C"/>
    <w:rsid w:val="00E841EC"/>
    <w:rsid w:val="00E84656"/>
    <w:rsid w:val="00E859B2"/>
    <w:rsid w:val="00E85F4B"/>
    <w:rsid w:val="00E85F53"/>
    <w:rsid w:val="00E86A8F"/>
    <w:rsid w:val="00E9090A"/>
    <w:rsid w:val="00E90A49"/>
    <w:rsid w:val="00E90AA8"/>
    <w:rsid w:val="00E91790"/>
    <w:rsid w:val="00E91F9E"/>
    <w:rsid w:val="00E92029"/>
    <w:rsid w:val="00E92559"/>
    <w:rsid w:val="00E927C0"/>
    <w:rsid w:val="00E936BC"/>
    <w:rsid w:val="00E956C0"/>
    <w:rsid w:val="00E95B99"/>
    <w:rsid w:val="00E967BD"/>
    <w:rsid w:val="00E9681E"/>
    <w:rsid w:val="00E96E27"/>
    <w:rsid w:val="00E96F93"/>
    <w:rsid w:val="00E9772E"/>
    <w:rsid w:val="00E97920"/>
    <w:rsid w:val="00EA019C"/>
    <w:rsid w:val="00EA2FFF"/>
    <w:rsid w:val="00EA4218"/>
    <w:rsid w:val="00EA435B"/>
    <w:rsid w:val="00EA48B7"/>
    <w:rsid w:val="00EA4C49"/>
    <w:rsid w:val="00EA5F49"/>
    <w:rsid w:val="00EA5FDB"/>
    <w:rsid w:val="00EA6252"/>
    <w:rsid w:val="00EA6876"/>
    <w:rsid w:val="00EA6E74"/>
    <w:rsid w:val="00EA73AD"/>
    <w:rsid w:val="00EA7409"/>
    <w:rsid w:val="00EA74EB"/>
    <w:rsid w:val="00EA77A5"/>
    <w:rsid w:val="00EA7909"/>
    <w:rsid w:val="00EA7927"/>
    <w:rsid w:val="00EB0424"/>
    <w:rsid w:val="00EB1130"/>
    <w:rsid w:val="00EB17B5"/>
    <w:rsid w:val="00EB1BC1"/>
    <w:rsid w:val="00EB1CEA"/>
    <w:rsid w:val="00EB21AA"/>
    <w:rsid w:val="00EB24D7"/>
    <w:rsid w:val="00EB2A9F"/>
    <w:rsid w:val="00EB39E0"/>
    <w:rsid w:val="00EB3DF8"/>
    <w:rsid w:val="00EB4321"/>
    <w:rsid w:val="00EB5377"/>
    <w:rsid w:val="00EB5DA0"/>
    <w:rsid w:val="00EB6D65"/>
    <w:rsid w:val="00EB7174"/>
    <w:rsid w:val="00EB7E0E"/>
    <w:rsid w:val="00EC0F86"/>
    <w:rsid w:val="00EC1F3B"/>
    <w:rsid w:val="00EC214E"/>
    <w:rsid w:val="00EC26B4"/>
    <w:rsid w:val="00EC2DD1"/>
    <w:rsid w:val="00EC3D5B"/>
    <w:rsid w:val="00EC43E6"/>
    <w:rsid w:val="00EC4F73"/>
    <w:rsid w:val="00EC5802"/>
    <w:rsid w:val="00EC618D"/>
    <w:rsid w:val="00EC6EEB"/>
    <w:rsid w:val="00EC70A6"/>
    <w:rsid w:val="00EC72B6"/>
    <w:rsid w:val="00EC730B"/>
    <w:rsid w:val="00EC7AE6"/>
    <w:rsid w:val="00ED009A"/>
    <w:rsid w:val="00ED0152"/>
    <w:rsid w:val="00ED1FBF"/>
    <w:rsid w:val="00ED22D6"/>
    <w:rsid w:val="00ED319E"/>
    <w:rsid w:val="00ED34EF"/>
    <w:rsid w:val="00ED3829"/>
    <w:rsid w:val="00ED39CA"/>
    <w:rsid w:val="00ED438D"/>
    <w:rsid w:val="00ED4830"/>
    <w:rsid w:val="00ED52A9"/>
    <w:rsid w:val="00ED539A"/>
    <w:rsid w:val="00ED5711"/>
    <w:rsid w:val="00ED5857"/>
    <w:rsid w:val="00ED5C11"/>
    <w:rsid w:val="00ED7ED9"/>
    <w:rsid w:val="00EE089E"/>
    <w:rsid w:val="00EE0EEC"/>
    <w:rsid w:val="00EE178B"/>
    <w:rsid w:val="00EE26D3"/>
    <w:rsid w:val="00EE2803"/>
    <w:rsid w:val="00EE2835"/>
    <w:rsid w:val="00EE35A8"/>
    <w:rsid w:val="00EE3970"/>
    <w:rsid w:val="00EE5025"/>
    <w:rsid w:val="00EE5EB8"/>
    <w:rsid w:val="00EE6DE6"/>
    <w:rsid w:val="00EF00C8"/>
    <w:rsid w:val="00EF065D"/>
    <w:rsid w:val="00EF0D50"/>
    <w:rsid w:val="00EF1683"/>
    <w:rsid w:val="00EF1B22"/>
    <w:rsid w:val="00EF1E17"/>
    <w:rsid w:val="00EF23BF"/>
    <w:rsid w:val="00EF27DD"/>
    <w:rsid w:val="00EF29AC"/>
    <w:rsid w:val="00EF334F"/>
    <w:rsid w:val="00EF461F"/>
    <w:rsid w:val="00EF5E5E"/>
    <w:rsid w:val="00EF7579"/>
    <w:rsid w:val="00EF78F2"/>
    <w:rsid w:val="00EF7966"/>
    <w:rsid w:val="00EF7EE9"/>
    <w:rsid w:val="00F0042C"/>
    <w:rsid w:val="00F00C53"/>
    <w:rsid w:val="00F01E82"/>
    <w:rsid w:val="00F0212F"/>
    <w:rsid w:val="00F021C1"/>
    <w:rsid w:val="00F036E1"/>
    <w:rsid w:val="00F04A58"/>
    <w:rsid w:val="00F04E44"/>
    <w:rsid w:val="00F0502B"/>
    <w:rsid w:val="00F05EBA"/>
    <w:rsid w:val="00F064E6"/>
    <w:rsid w:val="00F069B6"/>
    <w:rsid w:val="00F075B4"/>
    <w:rsid w:val="00F07904"/>
    <w:rsid w:val="00F07C7F"/>
    <w:rsid w:val="00F1050B"/>
    <w:rsid w:val="00F106C1"/>
    <w:rsid w:val="00F10899"/>
    <w:rsid w:val="00F11165"/>
    <w:rsid w:val="00F11A23"/>
    <w:rsid w:val="00F13377"/>
    <w:rsid w:val="00F1398F"/>
    <w:rsid w:val="00F14733"/>
    <w:rsid w:val="00F14862"/>
    <w:rsid w:val="00F1490F"/>
    <w:rsid w:val="00F14DDE"/>
    <w:rsid w:val="00F164BD"/>
    <w:rsid w:val="00F165C6"/>
    <w:rsid w:val="00F16C11"/>
    <w:rsid w:val="00F16F9D"/>
    <w:rsid w:val="00F17152"/>
    <w:rsid w:val="00F1754E"/>
    <w:rsid w:val="00F2020E"/>
    <w:rsid w:val="00F20712"/>
    <w:rsid w:val="00F2096C"/>
    <w:rsid w:val="00F20CF5"/>
    <w:rsid w:val="00F20E87"/>
    <w:rsid w:val="00F21082"/>
    <w:rsid w:val="00F21154"/>
    <w:rsid w:val="00F2153C"/>
    <w:rsid w:val="00F22DAF"/>
    <w:rsid w:val="00F23F40"/>
    <w:rsid w:val="00F23FA6"/>
    <w:rsid w:val="00F2515C"/>
    <w:rsid w:val="00F25353"/>
    <w:rsid w:val="00F26A56"/>
    <w:rsid w:val="00F26D39"/>
    <w:rsid w:val="00F27302"/>
    <w:rsid w:val="00F30344"/>
    <w:rsid w:val="00F31093"/>
    <w:rsid w:val="00F3146E"/>
    <w:rsid w:val="00F32359"/>
    <w:rsid w:val="00F3254A"/>
    <w:rsid w:val="00F32B6A"/>
    <w:rsid w:val="00F32BF6"/>
    <w:rsid w:val="00F32DC7"/>
    <w:rsid w:val="00F34023"/>
    <w:rsid w:val="00F347D4"/>
    <w:rsid w:val="00F37D05"/>
    <w:rsid w:val="00F37FB1"/>
    <w:rsid w:val="00F407E6"/>
    <w:rsid w:val="00F40D5D"/>
    <w:rsid w:val="00F41979"/>
    <w:rsid w:val="00F41F6C"/>
    <w:rsid w:val="00F43353"/>
    <w:rsid w:val="00F4426E"/>
    <w:rsid w:val="00F44898"/>
    <w:rsid w:val="00F44B17"/>
    <w:rsid w:val="00F45A8F"/>
    <w:rsid w:val="00F45AB6"/>
    <w:rsid w:val="00F463CC"/>
    <w:rsid w:val="00F473DD"/>
    <w:rsid w:val="00F50681"/>
    <w:rsid w:val="00F50979"/>
    <w:rsid w:val="00F5197D"/>
    <w:rsid w:val="00F52192"/>
    <w:rsid w:val="00F52CD4"/>
    <w:rsid w:val="00F546F3"/>
    <w:rsid w:val="00F54749"/>
    <w:rsid w:val="00F552B0"/>
    <w:rsid w:val="00F555FD"/>
    <w:rsid w:val="00F5679E"/>
    <w:rsid w:val="00F56896"/>
    <w:rsid w:val="00F57631"/>
    <w:rsid w:val="00F5798F"/>
    <w:rsid w:val="00F57A93"/>
    <w:rsid w:val="00F57CFF"/>
    <w:rsid w:val="00F601CF"/>
    <w:rsid w:val="00F60267"/>
    <w:rsid w:val="00F6099F"/>
    <w:rsid w:val="00F60AAB"/>
    <w:rsid w:val="00F6170A"/>
    <w:rsid w:val="00F623F0"/>
    <w:rsid w:val="00F672BA"/>
    <w:rsid w:val="00F70713"/>
    <w:rsid w:val="00F7074D"/>
    <w:rsid w:val="00F71DC3"/>
    <w:rsid w:val="00F728F8"/>
    <w:rsid w:val="00F734DE"/>
    <w:rsid w:val="00F736D4"/>
    <w:rsid w:val="00F73AEC"/>
    <w:rsid w:val="00F741F8"/>
    <w:rsid w:val="00F7442B"/>
    <w:rsid w:val="00F74ABE"/>
    <w:rsid w:val="00F7527B"/>
    <w:rsid w:val="00F75C86"/>
    <w:rsid w:val="00F7679B"/>
    <w:rsid w:val="00F76803"/>
    <w:rsid w:val="00F76902"/>
    <w:rsid w:val="00F76D54"/>
    <w:rsid w:val="00F770EC"/>
    <w:rsid w:val="00F816C6"/>
    <w:rsid w:val="00F81BF5"/>
    <w:rsid w:val="00F81E85"/>
    <w:rsid w:val="00F82564"/>
    <w:rsid w:val="00F82648"/>
    <w:rsid w:val="00F826DD"/>
    <w:rsid w:val="00F83260"/>
    <w:rsid w:val="00F836C1"/>
    <w:rsid w:val="00F83C9D"/>
    <w:rsid w:val="00F83F39"/>
    <w:rsid w:val="00F845B9"/>
    <w:rsid w:val="00F84F92"/>
    <w:rsid w:val="00F85402"/>
    <w:rsid w:val="00F86EFB"/>
    <w:rsid w:val="00F87777"/>
    <w:rsid w:val="00F87E7C"/>
    <w:rsid w:val="00F90627"/>
    <w:rsid w:val="00F90B97"/>
    <w:rsid w:val="00F91B40"/>
    <w:rsid w:val="00F91DE7"/>
    <w:rsid w:val="00F92783"/>
    <w:rsid w:val="00F92884"/>
    <w:rsid w:val="00F92B56"/>
    <w:rsid w:val="00F92DBB"/>
    <w:rsid w:val="00F93304"/>
    <w:rsid w:val="00F9427A"/>
    <w:rsid w:val="00F953EF"/>
    <w:rsid w:val="00F9577D"/>
    <w:rsid w:val="00F95B0D"/>
    <w:rsid w:val="00F967CF"/>
    <w:rsid w:val="00F97DB1"/>
    <w:rsid w:val="00FA026A"/>
    <w:rsid w:val="00FA2695"/>
    <w:rsid w:val="00FA2753"/>
    <w:rsid w:val="00FA3045"/>
    <w:rsid w:val="00FA3A1C"/>
    <w:rsid w:val="00FA433F"/>
    <w:rsid w:val="00FA5243"/>
    <w:rsid w:val="00FA52F5"/>
    <w:rsid w:val="00FA6914"/>
    <w:rsid w:val="00FA6BE7"/>
    <w:rsid w:val="00FA711C"/>
    <w:rsid w:val="00FA72C7"/>
    <w:rsid w:val="00FA79CB"/>
    <w:rsid w:val="00FA7DF3"/>
    <w:rsid w:val="00FB0912"/>
    <w:rsid w:val="00FB10EF"/>
    <w:rsid w:val="00FB1381"/>
    <w:rsid w:val="00FB15B9"/>
    <w:rsid w:val="00FB23AE"/>
    <w:rsid w:val="00FB26D4"/>
    <w:rsid w:val="00FB28A4"/>
    <w:rsid w:val="00FB2950"/>
    <w:rsid w:val="00FB2E7F"/>
    <w:rsid w:val="00FB4120"/>
    <w:rsid w:val="00FB440E"/>
    <w:rsid w:val="00FB6077"/>
    <w:rsid w:val="00FB6621"/>
    <w:rsid w:val="00FB7064"/>
    <w:rsid w:val="00FB72AE"/>
    <w:rsid w:val="00FB7508"/>
    <w:rsid w:val="00FB7CA3"/>
    <w:rsid w:val="00FC0E39"/>
    <w:rsid w:val="00FC1EF9"/>
    <w:rsid w:val="00FC26F5"/>
    <w:rsid w:val="00FC31C2"/>
    <w:rsid w:val="00FC32E1"/>
    <w:rsid w:val="00FC42A4"/>
    <w:rsid w:val="00FC453F"/>
    <w:rsid w:val="00FC4708"/>
    <w:rsid w:val="00FC497D"/>
    <w:rsid w:val="00FC4A03"/>
    <w:rsid w:val="00FC5A0A"/>
    <w:rsid w:val="00FC5BD9"/>
    <w:rsid w:val="00FC5D1E"/>
    <w:rsid w:val="00FC61A4"/>
    <w:rsid w:val="00FC7CB0"/>
    <w:rsid w:val="00FD05C5"/>
    <w:rsid w:val="00FD0772"/>
    <w:rsid w:val="00FD11E4"/>
    <w:rsid w:val="00FD23D2"/>
    <w:rsid w:val="00FD28CA"/>
    <w:rsid w:val="00FD2941"/>
    <w:rsid w:val="00FD2ADC"/>
    <w:rsid w:val="00FD3EE4"/>
    <w:rsid w:val="00FD40AE"/>
    <w:rsid w:val="00FD4458"/>
    <w:rsid w:val="00FD575F"/>
    <w:rsid w:val="00FD5CAA"/>
    <w:rsid w:val="00FD6456"/>
    <w:rsid w:val="00FD677C"/>
    <w:rsid w:val="00FD78DF"/>
    <w:rsid w:val="00FD7A84"/>
    <w:rsid w:val="00FE03DE"/>
    <w:rsid w:val="00FE042F"/>
    <w:rsid w:val="00FE0FAE"/>
    <w:rsid w:val="00FE13C4"/>
    <w:rsid w:val="00FE1EB6"/>
    <w:rsid w:val="00FE350C"/>
    <w:rsid w:val="00FE36C9"/>
    <w:rsid w:val="00FE3B8A"/>
    <w:rsid w:val="00FE3CED"/>
    <w:rsid w:val="00FE3E76"/>
    <w:rsid w:val="00FE4065"/>
    <w:rsid w:val="00FE42A9"/>
    <w:rsid w:val="00FE4A87"/>
    <w:rsid w:val="00FE4B0D"/>
    <w:rsid w:val="00FE50EF"/>
    <w:rsid w:val="00FE65C5"/>
    <w:rsid w:val="00FE7264"/>
    <w:rsid w:val="00FE7F98"/>
    <w:rsid w:val="00FF06E2"/>
    <w:rsid w:val="00FF0B86"/>
    <w:rsid w:val="00FF0C4F"/>
    <w:rsid w:val="00FF10DB"/>
    <w:rsid w:val="00FF1F7C"/>
    <w:rsid w:val="00FF2071"/>
    <w:rsid w:val="00FF2C2F"/>
    <w:rsid w:val="00FF3AB1"/>
    <w:rsid w:val="00FF4175"/>
    <w:rsid w:val="00FF4972"/>
    <w:rsid w:val="00FF4B78"/>
    <w:rsid w:val="00FF4F2D"/>
    <w:rsid w:val="00FF57F6"/>
    <w:rsid w:val="00FF59FE"/>
    <w:rsid w:val="00FF5AEF"/>
    <w:rsid w:val="00FF6BD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4:docId w14:val="0C5C0839"/>
  <w15:chartTrackingRefBased/>
  <w15:docId w15:val="{1A7BFD83-EFAB-48DF-9176-AEF71C24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BD2"/>
    <w:rPr>
      <w:rFonts w:ascii="Times New Roman" w:hAnsi="Times New Roman" w:cs="Times New Roman"/>
      <w:sz w:val="22"/>
      <w:szCs w:val="22"/>
      <w:lang w:eastAsia="en-US"/>
    </w:rPr>
  </w:style>
  <w:style w:type="paragraph" w:styleId="Heading1">
    <w:name w:val="heading 1"/>
    <w:basedOn w:val="Normal"/>
    <w:link w:val="Heading1Char"/>
    <w:uiPriority w:val="1"/>
    <w:qFormat/>
    <w:rsid w:val="00C831C4"/>
    <w:pPr>
      <w:widowControl w:val="0"/>
      <w:outlineLvl w:val="0"/>
    </w:pPr>
    <w:rPr>
      <w:b/>
      <w:bCs/>
      <w:cap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rFonts w:ascii="Times New Roman" w:hAnsi="Times New Roman" w:cs="Times New Roman" w:hint="default"/>
      <w:color w:val="0000FF"/>
      <w:u w:val="single"/>
    </w:rPr>
  </w:style>
  <w:style w:type="character" w:styleId="FollowedHyperlink">
    <w:name w:val="FollowedHyperlink"/>
    <w:uiPriority w:val="99"/>
    <w:semiHidden/>
    <w:unhideWhenUsed/>
    <w:rPr>
      <w:color w:val="800080"/>
      <w:u w:val="single"/>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unhideWhenUsed/>
    <w:qFormat/>
    <w:rPr>
      <w:sz w:val="20"/>
      <w:szCs w:val="20"/>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locked/>
    <w:rPr>
      <w:rFonts w:ascii="Times New Roman" w:hAnsi="Times New Roman" w:cs="Times New Roman" w:hint="default"/>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cs="Times New Roman" w:hint="default"/>
      <w:b/>
      <w:bCs w:val="0"/>
      <w:sz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locked/>
    <w:rPr>
      <w:rFonts w:ascii="Tahoma" w:hAnsi="Tahoma" w:cs="Times New Roman" w:hint="default"/>
      <w:sz w:val="16"/>
    </w:rPr>
  </w:style>
  <w:style w:type="paragraph" w:styleId="Revision">
    <w:name w:val="Revision"/>
    <w:uiPriority w:val="99"/>
    <w:semiHidden/>
    <w:rPr>
      <w:rFonts w:cs="Times New Roman"/>
      <w:sz w:val="22"/>
      <w:szCs w:val="22"/>
      <w:lang w:eastAsia="en-US"/>
    </w:rPr>
  </w:style>
  <w:style w:type="paragraph" w:styleId="ListParagraph">
    <w:name w:val="List Paragraph"/>
    <w:basedOn w:val="Normal"/>
    <w:uiPriority w:val="34"/>
    <w:qFormat/>
    <w:pPr>
      <w:ind w:left="720"/>
    </w:p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lang w:eastAsia="en-US"/>
    </w:rPr>
  </w:style>
  <w:style w:type="paragraph" w:customStyle="1" w:styleId="CM1">
    <w:name w:val="CM1"/>
    <w:basedOn w:val="Default"/>
    <w:next w:val="Default"/>
    <w:uiPriority w:val="99"/>
    <w:pPr>
      <w:spacing w:line="518" w:lineRule="atLeast"/>
    </w:pPr>
    <w:rPr>
      <w:color w:val="auto"/>
    </w:rPr>
  </w:style>
  <w:style w:type="paragraph" w:customStyle="1" w:styleId="CM140">
    <w:name w:val="CM140"/>
    <w:basedOn w:val="Default"/>
    <w:next w:val="Default"/>
    <w:uiPriority w:val="99"/>
    <w:rPr>
      <w:color w:val="auto"/>
    </w:rPr>
  </w:style>
  <w:style w:type="paragraph" w:customStyle="1" w:styleId="CM141">
    <w:name w:val="CM141"/>
    <w:basedOn w:val="Default"/>
    <w:next w:val="Default"/>
    <w:uiPriority w:val="99"/>
    <w:rPr>
      <w:color w:val="auto"/>
    </w:rPr>
  </w:style>
  <w:style w:type="paragraph" w:customStyle="1" w:styleId="CM142">
    <w:name w:val="CM142"/>
    <w:basedOn w:val="Default"/>
    <w:next w:val="Default"/>
    <w:uiPriority w:val="99"/>
    <w:rPr>
      <w:color w:val="auto"/>
    </w:rPr>
  </w:style>
  <w:style w:type="paragraph" w:customStyle="1" w:styleId="CM2">
    <w:name w:val="CM2"/>
    <w:basedOn w:val="Default"/>
    <w:next w:val="Default"/>
    <w:uiPriority w:val="99"/>
    <w:pPr>
      <w:spacing w:line="388" w:lineRule="atLeast"/>
    </w:pPr>
    <w:rPr>
      <w:color w:val="auto"/>
    </w:rPr>
  </w:style>
  <w:style w:type="paragraph" w:customStyle="1" w:styleId="CM143">
    <w:name w:val="CM143"/>
    <w:basedOn w:val="Default"/>
    <w:next w:val="Default"/>
    <w:uiPriority w:val="99"/>
    <w:rPr>
      <w:color w:val="auto"/>
    </w:rPr>
  </w:style>
  <w:style w:type="paragraph" w:customStyle="1" w:styleId="CM3">
    <w:name w:val="CM3"/>
    <w:basedOn w:val="Default"/>
    <w:next w:val="Default"/>
    <w:uiPriority w:val="99"/>
    <w:pPr>
      <w:spacing w:line="518" w:lineRule="atLeast"/>
    </w:pPr>
    <w:rPr>
      <w:color w:val="auto"/>
    </w:rPr>
  </w:style>
  <w:style w:type="paragraph" w:customStyle="1" w:styleId="CM4">
    <w:name w:val="CM4"/>
    <w:basedOn w:val="Default"/>
    <w:next w:val="Default"/>
    <w:uiPriority w:val="99"/>
    <w:pPr>
      <w:spacing w:line="518" w:lineRule="atLeast"/>
    </w:pPr>
    <w:rPr>
      <w:color w:val="auto"/>
    </w:rPr>
  </w:style>
  <w:style w:type="paragraph" w:customStyle="1" w:styleId="CM5">
    <w:name w:val="CM5"/>
    <w:basedOn w:val="Default"/>
    <w:next w:val="Default"/>
    <w:uiPriority w:val="99"/>
    <w:pPr>
      <w:spacing w:line="260" w:lineRule="atLeast"/>
    </w:pPr>
    <w:rPr>
      <w:color w:val="auto"/>
    </w:rPr>
  </w:style>
  <w:style w:type="paragraph" w:customStyle="1" w:styleId="CM6">
    <w:name w:val="CM6"/>
    <w:basedOn w:val="Default"/>
    <w:next w:val="Default"/>
    <w:uiPriority w:val="99"/>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9">
    <w:name w:val="CM9"/>
    <w:basedOn w:val="Default"/>
    <w:next w:val="Default"/>
    <w:uiPriority w:val="99"/>
    <w:pPr>
      <w:spacing w:line="260" w:lineRule="atLeast"/>
    </w:pPr>
    <w:rPr>
      <w:color w:val="auto"/>
    </w:rPr>
  </w:style>
  <w:style w:type="paragraph" w:customStyle="1" w:styleId="CM7">
    <w:name w:val="CM7"/>
    <w:basedOn w:val="Default"/>
    <w:next w:val="Default"/>
    <w:uiPriority w:val="99"/>
    <w:pPr>
      <w:spacing w:line="260" w:lineRule="atLeast"/>
    </w:pPr>
    <w:rPr>
      <w:color w:val="auto"/>
    </w:rPr>
  </w:style>
  <w:style w:type="paragraph" w:customStyle="1" w:styleId="CM11">
    <w:name w:val="CM11"/>
    <w:basedOn w:val="Default"/>
    <w:next w:val="Default"/>
    <w:uiPriority w:val="99"/>
    <w:pPr>
      <w:spacing w:line="260" w:lineRule="atLeast"/>
    </w:pPr>
    <w:rPr>
      <w:color w:val="auto"/>
    </w:rPr>
  </w:style>
  <w:style w:type="paragraph" w:customStyle="1" w:styleId="CM10">
    <w:name w:val="CM10"/>
    <w:basedOn w:val="Default"/>
    <w:next w:val="Default"/>
    <w:uiPriority w:val="99"/>
    <w:pPr>
      <w:spacing w:line="260" w:lineRule="atLeast"/>
    </w:pPr>
    <w:rPr>
      <w:color w:val="auto"/>
    </w:rPr>
  </w:style>
  <w:style w:type="paragraph" w:customStyle="1" w:styleId="CM13">
    <w:name w:val="CM13"/>
    <w:basedOn w:val="Default"/>
    <w:next w:val="Default"/>
    <w:uiPriority w:val="99"/>
    <w:pPr>
      <w:spacing w:line="260" w:lineRule="atLeast"/>
    </w:pPr>
    <w:rPr>
      <w:color w:val="auto"/>
    </w:rPr>
  </w:style>
  <w:style w:type="paragraph" w:customStyle="1" w:styleId="CM14">
    <w:name w:val="CM14"/>
    <w:basedOn w:val="Default"/>
    <w:next w:val="Default"/>
    <w:uiPriority w:val="99"/>
    <w:pPr>
      <w:spacing w:line="260" w:lineRule="atLeast"/>
    </w:pPr>
    <w:rPr>
      <w:color w:val="auto"/>
    </w:rPr>
  </w:style>
  <w:style w:type="paragraph" w:customStyle="1" w:styleId="CM15">
    <w:name w:val="CM15"/>
    <w:basedOn w:val="Default"/>
    <w:next w:val="Default"/>
    <w:uiPriority w:val="99"/>
    <w:pPr>
      <w:spacing w:line="260" w:lineRule="atLeast"/>
    </w:pPr>
    <w:rPr>
      <w:color w:val="auto"/>
    </w:rPr>
  </w:style>
  <w:style w:type="paragraph" w:customStyle="1" w:styleId="CM17">
    <w:name w:val="CM17"/>
    <w:basedOn w:val="Default"/>
    <w:next w:val="Default"/>
    <w:uiPriority w:val="99"/>
    <w:pPr>
      <w:spacing w:line="260" w:lineRule="atLeast"/>
    </w:pPr>
    <w:rPr>
      <w:color w:val="auto"/>
    </w:rPr>
  </w:style>
  <w:style w:type="paragraph" w:customStyle="1" w:styleId="CM18">
    <w:name w:val="CM18"/>
    <w:basedOn w:val="Default"/>
    <w:next w:val="Default"/>
    <w:uiPriority w:val="99"/>
    <w:pPr>
      <w:spacing w:line="260" w:lineRule="atLeast"/>
    </w:pPr>
    <w:rPr>
      <w:color w:val="auto"/>
    </w:rPr>
  </w:style>
  <w:style w:type="paragraph" w:customStyle="1" w:styleId="CM16">
    <w:name w:val="CM16"/>
    <w:basedOn w:val="Default"/>
    <w:next w:val="Default"/>
    <w:uiPriority w:val="99"/>
    <w:pPr>
      <w:spacing w:line="260" w:lineRule="atLeast"/>
    </w:pPr>
    <w:rPr>
      <w:color w:val="auto"/>
    </w:rPr>
  </w:style>
  <w:style w:type="paragraph" w:customStyle="1" w:styleId="CM12">
    <w:name w:val="CM12"/>
    <w:basedOn w:val="Default"/>
    <w:next w:val="Default"/>
    <w:uiPriority w:val="99"/>
    <w:pPr>
      <w:spacing w:line="260" w:lineRule="atLeast"/>
    </w:pPr>
    <w:rPr>
      <w:color w:val="auto"/>
    </w:rPr>
  </w:style>
  <w:style w:type="paragraph" w:customStyle="1" w:styleId="CM146">
    <w:name w:val="CM146"/>
    <w:basedOn w:val="Default"/>
    <w:next w:val="Default"/>
    <w:uiPriority w:val="99"/>
    <w:rPr>
      <w:color w:val="auto"/>
    </w:rPr>
  </w:style>
  <w:style w:type="paragraph" w:customStyle="1" w:styleId="CM19">
    <w:name w:val="CM19"/>
    <w:basedOn w:val="Default"/>
    <w:next w:val="Default"/>
    <w:uiPriority w:val="99"/>
    <w:pPr>
      <w:spacing w:line="260" w:lineRule="atLeast"/>
    </w:pPr>
    <w:rPr>
      <w:color w:val="auto"/>
    </w:rPr>
  </w:style>
  <w:style w:type="paragraph" w:customStyle="1" w:styleId="CM20">
    <w:name w:val="CM20"/>
    <w:basedOn w:val="Default"/>
    <w:next w:val="Default"/>
    <w:uiPriority w:val="99"/>
    <w:rPr>
      <w:color w:val="auto"/>
    </w:rPr>
  </w:style>
  <w:style w:type="paragraph" w:customStyle="1" w:styleId="CM21">
    <w:name w:val="CM21"/>
    <w:basedOn w:val="Default"/>
    <w:next w:val="Default"/>
    <w:uiPriority w:val="99"/>
    <w:rPr>
      <w:color w:val="auto"/>
    </w:rPr>
  </w:style>
  <w:style w:type="paragraph" w:customStyle="1" w:styleId="CM22">
    <w:name w:val="CM22"/>
    <w:basedOn w:val="Default"/>
    <w:next w:val="Default"/>
    <w:uiPriority w:val="99"/>
    <w:pPr>
      <w:spacing w:line="260" w:lineRule="atLeast"/>
    </w:pPr>
    <w:rPr>
      <w:color w:val="auto"/>
    </w:rPr>
  </w:style>
  <w:style w:type="paragraph" w:customStyle="1" w:styleId="CM149">
    <w:name w:val="CM149"/>
    <w:basedOn w:val="Default"/>
    <w:next w:val="Default"/>
    <w:uiPriority w:val="99"/>
    <w:rPr>
      <w:color w:val="auto"/>
    </w:rPr>
  </w:style>
  <w:style w:type="paragraph" w:customStyle="1" w:styleId="CM24">
    <w:name w:val="CM24"/>
    <w:basedOn w:val="Default"/>
    <w:next w:val="Default"/>
    <w:uiPriority w:val="99"/>
    <w:pPr>
      <w:spacing w:line="263" w:lineRule="atLeast"/>
    </w:pPr>
    <w:rPr>
      <w:color w:val="auto"/>
    </w:rPr>
  </w:style>
  <w:style w:type="paragraph" w:customStyle="1" w:styleId="CM25">
    <w:name w:val="CM25"/>
    <w:basedOn w:val="Default"/>
    <w:next w:val="Default"/>
    <w:uiPriority w:val="99"/>
    <w:rPr>
      <w:color w:val="auto"/>
    </w:rPr>
  </w:style>
  <w:style w:type="paragraph" w:customStyle="1" w:styleId="CM26">
    <w:name w:val="CM26"/>
    <w:basedOn w:val="Default"/>
    <w:next w:val="Default"/>
    <w:uiPriority w:val="99"/>
    <w:pPr>
      <w:spacing w:line="323" w:lineRule="atLeast"/>
    </w:pPr>
    <w:rPr>
      <w:color w:val="auto"/>
    </w:rPr>
  </w:style>
  <w:style w:type="paragraph" w:customStyle="1" w:styleId="CM27">
    <w:name w:val="CM27"/>
    <w:basedOn w:val="Default"/>
    <w:next w:val="Default"/>
    <w:uiPriority w:val="99"/>
    <w:pPr>
      <w:spacing w:line="323" w:lineRule="atLeast"/>
    </w:pPr>
    <w:rPr>
      <w:color w:val="auto"/>
    </w:rPr>
  </w:style>
  <w:style w:type="paragraph" w:customStyle="1" w:styleId="CM29">
    <w:name w:val="CM29"/>
    <w:basedOn w:val="Default"/>
    <w:next w:val="Default"/>
    <w:uiPriority w:val="99"/>
    <w:pPr>
      <w:spacing w:line="283" w:lineRule="atLeast"/>
    </w:pPr>
    <w:rPr>
      <w:color w:val="auto"/>
    </w:rPr>
  </w:style>
  <w:style w:type="paragraph" w:customStyle="1" w:styleId="CM30">
    <w:name w:val="CM30"/>
    <w:basedOn w:val="Default"/>
    <w:next w:val="Default"/>
    <w:uiPriority w:val="99"/>
    <w:pPr>
      <w:spacing w:line="260" w:lineRule="atLeast"/>
    </w:pPr>
    <w:rPr>
      <w:color w:val="auto"/>
    </w:rPr>
  </w:style>
  <w:style w:type="paragraph" w:customStyle="1" w:styleId="CM31">
    <w:name w:val="CM31"/>
    <w:basedOn w:val="Default"/>
    <w:next w:val="Default"/>
    <w:uiPriority w:val="99"/>
    <w:pPr>
      <w:spacing w:line="518" w:lineRule="atLeast"/>
    </w:pPr>
    <w:rPr>
      <w:color w:val="auto"/>
    </w:rPr>
  </w:style>
  <w:style w:type="paragraph" w:customStyle="1" w:styleId="CM32">
    <w:name w:val="CM32"/>
    <w:basedOn w:val="Default"/>
    <w:next w:val="Default"/>
    <w:uiPriority w:val="99"/>
    <w:pPr>
      <w:spacing w:line="260" w:lineRule="atLeast"/>
    </w:pPr>
    <w:rPr>
      <w:color w:val="auto"/>
    </w:rPr>
  </w:style>
  <w:style w:type="paragraph" w:customStyle="1" w:styleId="CM28">
    <w:name w:val="CM28"/>
    <w:basedOn w:val="Default"/>
    <w:next w:val="Default"/>
    <w:uiPriority w:val="99"/>
    <w:pPr>
      <w:spacing w:line="260" w:lineRule="atLeast"/>
    </w:pPr>
    <w:rPr>
      <w:color w:val="auto"/>
    </w:rPr>
  </w:style>
  <w:style w:type="paragraph" w:customStyle="1" w:styleId="CM156">
    <w:name w:val="CM156"/>
    <w:basedOn w:val="Default"/>
    <w:next w:val="Default"/>
    <w:uiPriority w:val="99"/>
    <w:rPr>
      <w:color w:val="auto"/>
    </w:rPr>
  </w:style>
  <w:style w:type="paragraph" w:customStyle="1" w:styleId="CM33">
    <w:name w:val="CM33"/>
    <w:basedOn w:val="Default"/>
    <w:next w:val="Default"/>
    <w:uiPriority w:val="99"/>
    <w:pPr>
      <w:spacing w:line="260" w:lineRule="atLeast"/>
    </w:pPr>
    <w:rPr>
      <w:color w:val="auto"/>
    </w:rPr>
  </w:style>
  <w:style w:type="paragraph" w:customStyle="1" w:styleId="CM34">
    <w:name w:val="CM34"/>
    <w:basedOn w:val="Default"/>
    <w:next w:val="Default"/>
    <w:uiPriority w:val="99"/>
    <w:pPr>
      <w:spacing w:line="260" w:lineRule="atLeast"/>
    </w:pPr>
    <w:rPr>
      <w:color w:val="auto"/>
    </w:rPr>
  </w:style>
  <w:style w:type="paragraph" w:customStyle="1" w:styleId="CM35">
    <w:name w:val="CM35"/>
    <w:basedOn w:val="Default"/>
    <w:next w:val="Default"/>
    <w:uiPriority w:val="99"/>
    <w:pPr>
      <w:spacing w:line="260" w:lineRule="atLeast"/>
    </w:pPr>
    <w:rPr>
      <w:color w:val="auto"/>
    </w:rPr>
  </w:style>
  <w:style w:type="paragraph" w:customStyle="1" w:styleId="CM157">
    <w:name w:val="CM157"/>
    <w:basedOn w:val="Default"/>
    <w:next w:val="Default"/>
    <w:uiPriority w:val="99"/>
    <w:rPr>
      <w:color w:val="auto"/>
    </w:rPr>
  </w:style>
  <w:style w:type="paragraph" w:customStyle="1" w:styleId="CM36">
    <w:name w:val="CM36"/>
    <w:basedOn w:val="Default"/>
    <w:next w:val="Default"/>
    <w:uiPriority w:val="99"/>
    <w:pPr>
      <w:spacing w:line="448" w:lineRule="atLeast"/>
    </w:pPr>
    <w:rPr>
      <w:color w:val="auto"/>
    </w:rPr>
  </w:style>
  <w:style w:type="paragraph" w:customStyle="1" w:styleId="CM158">
    <w:name w:val="CM158"/>
    <w:basedOn w:val="Default"/>
    <w:next w:val="Default"/>
    <w:uiPriority w:val="99"/>
    <w:rPr>
      <w:color w:val="auto"/>
    </w:rPr>
  </w:style>
  <w:style w:type="paragraph" w:customStyle="1" w:styleId="CM37">
    <w:name w:val="CM37"/>
    <w:basedOn w:val="Default"/>
    <w:next w:val="Default"/>
    <w:uiPriority w:val="99"/>
    <w:pPr>
      <w:spacing w:line="348" w:lineRule="atLeast"/>
    </w:pPr>
    <w:rPr>
      <w:color w:val="auto"/>
    </w:rPr>
  </w:style>
  <w:style w:type="paragraph" w:customStyle="1" w:styleId="CM38">
    <w:name w:val="CM38"/>
    <w:basedOn w:val="Default"/>
    <w:next w:val="Default"/>
    <w:uiPriority w:val="99"/>
    <w:pPr>
      <w:spacing w:line="391" w:lineRule="atLeast"/>
    </w:pPr>
    <w:rPr>
      <w:color w:val="auto"/>
    </w:rPr>
  </w:style>
  <w:style w:type="paragraph" w:customStyle="1" w:styleId="CM159">
    <w:name w:val="CM159"/>
    <w:basedOn w:val="Default"/>
    <w:next w:val="Default"/>
    <w:uiPriority w:val="99"/>
    <w:rPr>
      <w:color w:val="auto"/>
    </w:rPr>
  </w:style>
  <w:style w:type="paragraph" w:customStyle="1" w:styleId="CM39">
    <w:name w:val="CM39"/>
    <w:basedOn w:val="Default"/>
    <w:next w:val="Default"/>
    <w:uiPriority w:val="99"/>
    <w:pPr>
      <w:spacing w:line="260" w:lineRule="atLeast"/>
    </w:pPr>
    <w:rPr>
      <w:color w:val="auto"/>
    </w:rPr>
  </w:style>
  <w:style w:type="paragraph" w:customStyle="1" w:styleId="CM41">
    <w:name w:val="CM41"/>
    <w:basedOn w:val="Default"/>
    <w:next w:val="Default"/>
    <w:uiPriority w:val="99"/>
    <w:pPr>
      <w:spacing w:line="260" w:lineRule="atLeast"/>
    </w:pPr>
    <w:rPr>
      <w:color w:val="auto"/>
    </w:rPr>
  </w:style>
  <w:style w:type="paragraph" w:customStyle="1" w:styleId="CM42">
    <w:name w:val="CM42"/>
    <w:basedOn w:val="Default"/>
    <w:next w:val="Default"/>
    <w:uiPriority w:val="99"/>
    <w:pPr>
      <w:spacing w:line="323" w:lineRule="atLeast"/>
    </w:pPr>
    <w:rPr>
      <w:color w:val="auto"/>
    </w:rPr>
  </w:style>
  <w:style w:type="paragraph" w:customStyle="1" w:styleId="CM43">
    <w:name w:val="CM43"/>
    <w:basedOn w:val="Default"/>
    <w:next w:val="Default"/>
    <w:uiPriority w:val="99"/>
    <w:pPr>
      <w:spacing w:line="260" w:lineRule="atLeast"/>
    </w:pPr>
    <w:rPr>
      <w:color w:val="auto"/>
    </w:rPr>
  </w:style>
  <w:style w:type="paragraph" w:customStyle="1" w:styleId="CM40">
    <w:name w:val="CM40"/>
    <w:basedOn w:val="Default"/>
    <w:next w:val="Default"/>
    <w:uiPriority w:val="99"/>
    <w:pPr>
      <w:spacing w:line="260" w:lineRule="atLeast"/>
    </w:pPr>
    <w:rPr>
      <w:color w:val="auto"/>
    </w:rPr>
  </w:style>
  <w:style w:type="paragraph" w:customStyle="1" w:styleId="CM163">
    <w:name w:val="CM163"/>
    <w:basedOn w:val="Default"/>
    <w:next w:val="Default"/>
    <w:uiPriority w:val="99"/>
    <w:rPr>
      <w:color w:val="auto"/>
    </w:rPr>
  </w:style>
  <w:style w:type="paragraph" w:customStyle="1" w:styleId="CM44">
    <w:name w:val="CM44"/>
    <w:basedOn w:val="Default"/>
    <w:next w:val="Default"/>
    <w:uiPriority w:val="99"/>
    <w:pPr>
      <w:spacing w:line="276" w:lineRule="atLeast"/>
    </w:pPr>
    <w:rPr>
      <w:color w:val="auto"/>
    </w:rPr>
  </w:style>
  <w:style w:type="paragraph" w:customStyle="1" w:styleId="CM45">
    <w:name w:val="CM45"/>
    <w:basedOn w:val="Default"/>
    <w:next w:val="Default"/>
    <w:uiPriority w:val="99"/>
    <w:pPr>
      <w:spacing w:line="263" w:lineRule="atLeast"/>
    </w:pPr>
    <w:rPr>
      <w:color w:val="auto"/>
    </w:rPr>
  </w:style>
  <w:style w:type="paragraph" w:customStyle="1" w:styleId="CM46">
    <w:name w:val="CM46"/>
    <w:basedOn w:val="Default"/>
    <w:next w:val="Default"/>
    <w:uiPriority w:val="99"/>
    <w:pPr>
      <w:spacing w:line="260" w:lineRule="atLeast"/>
    </w:pPr>
    <w:rPr>
      <w:color w:val="auto"/>
    </w:rPr>
  </w:style>
  <w:style w:type="paragraph" w:customStyle="1" w:styleId="CM47">
    <w:name w:val="CM47"/>
    <w:basedOn w:val="Default"/>
    <w:next w:val="Default"/>
    <w:uiPriority w:val="99"/>
    <w:rPr>
      <w:color w:val="auto"/>
    </w:rPr>
  </w:style>
  <w:style w:type="paragraph" w:customStyle="1" w:styleId="CM48">
    <w:name w:val="CM48"/>
    <w:basedOn w:val="Default"/>
    <w:next w:val="Default"/>
    <w:uiPriority w:val="99"/>
    <w:rPr>
      <w:color w:val="auto"/>
    </w:rPr>
  </w:style>
  <w:style w:type="paragraph" w:customStyle="1" w:styleId="CM49">
    <w:name w:val="CM49"/>
    <w:basedOn w:val="Default"/>
    <w:next w:val="Default"/>
    <w:uiPriority w:val="99"/>
    <w:rPr>
      <w:color w:val="auto"/>
    </w:rPr>
  </w:style>
  <w:style w:type="paragraph" w:customStyle="1" w:styleId="CM50">
    <w:name w:val="CM50"/>
    <w:basedOn w:val="Default"/>
    <w:next w:val="Default"/>
    <w:uiPriority w:val="99"/>
    <w:pPr>
      <w:spacing w:line="260" w:lineRule="atLeast"/>
    </w:pPr>
    <w:rPr>
      <w:color w:val="auto"/>
    </w:rPr>
  </w:style>
  <w:style w:type="paragraph" w:customStyle="1" w:styleId="CM23">
    <w:name w:val="CM23"/>
    <w:basedOn w:val="Default"/>
    <w:next w:val="Default"/>
    <w:uiPriority w:val="99"/>
    <w:pPr>
      <w:spacing w:line="260" w:lineRule="atLeast"/>
    </w:pPr>
    <w:rPr>
      <w:color w:val="auto"/>
    </w:rPr>
  </w:style>
  <w:style w:type="paragraph" w:customStyle="1" w:styleId="CM53">
    <w:name w:val="CM53"/>
    <w:basedOn w:val="Default"/>
    <w:next w:val="Default"/>
    <w:uiPriority w:val="99"/>
    <w:pPr>
      <w:spacing w:line="260" w:lineRule="atLeast"/>
    </w:pPr>
    <w:rPr>
      <w:color w:val="auto"/>
    </w:rPr>
  </w:style>
  <w:style w:type="paragraph" w:customStyle="1" w:styleId="CM54">
    <w:name w:val="CM54"/>
    <w:basedOn w:val="Default"/>
    <w:next w:val="Default"/>
    <w:uiPriority w:val="99"/>
    <w:pPr>
      <w:spacing w:line="260" w:lineRule="atLeast"/>
    </w:pPr>
    <w:rPr>
      <w:color w:val="auto"/>
    </w:rPr>
  </w:style>
  <w:style w:type="paragraph" w:customStyle="1" w:styleId="CM55">
    <w:name w:val="CM55"/>
    <w:basedOn w:val="Default"/>
    <w:next w:val="Default"/>
    <w:uiPriority w:val="99"/>
    <w:pPr>
      <w:spacing w:line="268" w:lineRule="atLeast"/>
    </w:pPr>
    <w:rPr>
      <w:color w:val="auto"/>
    </w:rPr>
  </w:style>
  <w:style w:type="paragraph" w:customStyle="1" w:styleId="CM147">
    <w:name w:val="CM147"/>
    <w:basedOn w:val="Default"/>
    <w:next w:val="Default"/>
    <w:uiPriority w:val="99"/>
    <w:rPr>
      <w:color w:val="auto"/>
    </w:rPr>
  </w:style>
  <w:style w:type="paragraph" w:customStyle="1" w:styleId="CM56">
    <w:name w:val="CM56"/>
    <w:basedOn w:val="Default"/>
    <w:next w:val="Default"/>
    <w:uiPriority w:val="99"/>
    <w:pPr>
      <w:spacing w:line="260" w:lineRule="atLeast"/>
    </w:pPr>
    <w:rPr>
      <w:color w:val="auto"/>
    </w:rPr>
  </w:style>
  <w:style w:type="paragraph" w:customStyle="1" w:styleId="CM84">
    <w:name w:val="CM84"/>
    <w:basedOn w:val="Default"/>
    <w:next w:val="Default"/>
    <w:uiPriority w:val="99"/>
    <w:pPr>
      <w:spacing w:line="260" w:lineRule="atLeast"/>
    </w:pPr>
    <w:rPr>
      <w:color w:val="auto"/>
    </w:rPr>
  </w:style>
  <w:style w:type="paragraph" w:customStyle="1" w:styleId="CM57">
    <w:name w:val="CM57"/>
    <w:basedOn w:val="Default"/>
    <w:next w:val="Default"/>
    <w:uiPriority w:val="99"/>
    <w:pPr>
      <w:spacing w:line="476" w:lineRule="atLeast"/>
    </w:pPr>
    <w:rPr>
      <w:color w:val="auto"/>
    </w:rPr>
  </w:style>
  <w:style w:type="paragraph" w:customStyle="1" w:styleId="CM58">
    <w:name w:val="CM58"/>
    <w:basedOn w:val="Default"/>
    <w:next w:val="Default"/>
    <w:uiPriority w:val="99"/>
    <w:pPr>
      <w:spacing w:line="260" w:lineRule="atLeast"/>
    </w:pPr>
    <w:rPr>
      <w:color w:val="auto"/>
    </w:rPr>
  </w:style>
  <w:style w:type="paragraph" w:customStyle="1" w:styleId="CM59">
    <w:name w:val="CM59"/>
    <w:basedOn w:val="Default"/>
    <w:next w:val="Default"/>
    <w:uiPriority w:val="99"/>
    <w:pPr>
      <w:spacing w:line="260" w:lineRule="atLeast"/>
    </w:pPr>
    <w:rPr>
      <w:color w:val="auto"/>
    </w:rPr>
  </w:style>
  <w:style w:type="paragraph" w:customStyle="1" w:styleId="CM60">
    <w:name w:val="CM60"/>
    <w:basedOn w:val="Default"/>
    <w:next w:val="Default"/>
    <w:uiPriority w:val="99"/>
    <w:pPr>
      <w:spacing w:line="260" w:lineRule="atLeast"/>
    </w:pPr>
    <w:rPr>
      <w:color w:val="auto"/>
    </w:rPr>
  </w:style>
  <w:style w:type="paragraph" w:customStyle="1" w:styleId="CM62">
    <w:name w:val="CM62"/>
    <w:basedOn w:val="Default"/>
    <w:next w:val="Default"/>
    <w:uiPriority w:val="99"/>
    <w:pPr>
      <w:spacing w:line="260" w:lineRule="atLeast"/>
    </w:pPr>
    <w:rPr>
      <w:color w:val="auto"/>
    </w:rPr>
  </w:style>
  <w:style w:type="paragraph" w:customStyle="1" w:styleId="CM64">
    <w:name w:val="CM64"/>
    <w:basedOn w:val="Default"/>
    <w:next w:val="Default"/>
    <w:uiPriority w:val="99"/>
    <w:pPr>
      <w:spacing w:line="260" w:lineRule="atLeast"/>
    </w:pPr>
    <w:rPr>
      <w:color w:val="auto"/>
    </w:rPr>
  </w:style>
  <w:style w:type="paragraph" w:customStyle="1" w:styleId="CM148">
    <w:name w:val="CM148"/>
    <w:basedOn w:val="Default"/>
    <w:next w:val="Default"/>
    <w:uiPriority w:val="99"/>
    <w:rPr>
      <w:color w:val="auto"/>
    </w:rPr>
  </w:style>
  <w:style w:type="paragraph" w:customStyle="1" w:styleId="CM65">
    <w:name w:val="CM65"/>
    <w:basedOn w:val="Default"/>
    <w:next w:val="Default"/>
    <w:uiPriority w:val="99"/>
    <w:rPr>
      <w:color w:val="auto"/>
    </w:rPr>
  </w:style>
  <w:style w:type="paragraph" w:customStyle="1" w:styleId="CM150">
    <w:name w:val="CM150"/>
    <w:basedOn w:val="Default"/>
    <w:next w:val="Default"/>
    <w:uiPriority w:val="99"/>
    <w:rPr>
      <w:color w:val="auto"/>
    </w:rPr>
  </w:style>
  <w:style w:type="paragraph" w:customStyle="1" w:styleId="CM66">
    <w:name w:val="CM66"/>
    <w:basedOn w:val="Default"/>
    <w:next w:val="Default"/>
    <w:uiPriority w:val="99"/>
    <w:pPr>
      <w:spacing w:line="518" w:lineRule="atLeast"/>
    </w:pPr>
    <w:rPr>
      <w:color w:val="auto"/>
    </w:rPr>
  </w:style>
  <w:style w:type="paragraph" w:customStyle="1" w:styleId="CM67">
    <w:name w:val="CM67"/>
    <w:basedOn w:val="Default"/>
    <w:next w:val="Default"/>
    <w:uiPriority w:val="99"/>
    <w:pPr>
      <w:spacing w:line="518" w:lineRule="atLeast"/>
    </w:pPr>
    <w:rPr>
      <w:color w:val="auto"/>
    </w:rPr>
  </w:style>
  <w:style w:type="paragraph" w:customStyle="1" w:styleId="CM170">
    <w:name w:val="CM170"/>
    <w:basedOn w:val="Default"/>
    <w:next w:val="Default"/>
    <w:uiPriority w:val="99"/>
    <w:rPr>
      <w:color w:val="auto"/>
    </w:rPr>
  </w:style>
  <w:style w:type="paragraph" w:customStyle="1" w:styleId="CM68">
    <w:name w:val="CM68"/>
    <w:basedOn w:val="Default"/>
    <w:next w:val="Default"/>
    <w:uiPriority w:val="99"/>
    <w:pPr>
      <w:spacing w:line="518" w:lineRule="atLeast"/>
    </w:pPr>
    <w:rPr>
      <w:color w:val="auto"/>
    </w:rPr>
  </w:style>
  <w:style w:type="paragraph" w:customStyle="1" w:styleId="CM73">
    <w:name w:val="CM73"/>
    <w:basedOn w:val="Default"/>
    <w:next w:val="Default"/>
    <w:uiPriority w:val="99"/>
    <w:pPr>
      <w:spacing w:line="260" w:lineRule="atLeast"/>
    </w:pPr>
    <w:rPr>
      <w:color w:val="auto"/>
    </w:rPr>
  </w:style>
  <w:style w:type="paragraph" w:customStyle="1" w:styleId="CM79">
    <w:name w:val="CM79"/>
    <w:basedOn w:val="Default"/>
    <w:next w:val="Default"/>
    <w:uiPriority w:val="99"/>
    <w:pPr>
      <w:spacing w:line="260" w:lineRule="atLeast"/>
    </w:pPr>
    <w:rPr>
      <w:color w:val="auto"/>
    </w:rPr>
  </w:style>
  <w:style w:type="paragraph" w:customStyle="1" w:styleId="CM82">
    <w:name w:val="CM82"/>
    <w:basedOn w:val="Default"/>
    <w:next w:val="Default"/>
    <w:uiPriority w:val="99"/>
    <w:pPr>
      <w:spacing w:line="260" w:lineRule="atLeast"/>
    </w:pPr>
    <w:rPr>
      <w:color w:val="auto"/>
    </w:rPr>
  </w:style>
  <w:style w:type="paragraph" w:customStyle="1" w:styleId="CM83">
    <w:name w:val="CM83"/>
    <w:basedOn w:val="Default"/>
    <w:next w:val="Default"/>
    <w:uiPriority w:val="99"/>
    <w:pPr>
      <w:spacing w:line="260" w:lineRule="atLeast"/>
    </w:pPr>
    <w:rPr>
      <w:color w:val="auto"/>
    </w:rPr>
  </w:style>
  <w:style w:type="paragraph" w:customStyle="1" w:styleId="CM85">
    <w:name w:val="CM85"/>
    <w:basedOn w:val="Default"/>
    <w:next w:val="Default"/>
    <w:uiPriority w:val="99"/>
    <w:pPr>
      <w:spacing w:line="260" w:lineRule="atLeast"/>
    </w:pPr>
    <w:rPr>
      <w:color w:val="auto"/>
    </w:rPr>
  </w:style>
  <w:style w:type="paragraph" w:customStyle="1" w:styleId="CM86">
    <w:name w:val="CM86"/>
    <w:basedOn w:val="Default"/>
    <w:next w:val="Default"/>
    <w:uiPriority w:val="99"/>
    <w:pPr>
      <w:spacing w:line="260" w:lineRule="atLeast"/>
    </w:pPr>
    <w:rPr>
      <w:color w:val="auto"/>
    </w:rPr>
  </w:style>
  <w:style w:type="paragraph" w:customStyle="1" w:styleId="CM87">
    <w:name w:val="CM87"/>
    <w:basedOn w:val="Default"/>
    <w:next w:val="Default"/>
    <w:uiPriority w:val="99"/>
    <w:pPr>
      <w:spacing w:line="260" w:lineRule="atLeast"/>
    </w:pPr>
    <w:rPr>
      <w:color w:val="auto"/>
    </w:rPr>
  </w:style>
  <w:style w:type="paragraph" w:customStyle="1" w:styleId="CM88">
    <w:name w:val="CM88"/>
    <w:basedOn w:val="Default"/>
    <w:next w:val="Default"/>
    <w:uiPriority w:val="99"/>
    <w:pPr>
      <w:spacing w:line="268" w:lineRule="atLeast"/>
    </w:pPr>
    <w:rPr>
      <w:color w:val="auto"/>
    </w:rPr>
  </w:style>
  <w:style w:type="paragraph" w:customStyle="1" w:styleId="CM90">
    <w:name w:val="CM90"/>
    <w:basedOn w:val="Default"/>
    <w:next w:val="Default"/>
    <w:uiPriority w:val="99"/>
    <w:pPr>
      <w:spacing w:line="518" w:lineRule="atLeast"/>
    </w:pPr>
    <w:rPr>
      <w:color w:val="auto"/>
    </w:rPr>
  </w:style>
  <w:style w:type="paragraph" w:customStyle="1" w:styleId="CM95">
    <w:name w:val="CM95"/>
    <w:basedOn w:val="Default"/>
    <w:next w:val="Default"/>
    <w:uiPriority w:val="99"/>
    <w:pPr>
      <w:spacing w:line="260" w:lineRule="atLeast"/>
    </w:pPr>
    <w:rPr>
      <w:color w:val="auto"/>
    </w:rPr>
  </w:style>
  <w:style w:type="paragraph" w:customStyle="1" w:styleId="CM97">
    <w:name w:val="CM97"/>
    <w:basedOn w:val="Default"/>
    <w:next w:val="Default"/>
    <w:uiPriority w:val="99"/>
    <w:pPr>
      <w:spacing w:line="260" w:lineRule="atLeast"/>
    </w:pPr>
    <w:rPr>
      <w:color w:val="auto"/>
    </w:rPr>
  </w:style>
  <w:style w:type="paragraph" w:customStyle="1" w:styleId="CM99">
    <w:name w:val="CM99"/>
    <w:basedOn w:val="Default"/>
    <w:next w:val="Default"/>
    <w:uiPriority w:val="99"/>
    <w:pPr>
      <w:spacing w:line="260" w:lineRule="atLeast"/>
    </w:pPr>
    <w:rPr>
      <w:color w:val="auto"/>
    </w:rPr>
  </w:style>
  <w:style w:type="paragraph" w:customStyle="1" w:styleId="CM101">
    <w:name w:val="CM101"/>
    <w:basedOn w:val="Default"/>
    <w:next w:val="Default"/>
    <w:uiPriority w:val="99"/>
    <w:pPr>
      <w:spacing w:line="260" w:lineRule="atLeast"/>
    </w:pPr>
    <w:rPr>
      <w:color w:val="auto"/>
    </w:rPr>
  </w:style>
  <w:style w:type="paragraph" w:customStyle="1" w:styleId="CM102">
    <w:name w:val="CM102"/>
    <w:basedOn w:val="Default"/>
    <w:next w:val="Default"/>
    <w:uiPriority w:val="99"/>
    <w:pPr>
      <w:spacing w:line="518" w:lineRule="atLeast"/>
    </w:pPr>
    <w:rPr>
      <w:color w:val="auto"/>
    </w:rPr>
  </w:style>
  <w:style w:type="paragraph" w:customStyle="1" w:styleId="CM103">
    <w:name w:val="CM103"/>
    <w:basedOn w:val="Default"/>
    <w:next w:val="Default"/>
    <w:uiPriority w:val="99"/>
    <w:pPr>
      <w:spacing w:line="260" w:lineRule="atLeast"/>
    </w:pPr>
    <w:rPr>
      <w:color w:val="auto"/>
    </w:rPr>
  </w:style>
  <w:style w:type="paragraph" w:customStyle="1" w:styleId="CM153">
    <w:name w:val="CM153"/>
    <w:basedOn w:val="Default"/>
    <w:next w:val="Default"/>
    <w:uiPriority w:val="99"/>
    <w:rPr>
      <w:color w:val="auto"/>
    </w:rPr>
  </w:style>
  <w:style w:type="paragraph" w:customStyle="1" w:styleId="CM112">
    <w:name w:val="CM112"/>
    <w:basedOn w:val="Default"/>
    <w:next w:val="Default"/>
    <w:uiPriority w:val="99"/>
    <w:pPr>
      <w:spacing w:line="260" w:lineRule="atLeast"/>
    </w:pPr>
    <w:rPr>
      <w:color w:val="auto"/>
    </w:rPr>
  </w:style>
  <w:style w:type="paragraph" w:customStyle="1" w:styleId="CM114">
    <w:name w:val="CM114"/>
    <w:basedOn w:val="Default"/>
    <w:next w:val="Default"/>
    <w:uiPriority w:val="99"/>
    <w:pPr>
      <w:spacing w:line="263" w:lineRule="atLeast"/>
    </w:pPr>
    <w:rPr>
      <w:color w:val="auto"/>
    </w:rPr>
  </w:style>
  <w:style w:type="paragraph" w:customStyle="1" w:styleId="CM115">
    <w:name w:val="CM115"/>
    <w:basedOn w:val="Default"/>
    <w:next w:val="Default"/>
    <w:uiPriority w:val="99"/>
    <w:pPr>
      <w:spacing w:line="268" w:lineRule="atLeast"/>
    </w:pPr>
    <w:rPr>
      <w:color w:val="auto"/>
    </w:rPr>
  </w:style>
  <w:style w:type="paragraph" w:customStyle="1" w:styleId="CM119">
    <w:name w:val="CM119"/>
    <w:basedOn w:val="Default"/>
    <w:next w:val="Default"/>
    <w:uiPriority w:val="99"/>
    <w:pPr>
      <w:spacing w:line="260" w:lineRule="atLeast"/>
    </w:pPr>
    <w:rPr>
      <w:color w:val="auto"/>
    </w:rPr>
  </w:style>
  <w:style w:type="paragraph" w:customStyle="1" w:styleId="CM122">
    <w:name w:val="CM122"/>
    <w:basedOn w:val="Default"/>
    <w:next w:val="Default"/>
    <w:uiPriority w:val="99"/>
    <w:pPr>
      <w:spacing w:line="260" w:lineRule="atLeast"/>
    </w:pPr>
    <w:rPr>
      <w:color w:val="auto"/>
    </w:rPr>
  </w:style>
  <w:style w:type="paragraph" w:customStyle="1" w:styleId="CM52">
    <w:name w:val="CM52"/>
    <w:basedOn w:val="Default"/>
    <w:next w:val="Default"/>
    <w:uiPriority w:val="99"/>
    <w:pPr>
      <w:spacing w:line="260" w:lineRule="atLeast"/>
    </w:pPr>
    <w:rPr>
      <w:color w:val="auto"/>
    </w:rPr>
  </w:style>
  <w:style w:type="paragraph" w:customStyle="1" w:styleId="CM123">
    <w:name w:val="CM123"/>
    <w:basedOn w:val="Default"/>
    <w:next w:val="Default"/>
    <w:uiPriority w:val="99"/>
    <w:pPr>
      <w:spacing w:line="260" w:lineRule="atLeast"/>
    </w:pPr>
    <w:rPr>
      <w:color w:val="auto"/>
    </w:rPr>
  </w:style>
  <w:style w:type="paragraph" w:customStyle="1" w:styleId="CM124">
    <w:name w:val="CM124"/>
    <w:basedOn w:val="Default"/>
    <w:next w:val="Default"/>
    <w:uiPriority w:val="99"/>
    <w:pPr>
      <w:spacing w:line="260" w:lineRule="atLeast"/>
    </w:pPr>
    <w:rPr>
      <w:color w:val="auto"/>
    </w:rPr>
  </w:style>
  <w:style w:type="paragraph" w:customStyle="1" w:styleId="CM104">
    <w:name w:val="CM104"/>
    <w:basedOn w:val="Default"/>
    <w:next w:val="Default"/>
    <w:uiPriority w:val="99"/>
    <w:pPr>
      <w:spacing w:line="260" w:lineRule="atLeast"/>
    </w:pPr>
    <w:rPr>
      <w:color w:val="auto"/>
    </w:rPr>
  </w:style>
  <w:style w:type="paragraph" w:customStyle="1" w:styleId="CM125">
    <w:name w:val="CM125"/>
    <w:basedOn w:val="Default"/>
    <w:next w:val="Default"/>
    <w:uiPriority w:val="99"/>
    <w:pPr>
      <w:spacing w:line="260" w:lineRule="atLeast"/>
    </w:pPr>
    <w:rPr>
      <w:color w:val="auto"/>
    </w:rPr>
  </w:style>
  <w:style w:type="paragraph" w:customStyle="1" w:styleId="CM126">
    <w:name w:val="CM126"/>
    <w:basedOn w:val="Default"/>
    <w:next w:val="Default"/>
    <w:uiPriority w:val="99"/>
    <w:pPr>
      <w:spacing w:line="523" w:lineRule="atLeast"/>
    </w:pPr>
    <w:rPr>
      <w:color w:val="auto"/>
    </w:rPr>
  </w:style>
  <w:style w:type="paragraph" w:customStyle="1" w:styleId="CM129">
    <w:name w:val="CM129"/>
    <w:basedOn w:val="Default"/>
    <w:next w:val="Default"/>
    <w:uiPriority w:val="99"/>
    <w:pPr>
      <w:spacing w:line="260" w:lineRule="atLeast"/>
    </w:pPr>
    <w:rPr>
      <w:color w:val="auto"/>
    </w:rPr>
  </w:style>
  <w:style w:type="paragraph" w:customStyle="1" w:styleId="CM133">
    <w:name w:val="CM133"/>
    <w:basedOn w:val="Default"/>
    <w:next w:val="Default"/>
    <w:uiPriority w:val="99"/>
    <w:pPr>
      <w:spacing w:line="518" w:lineRule="atLeast"/>
    </w:pPr>
    <w:rPr>
      <w:color w:val="auto"/>
    </w:rPr>
  </w:style>
  <w:style w:type="paragraph" w:customStyle="1" w:styleId="CM154">
    <w:name w:val="CM154"/>
    <w:basedOn w:val="Default"/>
    <w:next w:val="Default"/>
    <w:uiPriority w:val="99"/>
    <w:rPr>
      <w:color w:val="auto"/>
    </w:rPr>
  </w:style>
  <w:style w:type="character" w:styleId="CommentReference">
    <w:name w:val="annotation reference"/>
    <w:uiPriority w:val="99"/>
    <w:semiHidden/>
    <w:unhideWhenUsed/>
    <w:rPr>
      <w:sz w:val="16"/>
      <w:szCs w:val="16"/>
    </w:rPr>
  </w:style>
  <w:style w:type="table" w:styleId="TableGrid">
    <w:name w:val="Table Grid"/>
    <w:basedOn w:val="TableNormal"/>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75C51"/>
    <w:pPr>
      <w:widowControl w:val="0"/>
      <w:ind w:left="118"/>
    </w:pPr>
  </w:style>
  <w:style w:type="character" w:customStyle="1" w:styleId="BodyTextChar">
    <w:name w:val="Body Text Char"/>
    <w:link w:val="BodyText"/>
    <w:uiPriority w:val="1"/>
    <w:rsid w:val="00B75C51"/>
    <w:rPr>
      <w:rFonts w:ascii="Times New Roman" w:hAnsi="Times New Roman" w:cs="Times New Roman"/>
      <w:sz w:val="22"/>
      <w:szCs w:val="22"/>
    </w:rPr>
  </w:style>
  <w:style w:type="paragraph" w:customStyle="1" w:styleId="TableParagraph">
    <w:name w:val="Table Paragraph"/>
    <w:basedOn w:val="Normal"/>
    <w:uiPriority w:val="1"/>
    <w:qFormat/>
    <w:rsid w:val="0037217A"/>
    <w:pPr>
      <w:widowControl w:val="0"/>
    </w:pPr>
    <w:rPr>
      <w:rFonts w:ascii="Calibri" w:eastAsia="Calibri" w:hAnsi="Calibri"/>
    </w:rPr>
  </w:style>
  <w:style w:type="paragraph" w:styleId="Header">
    <w:name w:val="header"/>
    <w:basedOn w:val="Normal"/>
    <w:link w:val="HeaderChar"/>
    <w:uiPriority w:val="99"/>
    <w:unhideWhenUsed/>
    <w:rsid w:val="004B6804"/>
    <w:pPr>
      <w:tabs>
        <w:tab w:val="center" w:pos="4680"/>
        <w:tab w:val="right" w:pos="9360"/>
      </w:tabs>
    </w:pPr>
  </w:style>
  <w:style w:type="character" w:customStyle="1" w:styleId="HeaderChar">
    <w:name w:val="Header Char"/>
    <w:link w:val="Header"/>
    <w:uiPriority w:val="99"/>
    <w:rsid w:val="004B6804"/>
    <w:rPr>
      <w:rFonts w:cs="Times New Roman"/>
      <w:sz w:val="22"/>
      <w:szCs w:val="22"/>
    </w:rPr>
  </w:style>
  <w:style w:type="paragraph" w:styleId="Footer">
    <w:name w:val="footer"/>
    <w:basedOn w:val="Normal"/>
    <w:link w:val="FooterChar"/>
    <w:uiPriority w:val="99"/>
    <w:unhideWhenUsed/>
    <w:rsid w:val="004B6804"/>
    <w:pPr>
      <w:tabs>
        <w:tab w:val="center" w:pos="4680"/>
        <w:tab w:val="right" w:pos="9360"/>
      </w:tabs>
    </w:pPr>
  </w:style>
  <w:style w:type="character" w:customStyle="1" w:styleId="FooterChar">
    <w:name w:val="Footer Char"/>
    <w:link w:val="Footer"/>
    <w:uiPriority w:val="99"/>
    <w:rsid w:val="004B6804"/>
    <w:rPr>
      <w:rFonts w:cs="Times New Roman"/>
      <w:sz w:val="22"/>
      <w:szCs w:val="22"/>
    </w:rPr>
  </w:style>
  <w:style w:type="character" w:customStyle="1" w:styleId="Heading1Char">
    <w:name w:val="Heading 1 Char"/>
    <w:link w:val="Heading1"/>
    <w:uiPriority w:val="1"/>
    <w:rsid w:val="00C831C4"/>
    <w:rPr>
      <w:rFonts w:ascii="Times New Roman" w:hAnsi="Times New Roman" w:cs="Times New Roman"/>
      <w:b/>
      <w:bCs/>
      <w:caps/>
      <w:color w:val="000000"/>
      <w:sz w:val="22"/>
      <w:szCs w:val="22"/>
      <w:lang w:val="fr-FR" w:eastAsia="en-US"/>
    </w:rPr>
  </w:style>
  <w:style w:type="paragraph" w:styleId="NoSpacing">
    <w:name w:val="No Spacing"/>
    <w:uiPriority w:val="1"/>
    <w:qFormat/>
    <w:rsid w:val="00B51C8C"/>
    <w:rPr>
      <w:rFonts w:eastAsia="Calibri" w:cs="Times New Roman"/>
      <w:sz w:val="22"/>
      <w:szCs w:val="22"/>
      <w:lang w:eastAsia="en-US"/>
    </w:rPr>
  </w:style>
  <w:style w:type="table" w:customStyle="1" w:styleId="TableGrid1">
    <w:name w:val="Table Grid1"/>
    <w:basedOn w:val="TableNormal"/>
    <w:next w:val="TableGrid"/>
    <w:uiPriority w:val="59"/>
    <w:rsid w:val="00231E21"/>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29DD"/>
    <w:pPr>
      <w:spacing w:before="100" w:beforeAutospacing="1" w:after="100" w:afterAutospacing="1"/>
    </w:pPr>
    <w:rPr>
      <w:rFonts w:ascii="Calibri" w:eastAsia="Calibri" w:hAnsi="Calibri" w:cs="Calibri"/>
    </w:rPr>
  </w:style>
  <w:style w:type="character" w:customStyle="1" w:styleId="UnresolvedMention1">
    <w:name w:val="Unresolved Mention1"/>
    <w:uiPriority w:val="99"/>
    <w:semiHidden/>
    <w:unhideWhenUsed/>
    <w:rsid w:val="006B001C"/>
    <w:rPr>
      <w:color w:val="605E5C"/>
      <w:shd w:val="clear" w:color="auto" w:fill="E1DFDD"/>
    </w:rPr>
  </w:style>
  <w:style w:type="character" w:styleId="UnresolvedMention">
    <w:name w:val="Unresolved Mention"/>
    <w:uiPriority w:val="99"/>
    <w:semiHidden/>
    <w:unhideWhenUsed/>
    <w:rsid w:val="003D2782"/>
    <w:rPr>
      <w:color w:val="605E5C"/>
      <w:shd w:val="clear" w:color="auto" w:fill="E1DFDD"/>
    </w:rPr>
  </w:style>
  <w:style w:type="paragraph" w:customStyle="1" w:styleId="Style1">
    <w:name w:val="Style1"/>
    <w:basedOn w:val="Normal"/>
    <w:qFormat/>
    <w:rsid w:val="0093679D"/>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4095">
      <w:marLeft w:val="0"/>
      <w:marRight w:val="0"/>
      <w:marTop w:val="0"/>
      <w:marBottom w:val="0"/>
      <w:divBdr>
        <w:top w:val="none" w:sz="0" w:space="0" w:color="auto"/>
        <w:left w:val="none" w:sz="0" w:space="0" w:color="auto"/>
        <w:bottom w:val="none" w:sz="0" w:space="0" w:color="auto"/>
        <w:right w:val="none" w:sz="0" w:space="0" w:color="auto"/>
      </w:divBdr>
    </w:div>
    <w:div w:id="146944352">
      <w:marLeft w:val="0"/>
      <w:marRight w:val="0"/>
      <w:marTop w:val="0"/>
      <w:marBottom w:val="0"/>
      <w:divBdr>
        <w:top w:val="none" w:sz="0" w:space="0" w:color="auto"/>
        <w:left w:val="none" w:sz="0" w:space="0" w:color="auto"/>
        <w:bottom w:val="none" w:sz="0" w:space="0" w:color="auto"/>
        <w:right w:val="none" w:sz="0" w:space="0" w:color="auto"/>
      </w:divBdr>
    </w:div>
    <w:div w:id="168184793">
      <w:marLeft w:val="0"/>
      <w:marRight w:val="0"/>
      <w:marTop w:val="0"/>
      <w:marBottom w:val="0"/>
      <w:divBdr>
        <w:top w:val="none" w:sz="0" w:space="0" w:color="auto"/>
        <w:left w:val="none" w:sz="0" w:space="0" w:color="auto"/>
        <w:bottom w:val="none" w:sz="0" w:space="0" w:color="auto"/>
        <w:right w:val="none" w:sz="0" w:space="0" w:color="auto"/>
      </w:divBdr>
    </w:div>
    <w:div w:id="186410208">
      <w:marLeft w:val="0"/>
      <w:marRight w:val="0"/>
      <w:marTop w:val="0"/>
      <w:marBottom w:val="0"/>
      <w:divBdr>
        <w:top w:val="none" w:sz="0" w:space="0" w:color="auto"/>
        <w:left w:val="none" w:sz="0" w:space="0" w:color="auto"/>
        <w:bottom w:val="none" w:sz="0" w:space="0" w:color="auto"/>
        <w:right w:val="none" w:sz="0" w:space="0" w:color="auto"/>
      </w:divBdr>
    </w:div>
    <w:div w:id="244265969">
      <w:marLeft w:val="0"/>
      <w:marRight w:val="0"/>
      <w:marTop w:val="0"/>
      <w:marBottom w:val="0"/>
      <w:divBdr>
        <w:top w:val="none" w:sz="0" w:space="0" w:color="auto"/>
        <w:left w:val="none" w:sz="0" w:space="0" w:color="auto"/>
        <w:bottom w:val="none" w:sz="0" w:space="0" w:color="auto"/>
        <w:right w:val="none" w:sz="0" w:space="0" w:color="auto"/>
      </w:divBdr>
    </w:div>
    <w:div w:id="289095759">
      <w:marLeft w:val="0"/>
      <w:marRight w:val="0"/>
      <w:marTop w:val="0"/>
      <w:marBottom w:val="0"/>
      <w:divBdr>
        <w:top w:val="none" w:sz="0" w:space="0" w:color="auto"/>
        <w:left w:val="none" w:sz="0" w:space="0" w:color="auto"/>
        <w:bottom w:val="none" w:sz="0" w:space="0" w:color="auto"/>
        <w:right w:val="none" w:sz="0" w:space="0" w:color="auto"/>
      </w:divBdr>
    </w:div>
    <w:div w:id="360055810">
      <w:marLeft w:val="0"/>
      <w:marRight w:val="0"/>
      <w:marTop w:val="0"/>
      <w:marBottom w:val="0"/>
      <w:divBdr>
        <w:top w:val="none" w:sz="0" w:space="0" w:color="auto"/>
        <w:left w:val="none" w:sz="0" w:space="0" w:color="auto"/>
        <w:bottom w:val="none" w:sz="0" w:space="0" w:color="auto"/>
        <w:right w:val="none" w:sz="0" w:space="0" w:color="auto"/>
      </w:divBdr>
    </w:div>
    <w:div w:id="627124921">
      <w:marLeft w:val="0"/>
      <w:marRight w:val="0"/>
      <w:marTop w:val="0"/>
      <w:marBottom w:val="0"/>
      <w:divBdr>
        <w:top w:val="none" w:sz="0" w:space="0" w:color="auto"/>
        <w:left w:val="none" w:sz="0" w:space="0" w:color="auto"/>
        <w:bottom w:val="none" w:sz="0" w:space="0" w:color="auto"/>
        <w:right w:val="none" w:sz="0" w:space="0" w:color="auto"/>
      </w:divBdr>
    </w:div>
    <w:div w:id="857700517">
      <w:marLeft w:val="0"/>
      <w:marRight w:val="0"/>
      <w:marTop w:val="0"/>
      <w:marBottom w:val="0"/>
      <w:divBdr>
        <w:top w:val="none" w:sz="0" w:space="0" w:color="auto"/>
        <w:left w:val="none" w:sz="0" w:space="0" w:color="auto"/>
        <w:bottom w:val="none" w:sz="0" w:space="0" w:color="auto"/>
        <w:right w:val="none" w:sz="0" w:space="0" w:color="auto"/>
      </w:divBdr>
    </w:div>
    <w:div w:id="877620659">
      <w:marLeft w:val="0"/>
      <w:marRight w:val="0"/>
      <w:marTop w:val="0"/>
      <w:marBottom w:val="0"/>
      <w:divBdr>
        <w:top w:val="none" w:sz="0" w:space="0" w:color="auto"/>
        <w:left w:val="none" w:sz="0" w:space="0" w:color="auto"/>
        <w:bottom w:val="none" w:sz="0" w:space="0" w:color="auto"/>
        <w:right w:val="none" w:sz="0" w:space="0" w:color="auto"/>
      </w:divBdr>
    </w:div>
    <w:div w:id="931817060">
      <w:marLeft w:val="0"/>
      <w:marRight w:val="0"/>
      <w:marTop w:val="0"/>
      <w:marBottom w:val="0"/>
      <w:divBdr>
        <w:top w:val="none" w:sz="0" w:space="0" w:color="auto"/>
        <w:left w:val="none" w:sz="0" w:space="0" w:color="auto"/>
        <w:bottom w:val="none" w:sz="0" w:space="0" w:color="auto"/>
        <w:right w:val="none" w:sz="0" w:space="0" w:color="auto"/>
      </w:divBdr>
    </w:div>
    <w:div w:id="941569239">
      <w:marLeft w:val="0"/>
      <w:marRight w:val="0"/>
      <w:marTop w:val="0"/>
      <w:marBottom w:val="0"/>
      <w:divBdr>
        <w:top w:val="none" w:sz="0" w:space="0" w:color="auto"/>
        <w:left w:val="none" w:sz="0" w:space="0" w:color="auto"/>
        <w:bottom w:val="none" w:sz="0" w:space="0" w:color="auto"/>
        <w:right w:val="none" w:sz="0" w:space="0" w:color="auto"/>
      </w:divBdr>
    </w:div>
    <w:div w:id="1088963181">
      <w:marLeft w:val="0"/>
      <w:marRight w:val="0"/>
      <w:marTop w:val="0"/>
      <w:marBottom w:val="0"/>
      <w:divBdr>
        <w:top w:val="none" w:sz="0" w:space="0" w:color="auto"/>
        <w:left w:val="none" w:sz="0" w:space="0" w:color="auto"/>
        <w:bottom w:val="none" w:sz="0" w:space="0" w:color="auto"/>
        <w:right w:val="none" w:sz="0" w:space="0" w:color="auto"/>
      </w:divBdr>
    </w:div>
    <w:div w:id="1351487770">
      <w:marLeft w:val="0"/>
      <w:marRight w:val="0"/>
      <w:marTop w:val="0"/>
      <w:marBottom w:val="0"/>
      <w:divBdr>
        <w:top w:val="none" w:sz="0" w:space="0" w:color="auto"/>
        <w:left w:val="none" w:sz="0" w:space="0" w:color="auto"/>
        <w:bottom w:val="none" w:sz="0" w:space="0" w:color="auto"/>
        <w:right w:val="none" w:sz="0" w:space="0" w:color="auto"/>
      </w:divBdr>
    </w:div>
    <w:div w:id="1370955576">
      <w:bodyDiv w:val="1"/>
      <w:marLeft w:val="0"/>
      <w:marRight w:val="0"/>
      <w:marTop w:val="0"/>
      <w:marBottom w:val="0"/>
      <w:divBdr>
        <w:top w:val="none" w:sz="0" w:space="0" w:color="auto"/>
        <w:left w:val="none" w:sz="0" w:space="0" w:color="auto"/>
        <w:bottom w:val="none" w:sz="0" w:space="0" w:color="auto"/>
        <w:right w:val="none" w:sz="0" w:space="0" w:color="auto"/>
      </w:divBdr>
      <w:divsChild>
        <w:div w:id="1061977162">
          <w:marLeft w:val="0"/>
          <w:marRight w:val="0"/>
          <w:marTop w:val="0"/>
          <w:marBottom w:val="0"/>
          <w:divBdr>
            <w:top w:val="none" w:sz="0" w:space="0" w:color="auto"/>
            <w:left w:val="none" w:sz="0" w:space="0" w:color="auto"/>
            <w:bottom w:val="none" w:sz="0" w:space="0" w:color="auto"/>
            <w:right w:val="none" w:sz="0" w:space="0" w:color="auto"/>
          </w:divBdr>
          <w:divsChild>
            <w:div w:id="1892645531">
              <w:marLeft w:val="0"/>
              <w:marRight w:val="0"/>
              <w:marTop w:val="0"/>
              <w:marBottom w:val="0"/>
              <w:divBdr>
                <w:top w:val="none" w:sz="0" w:space="0" w:color="auto"/>
                <w:left w:val="none" w:sz="0" w:space="0" w:color="auto"/>
                <w:bottom w:val="none" w:sz="0" w:space="0" w:color="auto"/>
                <w:right w:val="none" w:sz="0" w:space="0" w:color="auto"/>
              </w:divBdr>
            </w:div>
            <w:div w:id="197447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71337">
      <w:marLeft w:val="0"/>
      <w:marRight w:val="0"/>
      <w:marTop w:val="0"/>
      <w:marBottom w:val="0"/>
      <w:divBdr>
        <w:top w:val="none" w:sz="0" w:space="0" w:color="auto"/>
        <w:left w:val="none" w:sz="0" w:space="0" w:color="auto"/>
        <w:bottom w:val="none" w:sz="0" w:space="0" w:color="auto"/>
        <w:right w:val="none" w:sz="0" w:space="0" w:color="auto"/>
      </w:divBdr>
    </w:div>
    <w:div w:id="1422676159">
      <w:marLeft w:val="0"/>
      <w:marRight w:val="0"/>
      <w:marTop w:val="0"/>
      <w:marBottom w:val="0"/>
      <w:divBdr>
        <w:top w:val="none" w:sz="0" w:space="0" w:color="auto"/>
        <w:left w:val="none" w:sz="0" w:space="0" w:color="auto"/>
        <w:bottom w:val="none" w:sz="0" w:space="0" w:color="auto"/>
        <w:right w:val="none" w:sz="0" w:space="0" w:color="auto"/>
      </w:divBdr>
    </w:div>
    <w:div w:id="1765568250">
      <w:marLeft w:val="0"/>
      <w:marRight w:val="0"/>
      <w:marTop w:val="0"/>
      <w:marBottom w:val="0"/>
      <w:divBdr>
        <w:top w:val="none" w:sz="0" w:space="0" w:color="auto"/>
        <w:left w:val="none" w:sz="0" w:space="0" w:color="auto"/>
        <w:bottom w:val="none" w:sz="0" w:space="0" w:color="auto"/>
        <w:right w:val="none" w:sz="0" w:space="0" w:color="auto"/>
      </w:divBdr>
    </w:div>
    <w:div w:id="1838885471">
      <w:marLeft w:val="0"/>
      <w:marRight w:val="0"/>
      <w:marTop w:val="0"/>
      <w:marBottom w:val="0"/>
      <w:divBdr>
        <w:top w:val="none" w:sz="0" w:space="0" w:color="auto"/>
        <w:left w:val="none" w:sz="0" w:space="0" w:color="auto"/>
        <w:bottom w:val="none" w:sz="0" w:space="0" w:color="auto"/>
        <w:right w:val="none" w:sz="0" w:space="0" w:color="auto"/>
      </w:divBdr>
    </w:div>
    <w:div w:id="1847939845">
      <w:marLeft w:val="0"/>
      <w:marRight w:val="0"/>
      <w:marTop w:val="0"/>
      <w:marBottom w:val="0"/>
      <w:divBdr>
        <w:top w:val="none" w:sz="0" w:space="0" w:color="auto"/>
        <w:left w:val="none" w:sz="0" w:space="0" w:color="auto"/>
        <w:bottom w:val="none" w:sz="0" w:space="0" w:color="auto"/>
        <w:right w:val="none" w:sz="0" w:space="0" w:color="auto"/>
      </w:divBdr>
    </w:div>
    <w:div w:id="1848668678">
      <w:marLeft w:val="0"/>
      <w:marRight w:val="0"/>
      <w:marTop w:val="0"/>
      <w:marBottom w:val="0"/>
      <w:divBdr>
        <w:top w:val="none" w:sz="0" w:space="0" w:color="auto"/>
        <w:left w:val="none" w:sz="0" w:space="0" w:color="auto"/>
        <w:bottom w:val="none" w:sz="0" w:space="0" w:color="auto"/>
        <w:right w:val="none" w:sz="0" w:space="0" w:color="auto"/>
      </w:divBdr>
    </w:div>
    <w:div w:id="1942256821">
      <w:bodyDiv w:val="1"/>
      <w:marLeft w:val="0"/>
      <w:marRight w:val="0"/>
      <w:marTop w:val="0"/>
      <w:marBottom w:val="0"/>
      <w:divBdr>
        <w:top w:val="none" w:sz="0" w:space="0" w:color="auto"/>
        <w:left w:val="none" w:sz="0" w:space="0" w:color="auto"/>
        <w:bottom w:val="none" w:sz="0" w:space="0" w:color="auto"/>
        <w:right w:val="none" w:sz="0" w:space="0" w:color="auto"/>
      </w:divBdr>
    </w:div>
    <w:div w:id="2006739593">
      <w:bodyDiv w:val="1"/>
      <w:marLeft w:val="0"/>
      <w:marRight w:val="0"/>
      <w:marTop w:val="0"/>
      <w:marBottom w:val="0"/>
      <w:divBdr>
        <w:top w:val="none" w:sz="0" w:space="0" w:color="auto"/>
        <w:left w:val="none" w:sz="0" w:space="0" w:color="auto"/>
        <w:bottom w:val="none" w:sz="0" w:space="0" w:color="auto"/>
        <w:right w:val="none" w:sz="0" w:space="0" w:color="auto"/>
      </w:divBdr>
      <w:divsChild>
        <w:div w:id="466820678">
          <w:marLeft w:val="0"/>
          <w:marRight w:val="0"/>
          <w:marTop w:val="0"/>
          <w:marBottom w:val="0"/>
          <w:divBdr>
            <w:top w:val="none" w:sz="0" w:space="0" w:color="auto"/>
            <w:left w:val="none" w:sz="0" w:space="0" w:color="auto"/>
            <w:bottom w:val="none" w:sz="0" w:space="0" w:color="auto"/>
            <w:right w:val="none" w:sz="0" w:space="0" w:color="auto"/>
          </w:divBdr>
          <w:divsChild>
            <w:div w:id="834690859">
              <w:marLeft w:val="0"/>
              <w:marRight w:val="0"/>
              <w:marTop w:val="0"/>
              <w:marBottom w:val="0"/>
              <w:divBdr>
                <w:top w:val="none" w:sz="0" w:space="0" w:color="auto"/>
                <w:left w:val="none" w:sz="0" w:space="0" w:color="auto"/>
                <w:bottom w:val="none" w:sz="0" w:space="0" w:color="auto"/>
                <w:right w:val="none" w:sz="0" w:space="0" w:color="auto"/>
              </w:divBdr>
            </w:div>
            <w:div w:id="180272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39779">
      <w:marLeft w:val="0"/>
      <w:marRight w:val="0"/>
      <w:marTop w:val="0"/>
      <w:marBottom w:val="0"/>
      <w:divBdr>
        <w:top w:val="none" w:sz="0" w:space="0" w:color="auto"/>
        <w:left w:val="none" w:sz="0" w:space="0" w:color="auto"/>
        <w:bottom w:val="none" w:sz="0" w:space="0" w:color="auto"/>
        <w:right w:val="none" w:sz="0" w:space="0" w:color="auto"/>
      </w:divBdr>
    </w:div>
    <w:div w:id="21317069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ema.europa.eu" TargetMode="Externa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fontTable" Target="fontTable.xml"/><Relationship Id="rId89" Type="http://schemas.openxmlformats.org/officeDocument/2006/relationships/customXml" Target="../customXml/item4.xml"/><Relationship Id="rId16" Type="http://schemas.openxmlformats.org/officeDocument/2006/relationships/hyperlink" Target="https://www.ema.europa.eu" TargetMode="External"/><Relationship Id="rId11" Type="http://schemas.openxmlformats.org/officeDocument/2006/relationships/image" Target="media/image3.png"/><Relationship Id="rId32" Type="http://schemas.openxmlformats.org/officeDocument/2006/relationships/image" Target="media/image14.png"/><Relationship Id="rId37" Type="http://schemas.openxmlformats.org/officeDocument/2006/relationships/hyperlink" Target="https://www.ema.europa.eu" TargetMode="External"/><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webSettings" Target="webSettings.xml"/><Relationship Id="rId90" Type="http://schemas.openxmlformats.org/officeDocument/2006/relationships/customXml" Target="../customXml/item5.xml"/><Relationship Id="rId14" Type="http://schemas.openxmlformats.org/officeDocument/2006/relationships/hyperlink" Target="https://www.ema.europa.eu" TargetMode="Externa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image" Target="media/image53.png"/><Relationship Id="rId8" Type="http://schemas.openxmlformats.org/officeDocument/2006/relationships/hyperlink" Target="https://www.ema.europa.eu/en/medicines/human/epar/amsparity" TargetMode="External"/><Relationship Id="rId51" Type="http://schemas.openxmlformats.org/officeDocument/2006/relationships/image" Target="media/image31.png"/><Relationship Id="rId72" Type="http://schemas.openxmlformats.org/officeDocument/2006/relationships/hyperlink" Target="https://www.ema.europa.eu" TargetMode="External"/><Relationship Id="rId80" Type="http://schemas.openxmlformats.org/officeDocument/2006/relationships/image" Target="media/image56.png"/><Relationship Id="rId85"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ema.europa.eu" TargetMode="External"/><Relationship Id="rId25" Type="http://schemas.openxmlformats.org/officeDocument/2006/relationships/hyperlink" Target="https://www.ema.europa.eu" TargetMode="External"/><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hyperlink" Target="https://www.ema.europa.eu/en/documents/template-form/qrd-appendix-v-adverse-drug-reaction-reporting-details_en.docx" TargetMode="External"/><Relationship Id="rId67" Type="http://schemas.openxmlformats.org/officeDocument/2006/relationships/image" Target="media/image45.png"/><Relationship Id="rId20" Type="http://schemas.openxmlformats.org/officeDocument/2006/relationships/image" Target="media/image6.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1.png"/><Relationship Id="rId83" Type="http://schemas.openxmlformats.org/officeDocument/2006/relationships/footer" Target="footer1.xml"/><Relationship Id="rId88"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hyperlink" Target="https://www.ema.europa.eu/en/documents/template-form/qrd-appendix-v-adverse-drug-reaction-reporting-details_en.docx" TargetMode="External"/><Relationship Id="rId28" Type="http://schemas.openxmlformats.org/officeDocument/2006/relationships/image" Target="media/image10.png"/><Relationship Id="rId36" Type="http://schemas.openxmlformats.org/officeDocument/2006/relationships/hyperlink" Target="https://www.ema.europa.eu/en/documents/template-form/qrd-appendix-v-adverse-drug-reaction-reporting-details_en.docx" TargetMode="External"/><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yperlink" Target="https://www.ema.europa.eu" TargetMode="External"/><Relationship Id="rId31" Type="http://schemas.openxmlformats.org/officeDocument/2006/relationships/image" Target="media/image13.png"/><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hyperlink" Target="https://www.ema.europa.eu" TargetMode="External"/><Relationship Id="rId65" Type="http://schemas.openxmlformats.org/officeDocument/2006/relationships/image" Target="media/image43.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3" Type="http://schemas.openxmlformats.org/officeDocument/2006/relationships/image" Target="media/image5.png"/><Relationship Id="rId18" Type="http://schemas.openxmlformats.org/officeDocument/2006/relationships/hyperlink" Target="https://www.ema.europa.eu/en/documents/template-form/qrd-appendix-v-adverse-drug-reaction-reporting-details_en.docx" TargetMode="External"/><Relationship Id="rId39" Type="http://schemas.openxmlformats.org/officeDocument/2006/relationships/image" Target="media/image19.png"/><Relationship Id="rId34" Type="http://schemas.openxmlformats.org/officeDocument/2006/relationships/image" Target="media/image16.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hyperlink" Target="https://www.ema.europa.eu/en/documents/template-form/qrd-appendix-v-adverse-drug-reaction-reporting-details_en.docx" TargetMode="Externa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hyperlink" Target="http://www.ema.europa.eu" TargetMode="External"/><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4.png"/><Relationship Id="rId87" Type="http://schemas.openxmlformats.org/officeDocument/2006/relationships/customXml" Target="../customXml/item2.xml"/><Relationship Id="rId61" Type="http://schemas.openxmlformats.org/officeDocument/2006/relationships/image" Target="media/image39.png"/><Relationship Id="rId82" Type="http://schemas.openxmlformats.org/officeDocument/2006/relationships/image" Target="media/image58.png"/><Relationship Id="rId19" Type="http://schemas.openxmlformats.org/officeDocument/2006/relationships/hyperlink" Target="https://www.ema.europa.e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EMADOC-1700519818-2419145</_dlc_DocId>
    <_dlc_DocIdUrl xmlns="a034c160-bfb7-45f5-8632-2eb7e0508071">
      <Url>https://euema.sharepoint.com/sites/CRM/_layouts/15/DocIdRedir.aspx?ID=EMADOC-1700519818-2419145</Url>
      <Description>EMADOC-1700519818-2419145</Description>
    </_dlc_DocIdUrl>
  </documentManagement>
</p:properties>
</file>

<file path=customXml/itemProps1.xml><?xml version="1.0" encoding="utf-8"?>
<ds:datastoreItem xmlns:ds="http://schemas.openxmlformats.org/officeDocument/2006/customXml" ds:itemID="{A1E4A7A7-2F3A-43F2-B869-9E8136CA1C8E}">
  <ds:schemaRefs>
    <ds:schemaRef ds:uri="http://schemas.openxmlformats.org/officeDocument/2006/bibliography"/>
  </ds:schemaRefs>
</ds:datastoreItem>
</file>

<file path=customXml/itemProps2.xml><?xml version="1.0" encoding="utf-8"?>
<ds:datastoreItem xmlns:ds="http://schemas.openxmlformats.org/officeDocument/2006/customXml" ds:itemID="{E978D62A-D501-41DE-84DA-62A6B9D17B3E}"/>
</file>

<file path=customXml/itemProps3.xml><?xml version="1.0" encoding="utf-8"?>
<ds:datastoreItem xmlns:ds="http://schemas.openxmlformats.org/officeDocument/2006/customXml" ds:itemID="{17F8E673-8429-49BE-BAEF-F011E823D646}"/>
</file>

<file path=customXml/itemProps4.xml><?xml version="1.0" encoding="utf-8"?>
<ds:datastoreItem xmlns:ds="http://schemas.openxmlformats.org/officeDocument/2006/customXml" ds:itemID="{F7CB1EB7-9354-4FBC-932D-754D7875B762}"/>
</file>

<file path=customXml/itemProps5.xml><?xml version="1.0" encoding="utf-8"?>
<ds:datastoreItem xmlns:ds="http://schemas.openxmlformats.org/officeDocument/2006/customXml" ds:itemID="{968377B0-4C8A-43C5-AEDA-CEF9C25F90E4}"/>
</file>

<file path=docProps/app.xml><?xml version="1.0" encoding="utf-8"?>
<Properties xmlns="http://schemas.openxmlformats.org/officeDocument/2006/extended-properties" xmlns:vt="http://schemas.openxmlformats.org/officeDocument/2006/docPropsVTypes">
  <Template>Normal.dotm</Template>
  <TotalTime>27</TotalTime>
  <Pages>272</Pages>
  <Words>104655</Words>
  <Characters>574808</Characters>
  <Application>Microsoft Office Word</Application>
  <DocSecurity>0</DocSecurity>
  <Lines>4790</Lines>
  <Paragraphs>1356</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Amsparity: EPAR – Product information – tracked changes</vt:lpstr>
      <vt:lpstr>Amsparity, INN-adalimumab</vt:lpstr>
      <vt:lpstr>Amsparity, INN-adalimumab</vt:lpstr>
    </vt:vector>
  </TitlesOfParts>
  <Company/>
  <LinksUpToDate>false</LinksUpToDate>
  <CharactersWithSpaces>678107</CharactersWithSpaces>
  <SharedDoc>false</SharedDoc>
  <HLinks>
    <vt:vector size="102" baseType="variant">
      <vt:variant>
        <vt:i4>1245197</vt:i4>
      </vt:variant>
      <vt:variant>
        <vt:i4>54</vt:i4>
      </vt:variant>
      <vt:variant>
        <vt:i4>0</vt:i4>
      </vt:variant>
      <vt:variant>
        <vt:i4>5</vt:i4>
      </vt:variant>
      <vt:variant>
        <vt:lpwstr>http://www.ema.europa.eu/</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Amsparity: EPAR – Product information – tracked changes</dc:title>
  <dc:subject/>
  <dc:creator/>
  <cp:keywords/>
  <dc:description/>
  <cp:lastModifiedBy>Author</cp:lastModifiedBy>
  <cp:revision>19</cp:revision>
  <cp:lastPrinted>2019-10-07T19:08:00Z</cp:lastPrinted>
  <dcterms:created xsi:type="dcterms:W3CDTF">2024-11-28T12:48:00Z</dcterms:created>
  <dcterms:modified xsi:type="dcterms:W3CDTF">2025-07-10T16:31:00Z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1527473233</vt:i4>
  </property>
  <property fmtid="{D5CDD505-2E9C-101B-9397-08002B2CF9AE}" pid="3" name="MSIP_Label_4791b42f-c435-42ca-9531-75a3f42aae3d_Enabled">
    <vt:lpwstr>true</vt:lpwstr>
  </property>
  <property fmtid="{D5CDD505-2E9C-101B-9397-08002B2CF9AE}" pid="4" name="MSIP_Label_4791b42f-c435-42ca-9531-75a3f42aae3d_SetDate">
    <vt:lpwstr>2023-08-31T09:45:10Z</vt:lpwstr>
  </property>
  <property fmtid="{D5CDD505-2E9C-101B-9397-08002B2CF9AE}" pid="5" name="MSIP_Label_4791b42f-c435-42ca-9531-75a3f42aae3d_Method">
    <vt:lpwstr>Privileged</vt:lpwstr>
  </property>
  <property fmtid="{D5CDD505-2E9C-101B-9397-08002B2CF9AE}" pid="6" name="MSIP_Label_4791b42f-c435-42ca-9531-75a3f42aae3d_Name">
    <vt:lpwstr>4791b42f-c435-42ca-9531-75a3f42aae3d</vt:lpwstr>
  </property>
  <property fmtid="{D5CDD505-2E9C-101B-9397-08002B2CF9AE}" pid="7" name="MSIP_Label_4791b42f-c435-42ca-9531-75a3f42aae3d_SiteId">
    <vt:lpwstr>7a916015-20ae-4ad1-9170-eefd915e9272</vt:lpwstr>
  </property>
  <property fmtid="{D5CDD505-2E9C-101B-9397-08002B2CF9AE}" pid="8" name="MSIP_Label_4791b42f-c435-42ca-9531-75a3f42aae3d_ActionId">
    <vt:lpwstr>0cf2d141-5d17-4c34-a680-5120f1d6270f</vt:lpwstr>
  </property>
  <property fmtid="{D5CDD505-2E9C-101B-9397-08002B2CF9AE}" pid="9" name="MSIP_Label_4791b42f-c435-42ca-9531-75a3f42aae3d_ContentBits">
    <vt:lpwstr>0</vt:lpwstr>
  </property>
  <property fmtid="{D5CDD505-2E9C-101B-9397-08002B2CF9AE}" pid="10" name="ContentTypeId">
    <vt:lpwstr>0x0101000DA6AD19014FF648A49316945EE786F90200176DED4FF78CD74995F64A0F46B59E48</vt:lpwstr>
  </property>
  <property fmtid="{D5CDD505-2E9C-101B-9397-08002B2CF9AE}" pid="11" name="_dlc_DocIdItemGuid">
    <vt:lpwstr>0ac6b333-96bb-403d-b303-e9974fded952</vt:lpwstr>
  </property>
</Properties>
</file>