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BA22" w14:textId="77777777" w:rsidR="00D27583" w:rsidRDefault="00D27583" w:rsidP="009E72DA">
      <w:pPr>
        <w:jc w:val="center"/>
      </w:pPr>
    </w:p>
    <w:p w14:paraId="2EB09E1E" w14:textId="77777777" w:rsidR="00812D16" w:rsidRPr="00761EB7" w:rsidRDefault="00812D16" w:rsidP="009E72DA">
      <w:pPr>
        <w:jc w:val="center"/>
      </w:pPr>
    </w:p>
    <w:p w14:paraId="48AEB0CD" w14:textId="77777777" w:rsidR="005356F9" w:rsidRPr="00761EB7" w:rsidRDefault="005356F9" w:rsidP="009E72DA">
      <w:pPr>
        <w:jc w:val="center"/>
      </w:pPr>
    </w:p>
    <w:p w14:paraId="70C18262" w14:textId="77777777" w:rsidR="005356F9" w:rsidRPr="00761EB7" w:rsidRDefault="005356F9" w:rsidP="009E72DA">
      <w:pPr>
        <w:jc w:val="center"/>
      </w:pPr>
    </w:p>
    <w:p w14:paraId="4AB3E89B" w14:textId="77777777" w:rsidR="005356F9" w:rsidRPr="00761EB7" w:rsidRDefault="005356F9" w:rsidP="009E72DA">
      <w:pPr>
        <w:jc w:val="center"/>
      </w:pPr>
    </w:p>
    <w:p w14:paraId="72EF57A6" w14:textId="77777777" w:rsidR="005356F9" w:rsidRPr="00761EB7" w:rsidRDefault="005356F9" w:rsidP="009E72DA">
      <w:pPr>
        <w:jc w:val="center"/>
      </w:pPr>
    </w:p>
    <w:p w14:paraId="6302773C" w14:textId="77777777" w:rsidR="005356F9" w:rsidRPr="00761EB7" w:rsidRDefault="005356F9" w:rsidP="009E72DA">
      <w:pPr>
        <w:jc w:val="center"/>
      </w:pPr>
    </w:p>
    <w:p w14:paraId="70A5236B" w14:textId="77777777" w:rsidR="00812D16" w:rsidRPr="00761EB7" w:rsidRDefault="00812D16" w:rsidP="009E72DA">
      <w:pPr>
        <w:jc w:val="center"/>
      </w:pPr>
    </w:p>
    <w:p w14:paraId="0A4CABEC" w14:textId="77777777" w:rsidR="00812D16" w:rsidRPr="00761EB7" w:rsidRDefault="00812D16" w:rsidP="009E72DA">
      <w:pPr>
        <w:jc w:val="center"/>
      </w:pPr>
    </w:p>
    <w:p w14:paraId="3A6C2D83" w14:textId="77777777" w:rsidR="00812D16" w:rsidRPr="00761EB7" w:rsidRDefault="00812D16" w:rsidP="009E72DA">
      <w:pPr>
        <w:jc w:val="center"/>
      </w:pPr>
    </w:p>
    <w:p w14:paraId="631ADDF1" w14:textId="77777777" w:rsidR="00812D16" w:rsidRPr="00761EB7" w:rsidRDefault="00812D16" w:rsidP="009E72DA">
      <w:pPr>
        <w:jc w:val="center"/>
      </w:pPr>
    </w:p>
    <w:p w14:paraId="18C16136" w14:textId="77777777" w:rsidR="00812D16" w:rsidRPr="00761EB7" w:rsidRDefault="00812D16" w:rsidP="009E72DA">
      <w:pPr>
        <w:jc w:val="center"/>
      </w:pPr>
    </w:p>
    <w:p w14:paraId="4DBB155B" w14:textId="77777777" w:rsidR="00812D16" w:rsidRPr="00761EB7" w:rsidRDefault="00812D16" w:rsidP="009E72DA">
      <w:pPr>
        <w:jc w:val="center"/>
      </w:pPr>
    </w:p>
    <w:p w14:paraId="1D2F1B81" w14:textId="77777777" w:rsidR="00812D16" w:rsidRPr="00761EB7" w:rsidRDefault="00812D16" w:rsidP="009E72DA">
      <w:pPr>
        <w:jc w:val="center"/>
      </w:pPr>
    </w:p>
    <w:p w14:paraId="333ED65E" w14:textId="77777777" w:rsidR="00812D16" w:rsidRPr="00761EB7" w:rsidRDefault="00812D16" w:rsidP="009E72DA">
      <w:pPr>
        <w:jc w:val="center"/>
      </w:pPr>
    </w:p>
    <w:p w14:paraId="0CB297F6" w14:textId="77777777" w:rsidR="00666055" w:rsidRDefault="00666055" w:rsidP="00204AAB">
      <w:pPr>
        <w:spacing w:line="240" w:lineRule="auto"/>
        <w:jc w:val="center"/>
        <w:outlineLvl w:val="0"/>
        <w:rPr>
          <w:b/>
          <w:szCs w:val="22"/>
        </w:rPr>
      </w:pPr>
    </w:p>
    <w:p w14:paraId="3A7C7A9B" w14:textId="77777777" w:rsidR="00666055" w:rsidRDefault="00666055" w:rsidP="00204AAB">
      <w:pPr>
        <w:spacing w:line="240" w:lineRule="auto"/>
        <w:jc w:val="center"/>
        <w:outlineLvl w:val="0"/>
        <w:rPr>
          <w:b/>
          <w:szCs w:val="22"/>
        </w:rPr>
      </w:pPr>
    </w:p>
    <w:p w14:paraId="547855AA" w14:textId="77777777" w:rsidR="00666055" w:rsidRDefault="00666055" w:rsidP="00204AAB">
      <w:pPr>
        <w:spacing w:line="240" w:lineRule="auto"/>
        <w:jc w:val="center"/>
        <w:outlineLvl w:val="0"/>
        <w:rPr>
          <w:b/>
          <w:szCs w:val="22"/>
        </w:rPr>
      </w:pPr>
    </w:p>
    <w:p w14:paraId="277B2DEE" w14:textId="77777777" w:rsidR="00666055" w:rsidRDefault="00666055" w:rsidP="00204AAB">
      <w:pPr>
        <w:spacing w:line="240" w:lineRule="auto"/>
        <w:jc w:val="center"/>
        <w:outlineLvl w:val="0"/>
        <w:rPr>
          <w:b/>
          <w:szCs w:val="22"/>
        </w:rPr>
      </w:pPr>
    </w:p>
    <w:p w14:paraId="3B9DCEC4" w14:textId="77777777" w:rsidR="00666055" w:rsidRDefault="00666055" w:rsidP="00204AAB">
      <w:pPr>
        <w:spacing w:line="240" w:lineRule="auto"/>
        <w:jc w:val="center"/>
        <w:outlineLvl w:val="0"/>
        <w:rPr>
          <w:b/>
          <w:szCs w:val="22"/>
        </w:rPr>
      </w:pPr>
    </w:p>
    <w:p w14:paraId="3011FDBC" w14:textId="77777777" w:rsidR="00666055" w:rsidRDefault="00666055" w:rsidP="00204AAB">
      <w:pPr>
        <w:spacing w:line="240" w:lineRule="auto"/>
        <w:jc w:val="center"/>
        <w:outlineLvl w:val="0"/>
        <w:rPr>
          <w:b/>
          <w:szCs w:val="22"/>
        </w:rPr>
      </w:pPr>
    </w:p>
    <w:p w14:paraId="3D3FE88B" w14:textId="77777777" w:rsidR="00666055" w:rsidRDefault="00666055" w:rsidP="00204AAB">
      <w:pPr>
        <w:spacing w:line="240" w:lineRule="auto"/>
        <w:jc w:val="center"/>
        <w:outlineLvl w:val="0"/>
        <w:rPr>
          <w:b/>
          <w:szCs w:val="22"/>
        </w:rPr>
      </w:pPr>
    </w:p>
    <w:p w14:paraId="57C8EEC4" w14:textId="77777777" w:rsidR="00666055" w:rsidRDefault="00666055" w:rsidP="00204AAB">
      <w:pPr>
        <w:spacing w:line="240" w:lineRule="auto"/>
        <w:jc w:val="center"/>
        <w:outlineLvl w:val="0"/>
        <w:rPr>
          <w:b/>
          <w:szCs w:val="22"/>
        </w:rPr>
      </w:pPr>
    </w:p>
    <w:p w14:paraId="527CBFFA" w14:textId="77777777" w:rsidR="00735216" w:rsidRPr="00761EB7" w:rsidRDefault="00735216" w:rsidP="00735216">
      <w:pPr>
        <w:spacing w:line="240" w:lineRule="auto"/>
        <w:jc w:val="center"/>
        <w:outlineLvl w:val="0"/>
        <w:rPr>
          <w:szCs w:val="22"/>
        </w:rPr>
      </w:pPr>
      <w:r>
        <w:rPr>
          <w:b/>
        </w:rPr>
        <w:t>ANNEXE I</w:t>
      </w:r>
    </w:p>
    <w:p w14:paraId="16DDAD71" w14:textId="77777777" w:rsidR="00812D16" w:rsidRPr="00761EB7" w:rsidRDefault="00812D16" w:rsidP="00981659">
      <w:pPr>
        <w:jc w:val="center"/>
      </w:pPr>
    </w:p>
    <w:p w14:paraId="6B6AC512" w14:textId="7562D9E4" w:rsidR="0087088C" w:rsidRPr="00761EB7" w:rsidRDefault="00812D16" w:rsidP="003D08BD">
      <w:pPr>
        <w:pStyle w:val="Heading1"/>
        <w:jc w:val="center"/>
        <w:rPr>
          <w:szCs w:val="22"/>
        </w:rPr>
      </w:pPr>
      <w:r>
        <w:t>RÉSUMÉ DES CARACTÉRISTIQUES DU PRODUIT</w:t>
      </w:r>
    </w:p>
    <w:p w14:paraId="7A17270A" w14:textId="77777777" w:rsidR="00033D26" w:rsidRPr="00743D4B" w:rsidRDefault="00812D16" w:rsidP="00204AAB">
      <w:pPr>
        <w:spacing w:line="240" w:lineRule="auto"/>
        <w:rPr>
          <w:szCs w:val="22"/>
        </w:rPr>
      </w:pPr>
      <w:r>
        <w:br w:type="page"/>
      </w:r>
      <w:r>
        <w:rPr>
          <w:noProof/>
        </w:rPr>
        <w:lastRenderedPageBreak/>
        <w:drawing>
          <wp:inline distT="0" distB="0" distL="0" distR="0" wp14:anchorId="56E04693" wp14:editId="750055A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6541B33A" w14:textId="77777777" w:rsidR="00033D26" w:rsidRPr="00743D4B" w:rsidRDefault="00033D26" w:rsidP="00204AAB">
      <w:pPr>
        <w:spacing w:line="240" w:lineRule="auto"/>
        <w:rPr>
          <w:szCs w:val="22"/>
        </w:rPr>
      </w:pPr>
    </w:p>
    <w:p w14:paraId="24859702" w14:textId="77777777" w:rsidR="00033D26" w:rsidRPr="00743D4B" w:rsidRDefault="00033D26" w:rsidP="00204AAB">
      <w:pPr>
        <w:spacing w:line="240" w:lineRule="auto"/>
        <w:rPr>
          <w:szCs w:val="22"/>
        </w:rPr>
      </w:pPr>
    </w:p>
    <w:p w14:paraId="33FEE086" w14:textId="77777777" w:rsidR="00812D16" w:rsidRPr="00743D4B" w:rsidRDefault="00812D16" w:rsidP="003D757A">
      <w:pPr>
        <w:suppressAutoHyphens/>
        <w:spacing w:line="240" w:lineRule="auto"/>
        <w:ind w:left="562" w:hanging="562"/>
        <w:rPr>
          <w:szCs w:val="22"/>
        </w:rPr>
      </w:pPr>
      <w:r>
        <w:rPr>
          <w:b/>
        </w:rPr>
        <w:t>1.</w:t>
      </w:r>
      <w:r>
        <w:rPr>
          <w:b/>
        </w:rPr>
        <w:tab/>
        <w:t>DÉNOMINATION DU MÉDICAMENT</w:t>
      </w:r>
    </w:p>
    <w:p w14:paraId="53F84261" w14:textId="77777777" w:rsidR="00812D16" w:rsidRPr="00743D4B" w:rsidRDefault="00812D16" w:rsidP="00204AAB">
      <w:pPr>
        <w:spacing w:line="240" w:lineRule="auto"/>
        <w:rPr>
          <w:szCs w:val="22"/>
        </w:rPr>
      </w:pPr>
    </w:p>
    <w:p w14:paraId="76176AF0" w14:textId="07C764AE" w:rsidR="009C3878" w:rsidRPr="00743D4B" w:rsidRDefault="009C3878" w:rsidP="009C3878">
      <w:pPr>
        <w:widowControl w:val="0"/>
        <w:spacing w:line="240" w:lineRule="auto"/>
      </w:pPr>
      <w:r>
        <w:t>ELREXFIO 40 mg/</w:t>
      </w:r>
      <w:r w:rsidR="00FE7BBE">
        <w:t>mL</w:t>
      </w:r>
      <w:r>
        <w:t>, solution injectable</w:t>
      </w:r>
    </w:p>
    <w:p w14:paraId="7B6E6202" w14:textId="77777777" w:rsidR="009C3878" w:rsidRDefault="009C3878" w:rsidP="009C3878">
      <w:pPr>
        <w:spacing w:line="240" w:lineRule="auto"/>
        <w:rPr>
          <w:szCs w:val="22"/>
        </w:rPr>
      </w:pPr>
    </w:p>
    <w:p w14:paraId="54B2EB6C" w14:textId="77777777" w:rsidR="009C3878" w:rsidRPr="00743D4B" w:rsidRDefault="009C3878" w:rsidP="009C3878">
      <w:pPr>
        <w:spacing w:line="240" w:lineRule="auto"/>
        <w:rPr>
          <w:szCs w:val="22"/>
        </w:rPr>
      </w:pPr>
    </w:p>
    <w:p w14:paraId="6EFE8272" w14:textId="77777777" w:rsidR="009C3878" w:rsidRPr="0075731F" w:rsidRDefault="009C3878" w:rsidP="009C3878">
      <w:pPr>
        <w:suppressAutoHyphens/>
        <w:spacing w:line="240" w:lineRule="auto"/>
        <w:ind w:left="567" w:hanging="567"/>
        <w:rPr>
          <w:szCs w:val="22"/>
        </w:rPr>
      </w:pPr>
      <w:r>
        <w:rPr>
          <w:b/>
        </w:rPr>
        <w:t>2.</w:t>
      </w:r>
      <w:r>
        <w:rPr>
          <w:b/>
        </w:rPr>
        <w:tab/>
        <w:t>COMPOSITION QUALITATIVE ET QUANTITATIVE</w:t>
      </w:r>
    </w:p>
    <w:p w14:paraId="34DF450D" w14:textId="77777777" w:rsidR="009C3878" w:rsidRPr="0075731F" w:rsidRDefault="009C3878" w:rsidP="009C3878">
      <w:pPr>
        <w:widowControl w:val="0"/>
        <w:spacing w:line="240" w:lineRule="auto"/>
        <w:contextualSpacing/>
        <w:rPr>
          <w:szCs w:val="22"/>
        </w:rPr>
      </w:pPr>
    </w:p>
    <w:p w14:paraId="7468E474" w14:textId="45B585A9" w:rsidR="009C3878" w:rsidRPr="0075731F" w:rsidRDefault="009C3878" w:rsidP="009C3878">
      <w:pPr>
        <w:widowControl w:val="0"/>
        <w:spacing w:line="240" w:lineRule="auto"/>
        <w:contextualSpacing/>
        <w:rPr>
          <w:rStyle w:val="Instructions"/>
          <w:i w:val="0"/>
          <w:color w:val="auto"/>
          <w:szCs w:val="22"/>
          <w:u w:val="single"/>
        </w:rPr>
      </w:pPr>
      <w:r>
        <w:rPr>
          <w:u w:val="single"/>
        </w:rPr>
        <w:t>ELREXFIO 40 mg/</w:t>
      </w:r>
      <w:r w:rsidR="00FE7BBE">
        <w:rPr>
          <w:u w:val="single"/>
        </w:rPr>
        <w:t>mL</w:t>
      </w:r>
      <w:r>
        <w:rPr>
          <w:u w:val="single"/>
        </w:rPr>
        <w:t>, solution injectable</w:t>
      </w:r>
    </w:p>
    <w:p w14:paraId="69C6AD58" w14:textId="77777777" w:rsidR="00BA10CB" w:rsidRDefault="00BA10CB" w:rsidP="009C3878">
      <w:pPr>
        <w:pStyle w:val="Paragraph"/>
        <w:spacing w:after="0"/>
        <w:contextualSpacing/>
        <w:rPr>
          <w:rStyle w:val="Instructions"/>
          <w:i w:val="0"/>
          <w:color w:val="auto"/>
          <w:sz w:val="22"/>
        </w:rPr>
      </w:pPr>
    </w:p>
    <w:p w14:paraId="77112315" w14:textId="3872D587" w:rsidR="009C3878" w:rsidRPr="0075731F" w:rsidRDefault="00274261" w:rsidP="009C3878">
      <w:pPr>
        <w:pStyle w:val="Paragraph"/>
        <w:spacing w:after="0"/>
        <w:contextualSpacing/>
        <w:rPr>
          <w:rStyle w:val="Instructions"/>
          <w:i w:val="0"/>
          <w:color w:val="auto"/>
          <w:sz w:val="22"/>
          <w:szCs w:val="22"/>
        </w:rPr>
      </w:pPr>
      <w:r>
        <w:rPr>
          <w:rStyle w:val="Instructions"/>
          <w:i w:val="0"/>
          <w:color w:val="auto"/>
          <w:sz w:val="22"/>
        </w:rPr>
        <w:t>Un flacon contient 44 mg d’elranatamab dans 1,1 </w:t>
      </w:r>
      <w:r w:rsidR="00FE7BBE">
        <w:rPr>
          <w:rStyle w:val="Instructions"/>
          <w:i w:val="0"/>
          <w:color w:val="auto"/>
          <w:sz w:val="22"/>
        </w:rPr>
        <w:t xml:space="preserve">mL </w:t>
      </w:r>
      <w:r>
        <w:rPr>
          <w:rStyle w:val="Instructions"/>
          <w:i w:val="0"/>
          <w:color w:val="auto"/>
          <w:sz w:val="22"/>
        </w:rPr>
        <w:t>(40 mg/</w:t>
      </w:r>
      <w:r w:rsidR="00FE7BBE">
        <w:rPr>
          <w:rStyle w:val="Instructions"/>
          <w:i w:val="0"/>
          <w:color w:val="auto"/>
          <w:sz w:val="22"/>
        </w:rPr>
        <w:t>mL</w:t>
      </w:r>
      <w:r>
        <w:rPr>
          <w:rStyle w:val="Instructions"/>
          <w:i w:val="0"/>
          <w:color w:val="auto"/>
          <w:sz w:val="22"/>
        </w:rPr>
        <w:t>).</w:t>
      </w:r>
    </w:p>
    <w:p w14:paraId="2AA9F9A7" w14:textId="77777777" w:rsidR="00BA10CB" w:rsidRDefault="00BA10CB" w:rsidP="009C3878">
      <w:pPr>
        <w:pStyle w:val="Paragraph"/>
        <w:spacing w:after="0"/>
        <w:rPr>
          <w:rStyle w:val="Instructions"/>
          <w:i w:val="0"/>
          <w:color w:val="auto"/>
          <w:sz w:val="22"/>
        </w:rPr>
      </w:pPr>
    </w:p>
    <w:p w14:paraId="6C40E000" w14:textId="72D37BF2" w:rsidR="00BA10CB" w:rsidRDefault="00BA10CB" w:rsidP="00BA10CB">
      <w:pPr>
        <w:widowControl w:val="0"/>
        <w:spacing w:line="240" w:lineRule="auto"/>
        <w:contextualSpacing/>
        <w:rPr>
          <w:u w:val="single"/>
        </w:rPr>
      </w:pPr>
      <w:r>
        <w:rPr>
          <w:u w:val="single"/>
        </w:rPr>
        <w:t>ELREXFIO 40 mg/m</w:t>
      </w:r>
      <w:r w:rsidR="00FE7BBE">
        <w:rPr>
          <w:u w:val="single"/>
        </w:rPr>
        <w:t>L</w:t>
      </w:r>
      <w:r>
        <w:rPr>
          <w:u w:val="single"/>
        </w:rPr>
        <w:t>, solution injectable</w:t>
      </w:r>
    </w:p>
    <w:p w14:paraId="4202AA8D" w14:textId="77777777" w:rsidR="00BA10CB" w:rsidRDefault="00BA10CB" w:rsidP="009C3878">
      <w:pPr>
        <w:pStyle w:val="Paragraph"/>
        <w:spacing w:after="0"/>
        <w:rPr>
          <w:rStyle w:val="Instructions"/>
          <w:i w:val="0"/>
          <w:color w:val="auto"/>
          <w:sz w:val="22"/>
        </w:rPr>
      </w:pPr>
    </w:p>
    <w:p w14:paraId="677BE106" w14:textId="392E7B10" w:rsidR="009C3878" w:rsidRPr="0075731F" w:rsidRDefault="00274261" w:rsidP="009C3878">
      <w:pPr>
        <w:pStyle w:val="Paragraph"/>
        <w:spacing w:after="0"/>
        <w:rPr>
          <w:rStyle w:val="Instructions"/>
          <w:color w:val="auto"/>
          <w:sz w:val="22"/>
          <w:szCs w:val="22"/>
        </w:rPr>
      </w:pPr>
      <w:r>
        <w:rPr>
          <w:rStyle w:val="Instructions"/>
          <w:i w:val="0"/>
          <w:color w:val="auto"/>
          <w:sz w:val="22"/>
        </w:rPr>
        <w:t>Un flacon contient 76 mg d’elranatamab dans 1,9 </w:t>
      </w:r>
      <w:r w:rsidR="00FE7BBE">
        <w:rPr>
          <w:rStyle w:val="Instructions"/>
          <w:i w:val="0"/>
          <w:color w:val="auto"/>
          <w:sz w:val="22"/>
        </w:rPr>
        <w:t xml:space="preserve">mL </w:t>
      </w:r>
      <w:r>
        <w:rPr>
          <w:rStyle w:val="Instructions"/>
          <w:i w:val="0"/>
          <w:color w:val="auto"/>
          <w:sz w:val="22"/>
        </w:rPr>
        <w:t>(40 mg/</w:t>
      </w:r>
      <w:r w:rsidR="00FE7BBE">
        <w:rPr>
          <w:rStyle w:val="Instructions"/>
          <w:i w:val="0"/>
          <w:color w:val="auto"/>
          <w:sz w:val="22"/>
        </w:rPr>
        <w:t>mL</w:t>
      </w:r>
      <w:r>
        <w:rPr>
          <w:rStyle w:val="Instructions"/>
          <w:i w:val="0"/>
          <w:color w:val="auto"/>
          <w:sz w:val="22"/>
        </w:rPr>
        <w:t>).</w:t>
      </w:r>
    </w:p>
    <w:p w14:paraId="1674A1E3" w14:textId="77777777" w:rsidR="00A70BB2" w:rsidRPr="0075731F" w:rsidRDefault="00A70BB2" w:rsidP="002564E9">
      <w:pPr>
        <w:spacing w:line="240" w:lineRule="auto"/>
        <w:rPr>
          <w:szCs w:val="22"/>
        </w:rPr>
      </w:pPr>
    </w:p>
    <w:p w14:paraId="13733ADD" w14:textId="24730DDA" w:rsidR="006F440A" w:rsidRPr="0075731F" w:rsidRDefault="00A64CF9" w:rsidP="006F440A">
      <w:pPr>
        <w:rPr>
          <w:szCs w:val="22"/>
        </w:rPr>
      </w:pPr>
      <w:r>
        <w:t>L’elranatamab est un anticorps bispécifique IgG2 kappa dérivé de deux anticorps monoclonaux (AcM). L’elranatamab est produit à partir de deux lignées cellulaires recombinantes issues d’ovaires de hamster chinois (CHO).</w:t>
      </w:r>
    </w:p>
    <w:p w14:paraId="46A5E901" w14:textId="77777777" w:rsidR="00644BB2" w:rsidRPr="00A10D5D" w:rsidRDefault="00644BB2" w:rsidP="00644BB2">
      <w:pPr>
        <w:pStyle w:val="Paragraph"/>
        <w:spacing w:after="0"/>
        <w:rPr>
          <w:sz w:val="22"/>
          <w:szCs w:val="22"/>
        </w:rPr>
      </w:pPr>
    </w:p>
    <w:p w14:paraId="65E8B875" w14:textId="77777777" w:rsidR="00644BB2" w:rsidRPr="0075731F" w:rsidRDefault="00644BB2" w:rsidP="00644BB2">
      <w:pPr>
        <w:pStyle w:val="Paragraph"/>
        <w:spacing w:after="0"/>
        <w:rPr>
          <w:rStyle w:val="Instructions"/>
          <w:i w:val="0"/>
          <w:color w:val="auto"/>
          <w:sz w:val="22"/>
          <w:szCs w:val="22"/>
        </w:rPr>
      </w:pPr>
      <w:r>
        <w:rPr>
          <w:sz w:val="22"/>
        </w:rPr>
        <w:t>Pour la liste complète des excipients, voir rubrique 6.1.</w:t>
      </w:r>
    </w:p>
    <w:p w14:paraId="2BF94C54" w14:textId="77777777" w:rsidR="00DD10B4" w:rsidRPr="00A10D5D" w:rsidRDefault="00DD10B4" w:rsidP="00DD10B4">
      <w:pPr>
        <w:pStyle w:val="Paragraph"/>
        <w:spacing w:after="0"/>
        <w:rPr>
          <w:sz w:val="22"/>
          <w:szCs w:val="22"/>
        </w:rPr>
      </w:pPr>
    </w:p>
    <w:p w14:paraId="15F1F49B" w14:textId="77777777" w:rsidR="00666055" w:rsidRPr="00743D4B" w:rsidRDefault="00666055" w:rsidP="00204AAB">
      <w:pPr>
        <w:spacing w:line="240" w:lineRule="auto"/>
        <w:rPr>
          <w:szCs w:val="22"/>
        </w:rPr>
      </w:pPr>
    </w:p>
    <w:p w14:paraId="7E4199B9" w14:textId="77777777" w:rsidR="00812D16" w:rsidRPr="00305834" w:rsidRDefault="00812D16" w:rsidP="00204AAB">
      <w:pPr>
        <w:suppressAutoHyphens/>
        <w:spacing w:line="240" w:lineRule="auto"/>
        <w:ind w:left="567" w:hanging="567"/>
        <w:rPr>
          <w:caps/>
          <w:szCs w:val="22"/>
        </w:rPr>
      </w:pPr>
      <w:r>
        <w:rPr>
          <w:b/>
        </w:rPr>
        <w:t>3.</w:t>
      </w:r>
      <w:r>
        <w:rPr>
          <w:b/>
        </w:rPr>
        <w:tab/>
        <w:t>FORME PHARMACEUTIQUE</w:t>
      </w:r>
    </w:p>
    <w:p w14:paraId="35B34FFC" w14:textId="77777777" w:rsidR="00812D16" w:rsidRPr="00305834" w:rsidRDefault="00812D16" w:rsidP="00204AAB">
      <w:pPr>
        <w:spacing w:line="240" w:lineRule="auto"/>
        <w:rPr>
          <w:szCs w:val="22"/>
        </w:rPr>
      </w:pPr>
    </w:p>
    <w:p w14:paraId="3B10411A" w14:textId="77777777" w:rsidR="00734B1E" w:rsidRPr="00305834" w:rsidRDefault="001309D2" w:rsidP="00EB43F4">
      <w:pPr>
        <w:spacing w:line="240" w:lineRule="auto"/>
        <w:rPr>
          <w:szCs w:val="22"/>
        </w:rPr>
      </w:pPr>
      <w:r>
        <w:t>Solution injectable (injection).</w:t>
      </w:r>
    </w:p>
    <w:p w14:paraId="799E5204" w14:textId="77777777" w:rsidR="00734B1E" w:rsidRPr="00305834" w:rsidRDefault="00734B1E" w:rsidP="00EB43F4">
      <w:pPr>
        <w:spacing w:line="240" w:lineRule="auto"/>
        <w:rPr>
          <w:szCs w:val="22"/>
        </w:rPr>
      </w:pPr>
    </w:p>
    <w:p w14:paraId="49BD5FE9" w14:textId="363010F5" w:rsidR="007A46A9" w:rsidRPr="00305834" w:rsidRDefault="007A46A9" w:rsidP="007A46A9">
      <w:pPr>
        <w:spacing w:line="240" w:lineRule="auto"/>
        <w:rPr>
          <w:szCs w:val="22"/>
        </w:rPr>
      </w:pPr>
      <w:r>
        <w:t>Solution limpide à légèrement opalescente, incolore à brunâtre pâle, d’un pH de 5,8 et d’une osmolarité d’environ 301 mOsm</w:t>
      </w:r>
      <w:r w:rsidR="001C17CF">
        <w:t>/</w:t>
      </w:r>
      <w:r w:rsidR="00AC4222">
        <w:t>L</w:t>
      </w:r>
      <w:r>
        <w:t>.</w:t>
      </w:r>
    </w:p>
    <w:p w14:paraId="01153C40" w14:textId="77777777" w:rsidR="00812D16" w:rsidRPr="00305834" w:rsidRDefault="00812D16" w:rsidP="00204AAB">
      <w:pPr>
        <w:spacing w:line="240" w:lineRule="auto"/>
        <w:rPr>
          <w:noProof/>
          <w:szCs w:val="22"/>
        </w:rPr>
      </w:pPr>
    </w:p>
    <w:p w14:paraId="26B5051F" w14:textId="77777777" w:rsidR="00911AD3" w:rsidRPr="00305834" w:rsidRDefault="00911AD3" w:rsidP="00204AAB">
      <w:pPr>
        <w:spacing w:line="240" w:lineRule="auto"/>
        <w:rPr>
          <w:noProof/>
          <w:szCs w:val="22"/>
        </w:rPr>
      </w:pPr>
    </w:p>
    <w:p w14:paraId="09922DA3" w14:textId="77777777" w:rsidR="00812D16" w:rsidRPr="00305834" w:rsidRDefault="00812D16" w:rsidP="00204AAB">
      <w:pPr>
        <w:suppressAutoHyphens/>
        <w:spacing w:line="240" w:lineRule="auto"/>
        <w:ind w:left="567" w:hanging="567"/>
        <w:rPr>
          <w:caps/>
          <w:noProof/>
          <w:szCs w:val="22"/>
        </w:rPr>
      </w:pPr>
      <w:r>
        <w:rPr>
          <w:b/>
          <w:caps/>
        </w:rPr>
        <w:t>4.</w:t>
      </w:r>
      <w:r>
        <w:rPr>
          <w:b/>
          <w:caps/>
        </w:rPr>
        <w:tab/>
      </w:r>
      <w:r>
        <w:rPr>
          <w:b/>
        </w:rPr>
        <w:t>INFORMATIONS CLINIQUES</w:t>
      </w:r>
    </w:p>
    <w:p w14:paraId="47ED8E1C" w14:textId="77777777" w:rsidR="00812D16" w:rsidRPr="0075731F" w:rsidRDefault="00812D16" w:rsidP="00204AAB">
      <w:pPr>
        <w:spacing w:line="240" w:lineRule="auto"/>
        <w:rPr>
          <w:noProof/>
          <w:szCs w:val="22"/>
        </w:rPr>
      </w:pPr>
    </w:p>
    <w:p w14:paraId="7F7199BA" w14:textId="77777777" w:rsidR="00812D16" w:rsidRPr="0075731F" w:rsidRDefault="00812D16" w:rsidP="00204AAB">
      <w:pPr>
        <w:spacing w:line="240" w:lineRule="auto"/>
        <w:ind w:left="567" w:hanging="567"/>
        <w:outlineLvl w:val="0"/>
        <w:rPr>
          <w:noProof/>
          <w:szCs w:val="22"/>
        </w:rPr>
      </w:pPr>
      <w:r>
        <w:rPr>
          <w:b/>
        </w:rPr>
        <w:t>4.1</w:t>
      </w:r>
      <w:r>
        <w:rPr>
          <w:b/>
        </w:rPr>
        <w:tab/>
        <w:t>Indications thérapeutiques</w:t>
      </w:r>
    </w:p>
    <w:p w14:paraId="44237D17" w14:textId="77777777" w:rsidR="00812D16" w:rsidRPr="0075731F" w:rsidRDefault="00812D16" w:rsidP="00204AAB">
      <w:pPr>
        <w:spacing w:line="240" w:lineRule="auto"/>
        <w:rPr>
          <w:noProof/>
          <w:szCs w:val="22"/>
        </w:rPr>
      </w:pPr>
    </w:p>
    <w:p w14:paraId="2082B366" w14:textId="33270A25" w:rsidR="00EE1D4C" w:rsidRDefault="00EE1D4C" w:rsidP="00EE1D4C">
      <w:pPr>
        <w:spacing w:line="240" w:lineRule="auto"/>
      </w:pPr>
      <w:r>
        <w:t xml:space="preserve">ELREXFIO est indiqué en monothérapie pour le traitement des patients adultes atteints de myélome multiple en rechute et réfractaire, ayant reçu au moins trois traitements antérieurs, </w:t>
      </w:r>
      <w:r w:rsidR="00CC6D99">
        <w:t xml:space="preserve">incluant </w:t>
      </w:r>
      <w:r>
        <w:t>un agent immunomodulateur, un inhibiteur du protéasome et un anticorps anti-CD38, et dont la maladie a progressé pendant le dernier traitement.</w:t>
      </w:r>
    </w:p>
    <w:p w14:paraId="512913F0" w14:textId="77777777" w:rsidR="00812D16" w:rsidRPr="00743D4B" w:rsidRDefault="00812D16" w:rsidP="00204AAB">
      <w:pPr>
        <w:spacing w:line="240" w:lineRule="auto"/>
        <w:rPr>
          <w:noProof/>
          <w:szCs w:val="22"/>
        </w:rPr>
      </w:pPr>
    </w:p>
    <w:p w14:paraId="2FEECDC2" w14:textId="77777777" w:rsidR="00812D16" w:rsidRPr="00743D4B" w:rsidRDefault="00855481" w:rsidP="00204AAB">
      <w:pPr>
        <w:spacing w:line="240" w:lineRule="auto"/>
        <w:outlineLvl w:val="0"/>
        <w:rPr>
          <w:b/>
          <w:noProof/>
          <w:szCs w:val="22"/>
        </w:rPr>
      </w:pPr>
      <w:r>
        <w:rPr>
          <w:b/>
        </w:rPr>
        <w:t>4.2</w:t>
      </w:r>
      <w:r>
        <w:rPr>
          <w:b/>
        </w:rPr>
        <w:tab/>
        <w:t>Posologie et mode d’administration</w:t>
      </w:r>
    </w:p>
    <w:p w14:paraId="775850B5" w14:textId="77777777" w:rsidR="00812D16" w:rsidRPr="00743D4B" w:rsidRDefault="00812D16" w:rsidP="00204AAB">
      <w:pPr>
        <w:spacing w:line="240" w:lineRule="auto"/>
        <w:rPr>
          <w:szCs w:val="22"/>
        </w:rPr>
      </w:pPr>
    </w:p>
    <w:p w14:paraId="121D29AA" w14:textId="3BFB2F0F" w:rsidR="00D17A9E" w:rsidRPr="00743D4B" w:rsidRDefault="00D17A9E" w:rsidP="002564E9">
      <w:pPr>
        <w:spacing w:line="240" w:lineRule="auto"/>
        <w:rPr>
          <w:szCs w:val="22"/>
        </w:rPr>
      </w:pPr>
      <w:r>
        <w:t>Le traitement doit être instauré et supervisé par des médecins expérimentés dans le traitement du myélome multiple.</w:t>
      </w:r>
    </w:p>
    <w:p w14:paraId="03D4269E" w14:textId="77777777" w:rsidR="00F71193" w:rsidRPr="00743D4B" w:rsidRDefault="00F71193" w:rsidP="002564E9">
      <w:pPr>
        <w:spacing w:line="240" w:lineRule="auto"/>
        <w:rPr>
          <w:szCs w:val="22"/>
        </w:rPr>
      </w:pPr>
    </w:p>
    <w:p w14:paraId="7CDA364A" w14:textId="30B60874" w:rsidR="0002047B" w:rsidRDefault="00A23713" w:rsidP="0002047B">
      <w:pPr>
        <w:spacing w:line="240" w:lineRule="auto"/>
      </w:pPr>
      <w:r w:rsidRPr="00CD4AD9">
        <w:t>ELREXFIO doit être administré par injection sous-cutanée par un professionnel de santé</w:t>
      </w:r>
      <w:r w:rsidR="00CD4AD9">
        <w:t xml:space="preserve"> </w:t>
      </w:r>
      <w:r w:rsidRPr="00CD4AD9">
        <w:t>disposant d</w:t>
      </w:r>
      <w:r w:rsidR="003B0991">
        <w:t>u</w:t>
      </w:r>
      <w:r w:rsidRPr="00CD4AD9">
        <w:t xml:space="preserve"> personnel médical </w:t>
      </w:r>
      <w:r w:rsidR="00A23F49" w:rsidRPr="00CD4AD9">
        <w:t xml:space="preserve">formé </w:t>
      </w:r>
      <w:r w:rsidR="00CC6D99" w:rsidRPr="00CD4AD9">
        <w:t>de manière adéquate</w:t>
      </w:r>
      <w:r w:rsidRPr="00CD4AD9">
        <w:t xml:space="preserve"> et </w:t>
      </w:r>
      <w:r w:rsidR="00CC6D99" w:rsidRPr="00CD4AD9">
        <w:t>du matériel</w:t>
      </w:r>
      <w:r w:rsidRPr="00CD4AD9">
        <w:t xml:space="preserve"> médical approprié pour </w:t>
      </w:r>
      <w:r w:rsidR="00EB7EDE">
        <w:t>prendre en charge</w:t>
      </w:r>
      <w:r w:rsidR="00EB7EDE" w:rsidRPr="00CD4AD9">
        <w:t xml:space="preserve"> </w:t>
      </w:r>
      <w:r w:rsidRPr="00CD4AD9">
        <w:t xml:space="preserve">les réactions sévères, </w:t>
      </w:r>
      <w:r w:rsidR="00CD4AD9">
        <w:t xml:space="preserve">comprenant </w:t>
      </w:r>
      <w:r w:rsidRPr="00CD4AD9">
        <w:t>le</w:t>
      </w:r>
      <w:r>
        <w:t xml:space="preserve"> syndrome de </w:t>
      </w:r>
      <w:r w:rsidR="00CC6D99">
        <w:t xml:space="preserve">relargage </w:t>
      </w:r>
      <w:r>
        <w:t>des cytokines (</w:t>
      </w:r>
      <w:r w:rsidR="00143572">
        <w:t>S</w:t>
      </w:r>
      <w:r w:rsidR="00CC6D99">
        <w:t>R</w:t>
      </w:r>
      <w:r w:rsidR="00143572">
        <w:t>C</w:t>
      </w:r>
      <w:r>
        <w:t xml:space="preserve">) et le syndrome de neurotoxicité associé aux cellules </w:t>
      </w:r>
      <w:r w:rsidR="000F0344">
        <w:t xml:space="preserve">effectrices </w:t>
      </w:r>
      <w:r>
        <w:t>immunitaires (ICANS) (voir rubrique 4.4).</w:t>
      </w:r>
    </w:p>
    <w:p w14:paraId="646F0E54" w14:textId="77777777" w:rsidR="00E73A5F" w:rsidRPr="00743D4B" w:rsidRDefault="00E73A5F" w:rsidP="0002047B">
      <w:pPr>
        <w:spacing w:line="240" w:lineRule="auto"/>
        <w:rPr>
          <w:szCs w:val="22"/>
        </w:rPr>
      </w:pPr>
    </w:p>
    <w:p w14:paraId="1502D605" w14:textId="579D8891" w:rsidR="00E73A5F" w:rsidRPr="00743D4B" w:rsidRDefault="00E73A5F" w:rsidP="00E73A5F">
      <w:pPr>
        <w:spacing w:line="240" w:lineRule="auto"/>
        <w:rPr>
          <w:szCs w:val="22"/>
        </w:rPr>
      </w:pPr>
      <w:r>
        <w:t>Avant de débuter le traitement, il convient d’effectuer une numération formule sanguine. Il est nécessaire d’écarter toute possibilité d’infections actives et/ou de grossesse chez les femmes en âge de procréer</w:t>
      </w:r>
      <w:r w:rsidR="00C43EA6">
        <w:t xml:space="preserve"> (voir rubriques 4.4 et 4.6)</w:t>
      </w:r>
      <w:r>
        <w:t>.</w:t>
      </w:r>
    </w:p>
    <w:p w14:paraId="5A61AC3E" w14:textId="77777777" w:rsidR="00EC7BC8" w:rsidRPr="00743D4B" w:rsidRDefault="00EC7BC8" w:rsidP="002564E9">
      <w:pPr>
        <w:spacing w:line="240" w:lineRule="auto"/>
        <w:rPr>
          <w:szCs w:val="22"/>
          <w:u w:val="single"/>
        </w:rPr>
      </w:pPr>
    </w:p>
    <w:p w14:paraId="7019ADFF" w14:textId="77777777" w:rsidR="00D17A9E" w:rsidRPr="00743D4B" w:rsidRDefault="00D17A9E" w:rsidP="002564E9">
      <w:pPr>
        <w:keepNext/>
        <w:spacing w:line="240" w:lineRule="auto"/>
        <w:rPr>
          <w:szCs w:val="22"/>
          <w:u w:val="single"/>
        </w:rPr>
      </w:pPr>
      <w:r>
        <w:rPr>
          <w:u w:val="single"/>
        </w:rPr>
        <w:t>Posologie</w:t>
      </w:r>
    </w:p>
    <w:p w14:paraId="243509EC" w14:textId="77777777" w:rsidR="005C631D" w:rsidRPr="00743D4B" w:rsidRDefault="005C631D" w:rsidP="002564E9">
      <w:pPr>
        <w:keepNext/>
        <w:spacing w:line="240" w:lineRule="auto"/>
      </w:pPr>
    </w:p>
    <w:p w14:paraId="21CA66FF" w14:textId="77777777" w:rsidR="002F4F0D" w:rsidRPr="00743D4B" w:rsidRDefault="004F41F2" w:rsidP="003D757A">
      <w:pPr>
        <w:keepNext/>
        <w:spacing w:line="240" w:lineRule="auto"/>
        <w:rPr>
          <w:i/>
          <w:szCs w:val="22"/>
        </w:rPr>
      </w:pPr>
      <w:r>
        <w:rPr>
          <w:i/>
        </w:rPr>
        <w:t>Schéma posologique recommandé</w:t>
      </w:r>
    </w:p>
    <w:p w14:paraId="6CDE0A51" w14:textId="4387F0F7" w:rsidR="00455FED" w:rsidRPr="00743D4B" w:rsidRDefault="00455FED" w:rsidP="00455FED">
      <w:pPr>
        <w:spacing w:line="240" w:lineRule="auto"/>
        <w:rPr>
          <w:b/>
          <w:szCs w:val="22"/>
        </w:rPr>
      </w:pPr>
      <w:r>
        <w:t xml:space="preserve">Les doses recommandées sont des doses </w:t>
      </w:r>
      <w:r w:rsidR="00C334FA" w:rsidRPr="00CD4AD9">
        <w:t xml:space="preserve">croissantes (phase d’escalade de dose) </w:t>
      </w:r>
      <w:r w:rsidRPr="00CD4AD9">
        <w:t xml:space="preserve">de 12 mg le </w:t>
      </w:r>
      <w:r w:rsidR="00D4473F" w:rsidRPr="003B0991">
        <w:t>j</w:t>
      </w:r>
      <w:r w:rsidR="00D4473F" w:rsidRPr="00CD4AD9">
        <w:t>our </w:t>
      </w:r>
      <w:r w:rsidRPr="00CD4AD9">
        <w:t xml:space="preserve">1 et de 32 mg le </w:t>
      </w:r>
      <w:r w:rsidR="00D4473F" w:rsidRPr="003B0991">
        <w:t>j</w:t>
      </w:r>
      <w:r w:rsidRPr="00CD4AD9">
        <w:t xml:space="preserve">our 4, suivies </w:t>
      </w:r>
      <w:r w:rsidR="00136B40" w:rsidRPr="00C43EA6">
        <w:t>de</w:t>
      </w:r>
      <w:r w:rsidR="00136B40" w:rsidRPr="00CD4AD9">
        <w:t xml:space="preserve"> </w:t>
      </w:r>
      <w:r w:rsidRPr="00CD4AD9">
        <w:t>dose</w:t>
      </w:r>
      <w:r w:rsidR="00136B40" w:rsidRPr="003B0991">
        <w:t>s</w:t>
      </w:r>
      <w:r w:rsidRPr="00CD4AD9">
        <w:t xml:space="preserve"> </w:t>
      </w:r>
      <w:r w:rsidR="00A23F49" w:rsidRPr="00CD4AD9">
        <w:t>complète</w:t>
      </w:r>
      <w:r w:rsidR="00C43EA6">
        <w:t>s</w:t>
      </w:r>
      <w:r w:rsidR="00A23F49" w:rsidRPr="00CD4AD9">
        <w:t xml:space="preserve"> </w:t>
      </w:r>
      <w:r>
        <w:t xml:space="preserve">de 76 mg </w:t>
      </w:r>
      <w:r w:rsidR="00C334FA">
        <w:t xml:space="preserve">une fois </w:t>
      </w:r>
      <w:r>
        <w:t xml:space="preserve">par semaine, de la Semaine 2 à la Semaine 24 </w:t>
      </w:r>
      <w:r w:rsidR="00E73A5F">
        <w:t>(</w:t>
      </w:r>
      <w:r>
        <w:t>voir tableau 1</w:t>
      </w:r>
      <w:r w:rsidR="00E73A5F">
        <w:t>)</w:t>
      </w:r>
      <w:r>
        <w:t>.</w:t>
      </w:r>
    </w:p>
    <w:p w14:paraId="1D3EC2C9" w14:textId="77777777" w:rsidR="00455FED" w:rsidRPr="00743D4B" w:rsidRDefault="00455FED" w:rsidP="00455FED">
      <w:pPr>
        <w:spacing w:line="240" w:lineRule="auto"/>
      </w:pPr>
    </w:p>
    <w:p w14:paraId="0BC34827" w14:textId="53F21157" w:rsidR="00455FED" w:rsidRPr="00743D4B" w:rsidRDefault="00455FED" w:rsidP="00455FED">
      <w:pPr>
        <w:spacing w:line="240" w:lineRule="auto"/>
        <w:rPr>
          <w:szCs w:val="22"/>
        </w:rPr>
      </w:pPr>
      <w:r w:rsidRPr="00C43EA6">
        <w:t xml:space="preserve">Pour les patients ayant reçu au moins 24 semaines de traitement et ayant obtenu une réponse, l’intervalle </w:t>
      </w:r>
      <w:r w:rsidR="00777CFE" w:rsidRPr="00C43EA6">
        <w:t xml:space="preserve">entre </w:t>
      </w:r>
      <w:r w:rsidR="00C334FA" w:rsidRPr="00C43EA6">
        <w:t xml:space="preserve">chaque </w:t>
      </w:r>
      <w:r w:rsidR="00777CFE" w:rsidRPr="00C43EA6">
        <w:t xml:space="preserve">dose </w:t>
      </w:r>
      <w:r w:rsidRPr="00C43EA6">
        <w:t>doit passer à toutes les deux semaines.</w:t>
      </w:r>
      <w:r w:rsidR="00F01172">
        <w:t xml:space="preserve"> </w:t>
      </w:r>
      <w:r w:rsidR="00F01172" w:rsidRPr="00F01172">
        <w:t xml:space="preserve">Pour les patients ayant reçu au moins 24 semaines de traitement </w:t>
      </w:r>
      <w:r w:rsidR="00C61FDF">
        <w:t>selon</w:t>
      </w:r>
      <w:r w:rsidR="00F01172">
        <w:t xml:space="preserve"> le schéma </w:t>
      </w:r>
      <w:r w:rsidR="00F55DBF">
        <w:t>d’administration</w:t>
      </w:r>
      <w:r w:rsidR="00F01172">
        <w:t xml:space="preserve"> </w:t>
      </w:r>
      <w:r w:rsidR="00F0640B">
        <w:t xml:space="preserve">de </w:t>
      </w:r>
      <w:r w:rsidR="00F01172">
        <w:t xml:space="preserve">toutes les deux semaines </w:t>
      </w:r>
      <w:r w:rsidR="00F01172" w:rsidRPr="00F01172">
        <w:t xml:space="preserve">et ayant </w:t>
      </w:r>
      <w:r w:rsidR="00F01172">
        <w:t>maintenu</w:t>
      </w:r>
      <w:r w:rsidR="00F01172" w:rsidRPr="00F01172">
        <w:t xml:space="preserve"> </w:t>
      </w:r>
      <w:r w:rsidR="004C059B">
        <w:t>la</w:t>
      </w:r>
      <w:r w:rsidR="00F01172">
        <w:t xml:space="preserve"> </w:t>
      </w:r>
      <w:r w:rsidR="00F01172" w:rsidRPr="00F01172">
        <w:t xml:space="preserve">réponse, l’intervalle entre chaque dose doit passer à toutes les </w:t>
      </w:r>
      <w:r w:rsidR="00AA2F84">
        <w:t>quatre</w:t>
      </w:r>
      <w:r w:rsidR="00F01172" w:rsidRPr="00F01172">
        <w:t xml:space="preserve"> semaines.</w:t>
      </w:r>
    </w:p>
    <w:p w14:paraId="037DE202" w14:textId="77777777" w:rsidR="006A6978" w:rsidRPr="00743D4B" w:rsidRDefault="006A6978" w:rsidP="00772DCE">
      <w:pPr>
        <w:spacing w:line="240" w:lineRule="auto"/>
      </w:pPr>
    </w:p>
    <w:p w14:paraId="0F5427B1" w14:textId="77FF3DC7" w:rsidR="006A6978" w:rsidRPr="0095631C" w:rsidRDefault="0016169C" w:rsidP="006A6978">
      <w:pPr>
        <w:spacing w:line="240" w:lineRule="auto"/>
        <w:rPr>
          <w:szCs w:val="22"/>
        </w:rPr>
      </w:pPr>
      <w:r>
        <w:t xml:space="preserve">ELREXFIO doit être administré selon le schéma posologique d’escalade </w:t>
      </w:r>
      <w:r w:rsidR="0004231E">
        <w:t xml:space="preserve">de doses </w:t>
      </w:r>
      <w:r>
        <w:t>du tableau 1 afin de réduire l’incidence et la sévérité d</w:t>
      </w:r>
      <w:r w:rsidR="0004231E">
        <w:t>es</w:t>
      </w:r>
      <w:r>
        <w:t xml:space="preserve"> </w:t>
      </w:r>
      <w:r w:rsidR="00CC6D99">
        <w:t>SRC</w:t>
      </w:r>
      <w:r>
        <w:t xml:space="preserve"> </w:t>
      </w:r>
      <w:r>
        <w:rPr>
          <w:color w:val="000000"/>
        </w:rPr>
        <w:t>et d</w:t>
      </w:r>
      <w:r w:rsidR="0004231E">
        <w:rPr>
          <w:color w:val="000000"/>
        </w:rPr>
        <w:t>es</w:t>
      </w:r>
      <w:r w:rsidR="00174D9B">
        <w:rPr>
          <w:color w:val="000000"/>
        </w:rPr>
        <w:t xml:space="preserve"> </w:t>
      </w:r>
      <w:r>
        <w:rPr>
          <w:color w:val="000000"/>
        </w:rPr>
        <w:t>ICANS</w:t>
      </w:r>
      <w:r>
        <w:t xml:space="preserve">. En raison du risque de </w:t>
      </w:r>
      <w:r w:rsidR="00CC6D99">
        <w:t>SRC</w:t>
      </w:r>
      <w:r>
        <w:rPr>
          <w:color w:val="000000"/>
        </w:rPr>
        <w:t xml:space="preserve"> et d’ICANS, </w:t>
      </w:r>
      <w:r>
        <w:t xml:space="preserve">les patients doivent faire l’objet d’une surveillance </w:t>
      </w:r>
      <w:r w:rsidR="00777CFE">
        <w:t xml:space="preserve">des signes et symptômes </w:t>
      </w:r>
      <w:r w:rsidR="00795610">
        <w:t xml:space="preserve">de SRC et d’ICANS </w:t>
      </w:r>
      <w:r>
        <w:t>pendant 48 heures après l’administration de chacune des 2 </w:t>
      </w:r>
      <w:r w:rsidR="00933CC8">
        <w:t>escal</w:t>
      </w:r>
      <w:r w:rsidR="004F3F6B">
        <w:t>a</w:t>
      </w:r>
      <w:r w:rsidR="00933CC8">
        <w:t>des de dose</w:t>
      </w:r>
      <w:r>
        <w:t xml:space="preserve"> et il doit leur être demandé de rester à proximité d’un établissement de </w:t>
      </w:r>
      <w:r w:rsidR="00777CFE">
        <w:t xml:space="preserve">santé </w:t>
      </w:r>
      <w:r>
        <w:t>(voir rubrique 4.4).</w:t>
      </w:r>
    </w:p>
    <w:p w14:paraId="2A837749" w14:textId="77777777" w:rsidR="00657206" w:rsidRDefault="00657206" w:rsidP="00772DCE">
      <w:pPr>
        <w:spacing w:line="240" w:lineRule="auto"/>
      </w:pPr>
    </w:p>
    <w:p w14:paraId="1FB4AB0C" w14:textId="166B5EBC" w:rsidR="00242CC4" w:rsidRPr="00242CC4" w:rsidRDefault="00242CC4" w:rsidP="00772DCE">
      <w:pPr>
        <w:spacing w:line="240" w:lineRule="auto"/>
        <w:rPr>
          <w:b/>
          <w:bCs/>
        </w:rPr>
      </w:pPr>
      <w:r w:rsidRPr="00242CC4">
        <w:rPr>
          <w:b/>
          <w:bCs/>
        </w:rPr>
        <w:t>Tableau 1.</w:t>
      </w:r>
      <w:r w:rsidRPr="00242CC4">
        <w:rPr>
          <w:b/>
          <w:bCs/>
          <w:szCs w:val="22"/>
        </w:rPr>
        <w:tab/>
      </w:r>
      <w:r w:rsidRPr="00242CC4">
        <w:rPr>
          <w:b/>
          <w:bCs/>
        </w:rPr>
        <w:t>Schéma posologique d’ELREXFIO</w:t>
      </w:r>
    </w:p>
    <w:tbl>
      <w:tblPr>
        <w:tblW w:w="997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20"/>
        <w:gridCol w:w="2344"/>
        <w:gridCol w:w="2521"/>
      </w:tblGrid>
      <w:tr w:rsidR="00154882" w:rsidRPr="00743D4B" w14:paraId="44F1F5D5" w14:textId="77777777" w:rsidTr="00242CC4">
        <w:tc>
          <w:tcPr>
            <w:tcW w:w="2587" w:type="dxa"/>
            <w:tcBorders>
              <w:top w:val="single" w:sz="4" w:space="0" w:color="auto"/>
            </w:tcBorders>
          </w:tcPr>
          <w:p w14:paraId="64200D91" w14:textId="77777777" w:rsidR="00154882" w:rsidRPr="00743D4B" w:rsidRDefault="00154882" w:rsidP="00FC54D2">
            <w:pPr>
              <w:tabs>
                <w:tab w:val="left" w:pos="5760"/>
              </w:tabs>
              <w:spacing w:before="40" w:after="40"/>
              <w:jc w:val="center"/>
              <w:rPr>
                <w:b/>
                <w:color w:val="000000"/>
                <w:szCs w:val="24"/>
              </w:rPr>
            </w:pPr>
            <w:r>
              <w:rPr>
                <w:b/>
                <w:color w:val="000000"/>
              </w:rPr>
              <w:t>Schéma posologique</w:t>
            </w:r>
          </w:p>
        </w:tc>
        <w:tc>
          <w:tcPr>
            <w:tcW w:w="2520" w:type="dxa"/>
            <w:tcBorders>
              <w:top w:val="single" w:sz="4" w:space="0" w:color="auto"/>
            </w:tcBorders>
            <w:shd w:val="clear" w:color="auto" w:fill="auto"/>
          </w:tcPr>
          <w:p w14:paraId="3CB5724E" w14:textId="7B03530A" w:rsidR="00154882" w:rsidRPr="00743D4B" w:rsidRDefault="00154882" w:rsidP="00FC54D2">
            <w:pPr>
              <w:tabs>
                <w:tab w:val="left" w:pos="5760"/>
              </w:tabs>
              <w:spacing w:before="40" w:after="40"/>
              <w:jc w:val="center"/>
              <w:rPr>
                <w:b/>
                <w:color w:val="000000"/>
                <w:szCs w:val="24"/>
              </w:rPr>
            </w:pPr>
            <w:r>
              <w:rPr>
                <w:b/>
                <w:color w:val="000000"/>
              </w:rPr>
              <w:t>Semaine/</w:t>
            </w:r>
            <w:r w:rsidR="00D4473F">
              <w:rPr>
                <w:b/>
                <w:color w:val="000000"/>
              </w:rPr>
              <w:t>j</w:t>
            </w:r>
            <w:r>
              <w:rPr>
                <w:b/>
                <w:color w:val="000000"/>
              </w:rPr>
              <w:t>our</w:t>
            </w:r>
          </w:p>
        </w:tc>
        <w:tc>
          <w:tcPr>
            <w:tcW w:w="4865" w:type="dxa"/>
            <w:gridSpan w:val="2"/>
            <w:tcBorders>
              <w:top w:val="single" w:sz="4" w:space="0" w:color="auto"/>
            </w:tcBorders>
            <w:shd w:val="clear" w:color="auto" w:fill="auto"/>
          </w:tcPr>
          <w:p w14:paraId="17EEF321" w14:textId="77777777" w:rsidR="00154882" w:rsidRPr="00743D4B" w:rsidRDefault="00154882" w:rsidP="00FC54D2">
            <w:pPr>
              <w:tabs>
                <w:tab w:val="left" w:pos="5760"/>
              </w:tabs>
              <w:spacing w:before="40" w:after="40"/>
              <w:jc w:val="center"/>
              <w:rPr>
                <w:color w:val="000000"/>
                <w:szCs w:val="24"/>
              </w:rPr>
            </w:pPr>
            <w:r>
              <w:rPr>
                <w:b/>
                <w:color w:val="000000"/>
              </w:rPr>
              <w:t>Dose</w:t>
            </w:r>
          </w:p>
        </w:tc>
      </w:tr>
      <w:tr w:rsidR="00154882" w:rsidRPr="00743D4B" w14:paraId="24CBEE7B" w14:textId="77777777" w:rsidTr="00242CC4">
        <w:tc>
          <w:tcPr>
            <w:tcW w:w="2587" w:type="dxa"/>
            <w:vMerge w:val="restart"/>
            <w:tcBorders>
              <w:top w:val="single" w:sz="4" w:space="0" w:color="auto"/>
              <w:left w:val="single" w:sz="4" w:space="0" w:color="auto"/>
              <w:bottom w:val="single" w:sz="4" w:space="0" w:color="auto"/>
              <w:right w:val="single" w:sz="4" w:space="0" w:color="auto"/>
            </w:tcBorders>
            <w:vAlign w:val="center"/>
          </w:tcPr>
          <w:p w14:paraId="1170B2BD" w14:textId="7134B2E2" w:rsidR="00154882" w:rsidRPr="00743D4B" w:rsidRDefault="0004231E" w:rsidP="00FC54D2">
            <w:pPr>
              <w:tabs>
                <w:tab w:val="left" w:pos="5760"/>
              </w:tabs>
              <w:spacing w:before="40" w:after="40"/>
              <w:jc w:val="center"/>
              <w:rPr>
                <w:color w:val="000000"/>
                <w:szCs w:val="24"/>
                <w:vertAlign w:val="superscript"/>
              </w:rPr>
            </w:pPr>
            <w:r>
              <w:rPr>
                <w:color w:val="000000"/>
              </w:rPr>
              <w:t>Escalade de doses</w:t>
            </w:r>
            <w:r w:rsidRPr="00D4473F">
              <w:rPr>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85C5A4" w14:textId="43F61129" w:rsidR="00154882" w:rsidRPr="00743D4B" w:rsidRDefault="00154882" w:rsidP="00FC54D2">
            <w:pPr>
              <w:tabs>
                <w:tab w:val="left" w:pos="5760"/>
              </w:tabs>
              <w:spacing w:before="40" w:after="40"/>
              <w:rPr>
                <w:color w:val="000000"/>
                <w:szCs w:val="24"/>
              </w:rPr>
            </w:pPr>
            <w:r>
              <w:rPr>
                <w:color w:val="000000"/>
              </w:rPr>
              <w:t xml:space="preserve">Semaine 1 : </w:t>
            </w:r>
            <w:r w:rsidR="00D4473F">
              <w:rPr>
                <w:color w:val="000000"/>
              </w:rPr>
              <w:t>j</w:t>
            </w:r>
            <w:r>
              <w:rPr>
                <w:color w:val="000000"/>
              </w:rPr>
              <w:t>our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45FBFB45" w14:textId="4EBA821A" w:rsidR="00154882" w:rsidRPr="00CD4AD9" w:rsidRDefault="00D4473F" w:rsidP="00FC54D2">
            <w:pPr>
              <w:tabs>
                <w:tab w:val="left" w:pos="5760"/>
              </w:tabs>
              <w:spacing w:before="40" w:after="40"/>
              <w:rPr>
                <w:color w:val="000000"/>
                <w:szCs w:val="24"/>
              </w:rPr>
            </w:pPr>
            <w:r w:rsidRPr="00CD4AD9">
              <w:rPr>
                <w:color w:val="000000"/>
              </w:rPr>
              <w:t>1</w:t>
            </w:r>
            <w:r w:rsidRPr="003B0991">
              <w:rPr>
                <w:color w:val="000000"/>
                <w:vertAlign w:val="superscript"/>
              </w:rPr>
              <w:t>ère</w:t>
            </w:r>
            <w:r w:rsidRPr="00CD4AD9">
              <w:rPr>
                <w:color w:val="000000"/>
              </w:rPr>
              <w:t xml:space="preserve"> </w:t>
            </w:r>
            <w:r w:rsidR="00AE0290" w:rsidRPr="00CD4AD9">
              <w:rPr>
                <w:color w:val="000000"/>
              </w:rPr>
              <w:t>escalade de dose</w:t>
            </w:r>
            <w:r w:rsidR="00154882" w:rsidRPr="00CD4AD9">
              <w:rPr>
                <w:color w:val="000000"/>
              </w:rPr>
              <w:t>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EE365F9" w14:textId="77777777" w:rsidR="00154882" w:rsidRPr="00743D4B" w:rsidRDefault="00154882" w:rsidP="00FC54D2">
            <w:pPr>
              <w:tabs>
                <w:tab w:val="left" w:pos="5760"/>
              </w:tabs>
              <w:spacing w:before="40" w:after="40"/>
              <w:rPr>
                <w:color w:val="000000"/>
                <w:szCs w:val="24"/>
              </w:rPr>
            </w:pPr>
            <w:r>
              <w:rPr>
                <w:color w:val="000000"/>
              </w:rPr>
              <w:t xml:space="preserve">12 mg </w:t>
            </w:r>
          </w:p>
        </w:tc>
      </w:tr>
      <w:tr w:rsidR="00154882" w:rsidRPr="00743D4B" w14:paraId="69AD89C8" w14:textId="77777777" w:rsidTr="00242CC4">
        <w:tc>
          <w:tcPr>
            <w:tcW w:w="2587" w:type="dxa"/>
            <w:vMerge/>
          </w:tcPr>
          <w:p w14:paraId="3E88A340" w14:textId="77777777" w:rsidR="00154882" w:rsidRPr="00743D4B" w:rsidRDefault="00154882" w:rsidP="00FC54D2">
            <w:pPr>
              <w:tabs>
                <w:tab w:val="left" w:pos="5760"/>
              </w:tabs>
              <w:spacing w:before="40" w:after="40"/>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AEB9B6E" w14:textId="3428D3BC" w:rsidR="00154882" w:rsidRPr="00743D4B" w:rsidRDefault="00154882" w:rsidP="00FC54D2">
            <w:pPr>
              <w:tabs>
                <w:tab w:val="left" w:pos="5760"/>
              </w:tabs>
              <w:spacing w:before="40" w:after="40"/>
              <w:rPr>
                <w:color w:val="000000"/>
                <w:szCs w:val="22"/>
                <w:vertAlign w:val="superscript"/>
              </w:rPr>
            </w:pPr>
            <w:r>
              <w:rPr>
                <w:color w:val="000000" w:themeColor="text1"/>
              </w:rPr>
              <w:t xml:space="preserve">Semaine 1 : </w:t>
            </w:r>
            <w:r w:rsidR="00D4473F">
              <w:rPr>
                <w:color w:val="000000" w:themeColor="text1"/>
              </w:rPr>
              <w:t>j</w:t>
            </w:r>
            <w:r>
              <w:rPr>
                <w:color w:val="000000" w:themeColor="text1"/>
              </w:rPr>
              <w:t>our 4</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5BB681E2" w14:textId="70E7F8FF" w:rsidR="00154882" w:rsidRPr="00CD4AD9" w:rsidRDefault="0004231E" w:rsidP="00FC54D2">
            <w:pPr>
              <w:tabs>
                <w:tab w:val="left" w:pos="5760"/>
              </w:tabs>
              <w:spacing w:before="40" w:after="40"/>
              <w:rPr>
                <w:color w:val="000000"/>
                <w:szCs w:val="22"/>
              </w:rPr>
            </w:pPr>
            <w:r w:rsidRPr="00CD4AD9">
              <w:rPr>
                <w:color w:val="000000" w:themeColor="text1"/>
              </w:rPr>
              <w:t>2</w:t>
            </w:r>
            <w:r w:rsidRPr="00CD4AD9">
              <w:rPr>
                <w:color w:val="000000" w:themeColor="text1"/>
                <w:vertAlign w:val="superscript"/>
              </w:rPr>
              <w:t>nde</w:t>
            </w:r>
            <w:r w:rsidRPr="00CD4AD9">
              <w:rPr>
                <w:color w:val="000000" w:themeColor="text1"/>
              </w:rPr>
              <w:t xml:space="preserve"> </w:t>
            </w:r>
            <w:r w:rsidR="00AE0290" w:rsidRPr="00CD4AD9">
              <w:rPr>
                <w:color w:val="000000" w:themeColor="text1"/>
              </w:rPr>
              <w:t>escalade de dose</w:t>
            </w:r>
            <w:r w:rsidR="00154882" w:rsidRPr="00CD4AD9">
              <w:rPr>
                <w:color w:val="000000" w:themeColor="text1"/>
              </w:rPr>
              <w:t>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3A19A6A" w14:textId="77777777" w:rsidR="00154882" w:rsidRPr="00743D4B" w:rsidRDefault="00154882" w:rsidP="00FC54D2">
            <w:pPr>
              <w:tabs>
                <w:tab w:val="left" w:pos="5760"/>
              </w:tabs>
              <w:spacing w:before="40" w:after="40"/>
              <w:rPr>
                <w:color w:val="000000"/>
                <w:szCs w:val="22"/>
              </w:rPr>
            </w:pPr>
            <w:r>
              <w:rPr>
                <w:color w:val="000000" w:themeColor="text1"/>
              </w:rPr>
              <w:t xml:space="preserve">32 mg </w:t>
            </w:r>
          </w:p>
        </w:tc>
      </w:tr>
      <w:tr w:rsidR="00154882" w:rsidRPr="00743D4B" w14:paraId="55BE2F0E" w14:textId="77777777" w:rsidTr="00242CC4">
        <w:tc>
          <w:tcPr>
            <w:tcW w:w="2587" w:type="dxa"/>
            <w:tcBorders>
              <w:top w:val="single" w:sz="4" w:space="0" w:color="auto"/>
              <w:left w:val="single" w:sz="4" w:space="0" w:color="auto"/>
              <w:bottom w:val="single" w:sz="4" w:space="0" w:color="auto"/>
              <w:right w:val="single" w:sz="4" w:space="0" w:color="auto"/>
            </w:tcBorders>
            <w:vAlign w:val="center"/>
          </w:tcPr>
          <w:p w14:paraId="418B9D1D" w14:textId="77777777" w:rsidR="00154882" w:rsidRPr="00743D4B" w:rsidRDefault="00154882" w:rsidP="00FC54D2">
            <w:pPr>
              <w:tabs>
                <w:tab w:val="left" w:pos="5760"/>
              </w:tabs>
              <w:spacing w:before="40" w:after="40"/>
              <w:jc w:val="center"/>
              <w:rPr>
                <w:color w:val="000000"/>
                <w:szCs w:val="24"/>
                <w:vertAlign w:val="superscript"/>
              </w:rPr>
            </w:pPr>
            <w:r>
              <w:rPr>
                <w:color w:val="000000"/>
              </w:rPr>
              <w:t>Administration hebdomadaire</w:t>
            </w:r>
            <w:r>
              <w:rPr>
                <w:color w:val="000000"/>
                <w:vertAlign w:val="superscript"/>
              </w:rPr>
              <w:t>a,c,d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4174B1C" w14:textId="18E490CD" w:rsidR="00154882" w:rsidRPr="00743D4B" w:rsidRDefault="00154882" w:rsidP="00FC54D2">
            <w:pPr>
              <w:tabs>
                <w:tab w:val="left" w:pos="5760"/>
              </w:tabs>
              <w:spacing w:before="40" w:after="40"/>
              <w:rPr>
                <w:color w:val="000000"/>
                <w:szCs w:val="24"/>
                <w:vertAlign w:val="superscript"/>
              </w:rPr>
            </w:pPr>
            <w:r>
              <w:rPr>
                <w:color w:val="000000"/>
              </w:rPr>
              <w:t>Semaine</w:t>
            </w:r>
            <w:r w:rsidR="00804DC7">
              <w:rPr>
                <w:color w:val="000000"/>
              </w:rPr>
              <w:t>s</w:t>
            </w:r>
            <w:r>
              <w:rPr>
                <w:color w:val="000000"/>
              </w:rPr>
              <w:t> 2</w:t>
            </w:r>
            <w:r w:rsidR="002828B1">
              <w:rPr>
                <w:color w:val="000000"/>
              </w:rPr>
              <w:t> </w:t>
            </w:r>
            <w:r w:rsidR="00795610">
              <w:rPr>
                <w:color w:val="000000"/>
              </w:rPr>
              <w:t>à</w:t>
            </w:r>
            <w:r w:rsidR="002828B1">
              <w:rPr>
                <w:color w:val="000000"/>
              </w:rPr>
              <w:t> </w:t>
            </w:r>
            <w:r>
              <w:rPr>
                <w:color w:val="000000"/>
              </w:rPr>
              <w:t xml:space="preserve">24 : </w:t>
            </w:r>
            <w:r w:rsidR="00D4473F">
              <w:rPr>
                <w:color w:val="000000"/>
              </w:rPr>
              <w:t>jour </w:t>
            </w:r>
            <w:r>
              <w:rPr>
                <w:color w:val="000000"/>
              </w:rPr>
              <w:t>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2CA94864" w14:textId="4F0FC696" w:rsidR="00154882" w:rsidRPr="00174D9B" w:rsidRDefault="00154882" w:rsidP="00FC54D2">
            <w:pPr>
              <w:tabs>
                <w:tab w:val="left" w:pos="5760"/>
              </w:tabs>
              <w:spacing w:before="40" w:after="40"/>
              <w:rPr>
                <w:color w:val="000000"/>
                <w:szCs w:val="24"/>
                <w:highlight w:val="yellow"/>
              </w:rPr>
            </w:pPr>
            <w:r w:rsidRPr="00D4473F">
              <w:rPr>
                <w:color w:val="000000"/>
              </w:rPr>
              <w:t xml:space="preserve">Dose </w:t>
            </w:r>
            <w:r w:rsidR="00B30A30" w:rsidRPr="00D4473F">
              <w:rPr>
                <w:color w:val="000000"/>
              </w:rPr>
              <w:t xml:space="preserve">complète </w:t>
            </w:r>
            <w:r w:rsidRPr="00D4473F">
              <w:rPr>
                <w:color w:val="000000"/>
              </w:rPr>
              <w:t xml:space="preserve">de traitement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754AE849" w14:textId="77777777" w:rsidR="00154882" w:rsidRPr="00743D4B" w:rsidRDefault="00154882" w:rsidP="00FC54D2">
            <w:pPr>
              <w:tabs>
                <w:tab w:val="left" w:pos="5760"/>
              </w:tabs>
              <w:spacing w:before="40" w:after="40"/>
              <w:rPr>
                <w:color w:val="000000"/>
                <w:szCs w:val="24"/>
              </w:rPr>
            </w:pPr>
            <w:r>
              <w:rPr>
                <w:color w:val="000000"/>
              </w:rPr>
              <w:t xml:space="preserve">76 mg une fois par semaine </w:t>
            </w:r>
          </w:p>
        </w:tc>
      </w:tr>
      <w:tr w:rsidR="00154882" w:rsidRPr="00743D4B" w14:paraId="6525FFBB" w14:textId="77777777" w:rsidTr="00242CC4">
        <w:tc>
          <w:tcPr>
            <w:tcW w:w="2587" w:type="dxa"/>
            <w:tcBorders>
              <w:top w:val="single" w:sz="4" w:space="0" w:color="auto"/>
              <w:left w:val="single" w:sz="4" w:space="0" w:color="auto"/>
              <w:bottom w:val="single" w:sz="4" w:space="0" w:color="auto"/>
              <w:right w:val="single" w:sz="4" w:space="0" w:color="auto"/>
            </w:tcBorders>
            <w:vAlign w:val="center"/>
          </w:tcPr>
          <w:p w14:paraId="7C2013B5" w14:textId="77777777" w:rsidR="00154882" w:rsidRPr="00743D4B" w:rsidRDefault="00E81BC6" w:rsidP="00FC54D2">
            <w:pPr>
              <w:tabs>
                <w:tab w:val="left" w:pos="5760"/>
              </w:tabs>
              <w:spacing w:before="40" w:after="40"/>
              <w:jc w:val="center"/>
              <w:rPr>
                <w:color w:val="000000"/>
                <w:szCs w:val="24"/>
                <w:vertAlign w:val="superscript"/>
              </w:rPr>
            </w:pPr>
            <w:r>
              <w:rPr>
                <w:color w:val="000000"/>
              </w:rPr>
              <w:t>Administration toutes les 2 semaines</w:t>
            </w:r>
            <w:r>
              <w:rPr>
                <w:color w:val="000000"/>
                <w:vertAlign w:val="superscript"/>
              </w:rPr>
              <w:t>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5A10EF8" w14:textId="08902727" w:rsidR="00154882" w:rsidRPr="00743D4B" w:rsidRDefault="00154882" w:rsidP="00FC54D2">
            <w:pPr>
              <w:tabs>
                <w:tab w:val="left" w:pos="5760"/>
              </w:tabs>
              <w:spacing w:before="40" w:after="40"/>
              <w:rPr>
                <w:color w:val="000000"/>
                <w:szCs w:val="24"/>
                <w:vertAlign w:val="superscript"/>
              </w:rPr>
            </w:pPr>
            <w:r>
              <w:rPr>
                <w:color w:val="000000"/>
              </w:rPr>
              <w:t>Semaine</w:t>
            </w:r>
            <w:r w:rsidR="00DE6C64">
              <w:rPr>
                <w:color w:val="000000"/>
              </w:rPr>
              <w:t>s</w:t>
            </w:r>
            <w:r>
              <w:rPr>
                <w:color w:val="000000"/>
              </w:rPr>
              <w:t> 25</w:t>
            </w:r>
            <w:r w:rsidR="00DE6C64">
              <w:rPr>
                <w:color w:val="000000"/>
              </w:rPr>
              <w:t> à 48</w:t>
            </w:r>
            <w:r>
              <w:rPr>
                <w:color w:val="000000"/>
              </w:rPr>
              <w:t xml:space="preserve"> : </w:t>
            </w:r>
            <w:r w:rsidR="00D4473F">
              <w:rPr>
                <w:color w:val="000000"/>
              </w:rPr>
              <w:t>j</w:t>
            </w:r>
            <w:r>
              <w:rPr>
                <w:color w:val="000000"/>
              </w:rPr>
              <w:t>our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EC848FD" w14:textId="541E30D6" w:rsidR="00154882" w:rsidRPr="00174D9B" w:rsidRDefault="00154882" w:rsidP="00FC54D2">
            <w:pPr>
              <w:tabs>
                <w:tab w:val="left" w:pos="5760"/>
              </w:tabs>
              <w:spacing w:before="40" w:after="40"/>
              <w:rPr>
                <w:color w:val="000000"/>
                <w:szCs w:val="24"/>
                <w:highlight w:val="yellow"/>
              </w:rPr>
            </w:pPr>
            <w:r w:rsidRPr="00D4473F">
              <w:rPr>
                <w:color w:val="000000"/>
              </w:rPr>
              <w:t xml:space="preserve">Dose </w:t>
            </w:r>
            <w:r w:rsidR="00B30A30" w:rsidRPr="00D4473F">
              <w:rPr>
                <w:color w:val="000000"/>
              </w:rPr>
              <w:t xml:space="preserve">complète </w:t>
            </w:r>
            <w:r w:rsidRPr="00D4473F">
              <w:rPr>
                <w:color w:val="000000"/>
              </w:rPr>
              <w:t xml:space="preserve">de traitement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24A4E65B" w14:textId="77777777" w:rsidR="00154882" w:rsidRPr="00743D4B" w:rsidRDefault="00154882" w:rsidP="00FC54D2">
            <w:pPr>
              <w:tabs>
                <w:tab w:val="left" w:pos="5760"/>
              </w:tabs>
              <w:spacing w:before="40" w:after="40"/>
              <w:rPr>
                <w:color w:val="000000"/>
                <w:szCs w:val="24"/>
              </w:rPr>
            </w:pPr>
            <w:r>
              <w:rPr>
                <w:color w:val="000000"/>
              </w:rPr>
              <w:t>76 mg une fois toutes les deux semaines</w:t>
            </w:r>
          </w:p>
        </w:tc>
      </w:tr>
      <w:tr w:rsidR="00DE6C64" w:rsidRPr="00743D4B" w14:paraId="6805FA11" w14:textId="77777777" w:rsidTr="00242CC4">
        <w:tc>
          <w:tcPr>
            <w:tcW w:w="2587" w:type="dxa"/>
            <w:tcBorders>
              <w:top w:val="single" w:sz="4" w:space="0" w:color="auto"/>
              <w:left w:val="single" w:sz="4" w:space="0" w:color="auto"/>
              <w:bottom w:val="single" w:sz="4" w:space="0" w:color="auto"/>
              <w:right w:val="single" w:sz="4" w:space="0" w:color="auto"/>
            </w:tcBorders>
            <w:vAlign w:val="center"/>
          </w:tcPr>
          <w:p w14:paraId="22F8A45F" w14:textId="6B1BC867" w:rsidR="00DE6C64" w:rsidRDefault="00DE6C64" w:rsidP="00FC54D2">
            <w:pPr>
              <w:tabs>
                <w:tab w:val="left" w:pos="5760"/>
              </w:tabs>
              <w:spacing w:before="40" w:after="40"/>
              <w:jc w:val="center"/>
              <w:rPr>
                <w:color w:val="000000"/>
              </w:rPr>
            </w:pPr>
            <w:r w:rsidRPr="00DE6C64">
              <w:rPr>
                <w:color w:val="000000"/>
              </w:rPr>
              <w:t xml:space="preserve">Administration toutes les </w:t>
            </w:r>
            <w:r>
              <w:rPr>
                <w:color w:val="000000"/>
              </w:rPr>
              <w:t>4</w:t>
            </w:r>
            <w:r w:rsidRPr="00DE6C64">
              <w:rPr>
                <w:color w:val="000000"/>
              </w:rPr>
              <w:t> semaines</w:t>
            </w:r>
            <w:r w:rsidRPr="00D46A21">
              <w:rPr>
                <w:color w:val="000000"/>
                <w:vertAlign w:val="superscript"/>
              </w:rPr>
              <w:t>d,f,g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7C6A27C" w14:textId="5177C29A" w:rsidR="00DE6C64" w:rsidRDefault="00DE6C64" w:rsidP="00FC54D2">
            <w:pPr>
              <w:tabs>
                <w:tab w:val="left" w:pos="5760"/>
              </w:tabs>
              <w:spacing w:before="40" w:after="40"/>
              <w:rPr>
                <w:color w:val="000000"/>
              </w:rPr>
            </w:pPr>
            <w:r w:rsidRPr="00DE6C64">
              <w:rPr>
                <w:color w:val="000000"/>
              </w:rPr>
              <w:t>À partir de la Semaine </w:t>
            </w:r>
            <w:r>
              <w:rPr>
                <w:color w:val="000000"/>
              </w:rPr>
              <w:t>49 </w:t>
            </w:r>
            <w:r w:rsidRPr="00DE6C64">
              <w:rPr>
                <w:color w:val="000000"/>
              </w:rPr>
              <w:t>: jour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5A543DF2" w14:textId="31081A65" w:rsidR="00DE6C64" w:rsidRPr="00D4473F" w:rsidRDefault="00DE6C64" w:rsidP="00FC54D2">
            <w:pPr>
              <w:tabs>
                <w:tab w:val="left" w:pos="5760"/>
              </w:tabs>
              <w:spacing w:before="40" w:after="40"/>
              <w:rPr>
                <w:color w:val="000000"/>
              </w:rPr>
            </w:pPr>
            <w:r w:rsidRPr="00DE6C64">
              <w:rPr>
                <w:color w:val="000000"/>
              </w:rPr>
              <w:t>Dose complète de traitement</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CD95104" w14:textId="1220D120" w:rsidR="00DE6C64" w:rsidRDefault="00DE6C64" w:rsidP="00FC54D2">
            <w:pPr>
              <w:tabs>
                <w:tab w:val="left" w:pos="5760"/>
              </w:tabs>
              <w:spacing w:before="40" w:after="40"/>
              <w:rPr>
                <w:color w:val="000000"/>
              </w:rPr>
            </w:pPr>
            <w:r w:rsidRPr="00DE6C64">
              <w:rPr>
                <w:color w:val="000000"/>
              </w:rPr>
              <w:t>76</w:t>
            </w:r>
            <w:r>
              <w:rPr>
                <w:color w:val="000000"/>
              </w:rPr>
              <w:t> </w:t>
            </w:r>
            <w:r w:rsidRPr="00DE6C64">
              <w:rPr>
                <w:color w:val="000000"/>
              </w:rPr>
              <w:t xml:space="preserve">mg une fois toutes les </w:t>
            </w:r>
            <w:r>
              <w:rPr>
                <w:color w:val="000000"/>
              </w:rPr>
              <w:t>quatre</w:t>
            </w:r>
            <w:r w:rsidRPr="00DE6C64">
              <w:rPr>
                <w:color w:val="000000"/>
              </w:rPr>
              <w:t xml:space="preserve"> semaines</w:t>
            </w:r>
          </w:p>
        </w:tc>
      </w:tr>
      <w:tr w:rsidR="006C53CB" w:rsidRPr="00743D4B" w14:paraId="475D47C0" w14:textId="77777777" w:rsidTr="00242CC4">
        <w:tc>
          <w:tcPr>
            <w:tcW w:w="9972" w:type="dxa"/>
            <w:gridSpan w:val="4"/>
            <w:tcBorders>
              <w:top w:val="nil"/>
              <w:left w:val="nil"/>
              <w:bottom w:val="nil"/>
              <w:right w:val="nil"/>
            </w:tcBorders>
            <w:vAlign w:val="center"/>
          </w:tcPr>
          <w:p w14:paraId="7DD09E7E" w14:textId="176365DE" w:rsidR="006C53CB" w:rsidRPr="00A64757" w:rsidRDefault="006C53C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A64757">
              <w:rPr>
                <w:rFonts w:ascii="Times New Roman" w:hAnsi="Times New Roman"/>
                <w:b w:val="0"/>
                <w:color w:val="000000"/>
                <w:sz w:val="18"/>
              </w:rPr>
              <w:t>a.</w:t>
            </w:r>
            <w:r w:rsidRPr="00A64757">
              <w:rPr>
                <w:rFonts w:ascii="Times New Roman" w:hAnsi="Times New Roman"/>
                <w:b w:val="0"/>
                <w:sz w:val="18"/>
              </w:rPr>
              <w:tab/>
            </w:r>
            <w:r w:rsidR="007D7AB7" w:rsidRPr="00A64757">
              <w:rPr>
                <w:rFonts w:ascii="Times New Roman" w:hAnsi="Times New Roman"/>
                <w:b w:val="0"/>
                <w:sz w:val="18"/>
              </w:rPr>
              <w:t>Une</w:t>
            </w:r>
            <w:r w:rsidR="009127AC" w:rsidRPr="00A64757">
              <w:rPr>
                <w:rFonts w:ascii="Times New Roman" w:hAnsi="Times New Roman"/>
                <w:b w:val="0"/>
                <w:sz w:val="18"/>
              </w:rPr>
              <w:t xml:space="preserve"> prémédication</w:t>
            </w:r>
            <w:r w:rsidRPr="00A64757">
              <w:rPr>
                <w:rFonts w:ascii="Times New Roman" w:hAnsi="Times New Roman"/>
                <w:b w:val="0"/>
                <w:sz w:val="18"/>
              </w:rPr>
              <w:t xml:space="preserve"> doit être administré</w:t>
            </w:r>
            <w:r w:rsidR="007D7AB7" w:rsidRPr="00A64757">
              <w:rPr>
                <w:rFonts w:ascii="Times New Roman" w:hAnsi="Times New Roman"/>
                <w:b w:val="0"/>
                <w:sz w:val="18"/>
              </w:rPr>
              <w:t>e</w:t>
            </w:r>
            <w:r w:rsidRPr="00A64757">
              <w:rPr>
                <w:rFonts w:ascii="Times New Roman" w:hAnsi="Times New Roman"/>
                <w:b w:val="0"/>
                <w:sz w:val="18"/>
              </w:rPr>
              <w:t xml:space="preserve"> avant les trois premières doses d’ELREXFIO.</w:t>
            </w:r>
          </w:p>
        </w:tc>
      </w:tr>
      <w:tr w:rsidR="006C53CB" w:rsidRPr="00743D4B" w14:paraId="06E8647F" w14:textId="77777777" w:rsidTr="00242CC4">
        <w:tc>
          <w:tcPr>
            <w:tcW w:w="9972" w:type="dxa"/>
            <w:gridSpan w:val="4"/>
            <w:tcBorders>
              <w:top w:val="nil"/>
              <w:left w:val="nil"/>
              <w:bottom w:val="nil"/>
              <w:right w:val="nil"/>
            </w:tcBorders>
            <w:vAlign w:val="center"/>
          </w:tcPr>
          <w:p w14:paraId="609673E1" w14:textId="349CAEBE" w:rsidR="006C53CB" w:rsidRPr="00A64757" w:rsidRDefault="00534004" w:rsidP="0004231E">
            <w:pPr>
              <w:pStyle w:val="PIHeading1"/>
              <w:keepNext w:val="0"/>
              <w:keepLines w:val="0"/>
              <w:shd w:val="clear" w:color="auto" w:fill="FFFFFF"/>
              <w:tabs>
                <w:tab w:val="left" w:pos="547"/>
              </w:tabs>
              <w:spacing w:before="0" w:after="0"/>
              <w:ind w:left="547" w:hanging="547"/>
              <w:rPr>
                <w:rFonts w:ascii="Times New Roman" w:hAnsi="Times New Roman"/>
                <w:b w:val="0"/>
                <w:sz w:val="18"/>
              </w:rPr>
            </w:pPr>
            <w:r w:rsidRPr="00A64757">
              <w:rPr>
                <w:rFonts w:ascii="Times New Roman" w:hAnsi="Times New Roman"/>
                <w:b w:val="0"/>
                <w:color w:val="000000"/>
                <w:sz w:val="18"/>
              </w:rPr>
              <w:t>b.</w:t>
            </w:r>
            <w:r w:rsidRPr="00A64757">
              <w:rPr>
                <w:rFonts w:ascii="Times New Roman" w:hAnsi="Times New Roman"/>
                <w:b w:val="0"/>
                <w:sz w:val="18"/>
              </w:rPr>
              <w:tab/>
              <w:t xml:space="preserve">Un délai minimum de 2 jours doit être respecté entre la </w:t>
            </w:r>
            <w:r w:rsidR="0004231E" w:rsidRPr="00A64757">
              <w:rPr>
                <w:rFonts w:ascii="Times New Roman" w:hAnsi="Times New Roman"/>
                <w:b w:val="0"/>
                <w:sz w:val="18"/>
              </w:rPr>
              <w:t>1</w:t>
            </w:r>
            <w:r w:rsidR="0004231E" w:rsidRPr="00A64757">
              <w:rPr>
                <w:rFonts w:ascii="Times New Roman" w:hAnsi="Times New Roman"/>
                <w:b w:val="0"/>
                <w:sz w:val="18"/>
                <w:vertAlign w:val="superscript"/>
              </w:rPr>
              <w:t>ère</w:t>
            </w:r>
            <w:r w:rsidR="0004231E" w:rsidRPr="00A64757">
              <w:rPr>
                <w:rFonts w:ascii="Times New Roman" w:hAnsi="Times New Roman"/>
                <w:b w:val="0"/>
                <w:sz w:val="18"/>
              </w:rPr>
              <w:t xml:space="preserve"> (12 mg) et la 2</w:t>
            </w:r>
            <w:r w:rsidR="0004231E" w:rsidRPr="00A64757">
              <w:rPr>
                <w:rFonts w:ascii="Times New Roman" w:hAnsi="Times New Roman"/>
                <w:b w:val="0"/>
                <w:sz w:val="18"/>
                <w:vertAlign w:val="superscript"/>
              </w:rPr>
              <w:t>nde</w:t>
            </w:r>
            <w:r w:rsidR="00D4473F" w:rsidRPr="00A64757">
              <w:rPr>
                <w:rFonts w:ascii="Times New Roman" w:hAnsi="Times New Roman"/>
                <w:b w:val="0"/>
                <w:sz w:val="18"/>
                <w:vertAlign w:val="superscript"/>
              </w:rPr>
              <w:t xml:space="preserve"> </w:t>
            </w:r>
            <w:r w:rsidR="0004231E" w:rsidRPr="00A64757">
              <w:rPr>
                <w:rFonts w:ascii="Times New Roman" w:hAnsi="Times New Roman"/>
                <w:b w:val="0"/>
                <w:sz w:val="18"/>
              </w:rPr>
              <w:t xml:space="preserve">(32 mg) </w:t>
            </w:r>
            <w:r w:rsidR="00AE0290" w:rsidRPr="00A64757">
              <w:rPr>
                <w:rFonts w:ascii="Times New Roman" w:hAnsi="Times New Roman"/>
                <w:b w:val="0"/>
                <w:sz w:val="18"/>
              </w:rPr>
              <w:t>escalade de dose</w:t>
            </w:r>
            <w:r w:rsidR="0004231E" w:rsidRPr="00A64757">
              <w:rPr>
                <w:rFonts w:ascii="Times New Roman" w:hAnsi="Times New Roman"/>
                <w:b w:val="0"/>
                <w:sz w:val="18"/>
              </w:rPr>
              <w:t>.</w:t>
            </w:r>
          </w:p>
        </w:tc>
      </w:tr>
      <w:tr w:rsidR="006C53CB" w:rsidRPr="00743D4B" w14:paraId="43CF21B1" w14:textId="77777777" w:rsidTr="00242CC4">
        <w:tc>
          <w:tcPr>
            <w:tcW w:w="9972" w:type="dxa"/>
            <w:gridSpan w:val="4"/>
            <w:tcBorders>
              <w:top w:val="nil"/>
              <w:left w:val="nil"/>
              <w:bottom w:val="nil"/>
              <w:right w:val="nil"/>
            </w:tcBorders>
            <w:vAlign w:val="center"/>
          </w:tcPr>
          <w:p w14:paraId="1C6402E1" w14:textId="4F58CA7C" w:rsidR="006C53CB" w:rsidRPr="00A64757" w:rsidRDefault="00534004" w:rsidP="00AA4E3B">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A64757">
              <w:rPr>
                <w:rFonts w:ascii="Times New Roman" w:hAnsi="Times New Roman"/>
                <w:b w:val="0"/>
                <w:color w:val="000000"/>
                <w:sz w:val="18"/>
              </w:rPr>
              <w:t>c.</w:t>
            </w:r>
            <w:r w:rsidRPr="00A64757">
              <w:rPr>
                <w:rFonts w:ascii="Times New Roman" w:hAnsi="Times New Roman"/>
                <w:b w:val="0"/>
                <w:sz w:val="18"/>
              </w:rPr>
              <w:tab/>
              <w:t>Un délai minimum de 3 jours doit être respecté entre la</w:t>
            </w:r>
            <w:r w:rsidR="0004231E" w:rsidRPr="00A64757">
              <w:rPr>
                <w:rFonts w:ascii="Times New Roman" w:hAnsi="Times New Roman"/>
                <w:b w:val="0"/>
                <w:sz w:val="18"/>
              </w:rPr>
              <w:t xml:space="preserve"> 2</w:t>
            </w:r>
            <w:r w:rsidR="0004231E" w:rsidRPr="00A64757">
              <w:rPr>
                <w:rFonts w:ascii="Times New Roman" w:hAnsi="Times New Roman"/>
                <w:b w:val="0"/>
                <w:sz w:val="18"/>
                <w:vertAlign w:val="superscript"/>
              </w:rPr>
              <w:t>nde</w:t>
            </w:r>
            <w:r w:rsidR="0004231E" w:rsidRPr="00A64757">
              <w:rPr>
                <w:rFonts w:ascii="Times New Roman" w:hAnsi="Times New Roman"/>
                <w:b w:val="0"/>
                <w:sz w:val="18"/>
              </w:rPr>
              <w:t xml:space="preserve"> </w:t>
            </w:r>
            <w:r w:rsidR="00AE0290" w:rsidRPr="00A64757">
              <w:rPr>
                <w:rFonts w:ascii="Times New Roman" w:hAnsi="Times New Roman"/>
                <w:b w:val="0"/>
                <w:sz w:val="18"/>
              </w:rPr>
              <w:t>escalade de dose</w:t>
            </w:r>
            <w:r w:rsidRPr="00A64757">
              <w:rPr>
                <w:rFonts w:ascii="Times New Roman" w:hAnsi="Times New Roman"/>
                <w:b w:val="0"/>
                <w:sz w:val="18"/>
              </w:rPr>
              <w:t xml:space="preserve"> (32 mg) et la première dose </w:t>
            </w:r>
            <w:r w:rsidR="009127AC" w:rsidRPr="00A64757">
              <w:rPr>
                <w:rFonts w:ascii="Times New Roman" w:hAnsi="Times New Roman"/>
                <w:b w:val="0"/>
                <w:sz w:val="18"/>
              </w:rPr>
              <w:t xml:space="preserve">complète </w:t>
            </w:r>
            <w:r w:rsidRPr="00A64757">
              <w:rPr>
                <w:rFonts w:ascii="Times New Roman" w:hAnsi="Times New Roman"/>
                <w:b w:val="0"/>
                <w:sz w:val="18"/>
              </w:rPr>
              <w:t>de traitement (76 mg).</w:t>
            </w:r>
          </w:p>
        </w:tc>
      </w:tr>
      <w:tr w:rsidR="006C53CB" w:rsidRPr="00743D4B" w14:paraId="1A0DEF33" w14:textId="77777777" w:rsidTr="00242CC4">
        <w:tc>
          <w:tcPr>
            <w:tcW w:w="9972" w:type="dxa"/>
            <w:gridSpan w:val="4"/>
            <w:tcBorders>
              <w:top w:val="nil"/>
              <w:left w:val="nil"/>
              <w:bottom w:val="nil"/>
              <w:right w:val="nil"/>
            </w:tcBorders>
            <w:vAlign w:val="center"/>
          </w:tcPr>
          <w:p w14:paraId="7C4C66BA" w14:textId="77777777" w:rsidR="006C53CB" w:rsidRPr="00A64757" w:rsidRDefault="00625C5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A64757">
              <w:rPr>
                <w:rFonts w:ascii="Times New Roman" w:hAnsi="Times New Roman"/>
                <w:b w:val="0"/>
                <w:color w:val="000000"/>
                <w:sz w:val="18"/>
              </w:rPr>
              <w:t>d.</w:t>
            </w:r>
            <w:r w:rsidRPr="00A64757">
              <w:rPr>
                <w:rFonts w:ascii="Times New Roman" w:hAnsi="Times New Roman"/>
                <w:b w:val="0"/>
                <w:sz w:val="18"/>
              </w:rPr>
              <w:tab/>
              <w:t>Un délai minimum de 6 jours doit être respecté entre les doses.</w:t>
            </w:r>
          </w:p>
        </w:tc>
      </w:tr>
      <w:tr w:rsidR="006C53CB" w:rsidRPr="00743D4B" w14:paraId="07490701" w14:textId="77777777" w:rsidTr="00242CC4">
        <w:tc>
          <w:tcPr>
            <w:tcW w:w="9972" w:type="dxa"/>
            <w:gridSpan w:val="4"/>
            <w:tcBorders>
              <w:top w:val="nil"/>
              <w:left w:val="nil"/>
              <w:bottom w:val="nil"/>
              <w:right w:val="nil"/>
            </w:tcBorders>
            <w:vAlign w:val="center"/>
          </w:tcPr>
          <w:p w14:paraId="239E344C" w14:textId="77777777" w:rsidR="006C53CB" w:rsidRPr="00A64757" w:rsidRDefault="00625C5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A64757">
              <w:rPr>
                <w:rFonts w:ascii="Times New Roman" w:hAnsi="Times New Roman"/>
                <w:b w:val="0"/>
                <w:color w:val="000000"/>
                <w:sz w:val="18"/>
              </w:rPr>
              <w:t>e.</w:t>
            </w:r>
            <w:r w:rsidRPr="00A64757">
              <w:rPr>
                <w:rFonts w:ascii="Times New Roman" w:hAnsi="Times New Roman"/>
                <w:b w:val="0"/>
                <w:sz w:val="18"/>
              </w:rPr>
              <w:tab/>
              <w:t>Pour les patients ayant obtenu une réponse.</w:t>
            </w:r>
          </w:p>
        </w:tc>
      </w:tr>
      <w:tr w:rsidR="004C059B" w:rsidRPr="00743D4B" w14:paraId="1F19E7E2" w14:textId="77777777" w:rsidTr="00242CC4">
        <w:tc>
          <w:tcPr>
            <w:tcW w:w="9972" w:type="dxa"/>
            <w:gridSpan w:val="4"/>
            <w:tcBorders>
              <w:top w:val="nil"/>
              <w:left w:val="nil"/>
              <w:bottom w:val="nil"/>
              <w:right w:val="nil"/>
            </w:tcBorders>
            <w:vAlign w:val="center"/>
          </w:tcPr>
          <w:p w14:paraId="46F77A41" w14:textId="42899806" w:rsidR="004C059B" w:rsidRPr="00A64757" w:rsidRDefault="004C059B" w:rsidP="00A54977">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A64757">
              <w:rPr>
                <w:rFonts w:ascii="Times New Roman" w:hAnsi="Times New Roman"/>
                <w:b w:val="0"/>
                <w:color w:val="000000"/>
                <w:sz w:val="18"/>
              </w:rPr>
              <w:t>f.</w:t>
            </w:r>
            <w:r w:rsidRPr="00A64757">
              <w:rPr>
                <w:rFonts w:ascii="Times New Roman" w:hAnsi="Times New Roman"/>
                <w:b w:val="0"/>
                <w:sz w:val="18"/>
              </w:rPr>
              <w:tab/>
              <w:t>Pour les patients ayant reçu au moins 24 semaines de traitement avec le schéma posologique toutes les deux semaines.</w:t>
            </w:r>
          </w:p>
        </w:tc>
      </w:tr>
      <w:tr w:rsidR="004C059B" w:rsidRPr="00743D4B" w14:paraId="2C1C3010" w14:textId="77777777" w:rsidTr="00242CC4">
        <w:tc>
          <w:tcPr>
            <w:tcW w:w="9972" w:type="dxa"/>
            <w:gridSpan w:val="4"/>
            <w:tcBorders>
              <w:top w:val="nil"/>
              <w:left w:val="nil"/>
              <w:bottom w:val="nil"/>
              <w:right w:val="nil"/>
            </w:tcBorders>
            <w:vAlign w:val="center"/>
          </w:tcPr>
          <w:p w14:paraId="044D7F60" w14:textId="63AC700A" w:rsidR="004C059B" w:rsidRPr="00A64757" w:rsidRDefault="004C059B" w:rsidP="00A54977">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A64757">
              <w:rPr>
                <w:rFonts w:ascii="Times New Roman" w:hAnsi="Times New Roman"/>
                <w:b w:val="0"/>
                <w:color w:val="000000"/>
                <w:sz w:val="18"/>
              </w:rPr>
              <w:t>g.</w:t>
            </w:r>
            <w:r w:rsidRPr="00A64757">
              <w:rPr>
                <w:rFonts w:ascii="Times New Roman" w:hAnsi="Times New Roman"/>
                <w:b w:val="0"/>
                <w:sz w:val="18"/>
              </w:rPr>
              <w:tab/>
              <w:t>Pour les patients ayant maintenu la réponse.</w:t>
            </w:r>
          </w:p>
        </w:tc>
      </w:tr>
      <w:tr w:rsidR="006C53CB" w:rsidRPr="00743D4B" w14:paraId="30A6B3C4" w14:textId="77777777" w:rsidTr="00242CC4">
        <w:tc>
          <w:tcPr>
            <w:tcW w:w="9972" w:type="dxa"/>
            <w:gridSpan w:val="4"/>
            <w:tcBorders>
              <w:top w:val="nil"/>
              <w:left w:val="nil"/>
              <w:bottom w:val="nil"/>
              <w:right w:val="nil"/>
            </w:tcBorders>
            <w:vAlign w:val="center"/>
          </w:tcPr>
          <w:p w14:paraId="179E581B" w14:textId="67DF74FA" w:rsidR="006C53CB" w:rsidRPr="00A64757" w:rsidRDefault="00110D31" w:rsidP="00A10D5D">
            <w:pPr>
              <w:pStyle w:val="PIHeading1"/>
              <w:keepNext w:val="0"/>
              <w:keepLines w:val="0"/>
              <w:shd w:val="clear" w:color="auto" w:fill="FFFFFF"/>
              <w:tabs>
                <w:tab w:val="left" w:pos="0"/>
              </w:tabs>
              <w:spacing w:before="0" w:after="0"/>
              <w:rPr>
                <w:rFonts w:ascii="Times New Roman" w:hAnsi="Times New Roman"/>
                <w:b w:val="0"/>
                <w:sz w:val="18"/>
                <w:szCs w:val="18"/>
              </w:rPr>
            </w:pPr>
            <w:r w:rsidRPr="00A64757">
              <w:rPr>
                <w:rFonts w:ascii="Times New Roman" w:hAnsi="Times New Roman"/>
                <w:b w:val="0"/>
                <w:sz w:val="18"/>
              </w:rPr>
              <w:t xml:space="preserve">Remarque : Voir tableau 5 pour les recommandations </w:t>
            </w:r>
            <w:r w:rsidR="001747BB" w:rsidRPr="00A64757">
              <w:rPr>
                <w:rFonts w:ascii="Times New Roman" w:hAnsi="Times New Roman"/>
                <w:b w:val="0"/>
                <w:sz w:val="18"/>
              </w:rPr>
              <w:t>de</w:t>
            </w:r>
            <w:r w:rsidRPr="00A64757">
              <w:rPr>
                <w:rFonts w:ascii="Times New Roman" w:hAnsi="Times New Roman"/>
                <w:b w:val="0"/>
                <w:sz w:val="18"/>
              </w:rPr>
              <w:t xml:space="preserve"> reprise du traitement par ELREXFIO après des reports </w:t>
            </w:r>
            <w:r w:rsidR="007664E6" w:rsidRPr="00A64757">
              <w:rPr>
                <w:rFonts w:ascii="Times New Roman" w:hAnsi="Times New Roman"/>
                <w:b w:val="0"/>
                <w:sz w:val="18"/>
              </w:rPr>
              <w:t>de dose</w:t>
            </w:r>
            <w:r w:rsidRPr="00A64757">
              <w:rPr>
                <w:rFonts w:ascii="Times New Roman" w:hAnsi="Times New Roman"/>
                <w:b w:val="0"/>
                <w:sz w:val="18"/>
              </w:rPr>
              <w:t>.</w:t>
            </w:r>
          </w:p>
        </w:tc>
      </w:tr>
      <w:bookmarkEnd w:id="0"/>
      <w:bookmarkEnd w:id="1"/>
    </w:tbl>
    <w:p w14:paraId="064B2346" w14:textId="77777777" w:rsidR="00522B49" w:rsidRDefault="00522B49" w:rsidP="004A6135"/>
    <w:p w14:paraId="47DC70D6" w14:textId="1418144D" w:rsidR="00BC1E3C" w:rsidRPr="00305834" w:rsidRDefault="009127AC" w:rsidP="00BC1E3C">
      <w:pPr>
        <w:keepNext/>
        <w:tabs>
          <w:tab w:val="left" w:pos="5760"/>
        </w:tabs>
        <w:spacing w:line="240" w:lineRule="auto"/>
        <w:rPr>
          <w:i/>
          <w:szCs w:val="22"/>
        </w:rPr>
      </w:pPr>
      <w:r>
        <w:rPr>
          <w:i/>
        </w:rPr>
        <w:t>Prémédication</w:t>
      </w:r>
      <w:r w:rsidR="00BC1E3C">
        <w:rPr>
          <w:i/>
        </w:rPr>
        <w:t xml:space="preserve"> recommandé</w:t>
      </w:r>
      <w:r>
        <w:rPr>
          <w:i/>
        </w:rPr>
        <w:t>e</w:t>
      </w:r>
    </w:p>
    <w:p w14:paraId="6EE1A0F9" w14:textId="6756F710" w:rsidR="00BC1E3C" w:rsidRPr="004C1F64" w:rsidRDefault="004C1F64" w:rsidP="00BC1E3C">
      <w:pPr>
        <w:spacing w:line="240" w:lineRule="auto"/>
      </w:pPr>
      <w:r>
        <w:t>Afin de réduire le risque de SRC</w:t>
      </w:r>
      <w:r w:rsidR="00FC215F">
        <w:t>,</w:t>
      </w:r>
      <w:r>
        <w:t xml:space="preserve"> </w:t>
      </w:r>
      <w:r w:rsidR="00FC215F">
        <w:t>l</w:t>
      </w:r>
      <w:r w:rsidR="009127AC">
        <w:t>a prémédication</w:t>
      </w:r>
      <w:r w:rsidR="00BC1E3C">
        <w:t xml:space="preserve"> suivant</w:t>
      </w:r>
      <w:r w:rsidR="009127AC">
        <w:t xml:space="preserve">e </w:t>
      </w:r>
      <w:r w:rsidR="00BC1E3C">
        <w:t>doit être administré</w:t>
      </w:r>
      <w:r w:rsidR="009127AC">
        <w:t>e</w:t>
      </w:r>
      <w:r w:rsidR="00BC1E3C">
        <w:t xml:space="preserve"> environ 1 heure avant les trois premières doses d’ELREXFIO, qui comprend la</w:t>
      </w:r>
      <w:r>
        <w:t xml:space="preserve"> première</w:t>
      </w:r>
      <w:r w:rsidR="00D4473F">
        <w:t xml:space="preserve"> </w:t>
      </w:r>
      <w:r w:rsidR="00AE0290">
        <w:t>escalade de dose</w:t>
      </w:r>
      <w:r w:rsidR="00BC1E3C">
        <w:t xml:space="preserve">, la </w:t>
      </w:r>
      <w:r>
        <w:t xml:space="preserve">seconde </w:t>
      </w:r>
      <w:r w:rsidR="00AE0290">
        <w:t>escalade de dose</w:t>
      </w:r>
      <w:r w:rsidR="00BC1E3C">
        <w:t xml:space="preserve"> et la première </w:t>
      </w:r>
      <w:r w:rsidR="00BC1E3C" w:rsidRPr="00174D9B">
        <w:t xml:space="preserve">dose </w:t>
      </w:r>
      <w:r w:rsidR="00D5148B" w:rsidRPr="00174D9B">
        <w:t xml:space="preserve">complète </w:t>
      </w:r>
      <w:r w:rsidR="00BC1E3C" w:rsidRPr="00174D9B">
        <w:t>de traitement,</w:t>
      </w:r>
      <w:r w:rsidR="00BC1E3C">
        <w:t xml:space="preserve"> comme décrit dans le tableau 1 (voir rubrique 4.4) :</w:t>
      </w:r>
    </w:p>
    <w:p w14:paraId="60E96B7D" w14:textId="77777777" w:rsidR="00BC1E3C" w:rsidRPr="00305834" w:rsidRDefault="00BC1E3C" w:rsidP="00BC1E3C">
      <w:pPr>
        <w:spacing w:line="240" w:lineRule="auto"/>
        <w:rPr>
          <w:szCs w:val="22"/>
        </w:rPr>
      </w:pPr>
    </w:p>
    <w:p w14:paraId="75CD7E23" w14:textId="77777777" w:rsidR="00BC1E3C" w:rsidRPr="00305834" w:rsidRDefault="00BC1E3C" w:rsidP="00BC1E3C">
      <w:pPr>
        <w:pStyle w:val="ListParagraph"/>
        <w:numPr>
          <w:ilvl w:val="0"/>
          <w:numId w:val="19"/>
        </w:numPr>
        <w:ind w:left="360"/>
        <w:rPr>
          <w:b/>
          <w:sz w:val="22"/>
          <w:szCs w:val="22"/>
        </w:rPr>
      </w:pPr>
      <w:r>
        <w:rPr>
          <w:sz w:val="22"/>
        </w:rPr>
        <w:t>500 mg de paracétamol par voie orale (ou équivalent)</w:t>
      </w:r>
    </w:p>
    <w:p w14:paraId="676CFBD9" w14:textId="77777777" w:rsidR="00BC1E3C" w:rsidRPr="00BC1E3C" w:rsidRDefault="00BC1E3C" w:rsidP="00BC1E3C">
      <w:pPr>
        <w:pStyle w:val="ListParagraph"/>
        <w:numPr>
          <w:ilvl w:val="0"/>
          <w:numId w:val="19"/>
        </w:numPr>
        <w:ind w:left="360"/>
        <w:rPr>
          <w:b/>
          <w:sz w:val="22"/>
          <w:szCs w:val="22"/>
        </w:rPr>
      </w:pPr>
      <w:r>
        <w:rPr>
          <w:sz w:val="22"/>
        </w:rPr>
        <w:t>20 mg de dexaméthasone par voie orale ou intraveineuse (ou équivalent)</w:t>
      </w:r>
    </w:p>
    <w:p w14:paraId="5B06ACD7" w14:textId="77777777" w:rsidR="00BC1E3C" w:rsidRPr="00305834" w:rsidRDefault="00BC1E3C" w:rsidP="00BC1E3C">
      <w:pPr>
        <w:pStyle w:val="ListParagraph"/>
        <w:numPr>
          <w:ilvl w:val="0"/>
          <w:numId w:val="19"/>
        </w:numPr>
        <w:ind w:left="360"/>
        <w:rPr>
          <w:b/>
          <w:sz w:val="22"/>
          <w:szCs w:val="22"/>
        </w:rPr>
      </w:pPr>
      <w:r>
        <w:rPr>
          <w:sz w:val="22"/>
        </w:rPr>
        <w:t>25 mg de diphénhydramine par voie orale (ou équivalent)</w:t>
      </w:r>
    </w:p>
    <w:p w14:paraId="2A219B5C" w14:textId="77777777" w:rsidR="008F01BF" w:rsidRPr="00743D4B" w:rsidRDefault="008F01BF" w:rsidP="00772DCE">
      <w:pPr>
        <w:spacing w:line="240" w:lineRule="auto"/>
      </w:pPr>
    </w:p>
    <w:p w14:paraId="34E325EF" w14:textId="707CED3B" w:rsidR="00D4473F" w:rsidRDefault="00D4473F" w:rsidP="00D4473F">
      <w:pPr>
        <w:spacing w:line="240" w:lineRule="auto"/>
      </w:pPr>
      <w:r>
        <w:t>Les antimicrobiens et les antiviraux</w:t>
      </w:r>
      <w:r w:rsidR="00092879">
        <w:t xml:space="preserve"> </w:t>
      </w:r>
      <w:r>
        <w:t xml:space="preserve">prophylactiques doivent être envisagés conformément aux </w:t>
      </w:r>
      <w:r w:rsidR="0018076F">
        <w:t>recommandations de prise en charge</w:t>
      </w:r>
      <w:r>
        <w:t xml:space="preserve"> locales (</w:t>
      </w:r>
      <w:r w:rsidRPr="000F1757">
        <w:t>voir rubrique</w:t>
      </w:r>
      <w:r>
        <w:t> 4.4).</w:t>
      </w:r>
    </w:p>
    <w:p w14:paraId="65DB9C98" w14:textId="77777777" w:rsidR="00D4473F" w:rsidRDefault="00D4473F" w:rsidP="00772DCE">
      <w:pPr>
        <w:spacing w:line="240" w:lineRule="auto"/>
        <w:rPr>
          <w:u w:val="single"/>
        </w:rPr>
      </w:pPr>
    </w:p>
    <w:p w14:paraId="6651D76F" w14:textId="4AD61855" w:rsidR="00317CB0" w:rsidRPr="00743D4B" w:rsidRDefault="00D17A9E" w:rsidP="00772DCE">
      <w:pPr>
        <w:spacing w:line="240" w:lineRule="auto"/>
        <w:rPr>
          <w:szCs w:val="22"/>
          <w:u w:val="single"/>
        </w:rPr>
      </w:pPr>
      <w:r>
        <w:rPr>
          <w:u w:val="single"/>
        </w:rPr>
        <w:t xml:space="preserve">Modifications posologiques </w:t>
      </w:r>
      <w:r w:rsidR="002A4BD7">
        <w:rPr>
          <w:u w:val="single"/>
        </w:rPr>
        <w:t>en cas de</w:t>
      </w:r>
      <w:r w:rsidR="0018076F">
        <w:rPr>
          <w:u w:val="single"/>
        </w:rPr>
        <w:t xml:space="preserve"> toxicité</w:t>
      </w:r>
    </w:p>
    <w:p w14:paraId="3FFCE116" w14:textId="77777777" w:rsidR="009C043E" w:rsidRDefault="009C043E" w:rsidP="00772DCE">
      <w:pPr>
        <w:spacing w:line="240" w:lineRule="auto"/>
      </w:pPr>
    </w:p>
    <w:p w14:paraId="0F8C2666" w14:textId="103A7264" w:rsidR="0047064B" w:rsidRPr="00743D4B" w:rsidRDefault="00317CB0" w:rsidP="00772DCE">
      <w:pPr>
        <w:spacing w:line="240" w:lineRule="auto"/>
        <w:rPr>
          <w:szCs w:val="22"/>
        </w:rPr>
      </w:pPr>
      <w:r>
        <w:t>Il n’est pas recommandé de réduire la dose d’ELREXFIO.</w:t>
      </w:r>
      <w:r w:rsidR="009C043E">
        <w:t xml:space="preserve"> </w:t>
      </w:r>
      <w:r w:rsidR="0047064B">
        <w:t>Des reports</w:t>
      </w:r>
      <w:r w:rsidR="00174D9B">
        <w:t xml:space="preserve"> </w:t>
      </w:r>
      <w:r w:rsidR="00961C0D">
        <w:t>de dose</w:t>
      </w:r>
      <w:r w:rsidR="0047064B">
        <w:t xml:space="preserve"> peuvent être nécessaires pour gérer les toxicités (voir rubrique 4.4). </w:t>
      </w:r>
    </w:p>
    <w:p w14:paraId="0EA9BE2C" w14:textId="77777777" w:rsidR="0047064B" w:rsidRPr="00743D4B" w:rsidRDefault="0047064B" w:rsidP="00772DCE">
      <w:pPr>
        <w:spacing w:line="240" w:lineRule="auto"/>
      </w:pPr>
    </w:p>
    <w:p w14:paraId="20F14A6B" w14:textId="3D3E2177" w:rsidR="002232C4" w:rsidRPr="00743D4B" w:rsidRDefault="009127AC" w:rsidP="002232C4">
      <w:pPr>
        <w:spacing w:line="240" w:lineRule="auto"/>
      </w:pPr>
      <w:r>
        <w:t xml:space="preserve">Les </w:t>
      </w:r>
      <w:r w:rsidR="002232C4">
        <w:t xml:space="preserve">tableaux 2 et 3 </w:t>
      </w:r>
      <w:r>
        <w:t>présentent, respectivement,</w:t>
      </w:r>
      <w:r w:rsidR="002232C4">
        <w:t xml:space="preserve"> les mesures recommandées en cas d’effets indésirables de </w:t>
      </w:r>
      <w:r w:rsidR="00143572">
        <w:t>S</w:t>
      </w:r>
      <w:r w:rsidR="00CC6D99">
        <w:t>R</w:t>
      </w:r>
      <w:r w:rsidR="00143572">
        <w:t>C</w:t>
      </w:r>
      <w:r w:rsidR="002232C4">
        <w:t xml:space="preserve"> et d’ICANS.</w:t>
      </w:r>
    </w:p>
    <w:p w14:paraId="63C0B9B2" w14:textId="77777777" w:rsidR="00581F15" w:rsidRPr="00743D4B" w:rsidRDefault="00581F15" w:rsidP="00772DCE">
      <w:pPr>
        <w:spacing w:line="240" w:lineRule="auto"/>
        <w:rPr>
          <w:szCs w:val="22"/>
        </w:rPr>
      </w:pPr>
    </w:p>
    <w:p w14:paraId="73A0BECC" w14:textId="32B36487" w:rsidR="00214D70" w:rsidRDefault="009127AC" w:rsidP="00772DCE">
      <w:pPr>
        <w:spacing w:line="240" w:lineRule="auto"/>
      </w:pPr>
      <w:r>
        <w:t>Le</w:t>
      </w:r>
      <w:r w:rsidR="00214D70">
        <w:t xml:space="preserve"> tableau 4 </w:t>
      </w:r>
      <w:r>
        <w:t>présente</w:t>
      </w:r>
      <w:r w:rsidR="00214D70">
        <w:t xml:space="preserve"> les mesures recommandées en cas d’autres effets indésirables.</w:t>
      </w:r>
    </w:p>
    <w:p w14:paraId="61BCF048" w14:textId="6DAF90EE" w:rsidR="0018076F" w:rsidRDefault="0018076F" w:rsidP="00772DCE">
      <w:pPr>
        <w:spacing w:line="240" w:lineRule="auto"/>
      </w:pPr>
    </w:p>
    <w:p w14:paraId="0357F293" w14:textId="0EF8486A" w:rsidR="0018076F" w:rsidRPr="003B0991" w:rsidRDefault="0018076F" w:rsidP="00AF1088">
      <w:pPr>
        <w:keepNext/>
        <w:spacing w:line="240" w:lineRule="auto"/>
        <w:rPr>
          <w:i/>
          <w:iCs/>
        </w:rPr>
      </w:pPr>
      <w:r w:rsidRPr="003B0991">
        <w:rPr>
          <w:i/>
          <w:iCs/>
        </w:rPr>
        <w:t>Syndrome de relargage des cytokines (SRC)</w:t>
      </w:r>
    </w:p>
    <w:p w14:paraId="3D9C4E14" w14:textId="5E11A7A1" w:rsidR="0018076F" w:rsidRPr="00C44D50" w:rsidRDefault="0018076F" w:rsidP="00772DCE">
      <w:pPr>
        <w:spacing w:line="240" w:lineRule="auto"/>
        <w:rPr>
          <w:szCs w:val="22"/>
        </w:rPr>
      </w:pPr>
      <w:r>
        <w:t>Le</w:t>
      </w:r>
      <w:r w:rsidR="00F40775">
        <w:t>s</w:t>
      </w:r>
      <w:r>
        <w:t xml:space="preserve"> SRC doi</w:t>
      </w:r>
      <w:r w:rsidR="00F40775">
        <w:t>ven</w:t>
      </w:r>
      <w:r>
        <w:t>t être identifié</w:t>
      </w:r>
      <w:r w:rsidR="00F40775">
        <w:t>s</w:t>
      </w:r>
      <w:r>
        <w:t xml:space="preserve"> </w:t>
      </w:r>
      <w:r w:rsidR="003D2AD7">
        <w:t xml:space="preserve">à partir </w:t>
      </w:r>
      <w:r w:rsidR="00BC6124">
        <w:t>de manifestations cliniques</w:t>
      </w:r>
      <w:r>
        <w:rPr>
          <w:szCs w:val="22"/>
        </w:rPr>
        <w:t xml:space="preserve"> (voir rubrique 4.4). </w:t>
      </w:r>
      <w:r>
        <w:t xml:space="preserve">Les patients doivent être évalués et traités pour </w:t>
      </w:r>
      <w:r w:rsidR="00797E50">
        <w:t>les</w:t>
      </w:r>
      <w:r w:rsidR="00C44D50">
        <w:t xml:space="preserve"> </w:t>
      </w:r>
      <w:r>
        <w:t>autres causes de fièvre, d’hypoxie et d’hypotension</w:t>
      </w:r>
      <w:r>
        <w:rPr>
          <w:szCs w:val="22"/>
        </w:rPr>
        <w:t xml:space="preserve">. </w:t>
      </w:r>
      <w:r>
        <w:t>Les soins de support nécessaires à la prise en charge d’un SRC (incluant, mais sans s’y limiter, les agents antipyrétiques, l’administration de solutés de remplissage par voie intraveineuse, les vasopresseurs, les inhibiteurs de l’IL-6 ou du récepteur de l’IL-6, l’oxygène d’appoint, etc.) doivent être administrés de manière appropriée. Des analyses biologiques visant à surveiller la coagulation intravasculaire disséminée (CIVD), les paramètres hématologiques, ainsi que les fonctions pulmonaire, cardiaque, rénale et hépatique doivent être envisagées.</w:t>
      </w:r>
      <w:r>
        <w:rPr>
          <w:szCs w:val="22"/>
        </w:rPr>
        <w:t xml:space="preserve"> </w:t>
      </w:r>
    </w:p>
    <w:p w14:paraId="78C48FD7" w14:textId="77777777" w:rsidR="00FC72B5" w:rsidRDefault="00FC72B5" w:rsidP="00FC72B5">
      <w:pPr>
        <w:spacing w:line="240" w:lineRule="auto"/>
      </w:pPr>
    </w:p>
    <w:p w14:paraId="0177512C" w14:textId="3E570660" w:rsidR="00C00439" w:rsidRPr="00C00439" w:rsidRDefault="00C00439" w:rsidP="00FC72B5">
      <w:pPr>
        <w:spacing w:line="240" w:lineRule="auto"/>
        <w:rPr>
          <w:b/>
          <w:bCs/>
        </w:rPr>
      </w:pPr>
      <w:r w:rsidRPr="00C00439">
        <w:rPr>
          <w:b/>
          <w:bCs/>
        </w:rPr>
        <w:t>Tableau 2.</w:t>
      </w:r>
      <w:r w:rsidRPr="00C00439">
        <w:rPr>
          <w:b/>
          <w:bCs/>
        </w:rPr>
        <w:tab/>
        <w:t>Recommandations relatives à la prise en charge d’un SRC</w:t>
      </w:r>
    </w:p>
    <w:tbl>
      <w:tblPr>
        <w:tblStyle w:val="TableGrid"/>
        <w:tblW w:w="9789" w:type="dxa"/>
        <w:tblInd w:w="-5" w:type="dxa"/>
        <w:tblLook w:val="04A0" w:firstRow="1" w:lastRow="0" w:firstColumn="1" w:lastColumn="0" w:noHBand="0" w:noVBand="1"/>
      </w:tblPr>
      <w:tblGrid>
        <w:gridCol w:w="1365"/>
        <w:gridCol w:w="3410"/>
        <w:gridCol w:w="5014"/>
      </w:tblGrid>
      <w:tr w:rsidR="001321D5" w14:paraId="579E53A8" w14:textId="77777777" w:rsidTr="00C00439">
        <w:trPr>
          <w:trHeight w:val="234"/>
          <w:tblHeader/>
        </w:trPr>
        <w:tc>
          <w:tcPr>
            <w:tcW w:w="1365" w:type="dxa"/>
            <w:tcBorders>
              <w:top w:val="single" w:sz="4" w:space="0" w:color="auto"/>
            </w:tcBorders>
          </w:tcPr>
          <w:p w14:paraId="7AD301E6" w14:textId="77777777" w:rsidR="00FC3F79" w:rsidRPr="00120F9D" w:rsidRDefault="00FC3F79" w:rsidP="004F07E4">
            <w:pPr>
              <w:pStyle w:val="PIHeading2"/>
              <w:keepLines w:val="0"/>
              <w:tabs>
                <w:tab w:val="left" w:pos="540"/>
              </w:tabs>
              <w:spacing w:before="0" w:after="0"/>
              <w:rPr>
                <w:rFonts w:ascii="Times New Roman" w:hAnsi="Times New Roman"/>
                <w:b w:val="0"/>
                <w:sz w:val="22"/>
                <w:szCs w:val="22"/>
                <w:vertAlign w:val="superscript"/>
              </w:rPr>
            </w:pPr>
            <w:r>
              <w:rPr>
                <w:rFonts w:ascii="Times New Roman" w:hAnsi="Times New Roman"/>
                <w:sz w:val="22"/>
              </w:rPr>
              <w:t>Grade</w:t>
            </w:r>
            <w:r>
              <w:rPr>
                <w:rFonts w:ascii="Times New Roman" w:hAnsi="Times New Roman"/>
                <w:sz w:val="22"/>
                <w:vertAlign w:val="superscript"/>
              </w:rPr>
              <w:t>a</w:t>
            </w:r>
          </w:p>
        </w:tc>
        <w:tc>
          <w:tcPr>
            <w:tcW w:w="3410" w:type="dxa"/>
            <w:tcBorders>
              <w:top w:val="single" w:sz="4" w:space="0" w:color="auto"/>
            </w:tcBorders>
          </w:tcPr>
          <w:p w14:paraId="0BFCD19D"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Symptômes actuels </w:t>
            </w:r>
          </w:p>
        </w:tc>
        <w:tc>
          <w:tcPr>
            <w:tcW w:w="5014" w:type="dxa"/>
            <w:tcBorders>
              <w:top w:val="single" w:sz="4" w:space="0" w:color="auto"/>
            </w:tcBorders>
          </w:tcPr>
          <w:p w14:paraId="7D022DA7"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Mesures </w:t>
            </w:r>
          </w:p>
        </w:tc>
      </w:tr>
      <w:tr w:rsidR="001321D5" w14:paraId="5564B47C" w14:textId="77777777" w:rsidTr="00C00439">
        <w:trPr>
          <w:trHeight w:val="566"/>
        </w:trPr>
        <w:tc>
          <w:tcPr>
            <w:tcW w:w="1365" w:type="dxa"/>
          </w:tcPr>
          <w:p w14:paraId="6FFC34C3"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Grade 1</w:t>
            </w:r>
          </w:p>
        </w:tc>
        <w:tc>
          <w:tcPr>
            <w:tcW w:w="3410" w:type="dxa"/>
          </w:tcPr>
          <w:p w14:paraId="398109C9"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Pr>
                <w:rFonts w:ascii="Times New Roman" w:hAnsi="Times New Roman"/>
                <w:b w:val="0"/>
                <w:sz w:val="22"/>
              </w:rPr>
              <w:t>Température ≥ 38 °C</w:t>
            </w:r>
            <w:r>
              <w:rPr>
                <w:rFonts w:ascii="Times New Roman" w:hAnsi="Times New Roman"/>
                <w:b w:val="0"/>
                <w:sz w:val="22"/>
                <w:vertAlign w:val="superscript"/>
              </w:rPr>
              <w:t>b</w:t>
            </w:r>
          </w:p>
        </w:tc>
        <w:tc>
          <w:tcPr>
            <w:tcW w:w="5014" w:type="dxa"/>
          </w:tcPr>
          <w:p w14:paraId="2661420E" w14:textId="1734C67A" w:rsidR="00FC3F79" w:rsidRPr="006276F0" w:rsidRDefault="009127AC"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 xml:space="preserve">Suspendre </w:t>
            </w:r>
            <w:r w:rsidR="00FC3F79">
              <w:rPr>
                <w:rFonts w:ascii="Times New Roman" w:hAnsi="Times New Roman"/>
                <w:b w:val="0"/>
                <w:sz w:val="22"/>
              </w:rPr>
              <w:t xml:space="preserve">le traitement jusqu’à la résolution du </w:t>
            </w:r>
            <w:r w:rsidR="00143572">
              <w:rPr>
                <w:rFonts w:ascii="Times New Roman" w:hAnsi="Times New Roman"/>
                <w:b w:val="0"/>
                <w:sz w:val="22"/>
              </w:rPr>
              <w:t>S</w:t>
            </w:r>
            <w:r w:rsidR="00CC6D99">
              <w:rPr>
                <w:rFonts w:ascii="Times New Roman" w:hAnsi="Times New Roman"/>
                <w:b w:val="0"/>
                <w:sz w:val="22"/>
              </w:rPr>
              <w:t>R</w:t>
            </w:r>
            <w:r w:rsidR="00143572">
              <w:rPr>
                <w:rFonts w:ascii="Times New Roman" w:hAnsi="Times New Roman"/>
                <w:b w:val="0"/>
                <w:sz w:val="22"/>
              </w:rPr>
              <w:t>C</w:t>
            </w:r>
            <w:r w:rsidR="00FC3F79">
              <w:rPr>
                <w:rFonts w:ascii="Times New Roman" w:hAnsi="Times New Roman"/>
                <w:b w:val="0"/>
                <w:sz w:val="22"/>
              </w:rPr>
              <w:t>.</w:t>
            </w:r>
            <w:r w:rsidR="00FC3F79">
              <w:rPr>
                <w:rFonts w:ascii="Times New Roman" w:hAnsi="Times New Roman"/>
                <w:b w:val="0"/>
                <w:sz w:val="22"/>
                <w:vertAlign w:val="superscript"/>
              </w:rPr>
              <w:t>c</w:t>
            </w:r>
          </w:p>
          <w:p w14:paraId="7C2FEB59" w14:textId="69DD6A02" w:rsidR="00FC3F79" w:rsidRPr="00120F9D" w:rsidRDefault="009E7B80"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 xml:space="preserve">Instaurer </w:t>
            </w:r>
            <w:r w:rsidR="00463BF9">
              <w:rPr>
                <w:rFonts w:ascii="Times New Roman" w:hAnsi="Times New Roman"/>
                <w:b w:val="0"/>
                <w:sz w:val="22"/>
              </w:rPr>
              <w:t>des soins de</w:t>
            </w:r>
            <w:r w:rsidR="00FC3F79">
              <w:rPr>
                <w:rFonts w:ascii="Times New Roman" w:hAnsi="Times New Roman"/>
                <w:b w:val="0"/>
                <w:sz w:val="22"/>
              </w:rPr>
              <w:t xml:space="preserve"> </w:t>
            </w:r>
            <w:r w:rsidR="00ED0406">
              <w:rPr>
                <w:rFonts w:ascii="Times New Roman" w:hAnsi="Times New Roman"/>
                <w:b w:val="0"/>
                <w:sz w:val="22"/>
              </w:rPr>
              <w:t>support</w:t>
            </w:r>
            <w:r w:rsidR="00FC3F79">
              <w:rPr>
                <w:rFonts w:ascii="Times New Roman" w:hAnsi="Times New Roman"/>
                <w:b w:val="0"/>
                <w:sz w:val="22"/>
              </w:rPr>
              <w:t>.</w:t>
            </w:r>
          </w:p>
        </w:tc>
      </w:tr>
      <w:tr w:rsidR="001321D5" w14:paraId="4BC143BE" w14:textId="77777777" w:rsidTr="00C00439">
        <w:trPr>
          <w:trHeight w:val="1691"/>
        </w:trPr>
        <w:tc>
          <w:tcPr>
            <w:tcW w:w="1365" w:type="dxa"/>
          </w:tcPr>
          <w:p w14:paraId="136CDC54"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Grade 2</w:t>
            </w:r>
          </w:p>
        </w:tc>
        <w:tc>
          <w:tcPr>
            <w:tcW w:w="3410" w:type="dxa"/>
            <w:shd w:val="clear" w:color="auto" w:fill="auto"/>
          </w:tcPr>
          <w:p w14:paraId="524D4FD7"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Température ≥ 38 °C avec soit :</w:t>
            </w:r>
          </w:p>
          <w:p w14:paraId="7AFCD653" w14:textId="77777777" w:rsidR="00FC3F79" w:rsidRPr="00120F9D"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Hypotension répondant à l’hydratation et ne nécessitant pas de vasopresseurs, et/ou </w:t>
            </w:r>
          </w:p>
          <w:p w14:paraId="50B72B95" w14:textId="3FC37285" w:rsidR="00FC3F79" w:rsidRPr="00120F9D" w:rsidRDefault="00145E68"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B</w:t>
            </w:r>
            <w:r w:rsidR="00FC3F79">
              <w:rPr>
                <w:rFonts w:ascii="Times New Roman" w:hAnsi="Times New Roman"/>
                <w:b w:val="0"/>
                <w:sz w:val="22"/>
              </w:rPr>
              <w:t>esoin</w:t>
            </w:r>
            <w:r>
              <w:rPr>
                <w:rFonts w:ascii="Times New Roman" w:hAnsi="Times New Roman"/>
                <w:b w:val="0"/>
                <w:sz w:val="22"/>
              </w:rPr>
              <w:t>s</w:t>
            </w:r>
            <w:r w:rsidR="00FC3F79">
              <w:rPr>
                <w:rFonts w:ascii="Times New Roman" w:hAnsi="Times New Roman"/>
                <w:b w:val="0"/>
                <w:sz w:val="22"/>
              </w:rPr>
              <w:t xml:space="preserve"> en oxygène </w:t>
            </w:r>
            <w:r>
              <w:rPr>
                <w:rFonts w:ascii="Times New Roman" w:hAnsi="Times New Roman"/>
                <w:b w:val="0"/>
                <w:sz w:val="22"/>
              </w:rPr>
              <w:t xml:space="preserve">par </w:t>
            </w:r>
            <w:r w:rsidR="00FC3F79">
              <w:rPr>
                <w:rFonts w:ascii="Times New Roman" w:hAnsi="Times New Roman"/>
                <w:b w:val="0"/>
                <w:sz w:val="22"/>
              </w:rPr>
              <w:t>canule nasale à faible débit</w:t>
            </w:r>
            <w:r w:rsidR="002C6174" w:rsidRPr="00A10D5D">
              <w:rPr>
                <w:rFonts w:ascii="Times New Roman" w:hAnsi="Times New Roman"/>
                <w:b w:val="0"/>
                <w:sz w:val="22"/>
                <w:vertAlign w:val="superscript"/>
              </w:rPr>
              <w:t>d</w:t>
            </w:r>
            <w:r w:rsidR="00FC3F79">
              <w:rPr>
                <w:rFonts w:ascii="Times New Roman" w:hAnsi="Times New Roman"/>
                <w:b w:val="0"/>
                <w:sz w:val="22"/>
              </w:rPr>
              <w:t xml:space="preserve"> ou insufflat</w:t>
            </w:r>
            <w:r>
              <w:rPr>
                <w:rFonts w:ascii="Times New Roman" w:hAnsi="Times New Roman"/>
                <w:b w:val="0"/>
                <w:sz w:val="22"/>
              </w:rPr>
              <w:t>eur</w:t>
            </w:r>
          </w:p>
        </w:tc>
        <w:tc>
          <w:tcPr>
            <w:tcW w:w="5014" w:type="dxa"/>
          </w:tcPr>
          <w:p w14:paraId="1E0FCFAB" w14:textId="1D117BA0" w:rsidR="00FC3F79" w:rsidRPr="00120F9D" w:rsidRDefault="00A776B5" w:rsidP="00245B5E">
            <w:pPr>
              <w:pStyle w:val="PIHeading2"/>
              <w:keepLines w:val="0"/>
              <w:numPr>
                <w:ilvl w:val="0"/>
                <w:numId w:val="20"/>
              </w:numPr>
              <w:tabs>
                <w:tab w:val="left" w:pos="335"/>
              </w:tabs>
              <w:spacing w:before="0" w:after="0"/>
              <w:rPr>
                <w:rFonts w:ascii="Times New Roman" w:hAnsi="Times New Roman"/>
                <w:b w:val="0"/>
                <w:sz w:val="22"/>
                <w:szCs w:val="22"/>
              </w:rPr>
            </w:pPr>
            <w:r>
              <w:rPr>
                <w:rFonts w:ascii="Times New Roman" w:hAnsi="Times New Roman"/>
                <w:b w:val="0"/>
                <w:sz w:val="22"/>
              </w:rPr>
              <w:t xml:space="preserve">Suspendre </w:t>
            </w:r>
            <w:r w:rsidR="00FC3F79">
              <w:rPr>
                <w:rFonts w:ascii="Times New Roman" w:hAnsi="Times New Roman"/>
                <w:b w:val="0"/>
                <w:sz w:val="22"/>
              </w:rPr>
              <w:t xml:space="preserve">le traitement jusqu’à la résolution du </w:t>
            </w:r>
            <w:r w:rsidR="00143572">
              <w:rPr>
                <w:rFonts w:ascii="Times New Roman" w:hAnsi="Times New Roman"/>
                <w:b w:val="0"/>
                <w:sz w:val="22"/>
              </w:rPr>
              <w:t>S</w:t>
            </w:r>
            <w:r w:rsidR="00CC6D99">
              <w:rPr>
                <w:rFonts w:ascii="Times New Roman" w:hAnsi="Times New Roman"/>
                <w:b w:val="0"/>
                <w:sz w:val="22"/>
              </w:rPr>
              <w:t>R</w:t>
            </w:r>
            <w:r w:rsidR="00143572">
              <w:rPr>
                <w:rFonts w:ascii="Times New Roman" w:hAnsi="Times New Roman"/>
                <w:b w:val="0"/>
                <w:sz w:val="22"/>
              </w:rPr>
              <w:t>C</w:t>
            </w:r>
            <w:r w:rsidR="00FC3F79">
              <w:rPr>
                <w:rFonts w:ascii="Times New Roman" w:hAnsi="Times New Roman"/>
                <w:b w:val="0"/>
                <w:sz w:val="22"/>
              </w:rPr>
              <w:t>.</w:t>
            </w:r>
            <w:r w:rsidR="00FC3F79">
              <w:rPr>
                <w:rFonts w:ascii="Times New Roman" w:hAnsi="Times New Roman"/>
                <w:b w:val="0"/>
                <w:sz w:val="22"/>
                <w:vertAlign w:val="superscript"/>
              </w:rPr>
              <w:t>c</w:t>
            </w:r>
          </w:p>
          <w:p w14:paraId="5F9E931C" w14:textId="1C217B94" w:rsidR="00FC3F79" w:rsidRPr="00A64757" w:rsidRDefault="00DD0BF0" w:rsidP="00FC3F79">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 xml:space="preserve">Instaurer </w:t>
            </w:r>
            <w:r w:rsidR="00463BF9">
              <w:rPr>
                <w:rFonts w:ascii="Times New Roman" w:hAnsi="Times New Roman"/>
                <w:b w:val="0"/>
                <w:sz w:val="22"/>
              </w:rPr>
              <w:t>des soins</w:t>
            </w:r>
            <w:r w:rsidR="00FC3F79">
              <w:rPr>
                <w:rFonts w:ascii="Times New Roman" w:hAnsi="Times New Roman"/>
                <w:b w:val="0"/>
                <w:sz w:val="22"/>
              </w:rPr>
              <w:t xml:space="preserve"> de </w:t>
            </w:r>
            <w:r w:rsidR="00ED0406">
              <w:rPr>
                <w:rFonts w:ascii="Times New Roman" w:hAnsi="Times New Roman"/>
                <w:b w:val="0"/>
                <w:sz w:val="22"/>
              </w:rPr>
              <w:t>support</w:t>
            </w:r>
            <w:r w:rsidR="00FC3F79">
              <w:rPr>
                <w:rFonts w:ascii="Times New Roman" w:hAnsi="Times New Roman"/>
                <w:b w:val="0"/>
                <w:sz w:val="22"/>
              </w:rPr>
              <w:t>.</w:t>
            </w:r>
          </w:p>
          <w:p w14:paraId="617E77A8" w14:textId="1E88B8C0" w:rsidR="00FC3F79" w:rsidRPr="00A64757" w:rsidRDefault="00FC3F79" w:rsidP="00FC3F79">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 xml:space="preserve">Surveiller les patients quotidiennement pendant 48 heures après l’administration de la dose suivante d’ELREXFIO. Demander aux patients de rester à proximité d’un établissement de </w:t>
            </w:r>
            <w:r w:rsidR="00ED0406">
              <w:rPr>
                <w:rFonts w:ascii="Times New Roman" w:hAnsi="Times New Roman"/>
                <w:b w:val="0"/>
                <w:sz w:val="22"/>
              </w:rPr>
              <w:t>santé</w:t>
            </w:r>
            <w:r>
              <w:rPr>
                <w:rFonts w:ascii="Times New Roman" w:hAnsi="Times New Roman"/>
                <w:b w:val="0"/>
                <w:sz w:val="22"/>
              </w:rPr>
              <w:t>.</w:t>
            </w:r>
          </w:p>
        </w:tc>
      </w:tr>
      <w:tr w:rsidR="001321D5" w14:paraId="3746696C" w14:textId="77777777" w:rsidTr="00C00439">
        <w:trPr>
          <w:trHeight w:val="2222"/>
        </w:trPr>
        <w:tc>
          <w:tcPr>
            <w:tcW w:w="1365" w:type="dxa"/>
          </w:tcPr>
          <w:p w14:paraId="5050B673"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Grade 3</w:t>
            </w:r>
          </w:p>
          <w:p w14:paraId="43743F3B" w14:textId="202ED7A1"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sidRPr="00C44D50">
              <w:rPr>
                <w:rFonts w:ascii="Times New Roman" w:hAnsi="Times New Roman"/>
                <w:b w:val="0"/>
                <w:sz w:val="22"/>
              </w:rPr>
              <w:t>(</w:t>
            </w:r>
            <w:r w:rsidR="00310FDB" w:rsidRPr="00C44D50">
              <w:rPr>
                <w:rFonts w:ascii="Times New Roman" w:hAnsi="Times New Roman"/>
                <w:b w:val="0"/>
                <w:sz w:val="22"/>
              </w:rPr>
              <w:t>p</w:t>
            </w:r>
            <w:r w:rsidRPr="00C44D50">
              <w:rPr>
                <w:rFonts w:ascii="Times New Roman" w:hAnsi="Times New Roman"/>
                <w:b w:val="0"/>
                <w:sz w:val="22"/>
              </w:rPr>
              <w:t>remière</w:t>
            </w:r>
            <w:r>
              <w:rPr>
                <w:rFonts w:ascii="Times New Roman" w:hAnsi="Times New Roman"/>
                <w:b w:val="0"/>
                <w:sz w:val="22"/>
              </w:rPr>
              <w:t xml:space="preserve"> occurrence)</w:t>
            </w:r>
          </w:p>
        </w:tc>
        <w:tc>
          <w:tcPr>
            <w:tcW w:w="3410" w:type="dxa"/>
          </w:tcPr>
          <w:p w14:paraId="5DAA9206"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Température ≥ 38 °C avec soit :</w:t>
            </w:r>
          </w:p>
          <w:p w14:paraId="73B0D6FA" w14:textId="77777777"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Hypotension nécessitant un vasopresseur avec ou sans vasopressine, et/ou </w:t>
            </w:r>
          </w:p>
          <w:p w14:paraId="62343D1D" w14:textId="5AE493D7" w:rsidR="00FC3F79" w:rsidRPr="00743D4B" w:rsidRDefault="00A93D95"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B</w:t>
            </w:r>
            <w:r w:rsidR="00FC3F79">
              <w:rPr>
                <w:rFonts w:ascii="Times New Roman" w:hAnsi="Times New Roman"/>
                <w:b w:val="0"/>
                <w:sz w:val="22"/>
              </w:rPr>
              <w:t>esoin</w:t>
            </w:r>
            <w:r>
              <w:rPr>
                <w:rFonts w:ascii="Times New Roman" w:hAnsi="Times New Roman"/>
                <w:b w:val="0"/>
                <w:sz w:val="22"/>
              </w:rPr>
              <w:t>s</w:t>
            </w:r>
            <w:r w:rsidR="00FC3F79">
              <w:rPr>
                <w:rFonts w:ascii="Times New Roman" w:hAnsi="Times New Roman"/>
                <w:b w:val="0"/>
                <w:sz w:val="22"/>
              </w:rPr>
              <w:t xml:space="preserve"> en oxygène </w:t>
            </w:r>
            <w:r>
              <w:rPr>
                <w:rFonts w:ascii="Times New Roman" w:hAnsi="Times New Roman"/>
                <w:b w:val="0"/>
                <w:sz w:val="22"/>
              </w:rPr>
              <w:t>par</w:t>
            </w:r>
            <w:r w:rsidR="00FC3F79">
              <w:rPr>
                <w:rFonts w:ascii="Times New Roman" w:hAnsi="Times New Roman"/>
                <w:b w:val="0"/>
                <w:sz w:val="22"/>
              </w:rPr>
              <w:t xml:space="preserve"> canule nasale à haut débit</w:t>
            </w:r>
            <w:r w:rsidR="00FC3F79">
              <w:rPr>
                <w:rFonts w:ascii="Times New Roman" w:hAnsi="Times New Roman"/>
                <w:b w:val="0"/>
                <w:sz w:val="22"/>
                <w:vertAlign w:val="superscript"/>
              </w:rPr>
              <w:t>d</w:t>
            </w:r>
            <w:r w:rsidR="00FC3F79">
              <w:rPr>
                <w:rFonts w:ascii="Times New Roman" w:hAnsi="Times New Roman"/>
                <w:b w:val="0"/>
                <w:sz w:val="22"/>
              </w:rPr>
              <w:t xml:space="preserve">, masque facial, masque </w:t>
            </w:r>
            <w:r w:rsidR="001C43AB" w:rsidRPr="001C43AB">
              <w:rPr>
                <w:rFonts w:ascii="Times New Roman" w:hAnsi="Times New Roman"/>
                <w:b w:val="0"/>
                <w:sz w:val="22"/>
              </w:rPr>
              <w:t>sans recycleur</w:t>
            </w:r>
            <w:r w:rsidR="00FC3F79">
              <w:rPr>
                <w:rFonts w:ascii="Times New Roman" w:hAnsi="Times New Roman"/>
                <w:b w:val="0"/>
                <w:sz w:val="22"/>
              </w:rPr>
              <w:t xml:space="preserve"> ou masque Venturi</w:t>
            </w:r>
          </w:p>
        </w:tc>
        <w:tc>
          <w:tcPr>
            <w:tcW w:w="5014" w:type="dxa"/>
          </w:tcPr>
          <w:p w14:paraId="09196AF7" w14:textId="2B96EF01" w:rsidR="00FC3F79" w:rsidRPr="00743D4B" w:rsidRDefault="00A776B5"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 xml:space="preserve">Suspendre </w:t>
            </w:r>
            <w:r w:rsidR="00FC3F79">
              <w:rPr>
                <w:rFonts w:ascii="Times New Roman" w:hAnsi="Times New Roman"/>
                <w:b w:val="0"/>
                <w:sz w:val="22"/>
              </w:rPr>
              <w:t xml:space="preserve">le traitement jusqu’à la résolution du </w:t>
            </w:r>
            <w:r w:rsidR="00143572">
              <w:rPr>
                <w:rFonts w:ascii="Times New Roman" w:hAnsi="Times New Roman"/>
                <w:b w:val="0"/>
                <w:sz w:val="22"/>
              </w:rPr>
              <w:t>S</w:t>
            </w:r>
            <w:r w:rsidR="00CC6D99">
              <w:rPr>
                <w:rFonts w:ascii="Times New Roman" w:hAnsi="Times New Roman"/>
                <w:b w:val="0"/>
                <w:sz w:val="22"/>
              </w:rPr>
              <w:t>R</w:t>
            </w:r>
            <w:r w:rsidR="00143572">
              <w:rPr>
                <w:rFonts w:ascii="Times New Roman" w:hAnsi="Times New Roman"/>
                <w:b w:val="0"/>
                <w:sz w:val="22"/>
              </w:rPr>
              <w:t>C</w:t>
            </w:r>
            <w:r w:rsidR="00FC3F79">
              <w:rPr>
                <w:rFonts w:ascii="Times New Roman" w:hAnsi="Times New Roman"/>
                <w:b w:val="0"/>
                <w:sz w:val="22"/>
              </w:rPr>
              <w:t>.</w:t>
            </w:r>
            <w:r w:rsidR="00FC3F79">
              <w:rPr>
                <w:rFonts w:ascii="Times New Roman" w:hAnsi="Times New Roman"/>
                <w:b w:val="0"/>
                <w:sz w:val="22"/>
                <w:vertAlign w:val="superscript"/>
              </w:rPr>
              <w:t>c</w:t>
            </w:r>
          </w:p>
          <w:p w14:paraId="2F2928A6" w14:textId="0AE7DD2E" w:rsidR="00FC3F79" w:rsidRPr="009245DF" w:rsidRDefault="00DD0BF0"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 xml:space="preserve">Instaurer </w:t>
            </w:r>
            <w:r w:rsidR="00503B24">
              <w:rPr>
                <w:rFonts w:ascii="Times New Roman" w:hAnsi="Times New Roman"/>
                <w:b w:val="0"/>
                <w:sz w:val="22"/>
              </w:rPr>
              <w:t xml:space="preserve">des soins </w:t>
            </w:r>
            <w:r w:rsidR="00FC3F79">
              <w:rPr>
                <w:rFonts w:ascii="Times New Roman" w:hAnsi="Times New Roman"/>
                <w:b w:val="0"/>
                <w:sz w:val="22"/>
              </w:rPr>
              <w:t xml:space="preserve">de </w:t>
            </w:r>
            <w:r w:rsidR="00A776B5">
              <w:rPr>
                <w:rFonts w:ascii="Times New Roman" w:hAnsi="Times New Roman"/>
                <w:b w:val="0"/>
                <w:sz w:val="22"/>
              </w:rPr>
              <w:t>support</w:t>
            </w:r>
            <w:r w:rsidR="00FC3F79">
              <w:rPr>
                <w:rFonts w:ascii="Times New Roman" w:hAnsi="Times New Roman"/>
                <w:b w:val="0"/>
                <w:sz w:val="22"/>
              </w:rPr>
              <w:t>, pouvant inclure des soins intensifs.</w:t>
            </w:r>
          </w:p>
          <w:p w14:paraId="59093481" w14:textId="0EA28DD2" w:rsidR="00FC3F79" w:rsidRPr="00743D4B"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Administrer</w:t>
            </w:r>
            <w:r w:rsidR="00A776B5">
              <w:rPr>
                <w:rFonts w:ascii="Times New Roman" w:hAnsi="Times New Roman"/>
                <w:b w:val="0"/>
                <w:sz w:val="22"/>
              </w:rPr>
              <w:t xml:space="preserve"> </w:t>
            </w:r>
            <w:r w:rsidR="00DD0BF0">
              <w:rPr>
                <w:rFonts w:ascii="Times New Roman" w:hAnsi="Times New Roman"/>
                <w:b w:val="0"/>
                <w:sz w:val="22"/>
              </w:rPr>
              <w:t xml:space="preserve">la </w:t>
            </w:r>
            <w:r w:rsidR="00A776B5">
              <w:rPr>
                <w:rFonts w:ascii="Times New Roman" w:hAnsi="Times New Roman"/>
                <w:b w:val="0"/>
                <w:sz w:val="22"/>
              </w:rPr>
              <w:t>prémédication</w:t>
            </w:r>
            <w:r w:rsidR="00DF5A46">
              <w:rPr>
                <w:rFonts w:ascii="Times New Roman" w:hAnsi="Times New Roman"/>
                <w:b w:val="0"/>
                <w:sz w:val="22"/>
              </w:rPr>
              <w:t xml:space="preserve"> </w:t>
            </w:r>
            <w:r w:rsidR="00DF5A46" w:rsidRPr="00CD4AD9">
              <w:rPr>
                <w:rFonts w:ascii="Times New Roman" w:hAnsi="Times New Roman"/>
                <w:b w:val="0"/>
                <w:sz w:val="22"/>
              </w:rPr>
              <w:t>recommandée</w:t>
            </w:r>
            <w:r>
              <w:rPr>
                <w:rFonts w:ascii="Times New Roman" w:hAnsi="Times New Roman"/>
                <w:b w:val="0"/>
                <w:sz w:val="22"/>
              </w:rPr>
              <w:t xml:space="preserve"> avant la dose suivante d’ELREXFIO.</w:t>
            </w:r>
          </w:p>
          <w:p w14:paraId="407A84D3" w14:textId="4F5276F9" w:rsidR="00FC3F79" w:rsidRPr="00743D4B" w:rsidRDefault="00FC3F79" w:rsidP="003D08BD">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Pr>
                <w:rFonts w:ascii="Times New Roman" w:hAnsi="Times New Roman"/>
                <w:b w:val="0"/>
                <w:sz w:val="22"/>
              </w:rPr>
              <w:t xml:space="preserve">Surveiller les patients quotidiennement pendant 48 heures après l’administration de la dose suivante d’ELREXFIO. Demander aux patients de rester à proximité d’un établissement de </w:t>
            </w:r>
            <w:r w:rsidR="00A776B5">
              <w:rPr>
                <w:rFonts w:ascii="Times New Roman" w:hAnsi="Times New Roman"/>
                <w:b w:val="0"/>
                <w:sz w:val="22"/>
              </w:rPr>
              <w:t>santé</w:t>
            </w:r>
            <w:r>
              <w:rPr>
                <w:rFonts w:ascii="Times New Roman" w:hAnsi="Times New Roman"/>
                <w:b w:val="0"/>
                <w:sz w:val="22"/>
              </w:rPr>
              <w:t>.</w:t>
            </w:r>
          </w:p>
        </w:tc>
      </w:tr>
      <w:tr w:rsidR="001321D5" w14:paraId="366D5953" w14:textId="77777777" w:rsidTr="00C00439">
        <w:trPr>
          <w:trHeight w:val="2060"/>
        </w:trPr>
        <w:tc>
          <w:tcPr>
            <w:tcW w:w="1365" w:type="dxa"/>
          </w:tcPr>
          <w:p w14:paraId="234714C0"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Grade 3 (récidive)</w:t>
            </w:r>
          </w:p>
          <w:p w14:paraId="78F3CC48" w14:textId="77777777" w:rsidR="00FC3F79" w:rsidRPr="00120F9D" w:rsidRDefault="00FC3F79" w:rsidP="004F07E4">
            <w:pPr>
              <w:pStyle w:val="PIHeading2"/>
              <w:keepLines w:val="0"/>
              <w:tabs>
                <w:tab w:val="left" w:pos="540"/>
              </w:tabs>
              <w:spacing w:before="0" w:after="0"/>
              <w:rPr>
                <w:rFonts w:ascii="Times New Roman" w:hAnsi="Times New Roman"/>
                <w:sz w:val="22"/>
                <w:szCs w:val="22"/>
              </w:rPr>
            </w:pPr>
          </w:p>
        </w:tc>
        <w:tc>
          <w:tcPr>
            <w:tcW w:w="3410" w:type="dxa"/>
          </w:tcPr>
          <w:p w14:paraId="3BF0F1C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Température ≥ 38 °C avec soit :</w:t>
            </w:r>
          </w:p>
          <w:p w14:paraId="25771583" w14:textId="77777777" w:rsidR="00FC3F79" w:rsidRPr="00120F9D"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Hypotension nécessitant un vasopresseur avec ou sans vasopressine, et/ou</w:t>
            </w:r>
          </w:p>
          <w:p w14:paraId="6481165C" w14:textId="3EBA3518" w:rsidR="00FC3F79" w:rsidRPr="00120F9D" w:rsidRDefault="00A93D95"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B</w:t>
            </w:r>
            <w:r w:rsidR="00FC3F79">
              <w:rPr>
                <w:rFonts w:ascii="Times New Roman" w:hAnsi="Times New Roman"/>
                <w:b w:val="0"/>
                <w:sz w:val="22"/>
              </w:rPr>
              <w:t>esoin</w:t>
            </w:r>
            <w:r>
              <w:rPr>
                <w:rFonts w:ascii="Times New Roman" w:hAnsi="Times New Roman"/>
                <w:b w:val="0"/>
                <w:sz w:val="22"/>
              </w:rPr>
              <w:t>s</w:t>
            </w:r>
            <w:r w:rsidR="00FC3F79">
              <w:rPr>
                <w:rFonts w:ascii="Times New Roman" w:hAnsi="Times New Roman"/>
                <w:b w:val="0"/>
                <w:sz w:val="22"/>
              </w:rPr>
              <w:t xml:space="preserve"> en oxygène </w:t>
            </w:r>
            <w:r>
              <w:rPr>
                <w:rFonts w:ascii="Times New Roman" w:hAnsi="Times New Roman"/>
                <w:b w:val="0"/>
                <w:sz w:val="22"/>
              </w:rPr>
              <w:t>par</w:t>
            </w:r>
            <w:r w:rsidR="00FC3F79">
              <w:rPr>
                <w:rFonts w:ascii="Times New Roman" w:hAnsi="Times New Roman"/>
                <w:b w:val="0"/>
                <w:sz w:val="22"/>
              </w:rPr>
              <w:t xml:space="preserve"> canule nasale à haut débit</w:t>
            </w:r>
            <w:r w:rsidR="00FC3F79">
              <w:rPr>
                <w:rFonts w:ascii="Times New Roman" w:hAnsi="Times New Roman"/>
                <w:b w:val="0"/>
                <w:sz w:val="22"/>
                <w:vertAlign w:val="superscript"/>
              </w:rPr>
              <w:t>d</w:t>
            </w:r>
            <w:r w:rsidR="00FC3F79">
              <w:rPr>
                <w:rFonts w:ascii="Times New Roman" w:hAnsi="Times New Roman"/>
                <w:b w:val="0"/>
                <w:sz w:val="22"/>
              </w:rPr>
              <w:t xml:space="preserve">, masque facial, masque </w:t>
            </w:r>
            <w:r w:rsidR="002F3BEB" w:rsidRPr="001C43AB">
              <w:rPr>
                <w:rFonts w:ascii="Times New Roman" w:hAnsi="Times New Roman"/>
                <w:b w:val="0"/>
                <w:sz w:val="22"/>
              </w:rPr>
              <w:t>sans recycleur</w:t>
            </w:r>
            <w:r w:rsidR="00FC3F79">
              <w:rPr>
                <w:rFonts w:ascii="Times New Roman" w:hAnsi="Times New Roman"/>
                <w:b w:val="0"/>
                <w:sz w:val="22"/>
              </w:rPr>
              <w:t xml:space="preserve"> ou masque Venturi</w:t>
            </w:r>
          </w:p>
        </w:tc>
        <w:tc>
          <w:tcPr>
            <w:tcW w:w="5014" w:type="dxa"/>
          </w:tcPr>
          <w:p w14:paraId="4743A41C" w14:textId="5D50D4A3" w:rsidR="00FC3F79" w:rsidRPr="00120F9D"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Arrêter définitivement le traitement.</w:t>
            </w:r>
          </w:p>
          <w:p w14:paraId="08FB941A" w14:textId="68CE359C" w:rsidR="00FC3F79" w:rsidRPr="00120F9D" w:rsidRDefault="001D7E54"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 xml:space="preserve">Instaurer des soins de </w:t>
            </w:r>
            <w:r w:rsidR="00FC3F79">
              <w:rPr>
                <w:rFonts w:ascii="Times New Roman" w:hAnsi="Times New Roman"/>
                <w:b w:val="0"/>
                <w:sz w:val="22"/>
              </w:rPr>
              <w:t>s</w:t>
            </w:r>
            <w:r w:rsidR="00A776B5">
              <w:rPr>
                <w:rFonts w:ascii="Times New Roman" w:hAnsi="Times New Roman"/>
                <w:b w:val="0"/>
                <w:sz w:val="22"/>
              </w:rPr>
              <w:t>upport</w:t>
            </w:r>
            <w:r w:rsidR="00FC3F79">
              <w:rPr>
                <w:rFonts w:ascii="Times New Roman" w:hAnsi="Times New Roman"/>
                <w:b w:val="0"/>
                <w:sz w:val="22"/>
              </w:rPr>
              <w:t>, pouvant inclure des soins intensifs.</w:t>
            </w:r>
          </w:p>
        </w:tc>
      </w:tr>
      <w:tr w:rsidR="001321D5" w14:paraId="3FDA3E8D" w14:textId="77777777" w:rsidTr="00C00439">
        <w:tc>
          <w:tcPr>
            <w:tcW w:w="1365" w:type="dxa"/>
            <w:tcBorders>
              <w:bottom w:val="single" w:sz="4" w:space="0" w:color="auto"/>
            </w:tcBorders>
          </w:tcPr>
          <w:p w14:paraId="1C08A19E" w14:textId="77777777" w:rsidR="00FC3F79" w:rsidRPr="00120F9D" w:rsidRDefault="00FC3F79" w:rsidP="00C00439">
            <w:pPr>
              <w:keepNext/>
              <w:keepLines/>
              <w:tabs>
                <w:tab w:val="clear" w:pos="567"/>
              </w:tabs>
              <w:autoSpaceDE w:val="0"/>
              <w:autoSpaceDN w:val="0"/>
              <w:adjustRightInd w:val="0"/>
              <w:spacing w:line="240" w:lineRule="auto"/>
              <w:rPr>
                <w:rFonts w:eastAsia="TimesNewRoman"/>
                <w:szCs w:val="22"/>
              </w:rPr>
            </w:pPr>
            <w:r>
              <w:lastRenderedPageBreak/>
              <w:t>Grade 4</w:t>
            </w:r>
          </w:p>
        </w:tc>
        <w:tc>
          <w:tcPr>
            <w:tcW w:w="3410" w:type="dxa"/>
            <w:tcBorders>
              <w:bottom w:val="single" w:sz="4" w:space="0" w:color="auto"/>
            </w:tcBorders>
          </w:tcPr>
          <w:p w14:paraId="122CE36C" w14:textId="77777777" w:rsidR="00FC3F79" w:rsidRPr="00120F9D" w:rsidRDefault="00FC3F79" w:rsidP="00C00439">
            <w:pPr>
              <w:pStyle w:val="PIHeading2"/>
              <w:tabs>
                <w:tab w:val="left" w:pos="540"/>
              </w:tabs>
              <w:spacing w:before="0" w:after="0"/>
              <w:rPr>
                <w:rFonts w:ascii="Times New Roman" w:eastAsia="TimesNewRoman" w:hAnsi="Times New Roman"/>
                <w:b w:val="0"/>
                <w:sz w:val="22"/>
                <w:szCs w:val="22"/>
              </w:rPr>
            </w:pPr>
            <w:r>
              <w:rPr>
                <w:rFonts w:ascii="Times New Roman" w:hAnsi="Times New Roman"/>
                <w:b w:val="0"/>
                <w:sz w:val="22"/>
              </w:rPr>
              <w:t>Température ≥ 38 °C avec soit :</w:t>
            </w:r>
          </w:p>
          <w:p w14:paraId="4455EB26" w14:textId="1BB85F64" w:rsidR="00A776B5" w:rsidRPr="00120F9D" w:rsidRDefault="00FC3F79" w:rsidP="00C00439">
            <w:pPr>
              <w:pStyle w:val="PIHeading2"/>
              <w:numPr>
                <w:ilvl w:val="0"/>
                <w:numId w:val="32"/>
              </w:numPr>
              <w:tabs>
                <w:tab w:val="left" w:pos="540"/>
              </w:tabs>
              <w:spacing w:before="0" w:after="0"/>
              <w:rPr>
                <w:rFonts w:ascii="Times New Roman" w:hAnsi="Times New Roman"/>
                <w:b w:val="0"/>
                <w:sz w:val="22"/>
                <w:szCs w:val="22"/>
              </w:rPr>
            </w:pPr>
            <w:r>
              <w:rPr>
                <w:rFonts w:ascii="Times New Roman" w:hAnsi="Times New Roman"/>
                <w:b w:val="0"/>
                <w:sz w:val="22"/>
              </w:rPr>
              <w:t>Hypotension nécessitant plusieurs vasopresseurs (à l’exception de la vasopressine), et/ou</w:t>
            </w:r>
          </w:p>
          <w:p w14:paraId="0557BDA9" w14:textId="46180375" w:rsidR="00FC3F79" w:rsidRPr="00A776B5" w:rsidRDefault="002610A2" w:rsidP="00C00439">
            <w:pPr>
              <w:pStyle w:val="PIHeading2"/>
              <w:numPr>
                <w:ilvl w:val="0"/>
                <w:numId w:val="12"/>
              </w:numPr>
              <w:tabs>
                <w:tab w:val="left" w:pos="540"/>
              </w:tabs>
              <w:spacing w:before="0" w:after="0"/>
              <w:rPr>
                <w:rFonts w:ascii="Times New Roman" w:hAnsi="Times New Roman"/>
                <w:b w:val="0"/>
                <w:sz w:val="22"/>
                <w:szCs w:val="22"/>
              </w:rPr>
            </w:pPr>
            <w:r w:rsidRPr="00A776B5">
              <w:rPr>
                <w:rFonts w:ascii="Times New Roman" w:hAnsi="Times New Roman"/>
                <w:b w:val="0"/>
                <w:sz w:val="22"/>
              </w:rPr>
              <w:t>B</w:t>
            </w:r>
            <w:r w:rsidR="00FC3F79" w:rsidRPr="00A776B5">
              <w:rPr>
                <w:rFonts w:ascii="Times New Roman" w:hAnsi="Times New Roman"/>
                <w:b w:val="0"/>
                <w:sz w:val="22"/>
              </w:rPr>
              <w:t>esoin en oxygène par pression positive (par exemple, pression positive continue [PPC], pression positive à deux niveaux [BiPAP], intubation et ventilation mécanique).</w:t>
            </w:r>
          </w:p>
        </w:tc>
        <w:tc>
          <w:tcPr>
            <w:tcW w:w="5014" w:type="dxa"/>
            <w:tcBorders>
              <w:bottom w:val="single" w:sz="4" w:space="0" w:color="auto"/>
            </w:tcBorders>
          </w:tcPr>
          <w:p w14:paraId="1213BFFC" w14:textId="38F6CC70" w:rsidR="00FC3F79" w:rsidRPr="00120F9D" w:rsidRDefault="00FC3F79" w:rsidP="00C00439">
            <w:pPr>
              <w:pStyle w:val="PIHeading2"/>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Arrêter définitivement le traitement.</w:t>
            </w:r>
          </w:p>
          <w:p w14:paraId="1AB8D3E2" w14:textId="22AF6C0B" w:rsidR="00FC3F79" w:rsidRPr="00120F9D" w:rsidRDefault="001D7E54" w:rsidP="00C00439">
            <w:pPr>
              <w:pStyle w:val="PIHeading2"/>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 xml:space="preserve">Instaurer des soins de </w:t>
            </w:r>
            <w:r w:rsidR="00FC3F79">
              <w:rPr>
                <w:rFonts w:ascii="Times New Roman" w:hAnsi="Times New Roman"/>
                <w:b w:val="0"/>
                <w:sz w:val="22"/>
              </w:rPr>
              <w:t>s</w:t>
            </w:r>
            <w:r w:rsidR="00A776B5">
              <w:rPr>
                <w:rFonts w:ascii="Times New Roman" w:hAnsi="Times New Roman"/>
                <w:b w:val="0"/>
                <w:sz w:val="22"/>
              </w:rPr>
              <w:t>upport</w:t>
            </w:r>
            <w:r w:rsidR="00FC3F79">
              <w:rPr>
                <w:rFonts w:ascii="Times New Roman" w:hAnsi="Times New Roman"/>
                <w:b w:val="0"/>
                <w:sz w:val="22"/>
              </w:rPr>
              <w:t>, pouvant inclure des soins intensifs.</w:t>
            </w:r>
          </w:p>
          <w:p w14:paraId="3FA53475" w14:textId="77777777" w:rsidR="00FC3F79" w:rsidRPr="00120F9D" w:rsidRDefault="00FC3F79" w:rsidP="00C00439">
            <w:pPr>
              <w:pStyle w:val="PIHeading2"/>
              <w:tabs>
                <w:tab w:val="left" w:pos="540"/>
              </w:tabs>
              <w:spacing w:before="0" w:after="0"/>
              <w:ind w:left="360" w:hanging="245"/>
              <w:rPr>
                <w:rFonts w:ascii="Times New Roman" w:hAnsi="Times New Roman"/>
                <w:b w:val="0"/>
                <w:sz w:val="22"/>
                <w:szCs w:val="22"/>
              </w:rPr>
            </w:pPr>
          </w:p>
        </w:tc>
      </w:tr>
    </w:tbl>
    <w:p w14:paraId="43F3DC34" w14:textId="76E7BED6" w:rsidR="00603B0C" w:rsidRDefault="003D08BD" w:rsidP="003D08BD">
      <w:pPr>
        <w:spacing w:line="240" w:lineRule="auto"/>
        <w:ind w:left="567" w:hanging="567"/>
        <w:rPr>
          <w:u w:val="single"/>
        </w:rPr>
      </w:pPr>
      <w:r w:rsidRPr="00A64757">
        <w:rPr>
          <w:sz w:val="18"/>
        </w:rPr>
        <w:t>a.</w:t>
      </w:r>
      <w:r w:rsidRPr="00A64757">
        <w:rPr>
          <w:sz w:val="18"/>
        </w:rPr>
        <w:tab/>
        <w:t>D’après la classification 2019 de l’American Society for Transplantation and Cellular Therapy (ASTCT) pour le SRC.</w:t>
      </w:r>
    </w:p>
    <w:p w14:paraId="0821BC1F" w14:textId="0EEF61A2" w:rsidR="003D08BD" w:rsidRDefault="003D08BD" w:rsidP="003D08BD">
      <w:pPr>
        <w:spacing w:line="240" w:lineRule="auto"/>
        <w:ind w:left="567" w:hanging="567"/>
        <w:rPr>
          <w:u w:val="single"/>
        </w:rPr>
      </w:pPr>
      <w:r w:rsidRPr="00A64757">
        <w:rPr>
          <w:sz w:val="18"/>
        </w:rPr>
        <w:t>b.</w:t>
      </w:r>
      <w:r w:rsidRPr="00A64757">
        <w:rPr>
          <w:sz w:val="18"/>
        </w:rPr>
        <w:tab/>
        <w:t>Attribuée au SRC. La fièvre n’est pas toujours présente en même temps que l’hypotension ou l’hypoxie, car elle peut être masquée par des interventions telles que des antipyrétiques ou un traitement anti-cytokine.</w:t>
      </w:r>
    </w:p>
    <w:p w14:paraId="124772E7" w14:textId="68C2AD3A" w:rsidR="003D08BD" w:rsidRPr="00A64757" w:rsidRDefault="003D08BD" w:rsidP="003D08BD">
      <w:pPr>
        <w:spacing w:line="240" w:lineRule="auto"/>
        <w:ind w:left="567" w:hanging="567"/>
        <w:rPr>
          <w:sz w:val="18"/>
        </w:rPr>
      </w:pPr>
      <w:r w:rsidRPr="00A64757">
        <w:rPr>
          <w:sz w:val="18"/>
        </w:rPr>
        <w:t>c.</w:t>
      </w:r>
      <w:r w:rsidRPr="00A64757">
        <w:rPr>
          <w:sz w:val="18"/>
        </w:rPr>
        <w:tab/>
        <w:t>Voir tableau 5 pour obtenir les recommandations relatives à la reprise du traitement par ELREXFIO après des reports de dose.</w:t>
      </w:r>
    </w:p>
    <w:p w14:paraId="378C192B" w14:textId="502A00BA" w:rsidR="003D08BD" w:rsidRPr="00A64757" w:rsidRDefault="003D08BD" w:rsidP="003D08BD">
      <w:pPr>
        <w:spacing w:line="240" w:lineRule="auto"/>
        <w:ind w:left="567" w:hanging="567"/>
        <w:rPr>
          <w:sz w:val="18"/>
          <w:u w:val="single"/>
        </w:rPr>
      </w:pPr>
      <w:r w:rsidRPr="00A64757">
        <w:rPr>
          <w:sz w:val="18"/>
        </w:rPr>
        <w:t>d.</w:t>
      </w:r>
      <w:r w:rsidRPr="00A64757">
        <w:rPr>
          <w:sz w:val="18"/>
        </w:rPr>
        <w:tab/>
        <w:t>Le débit de la canule nasale à faible débit est ≤ 6 l/min, et celui de la canule nasale à haut débit est &gt; 6 l/min.</w:t>
      </w:r>
    </w:p>
    <w:p w14:paraId="6034282C" w14:textId="77777777" w:rsidR="003D08BD" w:rsidRDefault="003D08BD" w:rsidP="00603B0C">
      <w:pPr>
        <w:spacing w:line="240" w:lineRule="auto"/>
        <w:rPr>
          <w:u w:val="single"/>
        </w:rPr>
      </w:pPr>
    </w:p>
    <w:p w14:paraId="418AB6EE" w14:textId="77777777" w:rsidR="004E41FF" w:rsidRPr="00C44D50" w:rsidRDefault="004E41FF" w:rsidP="00AF1088">
      <w:pPr>
        <w:keepNext/>
        <w:keepLines/>
        <w:spacing w:line="240" w:lineRule="auto"/>
        <w:rPr>
          <w:i/>
          <w:iCs/>
        </w:rPr>
      </w:pPr>
      <w:r w:rsidRPr="00C44D50">
        <w:rPr>
          <w:i/>
          <w:iCs/>
        </w:rPr>
        <w:t>Toxicités neurologiques, notamment ICANS</w:t>
      </w:r>
    </w:p>
    <w:p w14:paraId="43E5022F" w14:textId="1629C747" w:rsidR="004E41FF" w:rsidRPr="00C44D50" w:rsidRDefault="004E41FF" w:rsidP="00AF1088">
      <w:pPr>
        <w:keepNext/>
        <w:keepLines/>
        <w:spacing w:line="240" w:lineRule="auto"/>
        <w:rPr>
          <w:szCs w:val="22"/>
        </w:rPr>
      </w:pPr>
      <w:r>
        <w:t xml:space="preserve">Les autres causes de symptômes neurologiques doivent être écartées. Les patients doivent être immédiatement évalués et traités en fonction de la </w:t>
      </w:r>
      <w:r w:rsidRPr="008313C5">
        <w:t>gravité</w:t>
      </w:r>
      <w:r>
        <w:t xml:space="preserve"> des symptômes. En cas de toxicité neurologique </w:t>
      </w:r>
      <w:r w:rsidRPr="00F97EBB">
        <w:t>grave</w:t>
      </w:r>
      <w:r>
        <w:t xml:space="preserve"> ou pouvant engager le pronostic vital, des soins de support, pouvant inclure des soins intensifs, doivent être mis en place. Les patients ayant présenté un ICANS de grade 2 ou plus suite à une administration d’ELREXFIO doivent être informés qu’ils doivent rester à proximité d’un établissement de santé et faire l’objet d’une surveillance quotidienne des signes et symptômes neurologiques pendant les 48 heures suivant la dose suivante d’ELREXFIO</w:t>
      </w:r>
      <w:r w:rsidR="009C043E">
        <w:t>.</w:t>
      </w:r>
    </w:p>
    <w:p w14:paraId="7D6D4843" w14:textId="77777777" w:rsidR="006A07C6" w:rsidRDefault="006A07C6" w:rsidP="00603B0C">
      <w:pPr>
        <w:spacing w:line="240" w:lineRule="auto"/>
        <w:rPr>
          <w:u w:val="single"/>
        </w:rPr>
      </w:pPr>
    </w:p>
    <w:p w14:paraId="5E740051" w14:textId="6F6AB21D" w:rsidR="003D08BD" w:rsidRDefault="003D08BD" w:rsidP="00603B0C">
      <w:pPr>
        <w:spacing w:line="240" w:lineRule="auto"/>
        <w:rPr>
          <w:u w:val="single"/>
        </w:rPr>
      </w:pPr>
      <w:r w:rsidRPr="003D08BD">
        <w:rPr>
          <w:b/>
          <w:bCs/>
        </w:rPr>
        <w:t>Tableau 3.</w:t>
      </w:r>
      <w:r w:rsidRPr="003D08BD">
        <w:rPr>
          <w:b/>
          <w:bCs/>
        </w:rPr>
        <w:tab/>
        <w:t>Recommandations relatives à la prise en charge de l’ICANS</w:t>
      </w:r>
    </w:p>
    <w:tbl>
      <w:tblPr>
        <w:tblStyle w:val="TableGrid"/>
        <w:tblW w:w="10037" w:type="dxa"/>
        <w:tblInd w:w="-5" w:type="dxa"/>
        <w:tblLook w:val="04A0" w:firstRow="1" w:lastRow="0" w:firstColumn="1" w:lastColumn="0" w:noHBand="0" w:noVBand="1"/>
      </w:tblPr>
      <w:tblGrid>
        <w:gridCol w:w="1621"/>
        <w:gridCol w:w="3806"/>
        <w:gridCol w:w="4610"/>
      </w:tblGrid>
      <w:tr w:rsidR="00FF4BC8" w14:paraId="4137C99E" w14:textId="77777777" w:rsidTr="003D08BD">
        <w:trPr>
          <w:tblHeader/>
        </w:trPr>
        <w:tc>
          <w:tcPr>
            <w:tcW w:w="1621" w:type="dxa"/>
            <w:tcBorders>
              <w:top w:val="single" w:sz="4" w:space="0" w:color="auto"/>
            </w:tcBorders>
          </w:tcPr>
          <w:p w14:paraId="6BB468C7"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Grade</w:t>
            </w:r>
            <w:r>
              <w:rPr>
                <w:rFonts w:ascii="Times New Roman" w:hAnsi="Times New Roman"/>
                <w:sz w:val="22"/>
                <w:vertAlign w:val="superscript"/>
              </w:rPr>
              <w:t>a</w:t>
            </w:r>
          </w:p>
        </w:tc>
        <w:tc>
          <w:tcPr>
            <w:tcW w:w="3806" w:type="dxa"/>
            <w:tcBorders>
              <w:top w:val="single" w:sz="4" w:space="0" w:color="auto"/>
            </w:tcBorders>
          </w:tcPr>
          <w:p w14:paraId="032485BF"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Symptômes actuels</w:t>
            </w:r>
            <w:r>
              <w:rPr>
                <w:rFonts w:ascii="Times New Roman" w:hAnsi="Times New Roman"/>
                <w:sz w:val="22"/>
                <w:vertAlign w:val="superscript"/>
              </w:rPr>
              <w:t>b</w:t>
            </w:r>
            <w:r>
              <w:rPr>
                <w:rFonts w:ascii="Times New Roman" w:hAnsi="Times New Roman"/>
                <w:sz w:val="22"/>
              </w:rPr>
              <w:t xml:space="preserve"> </w:t>
            </w:r>
          </w:p>
        </w:tc>
        <w:tc>
          <w:tcPr>
            <w:tcW w:w="4610" w:type="dxa"/>
            <w:tcBorders>
              <w:top w:val="single" w:sz="4" w:space="0" w:color="auto"/>
            </w:tcBorders>
          </w:tcPr>
          <w:p w14:paraId="2B2B8FC9"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Mesures</w:t>
            </w:r>
          </w:p>
        </w:tc>
      </w:tr>
      <w:tr w:rsidR="00FF4BC8" w14:paraId="4AA9DFB8" w14:textId="77777777" w:rsidTr="003D08BD">
        <w:tc>
          <w:tcPr>
            <w:tcW w:w="1621" w:type="dxa"/>
          </w:tcPr>
          <w:p w14:paraId="143E9AB4"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Grade 1</w:t>
            </w:r>
          </w:p>
        </w:tc>
        <w:tc>
          <w:tcPr>
            <w:tcW w:w="3806" w:type="dxa"/>
          </w:tcPr>
          <w:p w14:paraId="40C198DF" w14:textId="125ADE03"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Score ICE de 7</w:t>
            </w:r>
            <w:r w:rsidR="001C17CF">
              <w:rPr>
                <w:rFonts w:ascii="Times New Roman" w:hAnsi="Times New Roman"/>
                <w:b w:val="0"/>
                <w:sz w:val="22"/>
              </w:rPr>
              <w:t xml:space="preserve"> </w:t>
            </w:r>
            <w:r>
              <w:rPr>
                <w:rFonts w:ascii="Times New Roman" w:hAnsi="Times New Roman"/>
                <w:b w:val="0"/>
                <w:sz w:val="22"/>
              </w:rPr>
              <w:t>–</w:t>
            </w:r>
            <w:r w:rsidR="001C17CF">
              <w:rPr>
                <w:rFonts w:ascii="Times New Roman" w:hAnsi="Times New Roman"/>
                <w:b w:val="0"/>
                <w:sz w:val="22"/>
              </w:rPr>
              <w:t xml:space="preserve"> </w:t>
            </w:r>
            <w:r>
              <w:rPr>
                <w:rFonts w:ascii="Times New Roman" w:hAnsi="Times New Roman"/>
                <w:b w:val="0"/>
                <w:sz w:val="22"/>
              </w:rPr>
              <w:t>9</w:t>
            </w:r>
            <w:r>
              <w:rPr>
                <w:rFonts w:ascii="Times New Roman" w:hAnsi="Times New Roman"/>
                <w:b w:val="0"/>
                <w:sz w:val="22"/>
                <w:vertAlign w:val="superscript"/>
              </w:rPr>
              <w:t>c</w:t>
            </w:r>
          </w:p>
          <w:p w14:paraId="5E1286AA"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07C517EE"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Ou altération du niveau de conscience</w:t>
            </w:r>
            <w:r>
              <w:rPr>
                <w:rFonts w:ascii="Times New Roman" w:hAnsi="Times New Roman"/>
                <w:b w:val="0"/>
                <w:sz w:val="22"/>
                <w:vertAlign w:val="superscript"/>
              </w:rPr>
              <w:t>d</w:t>
            </w:r>
            <w:r>
              <w:rPr>
                <w:rFonts w:ascii="Times New Roman" w:hAnsi="Times New Roman"/>
                <w:b w:val="0"/>
                <w:sz w:val="22"/>
              </w:rPr>
              <w:t> : se réveille spontanément.</w:t>
            </w:r>
          </w:p>
        </w:tc>
        <w:tc>
          <w:tcPr>
            <w:tcW w:w="4610" w:type="dxa"/>
          </w:tcPr>
          <w:p w14:paraId="2F33B5B7" w14:textId="5F0FC60D" w:rsidR="00FF4BC8" w:rsidRPr="00120F9D" w:rsidRDefault="00A776B5" w:rsidP="00FF4BC8">
            <w:pPr>
              <w:pStyle w:val="ListParagraph"/>
              <w:numPr>
                <w:ilvl w:val="0"/>
                <w:numId w:val="13"/>
              </w:numPr>
              <w:rPr>
                <w:sz w:val="22"/>
                <w:szCs w:val="22"/>
              </w:rPr>
            </w:pPr>
            <w:r>
              <w:rPr>
                <w:sz w:val="22"/>
              </w:rPr>
              <w:t xml:space="preserve">Suspendre </w:t>
            </w:r>
            <w:r w:rsidR="00FF4BC8">
              <w:rPr>
                <w:sz w:val="22"/>
              </w:rPr>
              <w:t>le traitement jusqu’à la résolution de l’ICANS.</w:t>
            </w:r>
            <w:r w:rsidR="00FF4BC8">
              <w:rPr>
                <w:sz w:val="22"/>
                <w:vertAlign w:val="superscript"/>
              </w:rPr>
              <w:t>e</w:t>
            </w:r>
          </w:p>
          <w:p w14:paraId="6DCF066B" w14:textId="77777777" w:rsidR="00FF4BC8" w:rsidRPr="00120F9D" w:rsidRDefault="00FF4BC8" w:rsidP="00FF4BC8">
            <w:pPr>
              <w:pStyle w:val="ListParagraph"/>
              <w:numPr>
                <w:ilvl w:val="0"/>
                <w:numId w:val="13"/>
              </w:numPr>
              <w:rPr>
                <w:sz w:val="22"/>
                <w:szCs w:val="22"/>
              </w:rPr>
            </w:pPr>
            <w:r>
              <w:rPr>
                <w:sz w:val="22"/>
              </w:rPr>
              <w:t>Surveiller les symptômes neurologiques et envisager de consulter un neurologue pour une évaluation et une prise en charge plus approfondies.</w:t>
            </w:r>
          </w:p>
          <w:p w14:paraId="3A362803" w14:textId="7FAB4473" w:rsidR="00FF4BC8" w:rsidRPr="00120F9D" w:rsidRDefault="00FF4BC8" w:rsidP="00FF4BC8">
            <w:pPr>
              <w:pStyle w:val="ListParagraph"/>
              <w:numPr>
                <w:ilvl w:val="0"/>
                <w:numId w:val="13"/>
              </w:numPr>
              <w:rPr>
                <w:sz w:val="22"/>
                <w:szCs w:val="22"/>
              </w:rPr>
            </w:pPr>
            <w:r>
              <w:rPr>
                <w:sz w:val="22"/>
              </w:rPr>
              <w:t xml:space="preserve">Envisager l’instauration de médicaments anticonvulsivants non sédatifs (par exemple, lévétiracétam) pour la </w:t>
            </w:r>
            <w:r w:rsidR="00A776B5">
              <w:rPr>
                <w:sz w:val="22"/>
              </w:rPr>
              <w:t xml:space="preserve">prévention </w:t>
            </w:r>
            <w:r>
              <w:rPr>
                <w:sz w:val="22"/>
              </w:rPr>
              <w:t xml:space="preserve">des </w:t>
            </w:r>
            <w:r w:rsidR="001D1F1C" w:rsidRPr="001D1F1C">
              <w:rPr>
                <w:sz w:val="22"/>
              </w:rPr>
              <w:t>crises convulsives</w:t>
            </w:r>
            <w:r>
              <w:rPr>
                <w:sz w:val="22"/>
              </w:rPr>
              <w:t>.</w:t>
            </w:r>
          </w:p>
        </w:tc>
      </w:tr>
      <w:tr w:rsidR="00FF4BC8" w14:paraId="06F1B228" w14:textId="77777777" w:rsidTr="003D08BD">
        <w:tc>
          <w:tcPr>
            <w:tcW w:w="1621" w:type="dxa"/>
          </w:tcPr>
          <w:p w14:paraId="71F86D82"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Grade 2</w:t>
            </w:r>
          </w:p>
        </w:tc>
        <w:tc>
          <w:tcPr>
            <w:tcW w:w="3806" w:type="dxa"/>
          </w:tcPr>
          <w:p w14:paraId="628E01FF" w14:textId="55BB59B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Score ICE de 3</w:t>
            </w:r>
            <w:r w:rsidR="001C17CF">
              <w:rPr>
                <w:rFonts w:ascii="Times New Roman" w:hAnsi="Times New Roman"/>
                <w:b w:val="0"/>
                <w:sz w:val="22"/>
              </w:rPr>
              <w:t xml:space="preserve"> – </w:t>
            </w:r>
            <w:r>
              <w:rPr>
                <w:rFonts w:ascii="Times New Roman" w:hAnsi="Times New Roman"/>
                <w:b w:val="0"/>
                <w:sz w:val="22"/>
              </w:rPr>
              <w:t>6</w:t>
            </w:r>
            <w:r>
              <w:rPr>
                <w:rFonts w:ascii="Times New Roman" w:hAnsi="Times New Roman"/>
                <w:b w:val="0"/>
                <w:sz w:val="22"/>
                <w:vertAlign w:val="superscript"/>
              </w:rPr>
              <w:t>c</w:t>
            </w:r>
          </w:p>
          <w:p w14:paraId="7CEF7185"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8E2EC03"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Ou altération du niveau de conscience</w:t>
            </w:r>
            <w:r>
              <w:rPr>
                <w:rFonts w:ascii="Times New Roman" w:hAnsi="Times New Roman"/>
                <w:b w:val="0"/>
                <w:sz w:val="22"/>
                <w:vertAlign w:val="superscript"/>
              </w:rPr>
              <w:t>d</w:t>
            </w:r>
            <w:r>
              <w:rPr>
                <w:rFonts w:ascii="Times New Roman" w:hAnsi="Times New Roman"/>
                <w:b w:val="0"/>
                <w:sz w:val="22"/>
              </w:rPr>
              <w:t> : se réveille à la voix.</w:t>
            </w:r>
          </w:p>
        </w:tc>
        <w:tc>
          <w:tcPr>
            <w:tcW w:w="4610" w:type="dxa"/>
          </w:tcPr>
          <w:p w14:paraId="0484E9C3" w14:textId="4688FCB2" w:rsidR="00FF4BC8" w:rsidRPr="00743D4B" w:rsidRDefault="00A776B5" w:rsidP="00FF4BC8">
            <w:pPr>
              <w:pStyle w:val="ListParagraph"/>
              <w:numPr>
                <w:ilvl w:val="0"/>
                <w:numId w:val="13"/>
              </w:numPr>
              <w:rPr>
                <w:sz w:val="22"/>
                <w:szCs w:val="22"/>
              </w:rPr>
            </w:pPr>
            <w:r>
              <w:rPr>
                <w:sz w:val="22"/>
              </w:rPr>
              <w:t xml:space="preserve">Suspendre </w:t>
            </w:r>
            <w:r w:rsidR="00FF4BC8">
              <w:rPr>
                <w:sz w:val="22"/>
              </w:rPr>
              <w:t>le traitement jusqu’à la résolution de l’ICANS.</w:t>
            </w:r>
            <w:r w:rsidR="00FF4BC8">
              <w:rPr>
                <w:sz w:val="22"/>
                <w:vertAlign w:val="superscript"/>
              </w:rPr>
              <w:t>e</w:t>
            </w:r>
          </w:p>
          <w:p w14:paraId="7A0899EE" w14:textId="5B0007EE" w:rsidR="00FF4BC8" w:rsidRPr="00743D4B" w:rsidRDefault="00FF4BC8" w:rsidP="00FF4BC8">
            <w:pPr>
              <w:pStyle w:val="ListParagraph"/>
              <w:numPr>
                <w:ilvl w:val="0"/>
                <w:numId w:val="13"/>
              </w:numPr>
              <w:rPr>
                <w:sz w:val="22"/>
                <w:szCs w:val="22"/>
              </w:rPr>
            </w:pPr>
            <w:r>
              <w:rPr>
                <w:sz w:val="22"/>
              </w:rPr>
              <w:t>Administrer 10 mg de dexaméthasone</w:t>
            </w:r>
            <w:r>
              <w:rPr>
                <w:sz w:val="22"/>
                <w:vertAlign w:val="superscript"/>
              </w:rPr>
              <w:t>f</w:t>
            </w:r>
            <w:r>
              <w:rPr>
                <w:sz w:val="22"/>
              </w:rPr>
              <w:t xml:space="preserve"> par voie intraveineuse toutes les 6 heures. Poursuivre l’utilisation de la dexaméthasone jusqu’à la résolution </w:t>
            </w:r>
            <w:r w:rsidR="00A776B5">
              <w:rPr>
                <w:sz w:val="22"/>
              </w:rPr>
              <w:t>à un</w:t>
            </w:r>
            <w:r>
              <w:rPr>
                <w:sz w:val="22"/>
              </w:rPr>
              <w:t xml:space="preserve"> grade </w:t>
            </w:r>
            <w:r w:rsidR="00A776B5">
              <w:rPr>
                <w:sz w:val="22"/>
              </w:rPr>
              <w:t xml:space="preserve">inférieur ou égal à </w:t>
            </w:r>
            <w:r>
              <w:rPr>
                <w:sz w:val="22"/>
              </w:rPr>
              <w:t xml:space="preserve">1, puis </w:t>
            </w:r>
            <w:r w:rsidR="00A776B5">
              <w:rPr>
                <w:sz w:val="22"/>
              </w:rPr>
              <w:t>diminuer</w:t>
            </w:r>
            <w:r>
              <w:rPr>
                <w:sz w:val="22"/>
              </w:rPr>
              <w:t xml:space="preserve"> progressivement.</w:t>
            </w:r>
          </w:p>
          <w:p w14:paraId="3706333A" w14:textId="77777777" w:rsidR="00FF4BC8" w:rsidRPr="00743D4B" w:rsidRDefault="00FF4BC8" w:rsidP="00FF4BC8">
            <w:pPr>
              <w:pStyle w:val="ListParagraph"/>
              <w:numPr>
                <w:ilvl w:val="0"/>
                <w:numId w:val="13"/>
              </w:numPr>
              <w:rPr>
                <w:sz w:val="22"/>
                <w:szCs w:val="22"/>
              </w:rPr>
            </w:pPr>
            <w:r>
              <w:rPr>
                <w:sz w:val="22"/>
              </w:rPr>
              <w:t xml:space="preserve">Surveiller les symptômes neurologiques et envisager de consulter un neurologue et d’autres spécialistes pour une évaluation et une prise en charge plus approfondies. </w:t>
            </w:r>
          </w:p>
          <w:p w14:paraId="03E803FA" w14:textId="2F38D4E8" w:rsidR="00FF4BC8" w:rsidRPr="00743D4B" w:rsidRDefault="00FF4BC8" w:rsidP="00FF4BC8">
            <w:pPr>
              <w:pStyle w:val="ListParagraph"/>
              <w:numPr>
                <w:ilvl w:val="0"/>
                <w:numId w:val="13"/>
              </w:numPr>
              <w:rPr>
                <w:sz w:val="22"/>
                <w:szCs w:val="22"/>
              </w:rPr>
            </w:pPr>
            <w:r>
              <w:rPr>
                <w:sz w:val="22"/>
              </w:rPr>
              <w:t xml:space="preserve">Envisager l’instauration de médicaments anticonvulsivants non sédatifs (par exemple, lévétiracétam) pour la </w:t>
            </w:r>
            <w:r w:rsidR="00A776B5">
              <w:rPr>
                <w:sz w:val="22"/>
              </w:rPr>
              <w:t xml:space="preserve">prévention </w:t>
            </w:r>
            <w:r>
              <w:rPr>
                <w:sz w:val="22"/>
              </w:rPr>
              <w:t xml:space="preserve">des </w:t>
            </w:r>
            <w:r w:rsidR="007D1C7B" w:rsidRPr="007D1C7B">
              <w:rPr>
                <w:sz w:val="22"/>
              </w:rPr>
              <w:t>crises convulsives</w:t>
            </w:r>
            <w:r>
              <w:rPr>
                <w:sz w:val="22"/>
              </w:rPr>
              <w:t>.</w:t>
            </w:r>
          </w:p>
          <w:p w14:paraId="76ED415E" w14:textId="28483733" w:rsidR="00FF4BC8" w:rsidRPr="00743D4B" w:rsidRDefault="00FF4BC8" w:rsidP="00FF4BC8">
            <w:pPr>
              <w:pStyle w:val="ListParagraph"/>
              <w:widowControl w:val="0"/>
              <w:numPr>
                <w:ilvl w:val="0"/>
                <w:numId w:val="13"/>
              </w:numPr>
              <w:rPr>
                <w:sz w:val="22"/>
                <w:szCs w:val="22"/>
              </w:rPr>
            </w:pPr>
            <w:r>
              <w:rPr>
                <w:sz w:val="22"/>
              </w:rPr>
              <w:t xml:space="preserve">Surveiller les patients quotidiennement </w:t>
            </w:r>
            <w:r>
              <w:rPr>
                <w:sz w:val="22"/>
              </w:rPr>
              <w:lastRenderedPageBreak/>
              <w:t xml:space="preserve">pendant 48 heures après l’administration de la dose suivante d’ELREXFIO. Demander aux patients de rester à proximité d’un établissement de </w:t>
            </w:r>
            <w:r w:rsidR="00A776B5">
              <w:rPr>
                <w:sz w:val="22"/>
              </w:rPr>
              <w:t>santé</w:t>
            </w:r>
            <w:r>
              <w:rPr>
                <w:sz w:val="22"/>
              </w:rPr>
              <w:t>.</w:t>
            </w:r>
          </w:p>
        </w:tc>
      </w:tr>
      <w:tr w:rsidR="00FF4BC8" w14:paraId="19B93C4A" w14:textId="77777777" w:rsidTr="003D08BD">
        <w:tc>
          <w:tcPr>
            <w:tcW w:w="1621" w:type="dxa"/>
          </w:tcPr>
          <w:p w14:paraId="014C5784" w14:textId="77777777" w:rsidR="00FF4BC8" w:rsidRPr="00743D4B"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b w:val="0"/>
                <w:sz w:val="22"/>
              </w:rPr>
              <w:lastRenderedPageBreak/>
              <w:t>Grade 3</w:t>
            </w:r>
          </w:p>
          <w:p w14:paraId="68C61228" w14:textId="33CB2131"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C44D50">
              <w:rPr>
                <w:rFonts w:ascii="Times New Roman" w:hAnsi="Times New Roman"/>
                <w:b w:val="0"/>
                <w:sz w:val="22"/>
              </w:rPr>
              <w:t>(</w:t>
            </w:r>
            <w:r w:rsidR="006C2A38" w:rsidRPr="00C44D50">
              <w:rPr>
                <w:rFonts w:ascii="Times New Roman" w:hAnsi="Times New Roman"/>
                <w:b w:val="0"/>
                <w:sz w:val="22"/>
              </w:rPr>
              <w:t>p</w:t>
            </w:r>
            <w:r w:rsidRPr="00C44D50">
              <w:rPr>
                <w:rFonts w:ascii="Times New Roman" w:hAnsi="Times New Roman"/>
                <w:b w:val="0"/>
                <w:sz w:val="22"/>
              </w:rPr>
              <w:t>remière</w:t>
            </w:r>
            <w:r>
              <w:rPr>
                <w:rFonts w:ascii="Times New Roman" w:hAnsi="Times New Roman"/>
                <w:b w:val="0"/>
                <w:sz w:val="22"/>
              </w:rPr>
              <w:t xml:space="preserve"> occurrence)</w:t>
            </w:r>
          </w:p>
        </w:tc>
        <w:tc>
          <w:tcPr>
            <w:tcW w:w="3806" w:type="dxa"/>
          </w:tcPr>
          <w:p w14:paraId="11B37302" w14:textId="7CEC1370"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Score ICE de 0</w:t>
            </w:r>
            <w:r w:rsidR="001C17CF">
              <w:rPr>
                <w:rFonts w:ascii="Times New Roman" w:hAnsi="Times New Roman"/>
                <w:b w:val="0"/>
                <w:sz w:val="22"/>
              </w:rPr>
              <w:t xml:space="preserve"> – </w:t>
            </w:r>
            <w:r>
              <w:rPr>
                <w:rFonts w:ascii="Times New Roman" w:hAnsi="Times New Roman"/>
                <w:b w:val="0"/>
                <w:sz w:val="22"/>
              </w:rPr>
              <w:t>2</w:t>
            </w:r>
            <w:r>
              <w:rPr>
                <w:rFonts w:ascii="Times New Roman" w:hAnsi="Times New Roman"/>
                <w:b w:val="0"/>
                <w:sz w:val="22"/>
                <w:vertAlign w:val="superscript"/>
              </w:rPr>
              <w:t>c</w:t>
            </w:r>
          </w:p>
          <w:p w14:paraId="2C4FD6F0" w14:textId="77777777" w:rsidR="00FF4BC8" w:rsidRPr="00A10D5D"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DF58C68" w14:textId="07B2AACC" w:rsidR="00FF4BC8" w:rsidRPr="00743D4B" w:rsidRDefault="0061756B"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o</w:t>
            </w:r>
            <w:r w:rsidR="00FF4BC8">
              <w:rPr>
                <w:rFonts w:ascii="Times New Roman" w:hAnsi="Times New Roman"/>
                <w:b w:val="0"/>
                <w:sz w:val="22"/>
              </w:rPr>
              <w:t>u altération du niveau de conscience</w:t>
            </w:r>
            <w:r w:rsidR="00FF4BC8">
              <w:rPr>
                <w:rFonts w:ascii="Times New Roman" w:hAnsi="Times New Roman"/>
                <w:b w:val="0"/>
                <w:sz w:val="22"/>
                <w:vertAlign w:val="superscript"/>
              </w:rPr>
              <w:t>d</w:t>
            </w:r>
            <w:r w:rsidR="00FF4BC8">
              <w:rPr>
                <w:rFonts w:ascii="Times New Roman" w:hAnsi="Times New Roman"/>
                <w:b w:val="0"/>
                <w:sz w:val="22"/>
              </w:rPr>
              <w:t xml:space="preserve"> : ne se réveille qu’au contact d’un stimulus tactile, </w:t>
            </w:r>
          </w:p>
          <w:p w14:paraId="201835BE" w14:textId="77777777" w:rsidR="00FF4BC8" w:rsidRPr="00A10D5D"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5BD28A32" w14:textId="6C4F185E"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ou </w:t>
            </w:r>
            <w:r w:rsidR="004C1882" w:rsidRPr="004C1882">
              <w:rPr>
                <w:rFonts w:ascii="Times New Roman" w:hAnsi="Times New Roman"/>
                <w:b w:val="0"/>
                <w:sz w:val="22"/>
              </w:rPr>
              <w:t>crises convulsives</w:t>
            </w:r>
            <w:r>
              <w:rPr>
                <w:rFonts w:ascii="Times New Roman" w:hAnsi="Times New Roman"/>
                <w:b w:val="0"/>
                <w:sz w:val="22"/>
                <w:vertAlign w:val="superscript"/>
              </w:rPr>
              <w:t>d</w:t>
            </w:r>
            <w:r>
              <w:rPr>
                <w:rFonts w:ascii="Times New Roman" w:hAnsi="Times New Roman"/>
                <w:b w:val="0"/>
                <w:sz w:val="22"/>
              </w:rPr>
              <w:t>, soit :</w:t>
            </w:r>
          </w:p>
          <w:p w14:paraId="370C87A4" w14:textId="3166BA32" w:rsidR="00FF4BC8" w:rsidRPr="00743D4B"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 xml:space="preserve">toute </w:t>
            </w:r>
            <w:r w:rsidR="003B4774">
              <w:rPr>
                <w:rFonts w:ascii="Times New Roman" w:hAnsi="Times New Roman"/>
                <w:b w:val="0"/>
                <w:sz w:val="22"/>
              </w:rPr>
              <w:t xml:space="preserve">crise </w:t>
            </w:r>
            <w:r>
              <w:rPr>
                <w:rFonts w:ascii="Times New Roman" w:hAnsi="Times New Roman"/>
                <w:b w:val="0"/>
                <w:sz w:val="22"/>
              </w:rPr>
              <w:t xml:space="preserve">clinique, focale ou généralisée, qui disparaît rapidement, ou </w:t>
            </w:r>
          </w:p>
          <w:p w14:paraId="76BC727F" w14:textId="4D01E74E" w:rsidR="00FF4BC8"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crises non convulsives à l’électroencéphalogramme (EEG) qui disparaissent avec une intervention,</w:t>
            </w:r>
          </w:p>
          <w:p w14:paraId="36815CC3" w14:textId="77777777" w:rsidR="00FF4BC8"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1BD06A9A" w14:textId="77777777" w:rsidR="00FF4BC8" w:rsidRPr="007E7778"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Pr>
                <w:rFonts w:ascii="Times New Roman" w:hAnsi="Times New Roman"/>
                <w:b w:val="0"/>
                <w:sz w:val="22"/>
              </w:rPr>
              <w:t>ou pression intracrânienne élevée : œdème focal/local à la neuro-imagerie</w:t>
            </w:r>
            <w:r>
              <w:rPr>
                <w:rFonts w:ascii="Times New Roman" w:hAnsi="Times New Roman"/>
                <w:b w:val="0"/>
                <w:sz w:val="22"/>
                <w:vertAlign w:val="superscript"/>
              </w:rPr>
              <w:t>d</w:t>
            </w:r>
          </w:p>
        </w:tc>
        <w:tc>
          <w:tcPr>
            <w:tcW w:w="4610" w:type="dxa"/>
          </w:tcPr>
          <w:p w14:paraId="25964D8B" w14:textId="361F70ED" w:rsidR="00FF4BC8" w:rsidRPr="00743D4B" w:rsidRDefault="00A776B5" w:rsidP="00FF4BC8">
            <w:pPr>
              <w:pStyle w:val="ListParagraph"/>
              <w:numPr>
                <w:ilvl w:val="0"/>
                <w:numId w:val="13"/>
              </w:numPr>
              <w:rPr>
                <w:sz w:val="22"/>
                <w:szCs w:val="22"/>
              </w:rPr>
            </w:pPr>
            <w:r>
              <w:rPr>
                <w:sz w:val="22"/>
              </w:rPr>
              <w:t>Suspendre</w:t>
            </w:r>
            <w:r w:rsidR="00FF4BC8">
              <w:rPr>
                <w:sz w:val="22"/>
              </w:rPr>
              <w:t xml:space="preserve"> le traitement jusqu’à la résolution de l’ICANS.</w:t>
            </w:r>
            <w:r w:rsidR="00FF4BC8">
              <w:rPr>
                <w:sz w:val="22"/>
                <w:vertAlign w:val="superscript"/>
              </w:rPr>
              <w:t>e</w:t>
            </w:r>
          </w:p>
          <w:p w14:paraId="12299ECC" w14:textId="39550C6C" w:rsidR="00FF4BC8" w:rsidRPr="00743D4B" w:rsidRDefault="00FF4BC8" w:rsidP="00FF4BC8">
            <w:pPr>
              <w:pStyle w:val="ListParagraph"/>
              <w:numPr>
                <w:ilvl w:val="0"/>
                <w:numId w:val="13"/>
              </w:numPr>
              <w:rPr>
                <w:sz w:val="22"/>
                <w:szCs w:val="22"/>
              </w:rPr>
            </w:pPr>
            <w:r>
              <w:rPr>
                <w:sz w:val="22"/>
              </w:rPr>
              <w:t>Administrer 10 mg de dexaméthasone</w:t>
            </w:r>
            <w:r>
              <w:rPr>
                <w:sz w:val="22"/>
                <w:vertAlign w:val="superscript"/>
              </w:rPr>
              <w:t>f</w:t>
            </w:r>
            <w:r>
              <w:rPr>
                <w:sz w:val="22"/>
              </w:rPr>
              <w:t xml:space="preserve"> par voie intraveineuse toutes les 6 heures. Poursuivre l’utilisation de la dexaméthasone jusqu’à la résolution </w:t>
            </w:r>
            <w:r w:rsidR="00A776B5">
              <w:rPr>
                <w:sz w:val="22"/>
              </w:rPr>
              <w:t>à un grade inférieur ou égal à 1</w:t>
            </w:r>
            <w:r>
              <w:rPr>
                <w:sz w:val="22"/>
              </w:rPr>
              <w:t xml:space="preserve">, puis </w:t>
            </w:r>
            <w:r w:rsidR="00A776B5">
              <w:rPr>
                <w:sz w:val="22"/>
              </w:rPr>
              <w:t>diminuer</w:t>
            </w:r>
            <w:r>
              <w:rPr>
                <w:sz w:val="22"/>
              </w:rPr>
              <w:t xml:space="preserve"> progressivement.</w:t>
            </w:r>
          </w:p>
          <w:p w14:paraId="61BDAEA8" w14:textId="77777777" w:rsidR="00FF4BC8" w:rsidRPr="00743D4B" w:rsidRDefault="00FF4BC8" w:rsidP="00FF4BC8">
            <w:pPr>
              <w:pStyle w:val="ListParagraph"/>
              <w:numPr>
                <w:ilvl w:val="0"/>
                <w:numId w:val="13"/>
              </w:numPr>
              <w:rPr>
                <w:sz w:val="22"/>
                <w:szCs w:val="22"/>
              </w:rPr>
            </w:pPr>
            <w:r>
              <w:rPr>
                <w:sz w:val="22"/>
              </w:rPr>
              <w:t xml:space="preserve">Surveiller les symptômes neurologiques et envisager de consulter un neurologue et d’autres spécialistes pour une évaluation et une prise en charge plus approfondies. </w:t>
            </w:r>
          </w:p>
          <w:p w14:paraId="44E245DD" w14:textId="2DFEF99C" w:rsidR="00FF4BC8" w:rsidRPr="00743D4B" w:rsidRDefault="00FF4BC8" w:rsidP="00FF4BC8">
            <w:pPr>
              <w:pStyle w:val="ListParagraph"/>
              <w:numPr>
                <w:ilvl w:val="0"/>
                <w:numId w:val="13"/>
              </w:numPr>
              <w:rPr>
                <w:sz w:val="22"/>
                <w:szCs w:val="22"/>
              </w:rPr>
            </w:pPr>
            <w:r>
              <w:rPr>
                <w:sz w:val="22"/>
              </w:rPr>
              <w:t>Envisager l’instauration de médicaments anticonvulsivants non sédatifs (par exemple, lévétiracétam) pour la</w:t>
            </w:r>
            <w:r w:rsidR="00A776B5">
              <w:rPr>
                <w:sz w:val="22"/>
              </w:rPr>
              <w:t xml:space="preserve"> prévention</w:t>
            </w:r>
            <w:r>
              <w:rPr>
                <w:sz w:val="22"/>
              </w:rPr>
              <w:t xml:space="preserve"> des </w:t>
            </w:r>
            <w:r w:rsidR="007D1C7B" w:rsidRPr="007D1C7B">
              <w:rPr>
                <w:sz w:val="22"/>
              </w:rPr>
              <w:t>crises convulsives</w:t>
            </w:r>
            <w:r>
              <w:rPr>
                <w:sz w:val="22"/>
              </w:rPr>
              <w:t>.</w:t>
            </w:r>
          </w:p>
          <w:p w14:paraId="379EF92A" w14:textId="32B50E38" w:rsidR="00FF4BC8" w:rsidRPr="00743D4B" w:rsidRDefault="00F05422" w:rsidP="00FF4BC8">
            <w:pPr>
              <w:pStyle w:val="ListParagraph"/>
              <w:numPr>
                <w:ilvl w:val="0"/>
                <w:numId w:val="13"/>
              </w:numPr>
              <w:rPr>
                <w:sz w:val="22"/>
                <w:szCs w:val="22"/>
              </w:rPr>
            </w:pPr>
            <w:r>
              <w:rPr>
                <w:sz w:val="22"/>
              </w:rPr>
              <w:t>Instaurer des soins de support</w:t>
            </w:r>
            <w:r w:rsidR="00FF4BC8">
              <w:rPr>
                <w:sz w:val="22"/>
              </w:rPr>
              <w:t>, pouvant inclure des soins intensifs.</w:t>
            </w:r>
          </w:p>
          <w:p w14:paraId="68C99DD7" w14:textId="4DF29ECE" w:rsidR="00FF4BC8" w:rsidRPr="00743D4B" w:rsidRDefault="00FF4BC8" w:rsidP="00FF4BC8">
            <w:pPr>
              <w:pStyle w:val="ListParagraph"/>
              <w:widowControl w:val="0"/>
              <w:numPr>
                <w:ilvl w:val="0"/>
                <w:numId w:val="13"/>
              </w:numPr>
              <w:rPr>
                <w:sz w:val="22"/>
                <w:szCs w:val="22"/>
              </w:rPr>
            </w:pPr>
            <w:r>
              <w:rPr>
                <w:sz w:val="22"/>
              </w:rPr>
              <w:t xml:space="preserve">Surveiller les patients quotidiennement pendant 48 heures après l’administration de la dose suivante d’ELREXFIO. Demander aux patients de rester à proximité d’un établissement de </w:t>
            </w:r>
            <w:r w:rsidR="00A776B5">
              <w:rPr>
                <w:sz w:val="22"/>
              </w:rPr>
              <w:t>santé</w:t>
            </w:r>
            <w:r>
              <w:rPr>
                <w:sz w:val="22"/>
              </w:rPr>
              <w:t>.</w:t>
            </w:r>
          </w:p>
        </w:tc>
      </w:tr>
      <w:tr w:rsidR="00FF4BC8" w14:paraId="23BEB41A" w14:textId="77777777" w:rsidTr="003D08BD">
        <w:tc>
          <w:tcPr>
            <w:tcW w:w="1621" w:type="dxa"/>
          </w:tcPr>
          <w:p w14:paraId="724AAE08"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Grade 3 (récidive)</w:t>
            </w:r>
          </w:p>
        </w:tc>
        <w:tc>
          <w:tcPr>
            <w:tcW w:w="3806" w:type="dxa"/>
          </w:tcPr>
          <w:p w14:paraId="3603703A" w14:textId="4FF02098"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Pr>
                <w:rFonts w:ascii="Times New Roman" w:hAnsi="Times New Roman"/>
                <w:b w:val="0"/>
                <w:sz w:val="22"/>
              </w:rPr>
              <w:t>Score ICE de 0</w:t>
            </w:r>
            <w:r w:rsidR="001C17CF">
              <w:rPr>
                <w:rFonts w:ascii="Times New Roman" w:hAnsi="Times New Roman"/>
                <w:b w:val="0"/>
                <w:sz w:val="22"/>
              </w:rPr>
              <w:t xml:space="preserve"> – </w:t>
            </w:r>
            <w:r>
              <w:rPr>
                <w:rFonts w:ascii="Times New Roman" w:hAnsi="Times New Roman"/>
                <w:b w:val="0"/>
                <w:sz w:val="22"/>
              </w:rPr>
              <w:t>2</w:t>
            </w:r>
            <w:r>
              <w:rPr>
                <w:rFonts w:ascii="Times New Roman" w:hAnsi="Times New Roman"/>
                <w:b w:val="0"/>
                <w:sz w:val="22"/>
                <w:vertAlign w:val="superscript"/>
              </w:rPr>
              <w:t>c</w:t>
            </w:r>
          </w:p>
          <w:p w14:paraId="3CF53CB5" w14:textId="77777777" w:rsidR="00FF4BC8" w:rsidRPr="00A10D5D"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726CB37" w14:textId="4A1F4E52" w:rsidR="00FF4BC8" w:rsidRPr="00743D4B" w:rsidRDefault="0061756B"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o</w:t>
            </w:r>
            <w:r w:rsidR="00FF4BC8">
              <w:rPr>
                <w:rFonts w:ascii="Times New Roman" w:hAnsi="Times New Roman"/>
                <w:b w:val="0"/>
                <w:sz w:val="22"/>
              </w:rPr>
              <w:t>u altération du niveau de conscience</w:t>
            </w:r>
            <w:r w:rsidR="00FF4BC8">
              <w:rPr>
                <w:rFonts w:ascii="Times New Roman" w:hAnsi="Times New Roman"/>
                <w:b w:val="0"/>
                <w:sz w:val="22"/>
                <w:vertAlign w:val="superscript"/>
              </w:rPr>
              <w:t>d</w:t>
            </w:r>
            <w:r w:rsidR="00FF4BC8">
              <w:rPr>
                <w:rFonts w:ascii="Times New Roman" w:hAnsi="Times New Roman"/>
                <w:b w:val="0"/>
                <w:sz w:val="22"/>
              </w:rPr>
              <w:t> : ne se réveille qu’au contact d’un stimulus tactile,</w:t>
            </w:r>
          </w:p>
          <w:p w14:paraId="164EC032" w14:textId="77777777" w:rsidR="00FF4BC8" w:rsidRPr="00A10D5D"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662FEF04" w14:textId="2E0C773B"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 xml:space="preserve">ou </w:t>
            </w:r>
            <w:r w:rsidR="004C1882" w:rsidRPr="004C1882">
              <w:rPr>
                <w:rFonts w:ascii="Times New Roman" w:hAnsi="Times New Roman"/>
                <w:b w:val="0"/>
                <w:sz w:val="22"/>
              </w:rPr>
              <w:t>crises convulsives</w:t>
            </w:r>
            <w:r>
              <w:rPr>
                <w:rFonts w:ascii="Times New Roman" w:hAnsi="Times New Roman"/>
                <w:b w:val="0"/>
                <w:sz w:val="22"/>
                <w:vertAlign w:val="superscript"/>
              </w:rPr>
              <w:t>d</w:t>
            </w:r>
            <w:r>
              <w:rPr>
                <w:rFonts w:ascii="Times New Roman" w:hAnsi="Times New Roman"/>
                <w:b w:val="0"/>
                <w:sz w:val="22"/>
              </w:rPr>
              <w:t>, soit :</w:t>
            </w:r>
          </w:p>
          <w:p w14:paraId="57F156C6" w14:textId="4EBDACC8" w:rsidR="00FF4BC8" w:rsidRPr="00743D4B"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 xml:space="preserve">toute </w:t>
            </w:r>
            <w:r w:rsidR="003B4774">
              <w:rPr>
                <w:rFonts w:ascii="Times New Roman" w:hAnsi="Times New Roman"/>
                <w:b w:val="0"/>
                <w:sz w:val="22"/>
              </w:rPr>
              <w:t xml:space="preserve">crise </w:t>
            </w:r>
            <w:r>
              <w:rPr>
                <w:rFonts w:ascii="Times New Roman" w:hAnsi="Times New Roman"/>
                <w:b w:val="0"/>
                <w:sz w:val="22"/>
              </w:rPr>
              <w:t>clinique, focale ou généralisée, qui disparaît rapidement, ou</w:t>
            </w:r>
          </w:p>
          <w:p w14:paraId="609AE077" w14:textId="5D9A5D41" w:rsidR="00FF4BC8"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crises non convulsives à l’électroencéphalogramme (EEG) qui disparaissent avec une intervention,</w:t>
            </w:r>
          </w:p>
          <w:p w14:paraId="30A21CB5" w14:textId="77777777" w:rsidR="00FF4BC8" w:rsidRPr="00743D4B"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56341FAC" w14:textId="77777777" w:rsidR="00FF4BC8" w:rsidRPr="00743D4B" w:rsidRDefault="00FF4BC8" w:rsidP="004F07E4">
            <w:pPr>
              <w:pStyle w:val="PIHeading2"/>
              <w:keepNext w:val="0"/>
              <w:keepLines w:val="0"/>
              <w:tabs>
                <w:tab w:val="left" w:pos="540"/>
              </w:tabs>
              <w:spacing w:before="0" w:after="0"/>
              <w:rPr>
                <w:rFonts w:ascii="Times New Roman" w:eastAsia="TimesNewRoman" w:hAnsi="Times New Roman"/>
                <w:sz w:val="22"/>
                <w:szCs w:val="22"/>
              </w:rPr>
            </w:pPr>
            <w:r>
              <w:rPr>
                <w:rFonts w:ascii="Times New Roman" w:hAnsi="Times New Roman"/>
                <w:b w:val="0"/>
                <w:sz w:val="22"/>
              </w:rPr>
              <w:t>ou pression intracrânienne élevée : œdème focal/local à la neuro-imagerie</w:t>
            </w:r>
            <w:r>
              <w:rPr>
                <w:rFonts w:ascii="Times New Roman" w:hAnsi="Times New Roman"/>
                <w:b w:val="0"/>
                <w:sz w:val="22"/>
                <w:vertAlign w:val="superscript"/>
              </w:rPr>
              <w:t>d</w:t>
            </w:r>
          </w:p>
        </w:tc>
        <w:tc>
          <w:tcPr>
            <w:tcW w:w="4610" w:type="dxa"/>
          </w:tcPr>
          <w:p w14:paraId="28AFF41C" w14:textId="38CE3A5F" w:rsidR="00FF4BC8" w:rsidRPr="00743D4B" w:rsidRDefault="00FF4BC8" w:rsidP="00FF4BC8">
            <w:pPr>
              <w:pStyle w:val="ListParagraph"/>
              <w:numPr>
                <w:ilvl w:val="0"/>
                <w:numId w:val="13"/>
              </w:numPr>
              <w:rPr>
                <w:sz w:val="22"/>
                <w:szCs w:val="22"/>
              </w:rPr>
            </w:pPr>
            <w:r>
              <w:rPr>
                <w:sz w:val="22"/>
              </w:rPr>
              <w:t>Arrêter définitivement</w:t>
            </w:r>
            <w:r w:rsidR="00092879">
              <w:rPr>
                <w:sz w:val="22"/>
              </w:rPr>
              <w:t xml:space="preserve"> le traitement</w:t>
            </w:r>
            <w:r>
              <w:rPr>
                <w:sz w:val="22"/>
              </w:rPr>
              <w:t>.</w:t>
            </w:r>
          </w:p>
          <w:p w14:paraId="01349BDC" w14:textId="7E9BEFA2" w:rsidR="00FF4BC8" w:rsidRPr="00743D4B" w:rsidRDefault="00FF4BC8" w:rsidP="00FF4BC8">
            <w:pPr>
              <w:pStyle w:val="ListParagraph"/>
              <w:numPr>
                <w:ilvl w:val="0"/>
                <w:numId w:val="13"/>
              </w:numPr>
              <w:rPr>
                <w:sz w:val="22"/>
                <w:szCs w:val="22"/>
              </w:rPr>
            </w:pPr>
            <w:r>
              <w:rPr>
                <w:sz w:val="22"/>
              </w:rPr>
              <w:t>Administrer 10 mg de dexaméthasone</w:t>
            </w:r>
            <w:r>
              <w:rPr>
                <w:sz w:val="22"/>
                <w:vertAlign w:val="superscript"/>
              </w:rPr>
              <w:t>f</w:t>
            </w:r>
            <w:r>
              <w:rPr>
                <w:sz w:val="22"/>
              </w:rPr>
              <w:t xml:space="preserve"> par voie intraveineuse toutes les 6 heures. Poursuivre l’utilisation de la dexaméthasone jusqu’à la résolution </w:t>
            </w:r>
            <w:r w:rsidR="00A776B5">
              <w:rPr>
                <w:sz w:val="22"/>
              </w:rPr>
              <w:t xml:space="preserve">à un grade inférieur ou égal à </w:t>
            </w:r>
            <w:r>
              <w:rPr>
                <w:sz w:val="22"/>
              </w:rPr>
              <w:t xml:space="preserve">1, puis </w:t>
            </w:r>
            <w:r w:rsidR="00A776B5">
              <w:rPr>
                <w:sz w:val="22"/>
              </w:rPr>
              <w:t>diminuer</w:t>
            </w:r>
            <w:r>
              <w:rPr>
                <w:sz w:val="22"/>
              </w:rPr>
              <w:t xml:space="preserve"> progressivement.</w:t>
            </w:r>
          </w:p>
          <w:p w14:paraId="5A4BF78D" w14:textId="77777777" w:rsidR="00FF4BC8" w:rsidRPr="00743D4B" w:rsidRDefault="00FF4BC8" w:rsidP="00FF4BC8">
            <w:pPr>
              <w:pStyle w:val="ListParagraph"/>
              <w:numPr>
                <w:ilvl w:val="0"/>
                <w:numId w:val="13"/>
              </w:numPr>
              <w:rPr>
                <w:sz w:val="22"/>
                <w:szCs w:val="22"/>
              </w:rPr>
            </w:pPr>
            <w:r>
              <w:rPr>
                <w:sz w:val="22"/>
              </w:rPr>
              <w:t xml:space="preserve">Surveiller les symptômes neurologiques et envisager de consulter un neurologue et d’autres spécialistes pour une évaluation et une prise en charge plus approfondies. </w:t>
            </w:r>
          </w:p>
          <w:p w14:paraId="2F64B1A5" w14:textId="35639F4A" w:rsidR="00FF4BC8" w:rsidRPr="00743D4B" w:rsidRDefault="00FF4BC8" w:rsidP="00FF4BC8">
            <w:pPr>
              <w:pStyle w:val="ListParagraph"/>
              <w:numPr>
                <w:ilvl w:val="0"/>
                <w:numId w:val="13"/>
              </w:numPr>
              <w:rPr>
                <w:sz w:val="22"/>
                <w:szCs w:val="22"/>
              </w:rPr>
            </w:pPr>
            <w:r>
              <w:rPr>
                <w:sz w:val="22"/>
              </w:rPr>
              <w:t xml:space="preserve">Envisager l’instauration de médicaments anticonvulsivants non sédatifs (par exemple, lévétiracétam) pour la </w:t>
            </w:r>
            <w:r w:rsidR="00A776B5">
              <w:rPr>
                <w:sz w:val="22"/>
              </w:rPr>
              <w:t>prévention</w:t>
            </w:r>
            <w:r>
              <w:rPr>
                <w:sz w:val="22"/>
              </w:rPr>
              <w:t xml:space="preserve"> des </w:t>
            </w:r>
            <w:r w:rsidR="007D1C7B" w:rsidRPr="007D1C7B">
              <w:rPr>
                <w:sz w:val="22"/>
              </w:rPr>
              <w:t>crises convulsives</w:t>
            </w:r>
            <w:r>
              <w:rPr>
                <w:sz w:val="22"/>
              </w:rPr>
              <w:t>.</w:t>
            </w:r>
          </w:p>
          <w:p w14:paraId="44FFC894" w14:textId="6E2784CE" w:rsidR="00FF4BC8" w:rsidRPr="00743D4B" w:rsidRDefault="00A46440" w:rsidP="00FF4BC8">
            <w:pPr>
              <w:pStyle w:val="ListParagraph"/>
              <w:numPr>
                <w:ilvl w:val="0"/>
                <w:numId w:val="13"/>
              </w:numPr>
              <w:rPr>
                <w:sz w:val="22"/>
                <w:szCs w:val="22"/>
              </w:rPr>
            </w:pPr>
            <w:r>
              <w:rPr>
                <w:sz w:val="22"/>
              </w:rPr>
              <w:t>Instaurer des soins de support</w:t>
            </w:r>
            <w:r w:rsidR="00FF4BC8">
              <w:rPr>
                <w:sz w:val="22"/>
              </w:rPr>
              <w:t>, pouvant inclure des soins intensifs.</w:t>
            </w:r>
          </w:p>
        </w:tc>
      </w:tr>
      <w:tr w:rsidR="00FF4BC8" w14:paraId="48E446E3" w14:textId="77777777" w:rsidTr="003D08BD">
        <w:tc>
          <w:tcPr>
            <w:tcW w:w="1621" w:type="dxa"/>
            <w:tcBorders>
              <w:bottom w:val="single" w:sz="4" w:space="0" w:color="auto"/>
            </w:tcBorders>
          </w:tcPr>
          <w:p w14:paraId="66101738" w14:textId="77777777" w:rsidR="00FF4BC8" w:rsidRPr="00743D4B" w:rsidRDefault="00FF4BC8" w:rsidP="004F07E4">
            <w:pPr>
              <w:rPr>
                <w:rFonts w:eastAsia="TimesNewRoman"/>
                <w:szCs w:val="22"/>
              </w:rPr>
            </w:pPr>
            <w:r>
              <w:t>Grade 4</w:t>
            </w:r>
          </w:p>
        </w:tc>
        <w:tc>
          <w:tcPr>
            <w:tcW w:w="3806" w:type="dxa"/>
            <w:tcBorders>
              <w:bottom w:val="single" w:sz="4" w:space="0" w:color="auto"/>
            </w:tcBorders>
          </w:tcPr>
          <w:p w14:paraId="1257AE04" w14:textId="77777777" w:rsidR="00FF4BC8" w:rsidRPr="00743D4B" w:rsidRDefault="00FF4BC8" w:rsidP="004F07E4">
            <w:pPr>
              <w:rPr>
                <w:rFonts w:eastAsia="TimesNewRoman"/>
                <w:szCs w:val="22"/>
                <w:vertAlign w:val="superscript"/>
              </w:rPr>
            </w:pPr>
            <w:r>
              <w:t>Score ICE de 0</w:t>
            </w:r>
            <w:r>
              <w:rPr>
                <w:vertAlign w:val="superscript"/>
              </w:rPr>
              <w:t>c</w:t>
            </w:r>
          </w:p>
          <w:p w14:paraId="48BB8DCB" w14:textId="77777777" w:rsidR="00FF4BC8" w:rsidRPr="00743D4B" w:rsidRDefault="00FF4BC8" w:rsidP="004F07E4">
            <w:pPr>
              <w:pStyle w:val="ListParagraph"/>
              <w:ind w:left="360"/>
              <w:rPr>
                <w:rFonts w:eastAsia="TimesNewRoman"/>
                <w:sz w:val="22"/>
                <w:szCs w:val="22"/>
                <w:vertAlign w:val="superscript"/>
              </w:rPr>
            </w:pPr>
          </w:p>
          <w:p w14:paraId="5E3B8361" w14:textId="27E06E0D" w:rsidR="00FF4BC8" w:rsidRPr="00743D4B" w:rsidRDefault="0061756B" w:rsidP="004F07E4">
            <w:pPr>
              <w:rPr>
                <w:rFonts w:eastAsia="TimesNewRoman"/>
                <w:szCs w:val="22"/>
              </w:rPr>
            </w:pPr>
            <w:r>
              <w:t>o</w:t>
            </w:r>
            <w:r w:rsidR="00FF4BC8">
              <w:t>u altération du niveau de conscience</w:t>
            </w:r>
            <w:r w:rsidR="00FF4BC8">
              <w:rPr>
                <w:vertAlign w:val="superscript"/>
              </w:rPr>
              <w:t>d</w:t>
            </w:r>
            <w:r w:rsidR="00FF4BC8">
              <w:t xml:space="preserve"> soit :</w:t>
            </w:r>
          </w:p>
          <w:p w14:paraId="2C2C09E4" w14:textId="32093913" w:rsidR="00FF4BC8" w:rsidRPr="00743D4B" w:rsidRDefault="00FF4BC8" w:rsidP="00FF4BC8">
            <w:pPr>
              <w:pStyle w:val="ListParagraph"/>
              <w:numPr>
                <w:ilvl w:val="0"/>
                <w:numId w:val="14"/>
              </w:numPr>
              <w:rPr>
                <w:rFonts w:eastAsia="TimesNewRoman"/>
                <w:sz w:val="22"/>
                <w:szCs w:val="22"/>
              </w:rPr>
            </w:pPr>
            <w:r>
              <w:rPr>
                <w:sz w:val="22"/>
              </w:rPr>
              <w:t>le patient n</w:t>
            </w:r>
            <w:r w:rsidR="00D97FB1">
              <w:rPr>
                <w:sz w:val="22"/>
              </w:rPr>
              <w:t xml:space="preserve">e peut </w:t>
            </w:r>
            <w:r>
              <w:rPr>
                <w:sz w:val="22"/>
              </w:rPr>
              <w:t xml:space="preserve">pas </w:t>
            </w:r>
            <w:r w:rsidR="00D97FB1">
              <w:rPr>
                <w:sz w:val="22"/>
              </w:rPr>
              <w:t xml:space="preserve">être </w:t>
            </w:r>
            <w:r>
              <w:rPr>
                <w:sz w:val="22"/>
              </w:rPr>
              <w:t>réveill</w:t>
            </w:r>
            <w:r w:rsidR="00D97FB1">
              <w:rPr>
                <w:sz w:val="22"/>
              </w:rPr>
              <w:t>é</w:t>
            </w:r>
            <w:r>
              <w:rPr>
                <w:sz w:val="22"/>
              </w:rPr>
              <w:t xml:space="preserve"> ou a besoin de stimuli tactiles vigoureux ou répétitifs pour se réveiller, ou</w:t>
            </w:r>
          </w:p>
          <w:p w14:paraId="308427A7" w14:textId="77777777" w:rsidR="00FF4BC8" w:rsidRPr="00743D4B" w:rsidRDefault="00FF4BC8" w:rsidP="00FF4BC8">
            <w:pPr>
              <w:pStyle w:val="ListParagraph"/>
              <w:numPr>
                <w:ilvl w:val="0"/>
                <w:numId w:val="14"/>
              </w:numPr>
              <w:rPr>
                <w:rFonts w:eastAsia="TimesNewRoman"/>
                <w:sz w:val="22"/>
                <w:szCs w:val="22"/>
              </w:rPr>
            </w:pPr>
            <w:r>
              <w:rPr>
                <w:sz w:val="22"/>
              </w:rPr>
              <w:t>stupeur ou coma,</w:t>
            </w:r>
          </w:p>
          <w:p w14:paraId="58F1F181" w14:textId="77777777" w:rsidR="00FF4BC8" w:rsidRPr="00743D4B" w:rsidRDefault="00FF4BC8" w:rsidP="004F07E4">
            <w:pPr>
              <w:pStyle w:val="ListParagraph"/>
              <w:ind w:left="360"/>
              <w:rPr>
                <w:rFonts w:eastAsia="TimesNewRoman"/>
                <w:sz w:val="22"/>
                <w:szCs w:val="22"/>
              </w:rPr>
            </w:pPr>
          </w:p>
          <w:p w14:paraId="54CAD8C6" w14:textId="26DF6126" w:rsidR="00FF4BC8" w:rsidRPr="00743D4B" w:rsidRDefault="00FF4BC8" w:rsidP="004F07E4">
            <w:pPr>
              <w:rPr>
                <w:rFonts w:eastAsia="TimesNewRoman"/>
                <w:szCs w:val="22"/>
              </w:rPr>
            </w:pPr>
            <w:r>
              <w:t xml:space="preserve">ou </w:t>
            </w:r>
            <w:r w:rsidR="004C1882" w:rsidRPr="004C1882">
              <w:t>crises convulsives</w:t>
            </w:r>
            <w:r>
              <w:rPr>
                <w:vertAlign w:val="superscript"/>
              </w:rPr>
              <w:t>d</w:t>
            </w:r>
            <w:r>
              <w:t>, soit :</w:t>
            </w:r>
          </w:p>
          <w:p w14:paraId="04EB07E3" w14:textId="629EC113" w:rsidR="00FF4BC8" w:rsidRPr="00743D4B" w:rsidRDefault="002723E2" w:rsidP="00FF4BC8">
            <w:pPr>
              <w:pStyle w:val="ListParagraph"/>
              <w:numPr>
                <w:ilvl w:val="0"/>
                <w:numId w:val="14"/>
              </w:numPr>
              <w:rPr>
                <w:rFonts w:eastAsia="TimesNewRoman"/>
                <w:sz w:val="22"/>
                <w:szCs w:val="22"/>
              </w:rPr>
            </w:pPr>
            <w:r>
              <w:rPr>
                <w:sz w:val="22"/>
              </w:rPr>
              <w:lastRenderedPageBreak/>
              <w:t>c</w:t>
            </w:r>
            <w:r w:rsidRPr="002723E2">
              <w:rPr>
                <w:sz w:val="22"/>
              </w:rPr>
              <w:t>rise convulsive</w:t>
            </w:r>
            <w:r w:rsidR="00FF4BC8">
              <w:rPr>
                <w:sz w:val="22"/>
              </w:rPr>
              <w:t xml:space="preserve"> (&gt; 5 minutes) pouvant engager le pronostic vital, ou</w:t>
            </w:r>
          </w:p>
          <w:p w14:paraId="479A4EC7" w14:textId="7F61E0AC" w:rsidR="00FF4BC8" w:rsidRPr="00743D4B" w:rsidRDefault="00085807" w:rsidP="00FF4BC8">
            <w:pPr>
              <w:pStyle w:val="ListParagraph"/>
              <w:numPr>
                <w:ilvl w:val="0"/>
                <w:numId w:val="14"/>
              </w:numPr>
              <w:rPr>
                <w:rFonts w:eastAsia="TimesNewRoman"/>
                <w:sz w:val="22"/>
                <w:szCs w:val="22"/>
              </w:rPr>
            </w:pPr>
            <w:r>
              <w:rPr>
                <w:sz w:val="22"/>
              </w:rPr>
              <w:t xml:space="preserve">crises </w:t>
            </w:r>
            <w:r w:rsidR="00FF4BC8">
              <w:rPr>
                <w:sz w:val="22"/>
              </w:rPr>
              <w:t>cliniques ou électriques répétitives sans retour aux valeurs initiales entre chaque,</w:t>
            </w:r>
          </w:p>
          <w:p w14:paraId="05CD14CB" w14:textId="77777777" w:rsidR="00FF4BC8" w:rsidRPr="00743D4B" w:rsidRDefault="00FF4BC8" w:rsidP="004F07E4">
            <w:pPr>
              <w:pStyle w:val="ListParagraph"/>
              <w:ind w:left="810"/>
              <w:rPr>
                <w:rFonts w:eastAsia="TimesNewRoman"/>
                <w:sz w:val="22"/>
                <w:szCs w:val="22"/>
              </w:rPr>
            </w:pPr>
          </w:p>
          <w:p w14:paraId="27A363D3" w14:textId="77777777" w:rsidR="00FF4BC8" w:rsidRPr="00743D4B" w:rsidRDefault="00FF4BC8" w:rsidP="004F07E4">
            <w:pPr>
              <w:rPr>
                <w:rFonts w:eastAsia="TimesNewRoman"/>
                <w:szCs w:val="22"/>
              </w:rPr>
            </w:pPr>
            <w:r>
              <w:t>ou troubles moteurs</w:t>
            </w:r>
            <w:r>
              <w:rPr>
                <w:vertAlign w:val="superscript"/>
              </w:rPr>
              <w:t>d</w:t>
            </w:r>
            <w:r>
              <w:t> :</w:t>
            </w:r>
          </w:p>
          <w:p w14:paraId="42395258" w14:textId="77777777" w:rsidR="00FF4BC8" w:rsidRPr="00743D4B" w:rsidRDefault="00FF4BC8" w:rsidP="00FF4BC8">
            <w:pPr>
              <w:pStyle w:val="ListParagraph"/>
              <w:numPr>
                <w:ilvl w:val="0"/>
                <w:numId w:val="14"/>
              </w:numPr>
              <w:rPr>
                <w:rFonts w:eastAsia="TimesNewRoman"/>
                <w:sz w:val="22"/>
                <w:szCs w:val="22"/>
              </w:rPr>
            </w:pPr>
            <w:r>
              <w:rPr>
                <w:sz w:val="22"/>
              </w:rPr>
              <w:t>faiblesse motrice focale profonde telle qu’une hémiparésie ou une paraparésie,</w:t>
            </w:r>
          </w:p>
          <w:p w14:paraId="2C18D8C1" w14:textId="77777777" w:rsidR="00FF4BC8" w:rsidRPr="00743D4B" w:rsidRDefault="00FF4BC8" w:rsidP="004F07E4">
            <w:pPr>
              <w:pStyle w:val="ListParagraph"/>
              <w:ind w:left="360"/>
              <w:rPr>
                <w:rFonts w:eastAsia="TimesNewRoman"/>
                <w:sz w:val="22"/>
                <w:szCs w:val="22"/>
              </w:rPr>
            </w:pPr>
          </w:p>
          <w:p w14:paraId="50403556" w14:textId="77777777" w:rsidR="00FF4BC8" w:rsidRPr="00743D4B" w:rsidRDefault="00FF4BC8" w:rsidP="004F07E4">
            <w:pPr>
              <w:rPr>
                <w:rFonts w:eastAsia="TimesNewRoman"/>
                <w:szCs w:val="22"/>
              </w:rPr>
            </w:pPr>
            <w:r>
              <w:t>ou pression intracrânienne élevée/œdème cérébral</w:t>
            </w:r>
            <w:r>
              <w:rPr>
                <w:vertAlign w:val="superscript"/>
              </w:rPr>
              <w:t>d</w:t>
            </w:r>
            <w:r>
              <w:t>, avec signes/symptômes tels que :</w:t>
            </w:r>
          </w:p>
          <w:p w14:paraId="4A4AFA2F" w14:textId="77777777" w:rsidR="00FF4BC8" w:rsidRPr="00743D4B" w:rsidRDefault="00FF4BC8" w:rsidP="00FF4BC8">
            <w:pPr>
              <w:pStyle w:val="ListParagraph"/>
              <w:numPr>
                <w:ilvl w:val="0"/>
                <w:numId w:val="14"/>
              </w:numPr>
              <w:rPr>
                <w:rFonts w:eastAsia="TimesNewRoman"/>
                <w:sz w:val="22"/>
                <w:szCs w:val="22"/>
              </w:rPr>
            </w:pPr>
            <w:r>
              <w:rPr>
                <w:sz w:val="22"/>
              </w:rPr>
              <w:t>œdème cérébral diffus à la neuro-imagerie, ou</w:t>
            </w:r>
          </w:p>
          <w:p w14:paraId="396CC407" w14:textId="77777777" w:rsidR="00FF4BC8" w:rsidRPr="00743D4B" w:rsidRDefault="00FF4BC8" w:rsidP="00FF4BC8">
            <w:pPr>
              <w:pStyle w:val="ListParagraph"/>
              <w:numPr>
                <w:ilvl w:val="0"/>
                <w:numId w:val="14"/>
              </w:numPr>
              <w:rPr>
                <w:rFonts w:eastAsia="TimesNewRoman"/>
                <w:sz w:val="22"/>
                <w:szCs w:val="22"/>
              </w:rPr>
            </w:pPr>
            <w:r>
              <w:rPr>
                <w:sz w:val="22"/>
              </w:rPr>
              <w:t>posture décérébrée ou décortiquée, ou</w:t>
            </w:r>
          </w:p>
          <w:p w14:paraId="1CA90A0D" w14:textId="77777777" w:rsidR="00FF4BC8" w:rsidRPr="00743D4B" w:rsidRDefault="00FF4BC8" w:rsidP="00FF4BC8">
            <w:pPr>
              <w:pStyle w:val="ListParagraph"/>
              <w:numPr>
                <w:ilvl w:val="0"/>
                <w:numId w:val="14"/>
              </w:numPr>
              <w:rPr>
                <w:rFonts w:eastAsia="TimesNewRoman"/>
                <w:sz w:val="22"/>
                <w:szCs w:val="22"/>
              </w:rPr>
            </w:pPr>
            <w:r>
              <w:rPr>
                <w:sz w:val="22"/>
              </w:rPr>
              <w:t>paralysie du nerf crânien VI, ou</w:t>
            </w:r>
          </w:p>
          <w:p w14:paraId="1BF34F78" w14:textId="77777777" w:rsidR="00FF4BC8" w:rsidRPr="00743D4B" w:rsidRDefault="00FF4BC8" w:rsidP="00FF4BC8">
            <w:pPr>
              <w:pStyle w:val="ListParagraph"/>
              <w:numPr>
                <w:ilvl w:val="0"/>
                <w:numId w:val="14"/>
              </w:numPr>
              <w:rPr>
                <w:rFonts w:eastAsia="TimesNewRoman"/>
                <w:sz w:val="22"/>
                <w:szCs w:val="22"/>
              </w:rPr>
            </w:pPr>
            <w:r>
              <w:rPr>
                <w:sz w:val="22"/>
              </w:rPr>
              <w:t>œdème papillaire, ou</w:t>
            </w:r>
          </w:p>
          <w:p w14:paraId="603C71A7" w14:textId="77777777" w:rsidR="00FF4BC8" w:rsidRPr="00743D4B" w:rsidRDefault="00FF4BC8" w:rsidP="00FF4BC8">
            <w:pPr>
              <w:pStyle w:val="ListParagraph"/>
              <w:numPr>
                <w:ilvl w:val="0"/>
                <w:numId w:val="14"/>
              </w:numPr>
              <w:rPr>
                <w:rFonts w:eastAsia="TimesNewRoman"/>
                <w:sz w:val="22"/>
                <w:szCs w:val="22"/>
              </w:rPr>
            </w:pPr>
            <w:r>
              <w:rPr>
                <w:sz w:val="22"/>
              </w:rPr>
              <w:t>triade de Cushing</w:t>
            </w:r>
          </w:p>
        </w:tc>
        <w:tc>
          <w:tcPr>
            <w:tcW w:w="4610" w:type="dxa"/>
            <w:tcBorders>
              <w:bottom w:val="single" w:sz="4" w:space="0" w:color="auto"/>
            </w:tcBorders>
          </w:tcPr>
          <w:p w14:paraId="09E10351" w14:textId="37CD28F5" w:rsidR="00FF4BC8" w:rsidRPr="00743D4B" w:rsidRDefault="00FF4BC8" w:rsidP="00FF4BC8">
            <w:pPr>
              <w:pStyle w:val="ListParagraph"/>
              <w:numPr>
                <w:ilvl w:val="0"/>
                <w:numId w:val="13"/>
              </w:numPr>
              <w:rPr>
                <w:sz w:val="22"/>
                <w:szCs w:val="22"/>
              </w:rPr>
            </w:pPr>
            <w:r>
              <w:rPr>
                <w:sz w:val="22"/>
              </w:rPr>
              <w:lastRenderedPageBreak/>
              <w:t xml:space="preserve">Arrêter définitivement </w:t>
            </w:r>
            <w:r w:rsidR="00092879">
              <w:rPr>
                <w:sz w:val="22"/>
              </w:rPr>
              <w:t>le traitement</w:t>
            </w:r>
            <w:r>
              <w:rPr>
                <w:sz w:val="22"/>
              </w:rPr>
              <w:t>.</w:t>
            </w:r>
          </w:p>
          <w:p w14:paraId="1848E044" w14:textId="0E511C13" w:rsidR="00FF4BC8" w:rsidRPr="00743D4B" w:rsidRDefault="00FF4BC8" w:rsidP="00FF4BC8">
            <w:pPr>
              <w:pStyle w:val="ListParagraph"/>
              <w:numPr>
                <w:ilvl w:val="0"/>
                <w:numId w:val="13"/>
              </w:numPr>
              <w:rPr>
                <w:sz w:val="22"/>
                <w:szCs w:val="22"/>
              </w:rPr>
            </w:pPr>
            <w:r>
              <w:rPr>
                <w:sz w:val="22"/>
              </w:rPr>
              <w:t>Administrer 10 mg de dexaméthasone</w:t>
            </w:r>
            <w:r>
              <w:rPr>
                <w:sz w:val="22"/>
                <w:vertAlign w:val="superscript"/>
              </w:rPr>
              <w:t>f</w:t>
            </w:r>
            <w:r>
              <w:rPr>
                <w:sz w:val="22"/>
              </w:rPr>
              <w:t xml:space="preserve"> par voie intraveineuse toutes les 6 heures. Poursuivre l’utilisation de la dexaméthasone jusqu’à la résolution </w:t>
            </w:r>
            <w:r w:rsidR="00A3199C">
              <w:rPr>
                <w:sz w:val="22"/>
              </w:rPr>
              <w:t>à un grade inférieur ou égal à 1</w:t>
            </w:r>
            <w:r>
              <w:rPr>
                <w:sz w:val="22"/>
              </w:rPr>
              <w:t xml:space="preserve">, puis </w:t>
            </w:r>
            <w:r w:rsidR="00A3199C">
              <w:rPr>
                <w:sz w:val="22"/>
              </w:rPr>
              <w:t>diminuer</w:t>
            </w:r>
            <w:r>
              <w:rPr>
                <w:sz w:val="22"/>
              </w:rPr>
              <w:t xml:space="preserve"> progressivement.</w:t>
            </w:r>
          </w:p>
          <w:p w14:paraId="3ED06021" w14:textId="77777777" w:rsidR="00FF4BC8" w:rsidRPr="00743D4B" w:rsidRDefault="00FF4BC8" w:rsidP="00FF4BC8">
            <w:pPr>
              <w:pStyle w:val="ListParagraph"/>
              <w:numPr>
                <w:ilvl w:val="0"/>
                <w:numId w:val="13"/>
              </w:numPr>
              <w:rPr>
                <w:sz w:val="22"/>
                <w:szCs w:val="22"/>
              </w:rPr>
            </w:pPr>
            <w:r>
              <w:rPr>
                <w:sz w:val="22"/>
              </w:rPr>
              <w:t>Une autre solution consiste à envisager l’administration de 1 000 mg de méthylprednisolone par jour par voie intraveineuse pendant 3 jours.</w:t>
            </w:r>
          </w:p>
          <w:p w14:paraId="5B049A25" w14:textId="77777777" w:rsidR="00FF4BC8" w:rsidRPr="00743D4B" w:rsidRDefault="00FF4BC8" w:rsidP="00FF4BC8">
            <w:pPr>
              <w:pStyle w:val="ListParagraph"/>
              <w:numPr>
                <w:ilvl w:val="0"/>
                <w:numId w:val="13"/>
              </w:numPr>
              <w:rPr>
                <w:sz w:val="22"/>
                <w:szCs w:val="22"/>
              </w:rPr>
            </w:pPr>
            <w:r>
              <w:rPr>
                <w:sz w:val="22"/>
              </w:rPr>
              <w:t xml:space="preserve">Surveiller les symptômes neurologiques et envisager de consulter un neurologue et </w:t>
            </w:r>
            <w:r>
              <w:rPr>
                <w:sz w:val="22"/>
              </w:rPr>
              <w:lastRenderedPageBreak/>
              <w:t>d’autres spécialistes pour une évaluation et une prise en charge plus approfondies.</w:t>
            </w:r>
          </w:p>
          <w:p w14:paraId="5A9A5435" w14:textId="2C367235" w:rsidR="00FF4BC8" w:rsidRPr="00743D4B" w:rsidRDefault="00FF4BC8" w:rsidP="00FF4BC8">
            <w:pPr>
              <w:pStyle w:val="ListParagraph"/>
              <w:numPr>
                <w:ilvl w:val="0"/>
                <w:numId w:val="13"/>
              </w:numPr>
              <w:rPr>
                <w:sz w:val="22"/>
                <w:szCs w:val="22"/>
              </w:rPr>
            </w:pPr>
            <w:r>
              <w:rPr>
                <w:sz w:val="22"/>
              </w:rPr>
              <w:t xml:space="preserve">Envisager l’instauration de médicaments anticonvulsivants non sédatifs (par exemple, lévétiracétam) pour la </w:t>
            </w:r>
            <w:r w:rsidR="00A3199C">
              <w:rPr>
                <w:sz w:val="22"/>
              </w:rPr>
              <w:t xml:space="preserve">prévention </w:t>
            </w:r>
            <w:r>
              <w:rPr>
                <w:sz w:val="22"/>
              </w:rPr>
              <w:t xml:space="preserve">des </w:t>
            </w:r>
            <w:r w:rsidR="007D1C7B" w:rsidRPr="007D1C7B">
              <w:rPr>
                <w:sz w:val="22"/>
              </w:rPr>
              <w:t>crises convulsives</w:t>
            </w:r>
            <w:r>
              <w:rPr>
                <w:sz w:val="22"/>
              </w:rPr>
              <w:t>.</w:t>
            </w:r>
          </w:p>
          <w:p w14:paraId="6D9D5C21" w14:textId="1234EE9C" w:rsidR="00FF4BC8" w:rsidRPr="00743D4B" w:rsidRDefault="00D81253" w:rsidP="00FF4BC8">
            <w:pPr>
              <w:pStyle w:val="ListParagraph"/>
              <w:numPr>
                <w:ilvl w:val="0"/>
                <w:numId w:val="13"/>
              </w:numPr>
              <w:rPr>
                <w:sz w:val="22"/>
                <w:szCs w:val="22"/>
              </w:rPr>
            </w:pPr>
            <w:r>
              <w:rPr>
                <w:sz w:val="22"/>
              </w:rPr>
              <w:t xml:space="preserve">Instaurer des soins </w:t>
            </w:r>
            <w:r w:rsidR="00FF4BC8">
              <w:rPr>
                <w:sz w:val="22"/>
              </w:rPr>
              <w:t>de s</w:t>
            </w:r>
            <w:r w:rsidR="00A3199C">
              <w:rPr>
                <w:sz w:val="22"/>
              </w:rPr>
              <w:t>upport</w:t>
            </w:r>
            <w:r w:rsidR="00FF4BC8">
              <w:rPr>
                <w:sz w:val="22"/>
              </w:rPr>
              <w:t>, pouvant inclure des soins intensifs.</w:t>
            </w:r>
          </w:p>
        </w:tc>
      </w:tr>
      <w:tr w:rsidR="00FF4BC8" w14:paraId="546730E0" w14:textId="77777777" w:rsidTr="003D08BD">
        <w:trPr>
          <w:trHeight w:val="1252"/>
        </w:trPr>
        <w:tc>
          <w:tcPr>
            <w:tcW w:w="10037" w:type="dxa"/>
            <w:gridSpan w:val="3"/>
            <w:tcBorders>
              <w:top w:val="nil"/>
              <w:left w:val="nil"/>
              <w:bottom w:val="nil"/>
              <w:right w:val="nil"/>
            </w:tcBorders>
          </w:tcPr>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1"/>
            </w:tblGrid>
            <w:tr w:rsidR="00FF4BC8" w14:paraId="6EB10A59" w14:textId="77777777" w:rsidTr="004F07E4">
              <w:trPr>
                <w:trHeight w:val="201"/>
              </w:trPr>
              <w:tc>
                <w:tcPr>
                  <w:tcW w:w="9821" w:type="dxa"/>
                </w:tcPr>
                <w:p w14:paraId="788057B1" w14:textId="77777777" w:rsidR="00FF4BC8" w:rsidRPr="00A64757"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A64757">
                    <w:rPr>
                      <w:rFonts w:ascii="Times New Roman" w:hAnsi="Times New Roman"/>
                      <w:b w:val="0"/>
                      <w:sz w:val="18"/>
                    </w:rPr>
                    <w:lastRenderedPageBreak/>
                    <w:t>Abréviations = encéphalopathie associée aux cellules effectrices immunitaires (ICE).</w:t>
                  </w:r>
                </w:p>
              </w:tc>
            </w:tr>
            <w:tr w:rsidR="00FF4BC8" w14:paraId="6DEB07C2" w14:textId="77777777" w:rsidTr="004F07E4">
              <w:trPr>
                <w:trHeight w:val="201"/>
              </w:trPr>
              <w:tc>
                <w:tcPr>
                  <w:tcW w:w="9821" w:type="dxa"/>
                </w:tcPr>
                <w:p w14:paraId="18E6EBA6" w14:textId="62ADC586" w:rsidR="00FF4BC8" w:rsidRPr="00A64757"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A64757">
                    <w:rPr>
                      <w:rFonts w:ascii="Times New Roman" w:hAnsi="Times New Roman"/>
                      <w:b w:val="0"/>
                      <w:sz w:val="18"/>
                    </w:rPr>
                    <w:t>a.</w:t>
                  </w:r>
                  <w:r w:rsidRPr="00A64757">
                    <w:rPr>
                      <w:rFonts w:ascii="Times New Roman" w:hAnsi="Times New Roman"/>
                      <w:b w:val="0"/>
                      <w:sz w:val="18"/>
                    </w:rPr>
                    <w:tab/>
                    <w:t xml:space="preserve">D’après la classification 2019 de l’American </w:t>
                  </w:r>
                  <w:r w:rsidR="004E41FF" w:rsidRPr="00A64757">
                    <w:rPr>
                      <w:rFonts w:ascii="Times New Roman" w:hAnsi="Times New Roman"/>
                      <w:b w:val="0"/>
                      <w:sz w:val="18"/>
                    </w:rPr>
                    <w:t>s</w:t>
                  </w:r>
                  <w:r w:rsidRPr="00A64757">
                    <w:rPr>
                      <w:rFonts w:ascii="Times New Roman" w:hAnsi="Times New Roman"/>
                      <w:b w:val="0"/>
                      <w:sz w:val="18"/>
                    </w:rPr>
                    <w:t xml:space="preserve">ociety for </w:t>
                  </w:r>
                  <w:r w:rsidR="004E41FF" w:rsidRPr="00A64757">
                    <w:rPr>
                      <w:rFonts w:ascii="Times New Roman" w:hAnsi="Times New Roman"/>
                      <w:b w:val="0"/>
                      <w:sz w:val="18"/>
                    </w:rPr>
                    <w:t>t</w:t>
                  </w:r>
                  <w:r w:rsidRPr="00A64757">
                    <w:rPr>
                      <w:rFonts w:ascii="Times New Roman" w:hAnsi="Times New Roman"/>
                      <w:b w:val="0"/>
                      <w:sz w:val="18"/>
                    </w:rPr>
                    <w:t xml:space="preserve">ransplantation and </w:t>
                  </w:r>
                  <w:r w:rsidR="004E41FF" w:rsidRPr="00A64757">
                    <w:rPr>
                      <w:rFonts w:ascii="Times New Roman" w:hAnsi="Times New Roman"/>
                      <w:b w:val="0"/>
                      <w:sz w:val="18"/>
                    </w:rPr>
                    <w:t>c</w:t>
                  </w:r>
                  <w:r w:rsidRPr="00A64757">
                    <w:rPr>
                      <w:rFonts w:ascii="Times New Roman" w:hAnsi="Times New Roman"/>
                      <w:b w:val="0"/>
                      <w:sz w:val="18"/>
                    </w:rPr>
                    <w:t xml:space="preserve">ellular </w:t>
                  </w:r>
                  <w:r w:rsidR="004E41FF" w:rsidRPr="00A64757">
                    <w:rPr>
                      <w:rFonts w:ascii="Times New Roman" w:hAnsi="Times New Roman"/>
                      <w:b w:val="0"/>
                      <w:sz w:val="18"/>
                    </w:rPr>
                    <w:t>t</w:t>
                  </w:r>
                  <w:r w:rsidRPr="00A64757">
                    <w:rPr>
                      <w:rFonts w:ascii="Times New Roman" w:hAnsi="Times New Roman"/>
                      <w:b w:val="0"/>
                      <w:sz w:val="18"/>
                    </w:rPr>
                    <w:t>herapy (ASTCT) pour l’ICANS.</w:t>
                  </w:r>
                </w:p>
              </w:tc>
            </w:tr>
            <w:tr w:rsidR="00FF4BC8" w14:paraId="40C6A571" w14:textId="77777777" w:rsidTr="004F07E4">
              <w:trPr>
                <w:trHeight w:val="216"/>
              </w:trPr>
              <w:tc>
                <w:tcPr>
                  <w:tcW w:w="9821" w:type="dxa"/>
                </w:tcPr>
                <w:p w14:paraId="6C95901D" w14:textId="77777777" w:rsidR="00FF4BC8" w:rsidRPr="00A64757" w:rsidRDefault="00FF4BC8" w:rsidP="004F07E4">
                  <w:pPr>
                    <w:tabs>
                      <w:tab w:val="clear" w:pos="567"/>
                      <w:tab w:val="left" w:pos="547"/>
                    </w:tabs>
                    <w:spacing w:line="240" w:lineRule="auto"/>
                    <w:ind w:left="547" w:hanging="547"/>
                    <w:rPr>
                      <w:sz w:val="18"/>
                      <w:szCs w:val="18"/>
                    </w:rPr>
                  </w:pPr>
                  <w:r w:rsidRPr="00A64757">
                    <w:rPr>
                      <w:sz w:val="18"/>
                    </w:rPr>
                    <w:t>b.</w:t>
                  </w:r>
                  <w:r w:rsidRPr="00A64757">
                    <w:rPr>
                      <w:sz w:val="18"/>
                    </w:rPr>
                    <w:tab/>
                    <w:t>La prise en charge est déterminée par l’événement le plus sévère, non imputable à une autre cause.</w:t>
                  </w:r>
                </w:p>
              </w:tc>
            </w:tr>
            <w:tr w:rsidR="00FF4BC8" w14:paraId="1AD1D043" w14:textId="77777777" w:rsidTr="004F07E4">
              <w:trPr>
                <w:trHeight w:val="851"/>
              </w:trPr>
              <w:tc>
                <w:tcPr>
                  <w:tcW w:w="9821" w:type="dxa"/>
                </w:tcPr>
                <w:p w14:paraId="1FC5B219" w14:textId="7A827C34" w:rsidR="00FF4BC8" w:rsidRPr="00A64757" w:rsidRDefault="00FF4BC8" w:rsidP="004F07E4">
                  <w:pPr>
                    <w:tabs>
                      <w:tab w:val="clear" w:pos="567"/>
                      <w:tab w:val="left" w:pos="547"/>
                    </w:tabs>
                    <w:spacing w:line="240" w:lineRule="auto"/>
                    <w:ind w:left="547" w:hanging="547"/>
                    <w:rPr>
                      <w:sz w:val="18"/>
                      <w:szCs w:val="18"/>
                    </w:rPr>
                  </w:pPr>
                  <w:r w:rsidRPr="00A64757">
                    <w:rPr>
                      <w:sz w:val="18"/>
                    </w:rPr>
                    <w:t>c.</w:t>
                  </w:r>
                  <w:r w:rsidRPr="00A64757">
                    <w:rPr>
                      <w:sz w:val="18"/>
                    </w:rPr>
                    <w:tab/>
                    <w:t xml:space="preserve">Si le patient </w:t>
                  </w:r>
                  <w:r w:rsidR="00D97FB1" w:rsidRPr="00A64757">
                    <w:rPr>
                      <w:sz w:val="18"/>
                    </w:rPr>
                    <w:t>peut être réveillé</w:t>
                  </w:r>
                  <w:r w:rsidRPr="00A64757">
                    <w:rPr>
                      <w:sz w:val="18"/>
                    </w:rPr>
                    <w:t xml:space="preserve"> et </w:t>
                  </w:r>
                  <w:r w:rsidR="00E14A4C" w:rsidRPr="00A64757">
                    <w:rPr>
                      <w:sz w:val="18"/>
                    </w:rPr>
                    <w:t xml:space="preserve">est </w:t>
                  </w:r>
                  <w:r w:rsidRPr="00A64757">
                    <w:rPr>
                      <w:sz w:val="18"/>
                    </w:rPr>
                    <w:t>capable d’effectuer l’</w:t>
                  </w:r>
                  <w:r w:rsidR="00E14A4C" w:rsidRPr="00A64757">
                    <w:rPr>
                      <w:sz w:val="18"/>
                    </w:rPr>
                    <w:t>examen </w:t>
                  </w:r>
                  <w:r w:rsidRPr="00A64757">
                    <w:rPr>
                      <w:sz w:val="18"/>
                    </w:rPr>
                    <w:t xml:space="preserve">ICE, évaluer les éléments suivants :  </w:t>
                  </w:r>
                </w:p>
                <w:p w14:paraId="7E4E3EF2" w14:textId="0CE882B1" w:rsidR="00FF4BC8" w:rsidRPr="00A64757" w:rsidRDefault="00FF4BC8" w:rsidP="004F07E4">
                  <w:pPr>
                    <w:tabs>
                      <w:tab w:val="clear" w:pos="567"/>
                      <w:tab w:val="left" w:pos="547"/>
                    </w:tabs>
                    <w:spacing w:line="240" w:lineRule="auto"/>
                    <w:ind w:left="547"/>
                    <w:rPr>
                      <w:sz w:val="18"/>
                      <w:szCs w:val="18"/>
                    </w:rPr>
                  </w:pPr>
                  <w:r w:rsidRPr="00A64757">
                    <w:rPr>
                      <w:sz w:val="18"/>
                    </w:rPr>
                    <w:t>orientation (année, mois, ville, hôpital = 4 points) ; dénomination (nommer 3 objets, par exemple, montrer une horloge, un stylo, un bouton = 3 points) ; suivre des instructions (par exemple, « montrez-moi 2 doigts » ou « fermez les yeux et tirez la langue » = 1 point) ; écriture (capacité à écrire une phrase standard = 1 point) ; et attention (compter à rebours à partir de 100 par dix = 1 point). Si le patient n</w:t>
                  </w:r>
                  <w:r w:rsidR="00D97FB1" w:rsidRPr="00A64757">
                    <w:rPr>
                      <w:sz w:val="18"/>
                    </w:rPr>
                    <w:t>e</w:t>
                  </w:r>
                  <w:r w:rsidRPr="00A64757">
                    <w:rPr>
                      <w:sz w:val="18"/>
                    </w:rPr>
                    <w:t xml:space="preserve"> </w:t>
                  </w:r>
                  <w:r w:rsidR="00D97FB1" w:rsidRPr="00A64757">
                    <w:rPr>
                      <w:sz w:val="18"/>
                    </w:rPr>
                    <w:t xml:space="preserve">peut </w:t>
                  </w:r>
                  <w:r w:rsidRPr="00A64757">
                    <w:rPr>
                      <w:sz w:val="18"/>
                    </w:rPr>
                    <w:t xml:space="preserve">pas </w:t>
                  </w:r>
                  <w:r w:rsidR="00D97FB1" w:rsidRPr="00A64757">
                    <w:rPr>
                      <w:sz w:val="18"/>
                    </w:rPr>
                    <w:t xml:space="preserve">être réveillé </w:t>
                  </w:r>
                  <w:r w:rsidRPr="00A64757">
                    <w:rPr>
                      <w:sz w:val="18"/>
                    </w:rPr>
                    <w:t>et n’est pas en mesure d’effectuer l’</w:t>
                  </w:r>
                  <w:r w:rsidR="00306586" w:rsidRPr="00A64757">
                    <w:rPr>
                      <w:sz w:val="18"/>
                    </w:rPr>
                    <w:t>examen </w:t>
                  </w:r>
                  <w:r w:rsidRPr="00A64757">
                    <w:rPr>
                      <w:sz w:val="18"/>
                    </w:rPr>
                    <w:t>ICE (ICANS de grade 4) = 0 point.</w:t>
                  </w:r>
                </w:p>
              </w:tc>
            </w:tr>
            <w:tr w:rsidR="00FF4BC8" w14:paraId="7BB72F55" w14:textId="77777777" w:rsidTr="004F07E4">
              <w:trPr>
                <w:trHeight w:val="216"/>
              </w:trPr>
              <w:tc>
                <w:tcPr>
                  <w:tcW w:w="9821" w:type="dxa"/>
                </w:tcPr>
                <w:p w14:paraId="7E2F6809" w14:textId="77777777" w:rsidR="00FF4BC8" w:rsidRPr="00A64757" w:rsidRDefault="00FF4BC8" w:rsidP="004F07E4">
                  <w:pPr>
                    <w:tabs>
                      <w:tab w:val="clear" w:pos="567"/>
                      <w:tab w:val="left" w:pos="547"/>
                    </w:tabs>
                    <w:spacing w:line="240" w:lineRule="auto"/>
                    <w:ind w:left="547" w:hanging="547"/>
                    <w:rPr>
                      <w:sz w:val="18"/>
                      <w:szCs w:val="18"/>
                    </w:rPr>
                  </w:pPr>
                  <w:r w:rsidRPr="00A64757">
                    <w:rPr>
                      <w:sz w:val="18"/>
                    </w:rPr>
                    <w:t>d.</w:t>
                  </w:r>
                  <w:r w:rsidRPr="00A64757">
                    <w:rPr>
                      <w:sz w:val="18"/>
                    </w:rPr>
                    <w:tab/>
                    <w:t>Non imputable à une autre cause.</w:t>
                  </w:r>
                </w:p>
              </w:tc>
            </w:tr>
            <w:tr w:rsidR="00FF4BC8" w14:paraId="337DAFBA" w14:textId="77777777" w:rsidTr="004F07E4">
              <w:trPr>
                <w:trHeight w:val="216"/>
              </w:trPr>
              <w:tc>
                <w:tcPr>
                  <w:tcW w:w="9821" w:type="dxa"/>
                </w:tcPr>
                <w:p w14:paraId="3D9FB8B4" w14:textId="28CA863D" w:rsidR="00FF4BC8" w:rsidRPr="00A64757" w:rsidRDefault="00FF4BC8" w:rsidP="004F07E4">
                  <w:pPr>
                    <w:tabs>
                      <w:tab w:val="clear" w:pos="567"/>
                      <w:tab w:val="left" w:pos="547"/>
                    </w:tabs>
                    <w:spacing w:line="240" w:lineRule="auto"/>
                    <w:ind w:left="547" w:hanging="547"/>
                    <w:rPr>
                      <w:sz w:val="18"/>
                      <w:szCs w:val="18"/>
                    </w:rPr>
                  </w:pPr>
                  <w:r w:rsidRPr="00A64757">
                    <w:rPr>
                      <w:sz w:val="18"/>
                    </w:rPr>
                    <w:t>e.</w:t>
                  </w:r>
                  <w:r w:rsidRPr="00A64757">
                    <w:rPr>
                      <w:sz w:val="18"/>
                    </w:rPr>
                    <w:tab/>
                    <w:t xml:space="preserve">Voir tableau 5 pour obtenir les recommandations sur la reprise du traitement par ELREXFIO après des reports </w:t>
                  </w:r>
                  <w:r w:rsidR="00894232" w:rsidRPr="00A64757">
                    <w:rPr>
                      <w:sz w:val="18"/>
                    </w:rPr>
                    <w:t>de dose</w:t>
                  </w:r>
                  <w:r w:rsidRPr="00A64757">
                    <w:rPr>
                      <w:sz w:val="18"/>
                    </w:rPr>
                    <w:t>.</w:t>
                  </w:r>
                </w:p>
              </w:tc>
            </w:tr>
            <w:tr w:rsidR="00FF4BC8" w14:paraId="4B705EA3" w14:textId="77777777" w:rsidTr="004F07E4">
              <w:trPr>
                <w:trHeight w:val="216"/>
              </w:trPr>
              <w:tc>
                <w:tcPr>
                  <w:tcW w:w="9821" w:type="dxa"/>
                </w:tcPr>
                <w:p w14:paraId="77CB4058" w14:textId="77777777" w:rsidR="00FF4BC8" w:rsidRPr="00A64757"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A64757">
                    <w:rPr>
                      <w:rFonts w:ascii="Times New Roman" w:hAnsi="Times New Roman"/>
                      <w:b w:val="0"/>
                      <w:sz w:val="18"/>
                    </w:rPr>
                    <w:t>f.</w:t>
                  </w:r>
                  <w:r w:rsidRPr="00A64757">
                    <w:rPr>
                      <w:rFonts w:ascii="Times New Roman" w:hAnsi="Times New Roman"/>
                      <w:b w:val="0"/>
                      <w:sz w:val="18"/>
                    </w:rPr>
                    <w:tab/>
                    <w:t>Toutes les références à l’administration de dexaméthasone concernent la dexaméthasone ou des médicaments équivalents.</w:t>
                  </w:r>
                </w:p>
              </w:tc>
            </w:tr>
          </w:tbl>
          <w:p w14:paraId="30EB77FF" w14:textId="77777777" w:rsidR="00FF4BC8" w:rsidRPr="00A64757"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15CAE6E8" w14:textId="77777777" w:rsidR="00FF4BC8" w:rsidRDefault="00FF4BC8" w:rsidP="00FF4BC8">
      <w:pPr>
        <w:spacing w:line="240" w:lineRule="auto"/>
      </w:pPr>
    </w:p>
    <w:p w14:paraId="00CAAEB8" w14:textId="4C086F6D" w:rsidR="007F4E40" w:rsidRPr="007F4E40" w:rsidRDefault="007F4E40" w:rsidP="00FF4BC8">
      <w:pPr>
        <w:spacing w:line="240" w:lineRule="auto"/>
        <w:rPr>
          <w:b/>
          <w:bCs/>
        </w:rPr>
      </w:pPr>
      <w:r w:rsidRPr="007F4E40">
        <w:rPr>
          <w:b/>
          <w:bCs/>
        </w:rPr>
        <w:t>Tableau 4.</w:t>
      </w:r>
      <w:r w:rsidRPr="007F4E40">
        <w:rPr>
          <w:b/>
          <w:bCs/>
          <w:szCs w:val="22"/>
        </w:rPr>
        <w:tab/>
      </w:r>
      <w:r w:rsidRPr="007F4E40">
        <w:rPr>
          <w:b/>
          <w:bCs/>
        </w:rPr>
        <w:t>Recommandations en cas d’autres effets indésirables</w:t>
      </w:r>
    </w:p>
    <w:tbl>
      <w:tblPr>
        <w:tblStyle w:val="TableGrid"/>
        <w:tblW w:w="9360" w:type="dxa"/>
        <w:tblInd w:w="-5" w:type="dxa"/>
        <w:tblLayout w:type="fixed"/>
        <w:tblLook w:val="04A0" w:firstRow="1" w:lastRow="0" w:firstColumn="1" w:lastColumn="0" w:noHBand="0" w:noVBand="1"/>
      </w:tblPr>
      <w:tblGrid>
        <w:gridCol w:w="2520"/>
        <w:gridCol w:w="3600"/>
        <w:gridCol w:w="3240"/>
      </w:tblGrid>
      <w:tr w:rsidR="00FF4BC8" w14:paraId="56F74FB7" w14:textId="77777777" w:rsidTr="007F4E40">
        <w:trPr>
          <w:trHeight w:val="234"/>
          <w:tblHeader/>
        </w:trPr>
        <w:tc>
          <w:tcPr>
            <w:tcW w:w="2520" w:type="dxa"/>
            <w:tcBorders>
              <w:top w:val="single" w:sz="4" w:space="0" w:color="auto"/>
            </w:tcBorders>
          </w:tcPr>
          <w:p w14:paraId="033C5B4F" w14:textId="77777777" w:rsidR="00FF4BC8" w:rsidRPr="00A64757" w:rsidRDefault="00FF4BC8" w:rsidP="00C44D50">
            <w:pPr>
              <w:pStyle w:val="PIHeading2"/>
              <w:keepLines w:val="0"/>
              <w:tabs>
                <w:tab w:val="left" w:pos="540"/>
              </w:tabs>
              <w:spacing w:before="0" w:after="0"/>
              <w:rPr>
                <w:rFonts w:ascii="Times New Roman" w:hAnsi="Times New Roman"/>
                <w:b w:val="0"/>
                <w:sz w:val="20"/>
                <w:vertAlign w:val="superscript"/>
              </w:rPr>
            </w:pPr>
            <w:r>
              <w:rPr>
                <w:rFonts w:ascii="Times New Roman" w:hAnsi="Times New Roman"/>
                <w:sz w:val="22"/>
              </w:rPr>
              <w:t>Effets indésirables</w:t>
            </w:r>
          </w:p>
        </w:tc>
        <w:tc>
          <w:tcPr>
            <w:tcW w:w="3600" w:type="dxa"/>
            <w:tcBorders>
              <w:top w:val="single" w:sz="4" w:space="0" w:color="auto"/>
            </w:tcBorders>
          </w:tcPr>
          <w:p w14:paraId="3D87A52A" w14:textId="77777777" w:rsidR="00FF4BC8" w:rsidRPr="00743D4B" w:rsidRDefault="00FF4BC8" w:rsidP="00C44D50">
            <w:pPr>
              <w:pStyle w:val="PIHeading2"/>
              <w:keepLines w:val="0"/>
              <w:tabs>
                <w:tab w:val="left" w:pos="540"/>
              </w:tabs>
              <w:spacing w:before="0" w:after="0"/>
              <w:rPr>
                <w:rFonts w:ascii="Times New Roman" w:hAnsi="Times New Roman"/>
                <w:sz w:val="22"/>
                <w:szCs w:val="22"/>
              </w:rPr>
            </w:pPr>
            <w:r>
              <w:rPr>
                <w:rFonts w:ascii="Times New Roman" w:hAnsi="Times New Roman"/>
                <w:sz w:val="22"/>
              </w:rPr>
              <w:t>Sévérité</w:t>
            </w:r>
          </w:p>
        </w:tc>
        <w:tc>
          <w:tcPr>
            <w:tcW w:w="3240" w:type="dxa"/>
            <w:tcBorders>
              <w:top w:val="single" w:sz="4" w:space="0" w:color="auto"/>
            </w:tcBorders>
          </w:tcPr>
          <w:p w14:paraId="17D81055" w14:textId="77777777" w:rsidR="00FF4BC8" w:rsidRPr="00743D4B" w:rsidRDefault="00FF4BC8" w:rsidP="00C44D50">
            <w:pPr>
              <w:pStyle w:val="PIHeading2"/>
              <w:keepLines w:val="0"/>
              <w:tabs>
                <w:tab w:val="left" w:pos="540"/>
              </w:tabs>
              <w:spacing w:before="0" w:after="0"/>
              <w:rPr>
                <w:rFonts w:ascii="Times New Roman" w:hAnsi="Times New Roman"/>
                <w:sz w:val="22"/>
                <w:szCs w:val="22"/>
              </w:rPr>
            </w:pPr>
            <w:r>
              <w:rPr>
                <w:rFonts w:ascii="Times New Roman" w:hAnsi="Times New Roman"/>
                <w:sz w:val="22"/>
              </w:rPr>
              <w:t>Mesures</w:t>
            </w:r>
          </w:p>
        </w:tc>
      </w:tr>
      <w:tr w:rsidR="00FF4BC8" w14:paraId="2522031C" w14:textId="77777777" w:rsidTr="007F4E40">
        <w:trPr>
          <w:trHeight w:val="791"/>
        </w:trPr>
        <w:tc>
          <w:tcPr>
            <w:tcW w:w="2520" w:type="dxa"/>
            <w:vMerge w:val="restart"/>
          </w:tcPr>
          <w:p w14:paraId="68B9FA37" w14:textId="77777777" w:rsidR="00FF4BC8" w:rsidRPr="00743D4B" w:rsidRDefault="00FF4BC8" w:rsidP="00C44D50">
            <w:pPr>
              <w:pStyle w:val="PIHeading2"/>
              <w:keepLines w:val="0"/>
              <w:shd w:val="clear" w:color="auto" w:fill="FFFFFF"/>
              <w:tabs>
                <w:tab w:val="left" w:pos="540"/>
              </w:tabs>
              <w:spacing w:before="0" w:after="0"/>
              <w:rPr>
                <w:rFonts w:ascii="Times New Roman" w:hAnsi="Times New Roman"/>
                <w:b w:val="0"/>
                <w:i/>
                <w:sz w:val="22"/>
                <w:szCs w:val="22"/>
              </w:rPr>
            </w:pPr>
            <w:r>
              <w:rPr>
                <w:rFonts w:ascii="Times New Roman" w:hAnsi="Times New Roman"/>
                <w:b w:val="0"/>
                <w:sz w:val="22"/>
              </w:rPr>
              <w:t>Effets indésirables hématologiques</w:t>
            </w:r>
          </w:p>
          <w:p w14:paraId="41C10EE9" w14:textId="77777777" w:rsidR="00FF4BC8" w:rsidRPr="00743D4B" w:rsidRDefault="00FF4BC8" w:rsidP="00C44D50">
            <w:pPr>
              <w:pStyle w:val="PIHeading2"/>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(voir rubrique 4.8)</w:t>
            </w:r>
          </w:p>
          <w:p w14:paraId="2665CEF2" w14:textId="77777777" w:rsidR="00FF4BC8" w:rsidRPr="00743D4B" w:rsidRDefault="00FF4BC8" w:rsidP="00C44D50">
            <w:pPr>
              <w:pStyle w:val="PIHeading2"/>
              <w:keepLines w:val="0"/>
              <w:shd w:val="clear" w:color="auto" w:fill="FFFFFF"/>
              <w:tabs>
                <w:tab w:val="left" w:pos="540"/>
              </w:tabs>
              <w:spacing w:before="0" w:after="0"/>
              <w:rPr>
                <w:rFonts w:ascii="Times New Roman" w:hAnsi="Times New Roman"/>
                <w:b w:val="0"/>
                <w:sz w:val="22"/>
                <w:szCs w:val="22"/>
              </w:rPr>
            </w:pPr>
          </w:p>
        </w:tc>
        <w:tc>
          <w:tcPr>
            <w:tcW w:w="3600" w:type="dxa"/>
          </w:tcPr>
          <w:p w14:paraId="2AC0ECA3" w14:textId="60A5648B" w:rsidR="00FF4BC8" w:rsidRPr="00743D4B" w:rsidRDefault="00FF4BC8" w:rsidP="00C44D50">
            <w:pPr>
              <w:pStyle w:val="Default"/>
              <w:keepNext/>
              <w:rPr>
                <w:rFonts w:ascii="Times New Roman" w:hAnsi="Times New Roman" w:cs="Times New Roman"/>
                <w:sz w:val="22"/>
                <w:szCs w:val="22"/>
              </w:rPr>
            </w:pPr>
            <w:r>
              <w:rPr>
                <w:rFonts w:ascii="Times New Roman" w:hAnsi="Times New Roman"/>
                <w:sz w:val="22"/>
              </w:rPr>
              <w:t>Numération absolue des neutrophiles inférieure à 0,5</w:t>
            </w:r>
            <w:r w:rsidR="004E41FF">
              <w:rPr>
                <w:rFonts w:ascii="Times New Roman" w:hAnsi="Times New Roman"/>
                <w:sz w:val="22"/>
              </w:rPr>
              <w:t> </w:t>
            </w:r>
            <w:r w:rsidR="004E41FF" w:rsidRPr="00C44D50">
              <w:rPr>
                <w:rFonts w:ascii="Times New Roman" w:hAnsi="Times New Roman" w:cs="Times New Roman"/>
                <w:sz w:val="22"/>
                <w:szCs w:val="22"/>
              </w:rPr>
              <w:t>×</w:t>
            </w:r>
            <w:r w:rsidR="004E41FF">
              <w:rPr>
                <w:rFonts w:ascii="Times New Roman" w:hAnsi="Times New Roman"/>
                <w:sz w:val="22"/>
              </w:rPr>
              <w:t> </w:t>
            </w:r>
            <w:r>
              <w:rPr>
                <w:rFonts w:ascii="Times New Roman" w:hAnsi="Times New Roman"/>
                <w:sz w:val="22"/>
              </w:rPr>
              <w:t>10</w:t>
            </w:r>
            <w:r>
              <w:rPr>
                <w:rFonts w:ascii="Times New Roman" w:hAnsi="Times New Roman"/>
                <w:sz w:val="22"/>
                <w:vertAlign w:val="superscript"/>
              </w:rPr>
              <w:t>9</w:t>
            </w:r>
            <w:r w:rsidR="001C17CF">
              <w:rPr>
                <w:rFonts w:ascii="Times New Roman" w:hAnsi="Times New Roman"/>
                <w:sz w:val="22"/>
              </w:rPr>
              <w:t>/</w:t>
            </w:r>
            <w:r w:rsidR="00AC4222">
              <w:rPr>
                <w:rFonts w:ascii="Times New Roman" w:hAnsi="Times New Roman"/>
                <w:sz w:val="22"/>
              </w:rPr>
              <w:t>L</w:t>
            </w:r>
          </w:p>
          <w:p w14:paraId="4642F112" w14:textId="77777777" w:rsidR="00FF4BC8" w:rsidRPr="00743D4B" w:rsidRDefault="00FF4BC8" w:rsidP="00C44D50">
            <w:pPr>
              <w:pStyle w:val="PIHeading2"/>
              <w:keepLines w:val="0"/>
              <w:shd w:val="clear" w:color="auto" w:fill="FFFFFF"/>
              <w:tabs>
                <w:tab w:val="left" w:pos="540"/>
              </w:tabs>
              <w:spacing w:before="0" w:after="0"/>
              <w:rPr>
                <w:rFonts w:ascii="Times New Roman" w:hAnsi="Times New Roman"/>
                <w:b w:val="0"/>
                <w:sz w:val="22"/>
                <w:szCs w:val="22"/>
              </w:rPr>
            </w:pPr>
          </w:p>
        </w:tc>
        <w:tc>
          <w:tcPr>
            <w:tcW w:w="3240" w:type="dxa"/>
          </w:tcPr>
          <w:p w14:paraId="112720CD" w14:textId="50E83019" w:rsidR="00FF4BC8" w:rsidRPr="00743D4B" w:rsidRDefault="00A3199C" w:rsidP="00C44D50">
            <w:pPr>
              <w:pStyle w:val="Default"/>
              <w:keepNext/>
              <w:numPr>
                <w:ilvl w:val="0"/>
                <w:numId w:val="3"/>
              </w:numPr>
              <w:tabs>
                <w:tab w:val="left" w:pos="547"/>
              </w:tabs>
              <w:rPr>
                <w:rFonts w:ascii="Times New Roman" w:hAnsi="Times New Roman" w:cs="Times New Roman"/>
                <w:sz w:val="22"/>
                <w:szCs w:val="22"/>
              </w:rPr>
            </w:pPr>
            <w:r>
              <w:rPr>
                <w:rFonts w:ascii="Times New Roman" w:hAnsi="Times New Roman"/>
                <w:sz w:val="22"/>
              </w:rPr>
              <w:t>Suspendre</w:t>
            </w:r>
            <w:r w:rsidR="00FF4BC8">
              <w:rPr>
                <w:rFonts w:ascii="Times New Roman" w:hAnsi="Times New Roman"/>
                <w:sz w:val="22"/>
              </w:rPr>
              <w:t xml:space="preserve"> le traitement jusqu’à ce que la numération absolue des neutrophiles soit égale ou supérieure à 0,5</w:t>
            </w:r>
            <w:r w:rsidR="004E41FF">
              <w:rPr>
                <w:rFonts w:ascii="Times New Roman" w:hAnsi="Times New Roman"/>
                <w:sz w:val="22"/>
              </w:rPr>
              <w:t> </w:t>
            </w:r>
            <w:r w:rsidR="004E41FF" w:rsidRPr="00821709">
              <w:rPr>
                <w:rFonts w:ascii="Times New Roman" w:hAnsi="Times New Roman" w:cs="Times New Roman"/>
                <w:sz w:val="22"/>
                <w:szCs w:val="22"/>
              </w:rPr>
              <w:t>×</w:t>
            </w:r>
            <w:r w:rsidR="004E41FF">
              <w:rPr>
                <w:rFonts w:ascii="Times New Roman" w:hAnsi="Times New Roman"/>
                <w:sz w:val="22"/>
              </w:rPr>
              <w:t> </w:t>
            </w:r>
            <w:r w:rsidR="00FF4BC8">
              <w:rPr>
                <w:rFonts w:ascii="Times New Roman" w:hAnsi="Times New Roman"/>
                <w:sz w:val="22"/>
              </w:rPr>
              <w:t>10</w:t>
            </w:r>
            <w:r w:rsidR="00FF4BC8">
              <w:rPr>
                <w:rFonts w:ascii="Times New Roman" w:hAnsi="Times New Roman"/>
                <w:sz w:val="22"/>
                <w:vertAlign w:val="superscript"/>
              </w:rPr>
              <w:t>9</w:t>
            </w:r>
            <w:r w:rsidR="001C17CF">
              <w:rPr>
                <w:rFonts w:ascii="Times New Roman" w:hAnsi="Times New Roman"/>
                <w:sz w:val="22"/>
              </w:rPr>
              <w:t>/</w:t>
            </w:r>
            <w:r w:rsidR="00AC4222">
              <w:rPr>
                <w:rFonts w:ascii="Times New Roman" w:hAnsi="Times New Roman"/>
                <w:sz w:val="22"/>
              </w:rPr>
              <w:t>L</w:t>
            </w:r>
            <w:r w:rsidR="00FF4BC8">
              <w:rPr>
                <w:rFonts w:ascii="Times New Roman" w:hAnsi="Times New Roman"/>
                <w:sz w:val="22"/>
              </w:rPr>
              <w:t>.</w:t>
            </w:r>
            <w:r w:rsidR="00FF4BC8">
              <w:rPr>
                <w:rFonts w:ascii="Times New Roman" w:hAnsi="Times New Roman"/>
                <w:sz w:val="22"/>
                <w:vertAlign w:val="superscript"/>
              </w:rPr>
              <w:t>b</w:t>
            </w:r>
          </w:p>
        </w:tc>
      </w:tr>
      <w:tr w:rsidR="00FF4BC8" w14:paraId="55AB8FB1" w14:textId="77777777" w:rsidTr="007F4E40">
        <w:trPr>
          <w:trHeight w:val="791"/>
        </w:trPr>
        <w:tc>
          <w:tcPr>
            <w:tcW w:w="2520" w:type="dxa"/>
            <w:vMerge/>
          </w:tcPr>
          <w:p w14:paraId="24DE0A36"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753A8691"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Neutropénie fébrile</w:t>
            </w:r>
          </w:p>
        </w:tc>
        <w:tc>
          <w:tcPr>
            <w:tcW w:w="3240" w:type="dxa"/>
          </w:tcPr>
          <w:p w14:paraId="6149576B" w14:textId="34934153" w:rsidR="00FF4BC8" w:rsidRPr="00743D4B" w:rsidRDefault="00A3199C"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Suspendre </w:t>
            </w:r>
            <w:r w:rsidR="00FF4BC8">
              <w:rPr>
                <w:rFonts w:ascii="Times New Roman" w:hAnsi="Times New Roman"/>
                <w:sz w:val="22"/>
              </w:rPr>
              <w:t>le traitement jusqu’à ce que la numération absolue des neutrophiles soit égale ou supérieure à 1</w:t>
            </w:r>
            <w:r w:rsidR="004E41FF">
              <w:rPr>
                <w:rFonts w:ascii="Times New Roman" w:hAnsi="Times New Roman"/>
                <w:sz w:val="22"/>
              </w:rPr>
              <w:t> </w:t>
            </w:r>
            <w:r w:rsidR="004E41FF" w:rsidRPr="00821709">
              <w:rPr>
                <w:rFonts w:ascii="Times New Roman" w:hAnsi="Times New Roman" w:cs="Times New Roman"/>
                <w:sz w:val="22"/>
                <w:szCs w:val="22"/>
              </w:rPr>
              <w:t>×</w:t>
            </w:r>
            <w:r w:rsidR="004E41FF">
              <w:rPr>
                <w:rFonts w:ascii="Times New Roman" w:hAnsi="Times New Roman"/>
                <w:sz w:val="22"/>
              </w:rPr>
              <w:t> </w:t>
            </w:r>
            <w:r w:rsidR="00FF4BC8">
              <w:rPr>
                <w:rFonts w:ascii="Times New Roman" w:hAnsi="Times New Roman"/>
                <w:sz w:val="22"/>
              </w:rPr>
              <w:t>10</w:t>
            </w:r>
            <w:r w:rsidR="00FF4BC8">
              <w:rPr>
                <w:rFonts w:ascii="Times New Roman" w:hAnsi="Times New Roman"/>
                <w:sz w:val="22"/>
                <w:vertAlign w:val="superscript"/>
              </w:rPr>
              <w:t>9</w:t>
            </w:r>
            <w:r w:rsidR="001C17CF">
              <w:rPr>
                <w:rFonts w:ascii="Times New Roman" w:hAnsi="Times New Roman"/>
                <w:sz w:val="22"/>
              </w:rPr>
              <w:t>/</w:t>
            </w:r>
            <w:r w:rsidR="00AC4222">
              <w:rPr>
                <w:rFonts w:ascii="Times New Roman" w:hAnsi="Times New Roman"/>
                <w:sz w:val="22"/>
              </w:rPr>
              <w:t>L</w:t>
            </w:r>
            <w:r w:rsidR="00FF4BC8">
              <w:rPr>
                <w:rFonts w:ascii="Times New Roman" w:hAnsi="Times New Roman"/>
                <w:sz w:val="22"/>
              </w:rPr>
              <w:t xml:space="preserve"> et que la fièvre disparaisse.</w:t>
            </w:r>
            <w:r w:rsidR="00FF4BC8">
              <w:rPr>
                <w:rFonts w:ascii="Times New Roman" w:hAnsi="Times New Roman"/>
                <w:sz w:val="22"/>
                <w:vertAlign w:val="superscript"/>
              </w:rPr>
              <w:t xml:space="preserve">b </w:t>
            </w:r>
            <w:r w:rsidR="00FF4BC8">
              <w:rPr>
                <w:rFonts w:ascii="Times New Roman" w:hAnsi="Times New Roman"/>
                <w:sz w:val="22"/>
              </w:rPr>
              <w:t xml:space="preserve"> </w:t>
            </w:r>
          </w:p>
        </w:tc>
      </w:tr>
      <w:tr w:rsidR="00FF4BC8" w14:paraId="2503B80B" w14:textId="77777777" w:rsidTr="007F4E40">
        <w:trPr>
          <w:trHeight w:val="557"/>
        </w:trPr>
        <w:tc>
          <w:tcPr>
            <w:tcW w:w="2520" w:type="dxa"/>
            <w:vMerge/>
          </w:tcPr>
          <w:p w14:paraId="31B461C1"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7016E487" w14:textId="4A748359"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Hémoglobine inférieure à 8 g/d</w:t>
            </w:r>
            <w:r w:rsidR="00AC4222">
              <w:rPr>
                <w:rFonts w:ascii="Times New Roman" w:hAnsi="Times New Roman"/>
                <w:sz w:val="22"/>
              </w:rPr>
              <w:t>L</w:t>
            </w:r>
            <w:r>
              <w:rPr>
                <w:rFonts w:ascii="Times New Roman" w:hAnsi="Times New Roman"/>
                <w:sz w:val="22"/>
              </w:rPr>
              <w:t xml:space="preserve"> </w:t>
            </w:r>
          </w:p>
          <w:p w14:paraId="394A10D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97412D7" w14:textId="30BBDA4D" w:rsidR="00FF4BC8" w:rsidRPr="00743D4B" w:rsidRDefault="00A3199C"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Suspendre </w:t>
            </w:r>
            <w:r w:rsidR="00FF4BC8">
              <w:rPr>
                <w:rFonts w:ascii="Times New Roman" w:hAnsi="Times New Roman"/>
                <w:sz w:val="22"/>
              </w:rPr>
              <w:t>le traitement jusqu’à ce que le taux d’hémoglobine soit égal ou supérieur à 8 g/d</w:t>
            </w:r>
            <w:r w:rsidR="00AC4222">
              <w:rPr>
                <w:rFonts w:ascii="Times New Roman" w:hAnsi="Times New Roman"/>
                <w:sz w:val="22"/>
              </w:rPr>
              <w:t>L</w:t>
            </w:r>
            <w:r w:rsidR="00FF4BC8">
              <w:rPr>
                <w:rFonts w:ascii="Times New Roman" w:hAnsi="Times New Roman"/>
                <w:sz w:val="22"/>
              </w:rPr>
              <w:t>.</w:t>
            </w:r>
            <w:r w:rsidR="00FF4BC8">
              <w:rPr>
                <w:rFonts w:ascii="Times New Roman" w:hAnsi="Times New Roman"/>
                <w:sz w:val="22"/>
                <w:vertAlign w:val="superscript"/>
              </w:rPr>
              <w:t xml:space="preserve">b </w:t>
            </w:r>
          </w:p>
        </w:tc>
      </w:tr>
      <w:tr w:rsidR="00FF4BC8" w14:paraId="2F51F46C" w14:textId="77777777" w:rsidTr="00EA2728">
        <w:tc>
          <w:tcPr>
            <w:tcW w:w="2520" w:type="dxa"/>
            <w:vMerge/>
            <w:hideMark/>
          </w:tcPr>
          <w:p w14:paraId="1AB85417"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C7EC4E2" w14:textId="3920444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Numération plaquettaire inférieure à 25 000/</w:t>
            </w:r>
            <w:r w:rsidR="001C17CF">
              <w:rPr>
                <w:rFonts w:ascii="Times New Roman" w:hAnsi="Times New Roman"/>
                <w:sz w:val="22"/>
              </w:rPr>
              <w:t>µ</w:t>
            </w:r>
            <w:r w:rsidR="00AC4222">
              <w:rPr>
                <w:rFonts w:ascii="Times New Roman" w:hAnsi="Times New Roman"/>
                <w:sz w:val="22"/>
              </w:rPr>
              <w:t>L</w:t>
            </w:r>
          </w:p>
          <w:p w14:paraId="1653D35E" w14:textId="77777777" w:rsidR="00FF4BC8" w:rsidRPr="00A10D5D" w:rsidRDefault="00FF4BC8" w:rsidP="004F07E4">
            <w:pPr>
              <w:pStyle w:val="Default"/>
              <w:rPr>
                <w:rFonts w:ascii="Times New Roman" w:hAnsi="Times New Roman" w:cs="Times New Roman"/>
                <w:sz w:val="22"/>
                <w:szCs w:val="22"/>
              </w:rPr>
            </w:pPr>
          </w:p>
          <w:p w14:paraId="28E078A5" w14:textId="0C74A8FA"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lastRenderedPageBreak/>
              <w:t>Numération plaquettaire comprise entre 25 000/</w:t>
            </w:r>
            <w:r w:rsidR="001C17CF">
              <w:rPr>
                <w:rFonts w:ascii="Times New Roman" w:hAnsi="Times New Roman"/>
                <w:sz w:val="22"/>
              </w:rPr>
              <w:t>µ</w:t>
            </w:r>
            <w:r w:rsidR="00AC4222">
              <w:rPr>
                <w:rFonts w:ascii="Times New Roman" w:hAnsi="Times New Roman"/>
                <w:sz w:val="22"/>
              </w:rPr>
              <w:t>L</w:t>
            </w:r>
            <w:r>
              <w:rPr>
                <w:rFonts w:ascii="Times New Roman" w:hAnsi="Times New Roman"/>
                <w:sz w:val="22"/>
              </w:rPr>
              <w:t xml:space="preserve"> et 50 000/</w:t>
            </w:r>
            <w:r w:rsidR="001C17CF">
              <w:rPr>
                <w:rFonts w:ascii="Times New Roman" w:hAnsi="Times New Roman"/>
                <w:sz w:val="22"/>
              </w:rPr>
              <w:t>µ</w:t>
            </w:r>
            <w:r w:rsidR="00AC4222">
              <w:rPr>
                <w:rFonts w:ascii="Times New Roman" w:hAnsi="Times New Roman"/>
                <w:sz w:val="22"/>
              </w:rPr>
              <w:t>L</w:t>
            </w:r>
            <w:r>
              <w:rPr>
                <w:rFonts w:ascii="Times New Roman" w:hAnsi="Times New Roman"/>
                <w:sz w:val="22"/>
              </w:rPr>
              <w:t xml:space="preserve"> avec saignement </w:t>
            </w:r>
          </w:p>
        </w:tc>
        <w:tc>
          <w:tcPr>
            <w:tcW w:w="3240" w:type="dxa"/>
            <w:hideMark/>
          </w:tcPr>
          <w:p w14:paraId="60015CCC" w14:textId="7B93A58D" w:rsidR="00FF4BC8" w:rsidRPr="00743D4B" w:rsidRDefault="00A3199C" w:rsidP="003D08BD">
            <w:pPr>
              <w:pStyle w:val="Default"/>
              <w:numPr>
                <w:ilvl w:val="0"/>
                <w:numId w:val="3"/>
              </w:numPr>
              <w:rPr>
                <w:rFonts w:ascii="Times New Roman" w:hAnsi="Times New Roman"/>
                <w:b/>
                <w:sz w:val="22"/>
                <w:szCs w:val="22"/>
              </w:rPr>
            </w:pPr>
            <w:r>
              <w:rPr>
                <w:rFonts w:ascii="Times New Roman" w:hAnsi="Times New Roman"/>
                <w:sz w:val="22"/>
              </w:rPr>
              <w:lastRenderedPageBreak/>
              <w:t xml:space="preserve">Suspendre </w:t>
            </w:r>
            <w:r w:rsidR="00FF4BC8">
              <w:rPr>
                <w:rFonts w:ascii="Times New Roman" w:hAnsi="Times New Roman"/>
                <w:sz w:val="22"/>
              </w:rPr>
              <w:t>le traitement jusqu’à ce que la numération plaquettaire soit égale ou supérieure à 25 000/</w:t>
            </w:r>
            <w:r w:rsidR="001C17CF">
              <w:rPr>
                <w:rFonts w:ascii="Times New Roman" w:hAnsi="Times New Roman"/>
                <w:sz w:val="22"/>
              </w:rPr>
              <w:t>µ</w:t>
            </w:r>
            <w:r w:rsidR="00AC4222">
              <w:rPr>
                <w:rFonts w:ascii="Times New Roman" w:hAnsi="Times New Roman"/>
                <w:sz w:val="22"/>
              </w:rPr>
              <w:t>L</w:t>
            </w:r>
            <w:r w:rsidR="00FF4BC8">
              <w:rPr>
                <w:rFonts w:ascii="Times New Roman" w:hAnsi="Times New Roman"/>
                <w:sz w:val="22"/>
              </w:rPr>
              <w:t xml:space="preserve"> et </w:t>
            </w:r>
            <w:r w:rsidR="00FF4BC8">
              <w:rPr>
                <w:rFonts w:ascii="Times New Roman" w:hAnsi="Times New Roman"/>
                <w:sz w:val="22"/>
              </w:rPr>
              <w:lastRenderedPageBreak/>
              <w:t>qu’il n’y ait aucun signe de saignement.</w:t>
            </w:r>
            <w:r w:rsidR="00FF4BC8">
              <w:rPr>
                <w:rFonts w:ascii="Times New Roman" w:hAnsi="Times New Roman"/>
                <w:sz w:val="22"/>
                <w:vertAlign w:val="superscript"/>
              </w:rPr>
              <w:t>b</w:t>
            </w:r>
          </w:p>
        </w:tc>
      </w:tr>
      <w:tr w:rsidR="00FF4BC8" w14:paraId="43E863A2" w14:textId="77777777" w:rsidTr="007F4E40">
        <w:trPr>
          <w:trHeight w:val="791"/>
        </w:trPr>
        <w:tc>
          <w:tcPr>
            <w:tcW w:w="2520" w:type="dxa"/>
            <w:tcBorders>
              <w:bottom w:val="single" w:sz="4" w:space="0" w:color="auto"/>
            </w:tcBorders>
          </w:tcPr>
          <w:p w14:paraId="761AA5CD"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lastRenderedPageBreak/>
              <w:t>Autres* effets indésirables non hématologiques</w:t>
            </w:r>
            <w:r>
              <w:rPr>
                <w:rFonts w:ascii="Times New Roman" w:hAnsi="Times New Roman"/>
                <w:b w:val="0"/>
                <w:sz w:val="22"/>
                <w:vertAlign w:val="superscript"/>
              </w:rPr>
              <w:t>a</w:t>
            </w:r>
            <w:r w:rsidRPr="00A64757">
              <w:rPr>
                <w:rFonts w:ascii="Times New Roman" w:hAnsi="Times New Roman"/>
                <w:b w:val="0"/>
                <w:vertAlign w:val="superscript"/>
              </w:rPr>
              <w:t xml:space="preserve"> </w:t>
            </w:r>
          </w:p>
          <w:p w14:paraId="7757B01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(voir rubrique 4.8)</w:t>
            </w:r>
          </w:p>
        </w:tc>
        <w:tc>
          <w:tcPr>
            <w:tcW w:w="3600" w:type="dxa"/>
            <w:tcBorders>
              <w:bottom w:val="single" w:sz="4" w:space="0" w:color="auto"/>
            </w:tcBorders>
          </w:tcPr>
          <w:p w14:paraId="7A0C5878"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Pr>
                <w:rFonts w:ascii="Times New Roman" w:hAnsi="Times New Roman"/>
                <w:b w:val="0"/>
                <w:sz w:val="22"/>
              </w:rPr>
              <w:t>Grade 3 ou 4</w:t>
            </w:r>
          </w:p>
        </w:tc>
        <w:tc>
          <w:tcPr>
            <w:tcW w:w="3240" w:type="dxa"/>
            <w:tcBorders>
              <w:bottom w:val="single" w:sz="4" w:space="0" w:color="auto"/>
            </w:tcBorders>
          </w:tcPr>
          <w:p w14:paraId="46AAF140" w14:textId="79C081CA" w:rsidR="00FF4BC8" w:rsidRPr="00743D4B" w:rsidRDefault="00A3199C"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Pr>
                <w:rFonts w:ascii="Times New Roman" w:hAnsi="Times New Roman"/>
                <w:b w:val="0"/>
                <w:sz w:val="22"/>
              </w:rPr>
              <w:t xml:space="preserve">Suspendre </w:t>
            </w:r>
            <w:r w:rsidR="00FF4BC8">
              <w:rPr>
                <w:rFonts w:ascii="Times New Roman" w:hAnsi="Times New Roman"/>
                <w:b w:val="0"/>
                <w:sz w:val="22"/>
              </w:rPr>
              <w:t>le traitement jusqu’à rétablissement de grade 1 ou moins ou retour aux valeurs initiales.</w:t>
            </w:r>
            <w:r w:rsidR="00FF4BC8">
              <w:rPr>
                <w:rFonts w:ascii="Times New Roman" w:hAnsi="Times New Roman"/>
                <w:b w:val="0"/>
                <w:sz w:val="22"/>
                <w:vertAlign w:val="superscript"/>
              </w:rPr>
              <w:t>b</w:t>
            </w:r>
          </w:p>
          <w:p w14:paraId="26F5EF41" w14:textId="491E397B" w:rsidR="00FF4BC8" w:rsidRPr="00743D4B" w:rsidRDefault="00A3199C" w:rsidP="00FF4BC8">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Pr>
                <w:rFonts w:ascii="Times New Roman" w:hAnsi="Times New Roman"/>
                <w:b w:val="0"/>
                <w:sz w:val="22"/>
              </w:rPr>
              <w:t xml:space="preserve">Arrêter </w:t>
            </w:r>
            <w:r w:rsidR="00FF4BC8">
              <w:rPr>
                <w:rFonts w:ascii="Times New Roman" w:hAnsi="Times New Roman"/>
                <w:b w:val="0"/>
                <w:sz w:val="22"/>
              </w:rPr>
              <w:t>définitivement le traitement en l’absence de rétablissement.</w:t>
            </w:r>
          </w:p>
        </w:tc>
      </w:tr>
      <w:tr w:rsidR="00FF4BC8" w14:paraId="3B6C21E7" w14:textId="77777777" w:rsidTr="007F4E40">
        <w:trPr>
          <w:trHeight w:val="70"/>
        </w:trPr>
        <w:tc>
          <w:tcPr>
            <w:tcW w:w="9360" w:type="dxa"/>
            <w:gridSpan w:val="3"/>
            <w:tcBorders>
              <w:top w:val="single" w:sz="4" w:space="0" w:color="auto"/>
              <w:left w:val="nil"/>
              <w:bottom w:val="nil"/>
              <w:right w:val="nil"/>
            </w:tcBorders>
          </w:tcPr>
          <w:p w14:paraId="45432195" w14:textId="187FA424" w:rsidR="00FF4BC8" w:rsidRPr="00743D4B" w:rsidRDefault="00FF4BC8" w:rsidP="00A10D5D">
            <w:pPr>
              <w:pStyle w:val="PIHeading2"/>
              <w:keepNext w:val="0"/>
              <w:keepLines w:val="0"/>
              <w:shd w:val="clear" w:color="auto" w:fill="FFFFFF"/>
              <w:spacing w:before="0" w:after="0"/>
              <w:ind w:left="601" w:hanging="601"/>
              <w:rPr>
                <w:rFonts w:ascii="Times New Roman" w:hAnsi="Times New Roman"/>
                <w:b w:val="0"/>
                <w:sz w:val="22"/>
                <w:szCs w:val="18"/>
              </w:rPr>
            </w:pPr>
            <w:r w:rsidRPr="00A64757">
              <w:rPr>
                <w:rFonts w:ascii="Times New Roman" w:hAnsi="Times New Roman"/>
                <w:b w:val="0"/>
                <w:sz w:val="18"/>
              </w:rPr>
              <w:t>a.</w:t>
            </w:r>
            <w:r w:rsidRPr="00A64757">
              <w:rPr>
                <w:rFonts w:ascii="Times New Roman" w:hAnsi="Times New Roman"/>
                <w:sz w:val="18"/>
              </w:rPr>
              <w:tab/>
            </w:r>
            <w:r w:rsidRPr="00A64757">
              <w:rPr>
                <w:rFonts w:ascii="Times New Roman" w:hAnsi="Times New Roman"/>
                <w:b w:val="0"/>
                <w:sz w:val="18"/>
              </w:rPr>
              <w:t xml:space="preserve">D’après les critères de terminologie communs pour les événements indésirables (CTCAE), version 5.0 du National </w:t>
            </w:r>
            <w:r w:rsidR="004E41FF" w:rsidRPr="00A64757">
              <w:rPr>
                <w:rFonts w:ascii="Times New Roman" w:hAnsi="Times New Roman"/>
                <w:b w:val="0"/>
                <w:sz w:val="18"/>
              </w:rPr>
              <w:t>c</w:t>
            </w:r>
            <w:r w:rsidRPr="00A64757">
              <w:rPr>
                <w:rFonts w:ascii="Times New Roman" w:hAnsi="Times New Roman"/>
                <w:b w:val="0"/>
                <w:sz w:val="18"/>
              </w:rPr>
              <w:t xml:space="preserve">ancer </w:t>
            </w:r>
            <w:r w:rsidR="004E41FF" w:rsidRPr="00A64757">
              <w:rPr>
                <w:rFonts w:ascii="Times New Roman" w:hAnsi="Times New Roman"/>
                <w:b w:val="0"/>
                <w:sz w:val="18"/>
              </w:rPr>
              <w:t>i</w:t>
            </w:r>
            <w:r w:rsidRPr="00A64757">
              <w:rPr>
                <w:rFonts w:ascii="Times New Roman" w:hAnsi="Times New Roman"/>
                <w:b w:val="0"/>
                <w:sz w:val="18"/>
              </w:rPr>
              <w:t>nstitute (NCI).</w:t>
            </w:r>
          </w:p>
        </w:tc>
      </w:tr>
      <w:tr w:rsidR="00FF4BC8" w:rsidRPr="002F781B" w14:paraId="213B54D3" w14:textId="77777777" w:rsidTr="007F4E40">
        <w:trPr>
          <w:trHeight w:val="70"/>
        </w:trPr>
        <w:tc>
          <w:tcPr>
            <w:tcW w:w="9360" w:type="dxa"/>
            <w:gridSpan w:val="3"/>
            <w:tcBorders>
              <w:top w:val="nil"/>
              <w:left w:val="nil"/>
              <w:bottom w:val="nil"/>
              <w:right w:val="nil"/>
            </w:tcBorders>
          </w:tcPr>
          <w:p w14:paraId="3E5D6D6A" w14:textId="22BF1F09" w:rsidR="00FF4BC8" w:rsidRPr="00A64757" w:rsidRDefault="00FF4BC8" w:rsidP="00A10D5D">
            <w:pPr>
              <w:pStyle w:val="PIHeading2"/>
              <w:keepNext w:val="0"/>
              <w:keepLines w:val="0"/>
              <w:shd w:val="clear" w:color="auto" w:fill="FFFFFF"/>
              <w:spacing w:before="0" w:after="0"/>
              <w:ind w:left="601" w:hanging="601"/>
              <w:rPr>
                <w:rFonts w:ascii="Times New Roman" w:hAnsi="Times New Roman"/>
                <w:b w:val="0"/>
                <w:sz w:val="18"/>
              </w:rPr>
            </w:pPr>
            <w:r w:rsidRPr="00A64757">
              <w:rPr>
                <w:rFonts w:ascii="Times New Roman" w:hAnsi="Times New Roman"/>
                <w:b w:val="0"/>
                <w:sz w:val="18"/>
              </w:rPr>
              <w:t>b.</w:t>
            </w:r>
            <w:r w:rsidRPr="00A64757">
              <w:rPr>
                <w:rFonts w:ascii="Times New Roman" w:hAnsi="Times New Roman"/>
                <w:b w:val="0"/>
                <w:sz w:val="18"/>
              </w:rPr>
              <w:tab/>
              <w:t xml:space="preserve">Voir tableau 5 pour obtenir les recommandations relatives à la reprise du traitement par ELREXFIO après des reports </w:t>
            </w:r>
            <w:r w:rsidR="00894232" w:rsidRPr="00A64757">
              <w:rPr>
                <w:rFonts w:ascii="Times New Roman" w:hAnsi="Times New Roman"/>
                <w:b w:val="0"/>
                <w:sz w:val="18"/>
              </w:rPr>
              <w:t>de dose</w:t>
            </w:r>
            <w:r w:rsidRPr="00A64757">
              <w:rPr>
                <w:rFonts w:ascii="Times New Roman" w:hAnsi="Times New Roman"/>
                <w:b w:val="0"/>
                <w:sz w:val="18"/>
              </w:rPr>
              <w:t xml:space="preserve"> (voir rubrique 4.2).</w:t>
            </w:r>
          </w:p>
        </w:tc>
      </w:tr>
      <w:tr w:rsidR="00FF4BC8" w:rsidRPr="002F781B" w14:paraId="21E75F85" w14:textId="77777777" w:rsidTr="007F4E40">
        <w:trPr>
          <w:trHeight w:val="70"/>
        </w:trPr>
        <w:tc>
          <w:tcPr>
            <w:tcW w:w="9360" w:type="dxa"/>
            <w:gridSpan w:val="3"/>
            <w:tcBorders>
              <w:top w:val="nil"/>
              <w:left w:val="nil"/>
              <w:bottom w:val="nil"/>
              <w:right w:val="nil"/>
            </w:tcBorders>
          </w:tcPr>
          <w:p w14:paraId="7C31E9E8" w14:textId="651690F1" w:rsidR="00FF4BC8" w:rsidRPr="00A64757" w:rsidRDefault="00FF4BC8" w:rsidP="00A10D5D">
            <w:pPr>
              <w:pStyle w:val="PIHeading2"/>
              <w:keepNext w:val="0"/>
              <w:keepLines w:val="0"/>
              <w:shd w:val="clear" w:color="auto" w:fill="FFFFFF"/>
              <w:spacing w:before="0" w:after="0"/>
              <w:ind w:left="601" w:hanging="601"/>
              <w:rPr>
                <w:rFonts w:ascii="Times New Roman" w:hAnsi="Times New Roman"/>
                <w:b w:val="0"/>
                <w:sz w:val="18"/>
              </w:rPr>
            </w:pPr>
            <w:r w:rsidRPr="00A64757">
              <w:rPr>
                <w:rFonts w:ascii="Times New Roman" w:hAnsi="Times New Roman"/>
                <w:b w:val="0"/>
                <w:sz w:val="18"/>
              </w:rPr>
              <w:t>*</w:t>
            </w:r>
            <w:r w:rsidRPr="00A64757">
              <w:rPr>
                <w:rFonts w:ascii="Times New Roman" w:hAnsi="Times New Roman"/>
                <w:b w:val="0"/>
                <w:sz w:val="18"/>
              </w:rPr>
              <w:tab/>
              <w:t xml:space="preserve">Autres que le </w:t>
            </w:r>
            <w:r w:rsidR="00143572" w:rsidRPr="00A64757">
              <w:rPr>
                <w:rFonts w:ascii="Times New Roman" w:hAnsi="Times New Roman"/>
                <w:b w:val="0"/>
                <w:sz w:val="18"/>
              </w:rPr>
              <w:t>S</w:t>
            </w:r>
            <w:r w:rsidR="00CC6D99" w:rsidRPr="00A64757">
              <w:rPr>
                <w:rFonts w:ascii="Times New Roman" w:hAnsi="Times New Roman"/>
                <w:b w:val="0"/>
                <w:sz w:val="18"/>
              </w:rPr>
              <w:t>R</w:t>
            </w:r>
            <w:r w:rsidR="00143572" w:rsidRPr="00A64757">
              <w:rPr>
                <w:rFonts w:ascii="Times New Roman" w:hAnsi="Times New Roman"/>
                <w:b w:val="0"/>
                <w:sz w:val="18"/>
              </w:rPr>
              <w:t>C</w:t>
            </w:r>
            <w:r w:rsidRPr="00A64757">
              <w:rPr>
                <w:rFonts w:ascii="Times New Roman" w:hAnsi="Times New Roman"/>
                <w:b w:val="0"/>
                <w:sz w:val="18"/>
              </w:rPr>
              <w:t xml:space="preserve"> et l’ICANS.</w:t>
            </w:r>
          </w:p>
        </w:tc>
      </w:tr>
    </w:tbl>
    <w:p w14:paraId="44483D12" w14:textId="77777777" w:rsidR="00FF4BC8" w:rsidRPr="00743D4B" w:rsidRDefault="00FF4BC8" w:rsidP="00FF4BC8">
      <w:pPr>
        <w:spacing w:line="240" w:lineRule="auto"/>
      </w:pPr>
    </w:p>
    <w:p w14:paraId="225BA785" w14:textId="07743379" w:rsidR="00FF4BC8" w:rsidRDefault="00FF4BC8" w:rsidP="00FF4BC8">
      <w:pPr>
        <w:keepNext/>
        <w:spacing w:line="240" w:lineRule="auto"/>
        <w:rPr>
          <w:u w:val="single"/>
        </w:rPr>
      </w:pPr>
      <w:r>
        <w:rPr>
          <w:u w:val="single"/>
        </w:rPr>
        <w:t xml:space="preserve">Reprise </w:t>
      </w:r>
      <w:r w:rsidR="00FF73A3">
        <w:rPr>
          <w:u w:val="single"/>
        </w:rPr>
        <w:t>d’</w:t>
      </w:r>
      <w:r>
        <w:rPr>
          <w:u w:val="single"/>
        </w:rPr>
        <w:t xml:space="preserve">ELREXFIO après un report </w:t>
      </w:r>
      <w:r w:rsidR="000404D8">
        <w:rPr>
          <w:u w:val="single"/>
        </w:rPr>
        <w:t>de dose</w:t>
      </w:r>
    </w:p>
    <w:p w14:paraId="33AF2C85" w14:textId="77777777" w:rsidR="00092879" w:rsidRDefault="00092879" w:rsidP="00FF4BC8">
      <w:pPr>
        <w:spacing w:line="240" w:lineRule="auto"/>
      </w:pPr>
    </w:p>
    <w:p w14:paraId="313653D6" w14:textId="720C4D86" w:rsidR="00FF4BC8" w:rsidRPr="00743D4B" w:rsidRDefault="00FF4BC8" w:rsidP="003D08BD">
      <w:pPr>
        <w:widowControl w:val="0"/>
        <w:spacing w:line="240" w:lineRule="auto"/>
        <w:rPr>
          <w:b/>
        </w:rPr>
      </w:pPr>
      <w:r>
        <w:t>Si l’administration d’une dose est reportée, le traitement</w:t>
      </w:r>
      <w:r w:rsidR="00D47EE1">
        <w:t xml:space="preserve"> </w:t>
      </w:r>
      <w:r>
        <w:t xml:space="preserve">doit être repris sur la base des recommandations listées dans le tableau 5, et selon le schéma posologique (voir tableau 1). </w:t>
      </w:r>
      <w:r w:rsidR="0000414A">
        <w:t xml:space="preserve">Une </w:t>
      </w:r>
      <w:r w:rsidR="00A3199C">
        <w:t>prémédication</w:t>
      </w:r>
      <w:r>
        <w:t xml:space="preserve"> doit être administré</w:t>
      </w:r>
      <w:r w:rsidR="00A3199C">
        <w:t>e</w:t>
      </w:r>
      <w:r>
        <w:t xml:space="preserve"> comme indiqué dans le tableau 5.</w:t>
      </w:r>
    </w:p>
    <w:p w14:paraId="0C3B0D44" w14:textId="77777777" w:rsidR="00FF4BC8" w:rsidRDefault="00FF4BC8" w:rsidP="00FF4BC8">
      <w:pPr>
        <w:spacing w:line="240" w:lineRule="auto"/>
      </w:pPr>
    </w:p>
    <w:p w14:paraId="439E4954" w14:textId="378D5578" w:rsidR="00EA2728" w:rsidRPr="00743D4B" w:rsidRDefault="00EA2728" w:rsidP="00EA2728">
      <w:pPr>
        <w:spacing w:line="240" w:lineRule="auto"/>
        <w:ind w:left="1418" w:hanging="1418"/>
      </w:pPr>
      <w:r>
        <w:rPr>
          <w:b/>
          <w:shd w:val="clear" w:color="auto" w:fill="FFFFFF"/>
        </w:rPr>
        <w:t>Tableau 5.</w:t>
      </w:r>
      <w:r>
        <w:tab/>
      </w:r>
      <w:r>
        <w:rPr>
          <w:b/>
          <w:shd w:val="clear" w:color="auto" w:fill="FFFFFF"/>
        </w:rPr>
        <w:t>Recommandations relatives à la reprise du traitement par ELREXFIO après un report de dose</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10"/>
        <w:gridCol w:w="3420"/>
        <w:gridCol w:w="4050"/>
      </w:tblGrid>
      <w:tr w:rsidR="00FF4BC8" w:rsidRPr="009E30CD" w14:paraId="1D589DD5" w14:textId="77777777" w:rsidTr="00EA2728">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C7DC21E" w14:textId="77777777" w:rsidR="00FF4BC8" w:rsidRPr="009E30CD" w:rsidRDefault="00FF4BC8" w:rsidP="0006688E">
            <w:pPr>
              <w:keepNext/>
              <w:spacing w:line="240" w:lineRule="auto"/>
              <w:rPr>
                <w:szCs w:val="22"/>
              </w:rPr>
            </w:pPr>
            <w:r>
              <w:rPr>
                <w:b/>
              </w:rPr>
              <w:t>Dernière dose administrée</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F8CB225" w14:textId="77777777" w:rsidR="00FF4BC8" w:rsidRPr="009E30CD" w:rsidRDefault="00FF4BC8" w:rsidP="0006688E">
            <w:pPr>
              <w:keepNext/>
              <w:spacing w:line="240" w:lineRule="auto"/>
              <w:jc w:val="center"/>
              <w:rPr>
                <w:szCs w:val="22"/>
              </w:rPr>
            </w:pPr>
            <w:r>
              <w:rPr>
                <w:b/>
              </w:rPr>
              <w:t>Durée du report par rapport à la dernière dose administrée</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9B0696" w14:textId="77777777" w:rsidR="00FF4BC8" w:rsidRPr="009E30CD" w:rsidRDefault="00FF4BC8" w:rsidP="0006688E">
            <w:pPr>
              <w:keepNext/>
              <w:spacing w:line="240" w:lineRule="auto"/>
              <w:jc w:val="center"/>
              <w:rPr>
                <w:szCs w:val="22"/>
              </w:rPr>
            </w:pPr>
            <w:r>
              <w:rPr>
                <w:b/>
              </w:rPr>
              <w:t>Mesure</w:t>
            </w:r>
          </w:p>
        </w:tc>
      </w:tr>
      <w:tr w:rsidR="00FF4BC8" w:rsidRPr="009E30CD" w14:paraId="265A09AA" w14:textId="77777777" w:rsidTr="00EA2728">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ABB93C" w14:textId="0CB18FC5" w:rsidR="00FF4BC8" w:rsidRPr="009E30CD" w:rsidRDefault="00D47EE1" w:rsidP="0006688E">
            <w:pPr>
              <w:keepNext/>
              <w:spacing w:line="240" w:lineRule="auto"/>
              <w:rPr>
                <w:b/>
                <w:szCs w:val="22"/>
              </w:rPr>
            </w:pPr>
            <w:r>
              <w:t xml:space="preserve">Première </w:t>
            </w:r>
            <w:r w:rsidR="00FF73A3">
              <w:t>e</w:t>
            </w:r>
            <w:r w:rsidR="00AE0290">
              <w:t>scalade de dose</w:t>
            </w:r>
            <w:r w:rsidR="00FF4BC8">
              <w:t xml:space="preserve">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EE303A" w14:textId="77777777" w:rsidR="00FF4BC8" w:rsidRPr="009E30CD" w:rsidRDefault="00FF4BC8" w:rsidP="0006688E">
            <w:pPr>
              <w:keepNext/>
              <w:spacing w:line="240" w:lineRule="auto"/>
              <w:rPr>
                <w:b/>
                <w:szCs w:val="22"/>
              </w:rPr>
            </w:pPr>
            <w:r>
              <w:t xml:space="preserve">2 semaines ou moins (≤ 14 jours)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BCFD9C" w14:textId="56AE5B5F" w:rsidR="00FF4BC8" w:rsidRPr="009E30CD" w:rsidRDefault="00FF4BC8" w:rsidP="0006688E">
            <w:pPr>
              <w:keepNext/>
              <w:spacing w:line="240" w:lineRule="auto"/>
              <w:rPr>
                <w:b/>
                <w:szCs w:val="22"/>
              </w:rPr>
            </w:pPr>
            <w:r>
              <w:t>Reprendre à la</w:t>
            </w:r>
            <w:r w:rsidR="007733EA">
              <w:t xml:space="preserve"> seconde</w:t>
            </w:r>
            <w:r>
              <w:t xml:space="preserve"> </w:t>
            </w:r>
            <w:r w:rsidR="00AE0290">
              <w:t>escalade de dose</w:t>
            </w:r>
            <w:r>
              <w:t> (32 mg).</w:t>
            </w:r>
            <w:r>
              <w:rPr>
                <w:vertAlign w:val="superscript"/>
              </w:rPr>
              <w:t>a</w:t>
            </w:r>
            <w:r>
              <w:t xml:space="preserve"> </w:t>
            </w:r>
            <w:r w:rsidR="00933166">
              <w:t xml:space="preserve">Si toléré, </w:t>
            </w:r>
            <w:r>
              <w:t>augmenter à 76 mg 4 jours plus tard.</w:t>
            </w:r>
          </w:p>
        </w:tc>
      </w:tr>
      <w:tr w:rsidR="00FF4BC8" w:rsidRPr="009E30CD" w14:paraId="3F52C36B" w14:textId="77777777" w:rsidTr="00EA2728">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73176E1" w14:textId="77777777" w:rsidR="00FF4BC8" w:rsidRPr="009E30CD" w:rsidRDefault="00FF4BC8" w:rsidP="0006688E">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AA7173" w14:textId="77777777" w:rsidR="00FF4BC8" w:rsidRPr="009E30CD" w:rsidRDefault="00FF4BC8" w:rsidP="0006688E">
            <w:pPr>
              <w:keepNext/>
              <w:spacing w:line="240" w:lineRule="auto"/>
              <w:rPr>
                <w:b/>
                <w:szCs w:val="22"/>
              </w:rPr>
            </w:pPr>
            <w:r>
              <w:t xml:space="preserve">Plus de 2 semaines (&gt; 14 jours)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8CF2F34" w14:textId="30654F37" w:rsidR="00FF4BC8" w:rsidRPr="009E30CD" w:rsidRDefault="00FF4BC8" w:rsidP="0006688E">
            <w:pPr>
              <w:keepNext/>
              <w:spacing w:line="240" w:lineRule="auto"/>
              <w:rPr>
                <w:b/>
                <w:szCs w:val="22"/>
              </w:rPr>
            </w:pPr>
            <w:r>
              <w:t xml:space="preserve">Reprendre à la </w:t>
            </w:r>
            <w:r w:rsidR="007733EA">
              <w:t xml:space="preserve">première </w:t>
            </w:r>
            <w:r w:rsidR="00AE0290">
              <w:t>escalade de dose</w:t>
            </w:r>
            <w:r>
              <w:t> (12 mg).</w:t>
            </w:r>
            <w:r>
              <w:rPr>
                <w:vertAlign w:val="superscript"/>
              </w:rPr>
              <w:t>a</w:t>
            </w:r>
          </w:p>
        </w:tc>
      </w:tr>
      <w:tr w:rsidR="00FF4BC8" w:rsidRPr="009E30CD" w14:paraId="04F81923" w14:textId="77777777" w:rsidTr="00EA2728">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1FBE81" w14:textId="7D653921" w:rsidR="00FF4BC8" w:rsidRPr="009E30CD" w:rsidRDefault="007733EA" w:rsidP="0006688E">
            <w:pPr>
              <w:keepNext/>
              <w:spacing w:line="240" w:lineRule="auto"/>
              <w:rPr>
                <w:b/>
                <w:szCs w:val="22"/>
              </w:rPr>
            </w:pPr>
            <w:r>
              <w:t xml:space="preserve">Seconde </w:t>
            </w:r>
            <w:r w:rsidR="00FF73A3">
              <w:t>e</w:t>
            </w:r>
            <w:r w:rsidR="00AE0290">
              <w:t>scalade de dose</w:t>
            </w:r>
            <w:r w:rsidR="00FF4BC8">
              <w:t xml:space="preserve">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DC4484" w14:textId="77777777" w:rsidR="00FF4BC8" w:rsidRPr="009E30CD" w:rsidRDefault="00FF4BC8" w:rsidP="0006688E">
            <w:pPr>
              <w:keepNext/>
              <w:spacing w:line="240" w:lineRule="auto"/>
              <w:rPr>
                <w:b/>
                <w:szCs w:val="22"/>
              </w:rPr>
            </w:pPr>
            <w:r>
              <w:t xml:space="preserve">2 semaines ou moins (≤ 14 jours)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3D33C6" w14:textId="3166947B" w:rsidR="00FF4BC8" w:rsidRPr="009E30CD" w:rsidRDefault="00FF4BC8" w:rsidP="0006688E">
            <w:pPr>
              <w:keepNext/>
              <w:spacing w:line="240" w:lineRule="auto"/>
              <w:rPr>
                <w:b/>
                <w:szCs w:val="22"/>
              </w:rPr>
            </w:pPr>
            <w:r>
              <w:t>Reprendre à la dose de 76 mg.</w:t>
            </w:r>
          </w:p>
        </w:tc>
      </w:tr>
      <w:tr w:rsidR="00FF4BC8" w:rsidRPr="009E30CD" w14:paraId="34C4CE6A" w14:textId="77777777" w:rsidTr="00EA2728">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CE8FDE6" w14:textId="77777777" w:rsidR="00FF4BC8" w:rsidRPr="009E30CD" w:rsidRDefault="00FF4BC8" w:rsidP="0006688E">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614482" w14:textId="408FCFB7" w:rsidR="00FF4BC8" w:rsidRPr="009E30CD" w:rsidRDefault="00F871AF" w:rsidP="0006688E">
            <w:pPr>
              <w:keepNext/>
              <w:spacing w:line="240" w:lineRule="auto"/>
              <w:rPr>
                <w:b/>
                <w:szCs w:val="22"/>
              </w:rPr>
            </w:pPr>
            <w:r w:rsidRPr="00FF73A3">
              <w:t xml:space="preserve">Entre plus </w:t>
            </w:r>
            <w:r w:rsidR="00FF4BC8" w:rsidRPr="00FF73A3">
              <w:t>de 2 semaines et 4 semaines</w:t>
            </w:r>
            <w:r w:rsidR="00490658">
              <w:t xml:space="preserve"> </w:t>
            </w:r>
            <w:r w:rsidR="00FF4BC8">
              <w:t xml:space="preserve">(entre 15 jours et ≤ 28 jours)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8E14E8" w14:textId="26EE8294" w:rsidR="00FF4BC8" w:rsidRPr="009E30CD" w:rsidRDefault="00FF4BC8" w:rsidP="0006688E">
            <w:pPr>
              <w:keepNext/>
              <w:spacing w:line="240" w:lineRule="auto"/>
              <w:rPr>
                <w:b/>
                <w:szCs w:val="22"/>
              </w:rPr>
            </w:pPr>
            <w:r>
              <w:t xml:space="preserve">Reprendre à la </w:t>
            </w:r>
            <w:r w:rsidR="00511904">
              <w:t xml:space="preserve">seconde </w:t>
            </w:r>
            <w:r w:rsidR="00AE0290">
              <w:t>escalade de dose</w:t>
            </w:r>
            <w:r>
              <w:t> (32 mg).</w:t>
            </w:r>
            <w:r>
              <w:rPr>
                <w:vertAlign w:val="superscript"/>
              </w:rPr>
              <w:t>a</w:t>
            </w:r>
            <w:r>
              <w:t xml:space="preserve"> </w:t>
            </w:r>
            <w:r w:rsidR="00AE0290">
              <w:t>Si toléré</w:t>
            </w:r>
            <w:r>
              <w:t>, augmenter à 76 mg 1 semaine plus tard.</w:t>
            </w:r>
          </w:p>
        </w:tc>
      </w:tr>
      <w:tr w:rsidR="00FF4BC8" w:rsidRPr="009E30CD" w14:paraId="5833E0B3" w14:textId="77777777" w:rsidTr="00AF1088">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2F92F1" w14:textId="77777777" w:rsidR="00FF4BC8" w:rsidRPr="009E30CD" w:rsidRDefault="00FF4BC8" w:rsidP="0006688E">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530F9" w14:textId="77777777" w:rsidR="00FF4BC8" w:rsidRPr="009E30CD" w:rsidRDefault="00FF4BC8" w:rsidP="0006688E">
            <w:pPr>
              <w:keepNext/>
              <w:spacing w:line="240" w:lineRule="auto"/>
              <w:rPr>
                <w:b/>
                <w:szCs w:val="22"/>
              </w:rPr>
            </w:pPr>
            <w:r>
              <w:t xml:space="preserve">Plus de 4 semaines (&gt; 28 jours)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D47908" w14:textId="08ABE649" w:rsidR="00FF4BC8" w:rsidRPr="009E30CD" w:rsidRDefault="00FF4BC8" w:rsidP="0006688E">
            <w:pPr>
              <w:keepNext/>
              <w:spacing w:line="240" w:lineRule="auto"/>
              <w:rPr>
                <w:b/>
                <w:szCs w:val="22"/>
              </w:rPr>
            </w:pPr>
            <w:r>
              <w:t xml:space="preserve">Reprendre à la </w:t>
            </w:r>
            <w:r w:rsidR="00F53DCD">
              <w:t xml:space="preserve">première </w:t>
            </w:r>
            <w:r w:rsidR="00AE0290">
              <w:t>escalade de dose</w:t>
            </w:r>
            <w:r>
              <w:t xml:space="preserve"> (12 mg).</w:t>
            </w:r>
            <w:r>
              <w:rPr>
                <w:vertAlign w:val="superscript"/>
              </w:rPr>
              <w:t>a</w:t>
            </w:r>
          </w:p>
        </w:tc>
      </w:tr>
      <w:tr w:rsidR="00FF4BC8" w:rsidRPr="009E30CD" w14:paraId="23CA92E8" w14:textId="77777777" w:rsidTr="00AF1088">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9402717" w14:textId="5545D069" w:rsidR="00FF4BC8" w:rsidRPr="009E30CD" w:rsidRDefault="00FF4BC8" w:rsidP="0006688E">
            <w:pPr>
              <w:keepNext/>
              <w:spacing w:line="240" w:lineRule="auto"/>
              <w:rPr>
                <w:b/>
                <w:szCs w:val="22"/>
              </w:rPr>
            </w:pPr>
            <w:r w:rsidRPr="00FF73A3">
              <w:t xml:space="preserve">Toute dose </w:t>
            </w:r>
            <w:r w:rsidR="001B33A1" w:rsidRPr="00FF73A3">
              <w:t xml:space="preserve">complète </w:t>
            </w:r>
            <w:r w:rsidRPr="00FF73A3">
              <w:t>de traitement (76 mg)</w:t>
            </w:r>
          </w:p>
        </w:tc>
        <w:tc>
          <w:tcPr>
            <w:tcW w:w="3420" w:type="dxa"/>
            <w:tcBorders>
              <w:top w:val="single" w:sz="4" w:space="0" w:color="auto"/>
              <w:left w:val="single" w:sz="4" w:space="0" w:color="auto"/>
              <w:bottom w:val="nil"/>
              <w:right w:val="single" w:sz="4" w:space="0" w:color="auto"/>
            </w:tcBorders>
            <w:tcMar>
              <w:top w:w="80" w:type="dxa"/>
              <w:left w:w="80" w:type="dxa"/>
              <w:bottom w:w="80" w:type="dxa"/>
              <w:right w:w="80" w:type="dxa"/>
            </w:tcMar>
          </w:tcPr>
          <w:p w14:paraId="0D28850F" w14:textId="41E1589C" w:rsidR="00FF4BC8" w:rsidRPr="009E30CD" w:rsidRDefault="00593566" w:rsidP="0006688E">
            <w:pPr>
              <w:keepNext/>
              <w:spacing w:line="240" w:lineRule="auto"/>
              <w:rPr>
                <w:b/>
                <w:szCs w:val="22"/>
              </w:rPr>
            </w:pPr>
            <w:r>
              <w:t>12 semaines ou moins (≤ 84 jours)</w:t>
            </w:r>
          </w:p>
        </w:tc>
        <w:tc>
          <w:tcPr>
            <w:tcW w:w="4050" w:type="dxa"/>
            <w:tcBorders>
              <w:top w:val="single" w:sz="4" w:space="0" w:color="auto"/>
              <w:left w:val="single" w:sz="4" w:space="0" w:color="auto"/>
              <w:bottom w:val="nil"/>
              <w:right w:val="single" w:sz="4" w:space="0" w:color="auto"/>
            </w:tcBorders>
            <w:tcMar>
              <w:top w:w="80" w:type="dxa"/>
              <w:left w:w="80" w:type="dxa"/>
              <w:bottom w:w="80" w:type="dxa"/>
              <w:right w:w="80" w:type="dxa"/>
            </w:tcMar>
          </w:tcPr>
          <w:p w14:paraId="668552E9" w14:textId="22257B1D" w:rsidR="00FF4BC8" w:rsidRPr="009E30CD" w:rsidRDefault="00FF4BC8" w:rsidP="0006688E">
            <w:pPr>
              <w:keepNext/>
              <w:spacing w:line="240" w:lineRule="auto"/>
              <w:rPr>
                <w:b/>
                <w:szCs w:val="22"/>
              </w:rPr>
            </w:pPr>
            <w:r>
              <w:t>Reprendre à la dose de 76 mg.</w:t>
            </w:r>
          </w:p>
        </w:tc>
      </w:tr>
      <w:tr w:rsidR="00FF4BC8" w:rsidRPr="009E30CD" w14:paraId="032BF68F" w14:textId="77777777" w:rsidTr="00EA2728">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5E5948" w14:textId="77777777" w:rsidR="00FF4BC8" w:rsidRPr="009E30CD" w:rsidRDefault="00FF4BC8" w:rsidP="0006688E">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93FB77" w14:textId="77777777" w:rsidR="00FF4BC8" w:rsidRPr="00824F70" w:rsidRDefault="00FF4BC8" w:rsidP="0006688E">
            <w:pPr>
              <w:keepNext/>
              <w:spacing w:line="240" w:lineRule="auto"/>
              <w:rPr>
                <w:b/>
                <w:szCs w:val="22"/>
                <w:vertAlign w:val="superscript"/>
              </w:rPr>
            </w:pPr>
            <w:r>
              <w:t>Plus de 12 semaines (&gt; 84 jours)</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22FC0B" w14:textId="0D9B2A97" w:rsidR="00FF4BC8" w:rsidRPr="00593566" w:rsidRDefault="00FF4BC8" w:rsidP="0006688E">
            <w:pPr>
              <w:keepNext/>
              <w:spacing w:line="240" w:lineRule="auto"/>
              <w:rPr>
                <w:b/>
                <w:szCs w:val="22"/>
              </w:rPr>
            </w:pPr>
            <w:r>
              <w:t xml:space="preserve">Reprendre à la </w:t>
            </w:r>
            <w:r w:rsidR="00AE0290">
              <w:t>première escalade de dose</w:t>
            </w:r>
            <w:r>
              <w:t> (12 mg).</w:t>
            </w:r>
            <w:r>
              <w:rPr>
                <w:vertAlign w:val="superscript"/>
              </w:rPr>
              <w:t>a</w:t>
            </w:r>
            <w:r w:rsidR="00593566">
              <w:t xml:space="preserve"> </w:t>
            </w:r>
            <w:r w:rsidR="00593566" w:rsidRPr="00593566">
              <w:t>Si toléré, augmenter à 76</w:t>
            </w:r>
            <w:r w:rsidR="00593566">
              <w:t> </w:t>
            </w:r>
            <w:r w:rsidR="00593566" w:rsidRPr="00593566">
              <w:t xml:space="preserve">mg </w:t>
            </w:r>
            <w:r w:rsidR="00593566">
              <w:t xml:space="preserve">1 semaine </w:t>
            </w:r>
            <w:r w:rsidR="00593566" w:rsidRPr="00593566">
              <w:t>plus tard.</w:t>
            </w:r>
          </w:p>
        </w:tc>
      </w:tr>
    </w:tbl>
    <w:p w14:paraId="7001C432" w14:textId="350E3921" w:rsidR="00FF4BC8" w:rsidRDefault="00927263" w:rsidP="00FF4BC8">
      <w:pPr>
        <w:spacing w:line="240" w:lineRule="auto"/>
      </w:pPr>
      <w:r w:rsidRPr="00A64757">
        <w:rPr>
          <w:sz w:val="18"/>
        </w:rPr>
        <w:t>a.</w:t>
      </w:r>
      <w:r w:rsidRPr="00A64757">
        <w:rPr>
          <w:sz w:val="18"/>
        </w:rPr>
        <w:tab/>
        <w:t>Administrer la prémédication recommandée avant la dose d’ELREXFIO.</w:t>
      </w:r>
    </w:p>
    <w:p w14:paraId="1D750B5B" w14:textId="77777777" w:rsidR="00927263" w:rsidRDefault="00927263" w:rsidP="00FF4BC8">
      <w:pPr>
        <w:spacing w:line="240" w:lineRule="auto"/>
      </w:pPr>
    </w:p>
    <w:p w14:paraId="7E9D4760" w14:textId="77777777" w:rsidR="00190DB4" w:rsidRPr="00BC5D21" w:rsidRDefault="00190DB4" w:rsidP="00AF1088">
      <w:pPr>
        <w:keepNext/>
        <w:spacing w:line="240" w:lineRule="auto"/>
        <w:rPr>
          <w:i/>
          <w:iCs/>
        </w:rPr>
      </w:pPr>
      <w:r>
        <w:rPr>
          <w:i/>
        </w:rPr>
        <w:t xml:space="preserve">Durée du traitement </w:t>
      </w:r>
    </w:p>
    <w:p w14:paraId="72C82E86" w14:textId="43CD6CEC" w:rsidR="00190DB4" w:rsidRDefault="00190DB4" w:rsidP="00190DB4">
      <w:pPr>
        <w:spacing w:line="240" w:lineRule="auto"/>
        <w:rPr>
          <w:szCs w:val="22"/>
        </w:rPr>
      </w:pPr>
      <w:r>
        <w:t>Le traitement doit être poursuivi jusqu’à progression de la maladie ou toxicité inacceptable.</w:t>
      </w:r>
    </w:p>
    <w:p w14:paraId="04ADC63E" w14:textId="77777777" w:rsidR="00190DB4" w:rsidRPr="00743D4B" w:rsidRDefault="00190DB4" w:rsidP="00190DB4"/>
    <w:p w14:paraId="199AD9DF" w14:textId="77777777" w:rsidR="00190DB4" w:rsidRPr="00743D4B" w:rsidRDefault="00190DB4" w:rsidP="00190DB4">
      <w:pPr>
        <w:tabs>
          <w:tab w:val="left" w:pos="5760"/>
        </w:tabs>
        <w:rPr>
          <w:i/>
          <w:szCs w:val="22"/>
        </w:rPr>
      </w:pPr>
      <w:r>
        <w:rPr>
          <w:i/>
        </w:rPr>
        <w:t>Oubli d’une dose</w:t>
      </w:r>
    </w:p>
    <w:p w14:paraId="64A4ECF7" w14:textId="22DE0934" w:rsidR="00190DB4" w:rsidRPr="00743D4B" w:rsidRDefault="00190DB4" w:rsidP="00190DB4">
      <w:pPr>
        <w:tabs>
          <w:tab w:val="left" w:pos="5760"/>
        </w:tabs>
        <w:rPr>
          <w:szCs w:val="22"/>
        </w:rPr>
      </w:pPr>
      <w:r>
        <w:t xml:space="preserve">En cas d’oubli d’une dose, la dose suivante doit être administrée dès que possible et, </w:t>
      </w:r>
      <w:r w:rsidRPr="00821709">
        <w:t>si nécessaire</w:t>
      </w:r>
      <w:r w:rsidRPr="00174D9B">
        <w:t>,</w:t>
      </w:r>
      <w:r>
        <w:t xml:space="preserve"> le schéma posologique doit être ajusté pour maintenir l’intervalle entre les doses (voir tableau 1).</w:t>
      </w:r>
    </w:p>
    <w:p w14:paraId="46EBEA12" w14:textId="77777777" w:rsidR="00190DB4" w:rsidRDefault="00190DB4" w:rsidP="00FF4BC8">
      <w:pPr>
        <w:spacing w:line="240" w:lineRule="auto"/>
      </w:pPr>
    </w:p>
    <w:p w14:paraId="0ED09DEA" w14:textId="77777777" w:rsidR="00D17A9E" w:rsidRPr="00743D4B" w:rsidRDefault="0067322D" w:rsidP="0019578F">
      <w:pPr>
        <w:keepNext/>
        <w:spacing w:line="240" w:lineRule="auto"/>
        <w:rPr>
          <w:szCs w:val="22"/>
          <w:u w:val="single"/>
        </w:rPr>
      </w:pPr>
      <w:r>
        <w:rPr>
          <w:u w:val="single"/>
        </w:rPr>
        <w:lastRenderedPageBreak/>
        <w:t>Populations particulières</w:t>
      </w:r>
    </w:p>
    <w:p w14:paraId="7446D546" w14:textId="77777777" w:rsidR="0042224A" w:rsidRPr="00743D4B" w:rsidRDefault="0042224A" w:rsidP="0019578F">
      <w:pPr>
        <w:keepNext/>
        <w:spacing w:line="240" w:lineRule="auto"/>
        <w:rPr>
          <w:i/>
        </w:rPr>
      </w:pPr>
    </w:p>
    <w:p w14:paraId="5C70D244" w14:textId="77777777" w:rsidR="0042224A" w:rsidRPr="00743D4B" w:rsidRDefault="0042224A" w:rsidP="0019578F">
      <w:pPr>
        <w:keepNext/>
        <w:spacing w:line="240" w:lineRule="auto"/>
        <w:rPr>
          <w:i/>
        </w:rPr>
      </w:pPr>
      <w:r>
        <w:rPr>
          <w:i/>
        </w:rPr>
        <w:t xml:space="preserve">Personnes âgées </w:t>
      </w:r>
    </w:p>
    <w:p w14:paraId="6F3F7402" w14:textId="77777777" w:rsidR="0042224A" w:rsidRPr="00743D4B" w:rsidRDefault="0042224A" w:rsidP="0042224A">
      <w:pPr>
        <w:spacing w:line="240" w:lineRule="auto"/>
        <w:rPr>
          <w:szCs w:val="22"/>
        </w:rPr>
      </w:pPr>
      <w:r>
        <w:t>Aucune adaptation posologique n’est nécessaire (voir rubriques 5.1 et 5.2).</w:t>
      </w:r>
    </w:p>
    <w:p w14:paraId="705273D9" w14:textId="77777777" w:rsidR="0042224A" w:rsidRPr="00743D4B" w:rsidRDefault="0042224A" w:rsidP="0042224A">
      <w:pPr>
        <w:spacing w:line="240" w:lineRule="auto"/>
      </w:pPr>
    </w:p>
    <w:p w14:paraId="2633473E" w14:textId="77777777" w:rsidR="0042224A" w:rsidRPr="00743D4B" w:rsidRDefault="0042224A" w:rsidP="0042224A">
      <w:pPr>
        <w:keepNext/>
        <w:spacing w:line="240" w:lineRule="auto"/>
        <w:rPr>
          <w:i/>
          <w:szCs w:val="22"/>
        </w:rPr>
      </w:pPr>
      <w:r>
        <w:rPr>
          <w:i/>
        </w:rPr>
        <w:t>Insuffisance rénale</w:t>
      </w:r>
    </w:p>
    <w:p w14:paraId="1840CF4C" w14:textId="115F8928" w:rsidR="0042224A" w:rsidRPr="00743D4B" w:rsidRDefault="0042224A" w:rsidP="0042224A">
      <w:pPr>
        <w:spacing w:line="240" w:lineRule="auto"/>
        <w:rPr>
          <w:szCs w:val="22"/>
        </w:rPr>
      </w:pPr>
      <w:r>
        <w:t>Aucune adaptation posologique n’est recommandée chez les patients présentant une insuffisance rénale légère à modérée (</w:t>
      </w:r>
      <w:r w:rsidR="00092879" w:rsidRPr="00092879">
        <w:t>débit de filtration glomérulaire estimé [DFGe] &gt; 30 mL/min/1,73 m</w:t>
      </w:r>
      <w:r w:rsidR="00092879" w:rsidRPr="00C44D50">
        <w:rPr>
          <w:vertAlign w:val="superscript"/>
        </w:rPr>
        <w:t>2</w:t>
      </w:r>
      <w:r w:rsidR="00092879" w:rsidRPr="00092879">
        <w:t>). Des données limitées sont disponibles concernant les patients présentant une insuffisance rénale sévère,</w:t>
      </w:r>
      <w:r w:rsidR="00092879">
        <w:t xml:space="preserve"> </w:t>
      </w:r>
      <w:r>
        <w:t>voir rubrique 5.2.</w:t>
      </w:r>
    </w:p>
    <w:p w14:paraId="095D4BD0" w14:textId="77777777" w:rsidR="0042224A" w:rsidRPr="00743D4B" w:rsidRDefault="0042224A" w:rsidP="0042224A">
      <w:pPr>
        <w:spacing w:line="240" w:lineRule="auto"/>
      </w:pPr>
    </w:p>
    <w:p w14:paraId="5B321CB0" w14:textId="77777777" w:rsidR="0042224A" w:rsidRPr="00743D4B" w:rsidRDefault="0042224A" w:rsidP="0042224A">
      <w:pPr>
        <w:keepNext/>
        <w:spacing w:line="240" w:lineRule="auto"/>
        <w:rPr>
          <w:i/>
          <w:szCs w:val="22"/>
        </w:rPr>
      </w:pPr>
      <w:r>
        <w:rPr>
          <w:i/>
        </w:rPr>
        <w:t>Insuffisance hépatique</w:t>
      </w:r>
    </w:p>
    <w:p w14:paraId="2C8379A2" w14:textId="2A8C6137" w:rsidR="0042224A" w:rsidRPr="00743D4B" w:rsidRDefault="0042224A" w:rsidP="0042224A">
      <w:pPr>
        <w:spacing w:line="240" w:lineRule="auto"/>
        <w:ind w:right="192"/>
        <w:rPr>
          <w:szCs w:val="22"/>
        </w:rPr>
      </w:pPr>
      <w:r>
        <w:t>Aucune adaptation posologique n’est nécessaire chez les patients présentant une insuffisance hépatique légère (</w:t>
      </w:r>
      <w:r w:rsidR="00092879" w:rsidRPr="00092879">
        <w:t>bilirubine totale &gt; 1 à 1,5 × LSN et toute AST, ou bilirubine totale ≤ LSN et AST &gt; LSN</w:t>
      </w:r>
      <w:r w:rsidR="00092879">
        <w:t>,</w:t>
      </w:r>
      <w:r w:rsidR="00092879" w:rsidRPr="00092879">
        <w:t xml:space="preserve"> </w:t>
      </w:r>
      <w:r>
        <w:t>voir rubrique 5.2).</w:t>
      </w:r>
    </w:p>
    <w:p w14:paraId="4ADE12B1" w14:textId="77777777" w:rsidR="00E701A9" w:rsidRDefault="00E701A9" w:rsidP="00772DCE">
      <w:pPr>
        <w:spacing w:line="240" w:lineRule="auto"/>
        <w:rPr>
          <w:u w:val="single"/>
        </w:rPr>
      </w:pPr>
    </w:p>
    <w:p w14:paraId="447FFE25" w14:textId="77777777" w:rsidR="003056CB" w:rsidRPr="00743D4B" w:rsidRDefault="003056CB" w:rsidP="003056CB">
      <w:pPr>
        <w:keepNext/>
        <w:spacing w:line="240" w:lineRule="auto"/>
        <w:rPr>
          <w:i/>
          <w:szCs w:val="22"/>
        </w:rPr>
      </w:pPr>
      <w:r>
        <w:rPr>
          <w:i/>
        </w:rPr>
        <w:t xml:space="preserve">Population pédiatrique </w:t>
      </w:r>
    </w:p>
    <w:p w14:paraId="7D45B637" w14:textId="77777777" w:rsidR="003056CB" w:rsidRPr="00743D4B" w:rsidRDefault="003056CB" w:rsidP="003056CB">
      <w:pPr>
        <w:spacing w:line="240" w:lineRule="auto"/>
        <w:ind w:right="192"/>
      </w:pPr>
      <w:r>
        <w:t>Il n’existe pas d’utilisation justifiée d’ELREXFIO dans la population pédiatrique pour le traitement du myélome multiple.</w:t>
      </w:r>
    </w:p>
    <w:p w14:paraId="766C67F2" w14:textId="77777777" w:rsidR="003056CB" w:rsidRPr="00743D4B" w:rsidRDefault="003056CB" w:rsidP="00772DCE">
      <w:pPr>
        <w:spacing w:line="240" w:lineRule="auto"/>
        <w:rPr>
          <w:u w:val="single"/>
        </w:rPr>
      </w:pPr>
    </w:p>
    <w:p w14:paraId="37DC9471" w14:textId="77777777" w:rsidR="00D17A9E" w:rsidRPr="00743D4B" w:rsidRDefault="00D17A9E" w:rsidP="00772DCE">
      <w:pPr>
        <w:keepNext/>
        <w:spacing w:line="240" w:lineRule="auto"/>
        <w:rPr>
          <w:szCs w:val="22"/>
          <w:u w:val="single"/>
        </w:rPr>
      </w:pPr>
      <w:r>
        <w:rPr>
          <w:u w:val="single"/>
        </w:rPr>
        <w:t>Mode d’administration</w:t>
      </w:r>
    </w:p>
    <w:p w14:paraId="3DB096CC" w14:textId="77777777" w:rsidR="009C043E" w:rsidRDefault="009C043E" w:rsidP="00772DCE">
      <w:pPr>
        <w:spacing w:line="240" w:lineRule="auto"/>
      </w:pPr>
    </w:p>
    <w:p w14:paraId="6C2CF8E4" w14:textId="496A9107" w:rsidR="000F5ED7" w:rsidRPr="009E01F9" w:rsidRDefault="00A23713" w:rsidP="000F5ED7">
      <w:pPr>
        <w:spacing w:line="240" w:lineRule="auto"/>
        <w:rPr>
          <w:szCs w:val="22"/>
        </w:rPr>
      </w:pPr>
      <w:r>
        <w:t>ELREXFIO doit uniquement être administré par</w:t>
      </w:r>
      <w:r w:rsidR="00C44D50">
        <w:t xml:space="preserve"> </w:t>
      </w:r>
      <w:r>
        <w:t>injection sous-cutanée</w:t>
      </w:r>
      <w:r w:rsidR="009C043E">
        <w:t xml:space="preserve"> et </w:t>
      </w:r>
      <w:r w:rsidR="000F5ED7">
        <w:t>doit être administré par un professionnel de santé.</w:t>
      </w:r>
    </w:p>
    <w:p w14:paraId="14552909" w14:textId="77777777" w:rsidR="000F5ED7" w:rsidRPr="009E01F9" w:rsidRDefault="000F5ED7" w:rsidP="000F5ED7">
      <w:pPr>
        <w:spacing w:line="240" w:lineRule="auto"/>
        <w:rPr>
          <w:szCs w:val="22"/>
        </w:rPr>
      </w:pPr>
    </w:p>
    <w:p w14:paraId="2213FF89" w14:textId="55712811" w:rsidR="000F5ED7" w:rsidRDefault="000F5ED7" w:rsidP="000F5ED7">
      <w:pPr>
        <w:spacing w:line="240" w:lineRule="auto"/>
        <w:rPr>
          <w:szCs w:val="22"/>
        </w:rPr>
      </w:pPr>
      <w:r>
        <w:t xml:space="preserve">La dose requise doit être injectée dans le tissu sous-cutané de l’abdomen (site d’injection privilégié). </w:t>
      </w:r>
      <w:r w:rsidR="00092879">
        <w:t xml:space="preserve">Il </w:t>
      </w:r>
      <w:r>
        <w:t xml:space="preserve">peut également être injecté dans le tissu sous-cutané </w:t>
      </w:r>
      <w:r w:rsidR="00190DB4">
        <w:t xml:space="preserve">de </w:t>
      </w:r>
      <w:r>
        <w:t>la cuisse.</w:t>
      </w:r>
    </w:p>
    <w:p w14:paraId="743EE642" w14:textId="77777777" w:rsidR="00CB24AF" w:rsidRPr="00743D4B" w:rsidRDefault="00CB24AF" w:rsidP="00772DCE">
      <w:pPr>
        <w:spacing w:line="240" w:lineRule="auto"/>
        <w:rPr>
          <w:szCs w:val="22"/>
        </w:rPr>
      </w:pPr>
    </w:p>
    <w:p w14:paraId="4E06C030" w14:textId="77777777" w:rsidR="00190DB4" w:rsidRDefault="00190DB4" w:rsidP="00190DB4">
      <w:pPr>
        <w:spacing w:line="240" w:lineRule="auto"/>
        <w:rPr>
          <w:szCs w:val="22"/>
        </w:rPr>
      </w:pPr>
      <w:r w:rsidRPr="00620139">
        <w:rPr>
          <w:szCs w:val="22"/>
        </w:rPr>
        <w:t xml:space="preserve">ELREXFIO </w:t>
      </w:r>
      <w:r>
        <w:rPr>
          <w:szCs w:val="22"/>
        </w:rPr>
        <w:t>ne doit pas être injecté dans des zones où la peau est rouge, contusionnée, sensible, dure ou dans des zones présentant des cicatrices</w:t>
      </w:r>
      <w:r w:rsidRPr="00620139">
        <w:rPr>
          <w:szCs w:val="22"/>
        </w:rPr>
        <w:t>.</w:t>
      </w:r>
    </w:p>
    <w:p w14:paraId="10DFF796" w14:textId="77777777" w:rsidR="00190DB4" w:rsidRDefault="00190DB4" w:rsidP="00772DCE">
      <w:pPr>
        <w:spacing w:line="240" w:lineRule="auto"/>
      </w:pPr>
    </w:p>
    <w:p w14:paraId="2C147AB9" w14:textId="61E45D66" w:rsidR="00CB24AF" w:rsidRPr="00743D4B" w:rsidRDefault="00CB24AF" w:rsidP="00772DCE">
      <w:pPr>
        <w:spacing w:line="240" w:lineRule="auto"/>
        <w:rPr>
          <w:szCs w:val="22"/>
        </w:rPr>
      </w:pPr>
      <w:r>
        <w:t>Pour les instructions concernant la manipulation du médicament avant administration, voir la rubrique 6.6.</w:t>
      </w:r>
    </w:p>
    <w:p w14:paraId="28B4D1B7" w14:textId="77777777" w:rsidR="00CA5B27" w:rsidRPr="00743D4B" w:rsidRDefault="00CA5B27" w:rsidP="00204AAB">
      <w:pPr>
        <w:spacing w:line="240" w:lineRule="auto"/>
        <w:rPr>
          <w:noProof/>
          <w:szCs w:val="22"/>
        </w:rPr>
      </w:pPr>
    </w:p>
    <w:p w14:paraId="3BDE3066" w14:textId="77777777" w:rsidR="00812D16" w:rsidRPr="00743D4B" w:rsidRDefault="00812D16" w:rsidP="00815DD7">
      <w:pPr>
        <w:keepNext/>
        <w:spacing w:line="240" w:lineRule="auto"/>
        <w:ind w:left="562" w:hanging="562"/>
        <w:rPr>
          <w:noProof/>
          <w:szCs w:val="22"/>
        </w:rPr>
      </w:pPr>
      <w:r>
        <w:rPr>
          <w:b/>
        </w:rPr>
        <w:t>4.3</w:t>
      </w:r>
      <w:r>
        <w:rPr>
          <w:b/>
        </w:rPr>
        <w:tab/>
        <w:t>Contre-indications</w:t>
      </w:r>
    </w:p>
    <w:p w14:paraId="55F38781" w14:textId="77777777" w:rsidR="00812D16" w:rsidRPr="00743D4B" w:rsidRDefault="00812D16" w:rsidP="00815DD7">
      <w:pPr>
        <w:keepNext/>
        <w:spacing w:line="240" w:lineRule="auto"/>
        <w:rPr>
          <w:noProof/>
          <w:szCs w:val="22"/>
        </w:rPr>
      </w:pPr>
    </w:p>
    <w:p w14:paraId="7AA24084" w14:textId="77777777" w:rsidR="000920AE" w:rsidRPr="00743D4B" w:rsidRDefault="000920AE" w:rsidP="00204AAB">
      <w:pPr>
        <w:spacing w:line="240" w:lineRule="auto"/>
        <w:rPr>
          <w:noProof/>
          <w:szCs w:val="22"/>
        </w:rPr>
      </w:pPr>
      <w:r>
        <w:t>Hypersensibilité à la substance active ou à l’un des excipients mentionnés à la rubrique 6.1.</w:t>
      </w:r>
    </w:p>
    <w:p w14:paraId="3D92144B" w14:textId="77777777" w:rsidR="00812D16" w:rsidRPr="00743D4B" w:rsidRDefault="00812D16" w:rsidP="00204AAB">
      <w:pPr>
        <w:spacing w:line="240" w:lineRule="auto"/>
        <w:rPr>
          <w:noProof/>
          <w:szCs w:val="22"/>
        </w:rPr>
      </w:pPr>
    </w:p>
    <w:p w14:paraId="28216354" w14:textId="77777777" w:rsidR="00812D16" w:rsidRPr="00743D4B" w:rsidRDefault="00812D16" w:rsidP="004E3767">
      <w:pPr>
        <w:keepNext/>
        <w:spacing w:line="240" w:lineRule="auto"/>
        <w:ind w:left="567" w:hanging="567"/>
        <w:rPr>
          <w:b/>
        </w:rPr>
      </w:pPr>
      <w:r>
        <w:rPr>
          <w:b/>
        </w:rPr>
        <w:t>4.4</w:t>
      </w:r>
      <w:r>
        <w:tab/>
      </w:r>
      <w:r>
        <w:rPr>
          <w:b/>
        </w:rPr>
        <w:t>Mises en garde spéciales et précautions d’emploi</w:t>
      </w:r>
    </w:p>
    <w:p w14:paraId="23EC5E71" w14:textId="77777777" w:rsidR="009E72A8" w:rsidRPr="00743D4B" w:rsidRDefault="009E72A8" w:rsidP="004E3767">
      <w:pPr>
        <w:keepNext/>
        <w:spacing w:line="240" w:lineRule="auto"/>
        <w:ind w:left="567" w:hanging="567"/>
        <w:rPr>
          <w:b/>
        </w:rPr>
      </w:pPr>
    </w:p>
    <w:p w14:paraId="3DEFCF1F" w14:textId="77777777" w:rsidR="00F40116" w:rsidRPr="00743D4B" w:rsidRDefault="000D2A7D" w:rsidP="004E3767">
      <w:pPr>
        <w:keepNext/>
        <w:tabs>
          <w:tab w:val="clear" w:pos="567"/>
        </w:tabs>
        <w:spacing w:line="240" w:lineRule="auto"/>
        <w:rPr>
          <w:u w:val="single"/>
        </w:rPr>
      </w:pPr>
      <w:r>
        <w:rPr>
          <w:u w:val="single"/>
        </w:rPr>
        <w:t>Traçabilité</w:t>
      </w:r>
    </w:p>
    <w:p w14:paraId="6FA3E172" w14:textId="77777777" w:rsidR="00987F22" w:rsidRDefault="00987F22" w:rsidP="000D2A7D">
      <w:pPr>
        <w:tabs>
          <w:tab w:val="clear" w:pos="567"/>
        </w:tabs>
        <w:spacing w:line="240" w:lineRule="auto"/>
      </w:pPr>
    </w:p>
    <w:p w14:paraId="33E9A956" w14:textId="4342AAEB" w:rsidR="00254665" w:rsidRPr="00743D4B" w:rsidRDefault="000D2A7D" w:rsidP="000D2A7D">
      <w:pPr>
        <w:tabs>
          <w:tab w:val="clear" w:pos="567"/>
        </w:tabs>
        <w:spacing w:line="240" w:lineRule="auto"/>
      </w:pPr>
      <w:r>
        <w:t>Afin d’améliorer la traçabilité des médicaments biologiques, le nom et le numéro de lot du médicament administré doivent être clairement enregistrés.</w:t>
      </w:r>
    </w:p>
    <w:p w14:paraId="26121040" w14:textId="77777777" w:rsidR="00254665" w:rsidRPr="00743D4B" w:rsidRDefault="00254665" w:rsidP="009E72A8">
      <w:pPr>
        <w:spacing w:line="240" w:lineRule="auto"/>
        <w:ind w:left="567" w:hanging="567"/>
        <w:rPr>
          <w:u w:val="single"/>
        </w:rPr>
      </w:pPr>
    </w:p>
    <w:p w14:paraId="1E063015" w14:textId="11099E24" w:rsidR="00EB09FF" w:rsidRPr="00743D4B" w:rsidRDefault="00100C5D" w:rsidP="00100C5D">
      <w:pPr>
        <w:tabs>
          <w:tab w:val="clear" w:pos="567"/>
        </w:tabs>
        <w:spacing w:line="240" w:lineRule="auto"/>
        <w:rPr>
          <w:noProof/>
          <w:szCs w:val="22"/>
          <w:u w:val="single"/>
        </w:rPr>
      </w:pPr>
      <w:r>
        <w:rPr>
          <w:u w:val="single"/>
        </w:rPr>
        <w:t xml:space="preserve">Syndrome de </w:t>
      </w:r>
      <w:r w:rsidR="00CC6D99">
        <w:rPr>
          <w:u w:val="single"/>
        </w:rPr>
        <w:t>relargage</w:t>
      </w:r>
      <w:r>
        <w:rPr>
          <w:u w:val="single"/>
        </w:rPr>
        <w:t xml:space="preserve"> des cytokines (</w:t>
      </w:r>
      <w:r w:rsidR="00143572">
        <w:rPr>
          <w:u w:val="single"/>
        </w:rPr>
        <w:t>S</w:t>
      </w:r>
      <w:r w:rsidR="00CC6D99">
        <w:rPr>
          <w:u w:val="single"/>
        </w:rPr>
        <w:t>R</w:t>
      </w:r>
      <w:r w:rsidR="00143572">
        <w:rPr>
          <w:u w:val="single"/>
        </w:rPr>
        <w:t>C</w:t>
      </w:r>
      <w:r>
        <w:rPr>
          <w:u w:val="single"/>
        </w:rPr>
        <w:t>)</w:t>
      </w:r>
    </w:p>
    <w:p w14:paraId="78828D8B" w14:textId="77777777" w:rsidR="00987F22" w:rsidRDefault="00987F22" w:rsidP="00100C5D">
      <w:pPr>
        <w:tabs>
          <w:tab w:val="clear" w:pos="567"/>
        </w:tabs>
        <w:spacing w:line="240" w:lineRule="auto"/>
      </w:pPr>
      <w:bookmarkStart w:id="2" w:name="_Hlk117170508"/>
    </w:p>
    <w:p w14:paraId="1C705B2C" w14:textId="25107BE1" w:rsidR="00940181" w:rsidRPr="00743D4B" w:rsidRDefault="00AA075C" w:rsidP="00940181">
      <w:pPr>
        <w:tabs>
          <w:tab w:val="clear" w:pos="567"/>
        </w:tabs>
        <w:spacing w:line="240" w:lineRule="auto"/>
        <w:rPr>
          <w:u w:val="single"/>
        </w:rPr>
      </w:pPr>
      <w:r>
        <w:t xml:space="preserve">Un </w:t>
      </w:r>
      <w:r w:rsidR="00CC6D99">
        <w:t>SRC</w:t>
      </w:r>
      <w:r>
        <w:t xml:space="preserve">, </w:t>
      </w:r>
      <w:r w:rsidR="004651E3" w:rsidRPr="00CA75AC">
        <w:t>incluant</w:t>
      </w:r>
      <w:r w:rsidR="004651E3">
        <w:t xml:space="preserve"> </w:t>
      </w:r>
      <w:r>
        <w:t xml:space="preserve">des réactions pouvant engager le pronostic vital ou d’issue fatale, peut survenir chez les patients </w:t>
      </w:r>
      <w:bookmarkStart w:id="3" w:name="_Hlk118103602"/>
      <w:r w:rsidR="004651E3">
        <w:t xml:space="preserve">recevant </w:t>
      </w:r>
      <w:r>
        <w:t>ELREXFIO</w:t>
      </w:r>
      <w:bookmarkEnd w:id="3"/>
      <w:r>
        <w:t>.</w:t>
      </w:r>
      <w:r w:rsidR="00987F22">
        <w:t xml:space="preserve"> </w:t>
      </w:r>
      <w:r w:rsidR="00575E72">
        <w:t xml:space="preserve">Les signes et symptômes cliniques du </w:t>
      </w:r>
      <w:r w:rsidR="00CC6D99">
        <w:t xml:space="preserve">SRC </w:t>
      </w:r>
      <w:r w:rsidR="00575E72">
        <w:t xml:space="preserve">peuvent inclure, sans s’y limiter, </w:t>
      </w:r>
      <w:r w:rsidR="004651E3">
        <w:t xml:space="preserve">une </w:t>
      </w:r>
      <w:r w:rsidR="00575E72">
        <w:t xml:space="preserve">fièvre, </w:t>
      </w:r>
      <w:r w:rsidR="004651E3">
        <w:t xml:space="preserve">une </w:t>
      </w:r>
      <w:r w:rsidR="00575E72">
        <w:t xml:space="preserve">hypoxie, </w:t>
      </w:r>
      <w:r w:rsidR="004651E3">
        <w:t xml:space="preserve">des </w:t>
      </w:r>
      <w:r w:rsidR="00575E72">
        <w:t xml:space="preserve">frissons, </w:t>
      </w:r>
      <w:r w:rsidR="004651E3">
        <w:t xml:space="preserve">une </w:t>
      </w:r>
      <w:r w:rsidR="00575E72">
        <w:t xml:space="preserve">hypotension, </w:t>
      </w:r>
      <w:r w:rsidR="004651E3">
        <w:t xml:space="preserve">une </w:t>
      </w:r>
      <w:r w:rsidR="00575E72">
        <w:t xml:space="preserve">tachycardie, </w:t>
      </w:r>
      <w:r w:rsidR="00000DA3" w:rsidRPr="00CA75AC">
        <w:t>des</w:t>
      </w:r>
      <w:r w:rsidR="004651E3">
        <w:t xml:space="preserve"> </w:t>
      </w:r>
      <w:r w:rsidR="00575E72">
        <w:t xml:space="preserve">céphalées et </w:t>
      </w:r>
      <w:r w:rsidR="004651E3">
        <w:t xml:space="preserve">une élévation des </w:t>
      </w:r>
      <w:r w:rsidR="00575E72">
        <w:t>enzymes hépatiques</w:t>
      </w:r>
      <w:r w:rsidR="00092879">
        <w:t xml:space="preserve"> (voir rubrique 4.8)</w:t>
      </w:r>
      <w:r w:rsidR="00575E72">
        <w:t xml:space="preserve">. </w:t>
      </w:r>
    </w:p>
    <w:p w14:paraId="1D667A75" w14:textId="77777777" w:rsidR="00F618A1" w:rsidRPr="00743D4B" w:rsidRDefault="00F618A1" w:rsidP="00100C5D">
      <w:pPr>
        <w:tabs>
          <w:tab w:val="clear" w:pos="567"/>
        </w:tabs>
        <w:spacing w:line="240" w:lineRule="auto"/>
        <w:rPr>
          <w:noProof/>
          <w:szCs w:val="22"/>
        </w:rPr>
      </w:pPr>
    </w:p>
    <w:p w14:paraId="7F749B50" w14:textId="1A58C0C7" w:rsidR="00C83C44" w:rsidRDefault="006029B4" w:rsidP="00F950AF">
      <w:pPr>
        <w:tabs>
          <w:tab w:val="clear" w:pos="567"/>
        </w:tabs>
        <w:spacing w:line="240" w:lineRule="auto"/>
        <w:rPr>
          <w:noProof/>
          <w:szCs w:val="22"/>
        </w:rPr>
      </w:pPr>
      <w:r>
        <w:t xml:space="preserve">Le traitement doit être instauré selon le schéma </w:t>
      </w:r>
      <w:r w:rsidR="00DF7360" w:rsidRPr="00CA75AC">
        <w:t>posologique</w:t>
      </w:r>
      <w:r w:rsidR="00DF7360">
        <w:t xml:space="preserve"> </w:t>
      </w:r>
      <w:r w:rsidR="004651E3">
        <w:t>d’escalade</w:t>
      </w:r>
      <w:r w:rsidR="006D389C">
        <w:t xml:space="preserve"> de dose</w:t>
      </w:r>
      <w:r>
        <w:t xml:space="preserve"> afin de réduire le risque de </w:t>
      </w:r>
      <w:r w:rsidR="00CC6D99">
        <w:t xml:space="preserve">SRC </w:t>
      </w:r>
      <w:r>
        <w:t xml:space="preserve">et les patients doivent </w:t>
      </w:r>
      <w:r w:rsidR="004651E3">
        <w:t xml:space="preserve">être surveillés </w:t>
      </w:r>
      <w:r>
        <w:t xml:space="preserve">en conséquence </w:t>
      </w:r>
      <w:r w:rsidR="004651E3">
        <w:t xml:space="preserve">suite à </w:t>
      </w:r>
      <w:r>
        <w:t xml:space="preserve">l’administration d’ELREXFIO. </w:t>
      </w:r>
      <w:r w:rsidR="004651E3">
        <w:t>Une prémédication</w:t>
      </w:r>
      <w:r>
        <w:t xml:space="preserve"> doit être administré</w:t>
      </w:r>
      <w:r w:rsidR="004651E3">
        <w:t>e</w:t>
      </w:r>
      <w:r>
        <w:t xml:space="preserve"> avant les trois premières doses afin de réduire le risque de </w:t>
      </w:r>
      <w:r w:rsidR="00143572">
        <w:t>S</w:t>
      </w:r>
      <w:r w:rsidR="004651E3">
        <w:t>R</w:t>
      </w:r>
      <w:r w:rsidR="00143572">
        <w:t>C</w:t>
      </w:r>
      <w:r>
        <w:t xml:space="preserve"> (voir rubrique 4.2).</w:t>
      </w:r>
    </w:p>
    <w:p w14:paraId="377750D6" w14:textId="77777777" w:rsidR="00760611" w:rsidRPr="00405A50" w:rsidRDefault="00760611" w:rsidP="00F950AF">
      <w:pPr>
        <w:tabs>
          <w:tab w:val="clear" w:pos="567"/>
        </w:tabs>
        <w:spacing w:line="240" w:lineRule="auto"/>
        <w:rPr>
          <w:noProof/>
          <w:szCs w:val="22"/>
        </w:rPr>
      </w:pPr>
    </w:p>
    <w:bookmarkEnd w:id="2"/>
    <w:p w14:paraId="7750DD98" w14:textId="1BE4BD41" w:rsidR="00940181" w:rsidRPr="00743D4B" w:rsidRDefault="00987F22" w:rsidP="00940181">
      <w:pPr>
        <w:spacing w:line="240" w:lineRule="auto"/>
        <w:rPr>
          <w:b/>
          <w:szCs w:val="22"/>
        </w:rPr>
      </w:pPr>
      <w:r>
        <w:lastRenderedPageBreak/>
        <w:t>Il convient de conseiller aux patients de consulter d’urgence un médecin en cas d’apparition de signes ou symptômes de SRC.</w:t>
      </w:r>
    </w:p>
    <w:p w14:paraId="7451F572" w14:textId="77777777" w:rsidR="00940181" w:rsidRPr="00743D4B" w:rsidRDefault="00940181" w:rsidP="00940181">
      <w:pPr>
        <w:spacing w:line="240" w:lineRule="auto"/>
      </w:pPr>
    </w:p>
    <w:p w14:paraId="0741FF8B" w14:textId="2DFB46C0" w:rsidR="00940181" w:rsidRPr="00743D4B" w:rsidRDefault="00940181" w:rsidP="00940181">
      <w:pPr>
        <w:rPr>
          <w:b/>
          <w:szCs w:val="22"/>
        </w:rPr>
      </w:pPr>
      <w:r>
        <w:t xml:space="preserve">Dès le premier signe de </w:t>
      </w:r>
      <w:r w:rsidR="00CC6D99">
        <w:t>SRC</w:t>
      </w:r>
      <w:r>
        <w:t xml:space="preserve">, le traitement par ELREXFIO doit être interrompu et les patients doivent être immédiatement évalués en vue d’une hospitalisation. Le </w:t>
      </w:r>
      <w:r w:rsidR="00143572">
        <w:t>S</w:t>
      </w:r>
      <w:r w:rsidR="004651E3">
        <w:t>R</w:t>
      </w:r>
      <w:r w:rsidR="00143572">
        <w:t>C</w:t>
      </w:r>
      <w:r>
        <w:t xml:space="preserve"> doit être pris en charge conformément aux recommandations </w:t>
      </w:r>
      <w:r w:rsidR="00092879">
        <w:t>de la rubrique 4.2</w:t>
      </w:r>
      <w:r>
        <w:t xml:space="preserve">, et </w:t>
      </w:r>
      <w:r w:rsidR="004651E3">
        <w:t>une prise en charge supplémentaire</w:t>
      </w:r>
      <w:r>
        <w:t xml:space="preserve"> doit être envisagée conformément aux </w:t>
      </w:r>
      <w:r w:rsidR="00586035">
        <w:t>recommandations de prise en charge locales</w:t>
      </w:r>
      <w:r>
        <w:t>. Le</w:t>
      </w:r>
      <w:r w:rsidR="001D0ADD">
        <w:t xml:space="preserve">s soins de support </w:t>
      </w:r>
      <w:r w:rsidR="000D377D">
        <w:t xml:space="preserve">nécessaires à la prise en charge d’un </w:t>
      </w:r>
      <w:r w:rsidR="00CC6D99">
        <w:t xml:space="preserve">SRC </w:t>
      </w:r>
      <w:r>
        <w:t>(</w:t>
      </w:r>
      <w:r w:rsidR="00DE1EB0">
        <w:t>incluant</w:t>
      </w:r>
      <w:r>
        <w:t xml:space="preserve">, mais sans s’y limiter, </w:t>
      </w:r>
      <w:r w:rsidR="001D0ADD">
        <w:t xml:space="preserve">les </w:t>
      </w:r>
      <w:r>
        <w:t xml:space="preserve">agents antipyrétiques, </w:t>
      </w:r>
      <w:r w:rsidR="001D0ADD">
        <w:t>l’administration de solutés de remplissage</w:t>
      </w:r>
      <w:r>
        <w:t xml:space="preserve"> par voie intraveineuse, </w:t>
      </w:r>
      <w:r w:rsidR="001D0ADD">
        <w:t xml:space="preserve">les </w:t>
      </w:r>
      <w:r>
        <w:t xml:space="preserve">vasopresseurs, </w:t>
      </w:r>
      <w:r w:rsidR="001D0ADD">
        <w:t xml:space="preserve">les </w:t>
      </w:r>
      <w:r>
        <w:t>inhibiteurs de l’IL-6 ou d</w:t>
      </w:r>
      <w:r w:rsidR="001D0ADD">
        <w:t>u</w:t>
      </w:r>
      <w:r>
        <w:t xml:space="preserve"> récepteur de l’IL-6, </w:t>
      </w:r>
      <w:r w:rsidR="001D0ADD">
        <w:t xml:space="preserve">l’oxygène d’appoint, </w:t>
      </w:r>
      <w:r>
        <w:t>etc.) doi</w:t>
      </w:r>
      <w:r w:rsidR="001D0ADD">
        <w:t>ven</w:t>
      </w:r>
      <w:r>
        <w:t>t être administré</w:t>
      </w:r>
      <w:r w:rsidR="001D0ADD">
        <w:t>s</w:t>
      </w:r>
      <w:r>
        <w:t xml:space="preserve"> de manière appropriée. Des analyses biologiques visant à surveiller la coagulation intravasculaire disséminée (CIVD), les paramètres hématologiques, ainsi que les fonctions pulmonaire, cardiaque, rénale et hépatique doivent être envisagées.</w:t>
      </w:r>
    </w:p>
    <w:p w14:paraId="09F524FB" w14:textId="77777777" w:rsidR="00472497" w:rsidRPr="00743D4B" w:rsidRDefault="00472497" w:rsidP="00772DCE">
      <w:pPr>
        <w:spacing w:line="240" w:lineRule="auto"/>
      </w:pPr>
    </w:p>
    <w:p w14:paraId="1C986E7A" w14:textId="2DA20CD5" w:rsidR="00783943" w:rsidRPr="00743D4B" w:rsidRDefault="009C00E6" w:rsidP="003D08BD">
      <w:pPr>
        <w:keepNext/>
        <w:keepLines/>
        <w:spacing w:line="240" w:lineRule="auto"/>
        <w:rPr>
          <w:b/>
          <w:bCs/>
          <w:noProof/>
          <w:u w:val="single"/>
        </w:rPr>
      </w:pPr>
      <w:r>
        <w:rPr>
          <w:u w:val="single"/>
        </w:rPr>
        <w:t xml:space="preserve">Toxicités neurologiques, </w:t>
      </w:r>
      <w:r w:rsidR="001D0ADD">
        <w:rPr>
          <w:u w:val="single"/>
        </w:rPr>
        <w:t>y compris l’</w:t>
      </w:r>
      <w:r>
        <w:rPr>
          <w:u w:val="single"/>
        </w:rPr>
        <w:t>ICANS</w:t>
      </w:r>
    </w:p>
    <w:p w14:paraId="0EAA89B0" w14:textId="77777777" w:rsidR="009C043E" w:rsidRDefault="009C043E" w:rsidP="003D08BD">
      <w:pPr>
        <w:keepNext/>
        <w:keepLines/>
        <w:spacing w:line="240" w:lineRule="auto"/>
      </w:pPr>
      <w:bookmarkStart w:id="4" w:name="_Hlk117171350"/>
      <w:bookmarkStart w:id="5" w:name="_Hlk76972114"/>
    </w:p>
    <w:p w14:paraId="07234578" w14:textId="2C332F71" w:rsidR="00D86669" w:rsidRPr="00743D4B" w:rsidRDefault="00934C14" w:rsidP="00772DCE">
      <w:pPr>
        <w:spacing w:line="240" w:lineRule="auto"/>
        <w:rPr>
          <w:szCs w:val="22"/>
        </w:rPr>
      </w:pPr>
      <w:r>
        <w:t xml:space="preserve">Des toxicités neurologiques graves ou pouvant engager le pronostic vital, </w:t>
      </w:r>
      <w:r w:rsidR="001D0ADD">
        <w:t xml:space="preserve">y compris </w:t>
      </w:r>
      <w:r>
        <w:t xml:space="preserve">l’ICANS, peuvent survenir après </w:t>
      </w:r>
      <w:r w:rsidR="001D0ADD">
        <w:t xml:space="preserve">le </w:t>
      </w:r>
      <w:r>
        <w:t>traitement par ELREXFIO</w:t>
      </w:r>
      <w:r w:rsidR="009C1D41">
        <w:t xml:space="preserve"> (voir rubrique 4.8)</w:t>
      </w:r>
      <w:r>
        <w:t>.</w:t>
      </w:r>
      <w:r w:rsidR="009C043E">
        <w:t xml:space="preserve"> </w:t>
      </w:r>
      <w:r w:rsidR="00124956">
        <w:t xml:space="preserve">Les patients doivent faire l’objet d’une surveillance en vue de détecter tout signe ou symptôme </w:t>
      </w:r>
      <w:r w:rsidR="009C1D41">
        <w:t>(</w:t>
      </w:r>
      <w:r w:rsidR="009C1D41" w:rsidRPr="009C1D41">
        <w:t>par exemple, diminution du niveau de conscience, convulsions et/ou faiblesse motrice)</w:t>
      </w:r>
      <w:r w:rsidR="009C1D41">
        <w:t xml:space="preserve"> </w:t>
      </w:r>
      <w:r w:rsidR="00124956">
        <w:t>de toxicité neurologique pendant le traitement.</w:t>
      </w:r>
    </w:p>
    <w:p w14:paraId="6F2CB102" w14:textId="77777777" w:rsidR="002E48EF" w:rsidRPr="00743D4B" w:rsidRDefault="002E48EF" w:rsidP="00772DCE">
      <w:pPr>
        <w:spacing w:line="240" w:lineRule="auto"/>
        <w:rPr>
          <w:szCs w:val="22"/>
        </w:rPr>
      </w:pPr>
    </w:p>
    <w:p w14:paraId="208F7E35" w14:textId="77777777" w:rsidR="00770D3B" w:rsidRPr="00743D4B" w:rsidRDefault="00430980" w:rsidP="00772DCE">
      <w:pPr>
        <w:spacing w:line="240" w:lineRule="auto"/>
        <w:rPr>
          <w:szCs w:val="22"/>
        </w:rPr>
      </w:pPr>
      <w:r>
        <w:t>Il convient de conseiller aux patients de consulter d’urgence un médecin en cas d’apparition de signes ou symptômes de toxicité neurologique.</w:t>
      </w:r>
    </w:p>
    <w:bookmarkEnd w:id="4"/>
    <w:p w14:paraId="3BE9810F" w14:textId="77777777" w:rsidR="00100C5D" w:rsidRPr="00743D4B" w:rsidRDefault="00100C5D" w:rsidP="00772DCE">
      <w:pPr>
        <w:spacing w:line="240" w:lineRule="auto"/>
        <w:rPr>
          <w:szCs w:val="22"/>
        </w:rPr>
      </w:pPr>
    </w:p>
    <w:p w14:paraId="0BF8FA53" w14:textId="600DE50D" w:rsidR="00472497" w:rsidRDefault="00625C85" w:rsidP="00772DCE">
      <w:pPr>
        <w:spacing w:line="240" w:lineRule="auto"/>
        <w:rPr>
          <w:szCs w:val="22"/>
        </w:rPr>
      </w:pPr>
      <w:r>
        <w:t xml:space="preserve">Dès le </w:t>
      </w:r>
      <w:r w:rsidR="00961EC0">
        <w:t xml:space="preserve">premier signe de toxicité neurologique, </w:t>
      </w:r>
      <w:r>
        <w:t xml:space="preserve">y compris </w:t>
      </w:r>
      <w:r w:rsidR="00BE6F1E">
        <w:t>d</w:t>
      </w:r>
      <w:r w:rsidR="00961EC0">
        <w:t>’ICANS, l</w:t>
      </w:r>
      <w:r>
        <w:t>’administration d’</w:t>
      </w:r>
      <w:r w:rsidR="00961EC0">
        <w:t xml:space="preserve">ELREXFIO doit être </w:t>
      </w:r>
      <w:r>
        <w:t>suspendu</w:t>
      </w:r>
      <w:r w:rsidR="000932DD">
        <w:t>e</w:t>
      </w:r>
      <w:r>
        <w:t xml:space="preserve"> </w:t>
      </w:r>
      <w:r w:rsidR="00961EC0">
        <w:t xml:space="preserve">et une évaluation neurologique doit être envisagée. La prise en charge générale de la toxicité neurologique (par exemple, ICANS) est résumée dans le tableau 3 (voir rubrique 4.2). </w:t>
      </w:r>
      <w:bookmarkEnd w:id="5"/>
    </w:p>
    <w:p w14:paraId="32B8015F" w14:textId="77777777" w:rsidR="009C043E" w:rsidRDefault="009C043E" w:rsidP="00987F22">
      <w:pPr>
        <w:spacing w:line="240" w:lineRule="auto"/>
      </w:pPr>
    </w:p>
    <w:p w14:paraId="12D9E814" w14:textId="72D3C223" w:rsidR="00987F22" w:rsidRPr="00120F9D" w:rsidRDefault="00987F22" w:rsidP="00987F22">
      <w:pPr>
        <w:spacing w:line="240" w:lineRule="auto"/>
        <w:rPr>
          <w:szCs w:val="22"/>
        </w:rPr>
      </w:pPr>
      <w:r>
        <w:t>En raison du risque d’ICANS, il doit être conseillé aux patients de ne pas conduire ou d’utiliser des machines lourdes ou potentiellement dangereuses</w:t>
      </w:r>
      <w:r w:rsidR="00645C0A">
        <w:t xml:space="preserve"> le jour de la première et de la </w:t>
      </w:r>
      <w:r w:rsidR="00107C8B">
        <w:t>seconde</w:t>
      </w:r>
      <w:r w:rsidR="00645C0A">
        <w:t xml:space="preserve"> escalade de dose et </w:t>
      </w:r>
      <w:r w:rsidRPr="00645C0A">
        <w:t>48 heures après chacune des 2 </w:t>
      </w:r>
      <w:r w:rsidR="00645C0A">
        <w:t xml:space="preserve">escalades de </w:t>
      </w:r>
      <w:r w:rsidR="002E3C96" w:rsidRPr="00645C0A">
        <w:t>doses</w:t>
      </w:r>
      <w:r>
        <w:t xml:space="preserve"> et en cas de nouvelle apparition de tout symptôme neurologique (</w:t>
      </w:r>
      <w:r w:rsidRPr="000F1757">
        <w:t>voir rubriques</w:t>
      </w:r>
      <w:r>
        <w:t> 4.2 et 4.7).</w:t>
      </w:r>
    </w:p>
    <w:p w14:paraId="55234A1B" w14:textId="77777777" w:rsidR="00987F22" w:rsidRPr="00743D4B" w:rsidRDefault="00987F22" w:rsidP="00772DCE">
      <w:pPr>
        <w:spacing w:line="240" w:lineRule="auto"/>
      </w:pPr>
    </w:p>
    <w:p w14:paraId="69A7F267" w14:textId="202037ED" w:rsidR="6650A4A0" w:rsidRDefault="00100C5D" w:rsidP="00772DCE">
      <w:pPr>
        <w:shd w:val="clear" w:color="auto" w:fill="FFFFFF" w:themeFill="background1"/>
        <w:spacing w:line="240" w:lineRule="auto"/>
        <w:rPr>
          <w:u w:val="single"/>
        </w:rPr>
      </w:pPr>
      <w:r>
        <w:rPr>
          <w:u w:val="single"/>
        </w:rPr>
        <w:t>Infections</w:t>
      </w:r>
    </w:p>
    <w:p w14:paraId="0F0E3413" w14:textId="77777777" w:rsidR="002E3C96" w:rsidRPr="00743D4B" w:rsidRDefault="002E3C96" w:rsidP="00772DCE">
      <w:pPr>
        <w:shd w:val="clear" w:color="auto" w:fill="FFFFFF" w:themeFill="background1"/>
        <w:spacing w:line="240" w:lineRule="auto"/>
        <w:rPr>
          <w:u w:val="single"/>
        </w:rPr>
      </w:pPr>
    </w:p>
    <w:p w14:paraId="6B0B58B8" w14:textId="2197679A" w:rsidR="0063134E" w:rsidRPr="00743D4B" w:rsidRDefault="00AE5418" w:rsidP="00772DCE">
      <w:pPr>
        <w:shd w:val="clear" w:color="auto" w:fill="FFFFFF" w:themeFill="background1"/>
        <w:spacing w:line="240" w:lineRule="auto"/>
      </w:pPr>
      <w:bookmarkStart w:id="6" w:name="_Hlk117171399"/>
      <w:r>
        <w:t xml:space="preserve">Des infections sévères, pouvant engager le pronostic vital ou d’issue fatale, ont été rapportées chez des patients </w:t>
      </w:r>
      <w:r w:rsidR="009F5E53">
        <w:t xml:space="preserve">recevant </w:t>
      </w:r>
      <w:r>
        <w:t>ELREXFIO (voir rubrique 4.8).</w:t>
      </w:r>
      <w:r w:rsidR="002E3C96" w:rsidRPr="002E3C96">
        <w:t xml:space="preserve"> </w:t>
      </w:r>
      <w:r w:rsidR="002E3C96">
        <w:t>Des infections virales nouvelles ou réactivées sont survenues au cours du traitement par ELREXFIO</w:t>
      </w:r>
      <w:r w:rsidR="00A91B71">
        <w:t xml:space="preserve">, y compris </w:t>
      </w:r>
      <w:r w:rsidR="002F0223" w:rsidRPr="002F0223">
        <w:t xml:space="preserve">de nouvelles ou une réactivation </w:t>
      </w:r>
      <w:r w:rsidR="00185486">
        <w:t>d’</w:t>
      </w:r>
      <w:r w:rsidR="00A91B71">
        <w:t>infection</w:t>
      </w:r>
      <w:r w:rsidR="00185486">
        <w:t>s</w:t>
      </w:r>
      <w:r w:rsidR="00A91B71">
        <w:t xml:space="preserve"> à cytomégalovirus</w:t>
      </w:r>
      <w:r w:rsidR="002E3C96">
        <w:t xml:space="preserve">. </w:t>
      </w:r>
      <w:r w:rsidR="004A4917">
        <w:t>Une</w:t>
      </w:r>
      <w:r w:rsidR="002E3C96">
        <w:t xml:space="preserve"> </w:t>
      </w:r>
      <w:r w:rsidR="002E3C96" w:rsidRPr="005B5A50">
        <w:t>leucoencéphalopathie multifocale progressive</w:t>
      </w:r>
      <w:r w:rsidR="002E3C96">
        <w:t xml:space="preserve"> (LEMP) est également survenue au cours du traitement par ELREXFIO.</w:t>
      </w:r>
    </w:p>
    <w:p w14:paraId="2D577BFD" w14:textId="77777777" w:rsidR="006C6193" w:rsidRPr="00743D4B" w:rsidRDefault="006C6193" w:rsidP="00772DCE">
      <w:pPr>
        <w:shd w:val="clear" w:color="auto" w:fill="FFFFFF" w:themeFill="background1"/>
        <w:spacing w:line="240" w:lineRule="auto"/>
      </w:pPr>
    </w:p>
    <w:bookmarkEnd w:id="6"/>
    <w:p w14:paraId="57077996" w14:textId="5031E742" w:rsidR="002E3C96" w:rsidRDefault="00F43B17" w:rsidP="00F43B17">
      <w:pPr>
        <w:shd w:val="clear" w:color="auto" w:fill="FFFFFF"/>
      </w:pPr>
      <w:r>
        <w:t xml:space="preserve">Le traitement ne doit pas être instauré chez les patients présentant des infections actives. Les patients doivent faire l’objet d’une surveillance </w:t>
      </w:r>
      <w:r w:rsidR="009F5E53">
        <w:t>afin</w:t>
      </w:r>
      <w:r>
        <w:t xml:space="preserve"> de détecter tout signe ou symptôme d’infection avant et pendant le traitement par ELREXFIO et être traités de manière appropriée. Le traitement par ELREXFIO doit être </w:t>
      </w:r>
      <w:r w:rsidR="009F5E53">
        <w:t>suspendu selon la gravité</w:t>
      </w:r>
      <w:r>
        <w:t xml:space="preserve"> de l’infection, comme indiqué dans le tableau 4</w:t>
      </w:r>
      <w:r w:rsidR="002E3C96">
        <w:t xml:space="preserve"> pour les autres effets indésirables non hématologiques</w:t>
      </w:r>
      <w:r>
        <w:t xml:space="preserve"> (voir rubrique 4.2). </w:t>
      </w:r>
    </w:p>
    <w:p w14:paraId="3C18B341" w14:textId="77777777" w:rsidR="002E3C96" w:rsidRDefault="002E3C96" w:rsidP="00F43B17">
      <w:pPr>
        <w:shd w:val="clear" w:color="auto" w:fill="FFFFFF"/>
      </w:pPr>
    </w:p>
    <w:p w14:paraId="5B48576D" w14:textId="108AC319" w:rsidR="009C043E" w:rsidRDefault="00F43B17" w:rsidP="00F43B17">
      <w:pPr>
        <w:shd w:val="clear" w:color="auto" w:fill="FFFFFF"/>
        <w:rPr>
          <w:szCs w:val="22"/>
        </w:rPr>
      </w:pPr>
      <w:r>
        <w:t>Les</w:t>
      </w:r>
      <w:r w:rsidR="006F780C">
        <w:t xml:space="preserve"> traitements</w:t>
      </w:r>
      <w:r>
        <w:t xml:space="preserve"> antimicrobiens </w:t>
      </w:r>
      <w:r w:rsidR="009C1D41" w:rsidRPr="009C1D41">
        <w:t>(par exemple, prévention de la pneumonie à Pneumocystis jirovecii)</w:t>
      </w:r>
      <w:r w:rsidR="009C1D41">
        <w:t xml:space="preserve"> </w:t>
      </w:r>
      <w:r>
        <w:t xml:space="preserve">et les antiviraux </w:t>
      </w:r>
      <w:r w:rsidR="009C1D41" w:rsidRPr="009C1D41">
        <w:t>(par exemple, prévention de la réactivation du zona)</w:t>
      </w:r>
      <w:r w:rsidR="009C1D41">
        <w:t xml:space="preserve"> </w:t>
      </w:r>
      <w:r>
        <w:t xml:space="preserve">prophylactiques doivent être administrés </w:t>
      </w:r>
      <w:r w:rsidRPr="008313C5">
        <w:t xml:space="preserve">conformément aux </w:t>
      </w:r>
      <w:r w:rsidR="00CD0F11">
        <w:t>recommandations de prise en charge locales</w:t>
      </w:r>
      <w:r w:rsidRPr="008313C5">
        <w:t>.</w:t>
      </w:r>
      <w:r>
        <w:t xml:space="preserve"> </w:t>
      </w:r>
    </w:p>
    <w:p w14:paraId="75E93103" w14:textId="77777777" w:rsidR="00F43B17" w:rsidRPr="00A10D5D" w:rsidRDefault="00F43B17" w:rsidP="00C44D50">
      <w:pPr>
        <w:shd w:val="clear" w:color="auto" w:fill="FFFFFF"/>
        <w:rPr>
          <w:szCs w:val="22"/>
        </w:rPr>
      </w:pPr>
    </w:p>
    <w:p w14:paraId="0E0A2DDD" w14:textId="5EFA15A3" w:rsidR="00413E3A" w:rsidRDefault="00413E3A" w:rsidP="0095631C">
      <w:pPr>
        <w:keepNext/>
        <w:shd w:val="clear" w:color="auto" w:fill="FFFFFF" w:themeFill="background1"/>
        <w:spacing w:line="240" w:lineRule="auto"/>
      </w:pPr>
      <w:r>
        <w:rPr>
          <w:u w:val="single"/>
        </w:rPr>
        <w:t>Neutropénie</w:t>
      </w:r>
      <w:r>
        <w:t xml:space="preserve"> </w:t>
      </w:r>
    </w:p>
    <w:p w14:paraId="3B1CF88A" w14:textId="77777777" w:rsidR="002E3C96" w:rsidRPr="00743D4B" w:rsidRDefault="002E3C96" w:rsidP="0095631C">
      <w:pPr>
        <w:keepNext/>
        <w:shd w:val="clear" w:color="auto" w:fill="FFFFFF" w:themeFill="background1"/>
        <w:spacing w:line="240" w:lineRule="auto"/>
        <w:rPr>
          <w:u w:val="single"/>
        </w:rPr>
      </w:pPr>
    </w:p>
    <w:p w14:paraId="378E2ECF" w14:textId="7DE6B60F" w:rsidR="00413E3A" w:rsidRPr="00743D4B" w:rsidRDefault="00413E3A" w:rsidP="00413E3A">
      <w:pPr>
        <w:shd w:val="clear" w:color="auto" w:fill="FFFFFF" w:themeFill="background1"/>
        <w:spacing w:line="240" w:lineRule="auto"/>
      </w:pPr>
      <w:r>
        <w:t xml:space="preserve">Des cas de neutropénie et de neutropénie fébrile ont été rapportés chez des patients </w:t>
      </w:r>
      <w:r w:rsidR="009F5E53">
        <w:t xml:space="preserve">recevant </w:t>
      </w:r>
      <w:r>
        <w:t>ELREXFIO (voir rubrique 4.8).</w:t>
      </w:r>
    </w:p>
    <w:p w14:paraId="64A68587" w14:textId="77777777" w:rsidR="00413E3A" w:rsidRPr="00743D4B" w:rsidRDefault="00413E3A" w:rsidP="00413E3A">
      <w:pPr>
        <w:shd w:val="clear" w:color="auto" w:fill="FFFFFF"/>
        <w:spacing w:line="240" w:lineRule="auto"/>
        <w:rPr>
          <w:szCs w:val="22"/>
        </w:rPr>
      </w:pPr>
    </w:p>
    <w:p w14:paraId="7D6C7CEE" w14:textId="37C573E2" w:rsidR="009C043E" w:rsidRPr="00743D4B" w:rsidRDefault="009F5E53" w:rsidP="00413E3A">
      <w:pPr>
        <w:shd w:val="clear" w:color="auto" w:fill="FFFFFF"/>
        <w:rPr>
          <w:szCs w:val="22"/>
        </w:rPr>
      </w:pPr>
      <w:r>
        <w:lastRenderedPageBreak/>
        <w:t>La numération formule sanguine</w:t>
      </w:r>
      <w:r w:rsidR="00413E3A">
        <w:t xml:space="preserve"> doit être contrôlée </w:t>
      </w:r>
      <w:r>
        <w:t xml:space="preserve">au début du traitement et </w:t>
      </w:r>
      <w:r w:rsidR="00F0186C">
        <w:t>régulièrement</w:t>
      </w:r>
      <w:r w:rsidR="00413E3A">
        <w:t xml:space="preserve"> pendant le traitement. </w:t>
      </w:r>
      <w:r w:rsidR="005E1334">
        <w:t xml:space="preserve">Le traitement par ELREXFIO doit être interrompu comme indiqué dans le tableau 4 (voir rubrique 4.2). Les patients présentant une neutropénie doivent faire l’objet d’une surveillance pour détecter tout signe d’infection. </w:t>
      </w:r>
      <w:r>
        <w:t>Les soins de support</w:t>
      </w:r>
      <w:r w:rsidR="00413E3A">
        <w:t xml:space="preserve"> doi</w:t>
      </w:r>
      <w:r>
        <w:t>ven</w:t>
      </w:r>
      <w:r w:rsidR="00413E3A">
        <w:t xml:space="preserve">t être mis en place conformément aux </w:t>
      </w:r>
      <w:r w:rsidR="00CD0F11">
        <w:t>recommandations de prise en charge locales</w:t>
      </w:r>
      <w:r w:rsidR="00413E3A">
        <w:t xml:space="preserve">. </w:t>
      </w:r>
    </w:p>
    <w:p w14:paraId="0C7CDC7C" w14:textId="77777777" w:rsidR="00413E3A" w:rsidRPr="00743D4B" w:rsidRDefault="00413E3A" w:rsidP="00772DCE">
      <w:pPr>
        <w:shd w:val="clear" w:color="auto" w:fill="FFFFFF" w:themeFill="background1"/>
        <w:spacing w:line="240" w:lineRule="auto"/>
        <w:rPr>
          <w:u w:val="single"/>
        </w:rPr>
      </w:pPr>
    </w:p>
    <w:p w14:paraId="2D232DA1" w14:textId="3AC2E7F0" w:rsidR="003F099D" w:rsidRDefault="003F099D" w:rsidP="00772DCE">
      <w:pPr>
        <w:shd w:val="clear" w:color="auto" w:fill="FFFFFF" w:themeFill="background1"/>
        <w:spacing w:line="240" w:lineRule="auto"/>
        <w:rPr>
          <w:u w:val="single"/>
        </w:rPr>
      </w:pPr>
      <w:r>
        <w:rPr>
          <w:u w:val="single"/>
        </w:rPr>
        <w:t>Hypogammaglobulinémie</w:t>
      </w:r>
    </w:p>
    <w:p w14:paraId="6248BD86" w14:textId="77777777" w:rsidR="002E3C96" w:rsidRPr="00743D4B" w:rsidRDefault="002E3C96" w:rsidP="00772DCE">
      <w:pPr>
        <w:shd w:val="clear" w:color="auto" w:fill="FFFFFF" w:themeFill="background1"/>
        <w:spacing w:line="240" w:lineRule="auto"/>
        <w:rPr>
          <w:b/>
          <w:bCs/>
          <w:szCs w:val="22"/>
        </w:rPr>
      </w:pPr>
    </w:p>
    <w:p w14:paraId="399A5640" w14:textId="4A5A8C45" w:rsidR="00FF2A02" w:rsidRPr="00743D4B" w:rsidRDefault="003F099D" w:rsidP="00772DCE">
      <w:pPr>
        <w:shd w:val="clear" w:color="auto" w:fill="FFFFFF"/>
        <w:spacing w:line="240" w:lineRule="auto"/>
        <w:rPr>
          <w:szCs w:val="22"/>
        </w:rPr>
      </w:pPr>
      <w:r>
        <w:t xml:space="preserve">Des cas d’hypogammaglobulinémie ont été rapportés chez des patients </w:t>
      </w:r>
      <w:r w:rsidR="009F5E53">
        <w:t xml:space="preserve">recevant </w:t>
      </w:r>
      <w:r>
        <w:t>ELREXFIO (voir rubrique 4.8).</w:t>
      </w:r>
    </w:p>
    <w:p w14:paraId="70EBAA24" w14:textId="77777777" w:rsidR="008E683F" w:rsidRPr="00743D4B" w:rsidRDefault="008E683F" w:rsidP="00772DCE">
      <w:pPr>
        <w:shd w:val="clear" w:color="auto" w:fill="FFFFFF"/>
        <w:spacing w:line="240" w:lineRule="auto"/>
        <w:rPr>
          <w:szCs w:val="22"/>
        </w:rPr>
      </w:pPr>
    </w:p>
    <w:p w14:paraId="1BEB1F91" w14:textId="0ADD753C" w:rsidR="004D30D8" w:rsidRPr="00743D4B" w:rsidRDefault="004D30D8" w:rsidP="004D30D8">
      <w:pPr>
        <w:shd w:val="clear" w:color="auto" w:fill="FFFFFF"/>
        <w:spacing w:line="240" w:lineRule="auto"/>
        <w:rPr>
          <w:szCs w:val="22"/>
        </w:rPr>
      </w:pPr>
      <w:r>
        <w:t>Les taux d’immunoglobulines doivent être surveillés pendant le traitement. Un traitement par</w:t>
      </w:r>
      <w:r w:rsidR="005E1334">
        <w:t xml:space="preserve"> immunoglobulines sous-cutanées ou intraveineuses</w:t>
      </w:r>
      <w:r>
        <w:t xml:space="preserve"> </w:t>
      </w:r>
      <w:r w:rsidR="005E1334">
        <w:t>(</w:t>
      </w:r>
      <w:r>
        <w:t>IgIV</w:t>
      </w:r>
      <w:r w:rsidR="005E1334">
        <w:t>)</w:t>
      </w:r>
      <w:r>
        <w:t xml:space="preserve"> doit être envisagé si les taux d’IgG sont inférieurs à 400 mg/d</w:t>
      </w:r>
      <w:r w:rsidR="00AC4222">
        <w:t>L</w:t>
      </w:r>
      <w:r>
        <w:t xml:space="preserve"> et les patients doivent être traités conformément aux </w:t>
      </w:r>
      <w:r w:rsidR="00CD0F11">
        <w:t>recommandations de prise en charge locales</w:t>
      </w:r>
      <w:r>
        <w:t xml:space="preserve">, </w:t>
      </w:r>
      <w:r w:rsidR="00FB33D6">
        <w:t xml:space="preserve">incluant </w:t>
      </w:r>
      <w:r>
        <w:t xml:space="preserve">les </w:t>
      </w:r>
      <w:r w:rsidR="00C31B98">
        <w:t xml:space="preserve">recommandations </w:t>
      </w:r>
      <w:r>
        <w:t>contre les infections et la prophylaxie antimicrobienne.</w:t>
      </w:r>
    </w:p>
    <w:p w14:paraId="2626B427" w14:textId="77777777" w:rsidR="000B0F2C" w:rsidRPr="00743D4B" w:rsidRDefault="000B0F2C" w:rsidP="00772DCE">
      <w:pPr>
        <w:shd w:val="clear" w:color="auto" w:fill="FFFFFF" w:themeFill="background1"/>
        <w:spacing w:line="240" w:lineRule="auto"/>
      </w:pPr>
    </w:p>
    <w:p w14:paraId="35D9F1AB" w14:textId="2AE68080" w:rsidR="00BA5DB7" w:rsidRDefault="000B0F2C" w:rsidP="00772DCE">
      <w:pPr>
        <w:shd w:val="clear" w:color="auto" w:fill="FFFFFF" w:themeFill="background1"/>
        <w:spacing w:line="240" w:lineRule="auto"/>
        <w:rPr>
          <w:u w:val="single"/>
        </w:rPr>
      </w:pPr>
      <w:r>
        <w:rPr>
          <w:u w:val="single"/>
        </w:rPr>
        <w:t>Utilisation concomitante de vaccins à virus vivant</w:t>
      </w:r>
    </w:p>
    <w:p w14:paraId="67DC84AA" w14:textId="77777777" w:rsidR="002E3C96" w:rsidRPr="0070578D" w:rsidRDefault="002E3C96" w:rsidP="00772DCE">
      <w:pPr>
        <w:shd w:val="clear" w:color="auto" w:fill="FFFFFF" w:themeFill="background1"/>
        <w:spacing w:line="240" w:lineRule="auto"/>
        <w:rPr>
          <w:szCs w:val="22"/>
          <w:u w:val="single"/>
        </w:rPr>
      </w:pPr>
    </w:p>
    <w:p w14:paraId="0518FB20" w14:textId="2B263870" w:rsidR="00D132E9" w:rsidRPr="0070578D" w:rsidRDefault="008E30A0" w:rsidP="00772DCE">
      <w:pPr>
        <w:shd w:val="clear" w:color="auto" w:fill="FFFFFF" w:themeFill="background1"/>
        <w:spacing w:line="240" w:lineRule="auto"/>
        <w:rPr>
          <w:szCs w:val="22"/>
        </w:rPr>
      </w:pPr>
      <w:r>
        <w:t xml:space="preserve">La sécurité de </w:t>
      </w:r>
      <w:r w:rsidR="009B06B1">
        <w:t xml:space="preserve">l’immunisation par </w:t>
      </w:r>
      <w:r>
        <w:t xml:space="preserve">des vaccins à virus vivant pendant ou après </w:t>
      </w:r>
      <w:r w:rsidR="009B06B1">
        <w:t>un</w:t>
      </w:r>
      <w:r>
        <w:t xml:space="preserve"> traitement par ELREXFIO n’a pas été étudiée. La vaccination </w:t>
      </w:r>
      <w:r w:rsidR="009B06B1">
        <w:t xml:space="preserve">par </w:t>
      </w:r>
      <w:r>
        <w:t>des vaccins à virus vivant n’est pas recommandée dans les 4 semaines précédant l’administration de la première dose</w:t>
      </w:r>
      <w:r w:rsidR="005E1334">
        <w:t>,</w:t>
      </w:r>
      <w:r>
        <w:t xml:space="preserve"> pendant le traitement</w:t>
      </w:r>
      <w:r w:rsidR="005E1334">
        <w:t>, et au moins 4 semaines après le traitement</w:t>
      </w:r>
      <w:r>
        <w:t>.</w:t>
      </w:r>
    </w:p>
    <w:p w14:paraId="2A66B179" w14:textId="77777777" w:rsidR="00FD1DBF" w:rsidRPr="00743D4B" w:rsidRDefault="00FD1DBF" w:rsidP="00772DCE">
      <w:pPr>
        <w:shd w:val="clear" w:color="auto" w:fill="FFFFFF" w:themeFill="background1"/>
        <w:spacing w:line="240" w:lineRule="auto"/>
      </w:pPr>
    </w:p>
    <w:p w14:paraId="40B3474C" w14:textId="171B1E77" w:rsidR="00FD1DBF" w:rsidRDefault="00FD1DBF" w:rsidP="00772DCE">
      <w:pPr>
        <w:keepNext/>
        <w:shd w:val="clear" w:color="auto" w:fill="FFFFFF" w:themeFill="background1"/>
        <w:spacing w:line="240" w:lineRule="auto"/>
        <w:rPr>
          <w:u w:val="single"/>
        </w:rPr>
      </w:pPr>
      <w:r>
        <w:rPr>
          <w:u w:val="single"/>
        </w:rPr>
        <w:t>Excipients</w:t>
      </w:r>
    </w:p>
    <w:p w14:paraId="066C7A06" w14:textId="77777777" w:rsidR="002E3C96" w:rsidRPr="0070578D" w:rsidRDefault="002E3C96" w:rsidP="00772DCE">
      <w:pPr>
        <w:keepNext/>
        <w:shd w:val="clear" w:color="auto" w:fill="FFFFFF" w:themeFill="background1"/>
        <w:spacing w:line="240" w:lineRule="auto"/>
        <w:rPr>
          <w:szCs w:val="22"/>
          <w:u w:val="single"/>
        </w:rPr>
      </w:pPr>
    </w:p>
    <w:p w14:paraId="38C30E5E" w14:textId="77777777" w:rsidR="00FD1DBF" w:rsidRPr="0070578D" w:rsidRDefault="00FD1DBF" w:rsidP="00772DCE">
      <w:pPr>
        <w:shd w:val="clear" w:color="auto" w:fill="FFFFFF" w:themeFill="background1"/>
        <w:spacing w:line="240" w:lineRule="auto"/>
        <w:rPr>
          <w:szCs w:val="22"/>
        </w:rPr>
      </w:pPr>
      <w:r>
        <w:t>Ce médicament contient moins de 1 mmol (23 mg) de sodium par dose, c.-à-d. qu’il est essentiellement « sans sodium ».</w:t>
      </w:r>
    </w:p>
    <w:p w14:paraId="2E0B0B3C" w14:textId="77777777" w:rsidR="00FD1DBF" w:rsidRPr="00743D4B" w:rsidRDefault="00FD1DBF" w:rsidP="00772DCE">
      <w:pPr>
        <w:shd w:val="clear" w:color="auto" w:fill="FFFFFF" w:themeFill="background1"/>
        <w:spacing w:line="240" w:lineRule="auto"/>
      </w:pPr>
    </w:p>
    <w:p w14:paraId="78BAC387" w14:textId="77777777" w:rsidR="00812D16" w:rsidRPr="0070578D" w:rsidRDefault="00812D16" w:rsidP="00D02A7F">
      <w:pPr>
        <w:keepNext/>
        <w:spacing w:line="240" w:lineRule="auto"/>
        <w:ind w:left="562" w:hanging="562"/>
        <w:outlineLvl w:val="0"/>
        <w:rPr>
          <w:szCs w:val="22"/>
        </w:rPr>
      </w:pPr>
      <w:r>
        <w:rPr>
          <w:b/>
        </w:rPr>
        <w:t>4.5</w:t>
      </w:r>
      <w:r>
        <w:tab/>
      </w:r>
      <w:r>
        <w:rPr>
          <w:b/>
        </w:rPr>
        <w:t>Interactions avec d’autres médicaments et autres formes d’interactions</w:t>
      </w:r>
    </w:p>
    <w:p w14:paraId="2FEBFDDE" w14:textId="77777777" w:rsidR="00A464CA" w:rsidRPr="0070578D" w:rsidRDefault="00A464CA" w:rsidP="00772DCE">
      <w:pPr>
        <w:keepNext/>
        <w:spacing w:line="240" w:lineRule="auto"/>
        <w:rPr>
          <w:szCs w:val="22"/>
        </w:rPr>
      </w:pPr>
      <w:bookmarkStart w:id="7" w:name="_Hlk117171109"/>
    </w:p>
    <w:p w14:paraId="0B76EFD0" w14:textId="77777777" w:rsidR="00D74E03" w:rsidRPr="0070578D" w:rsidRDefault="00A464CA" w:rsidP="00EF2A4C">
      <w:pPr>
        <w:spacing w:line="240" w:lineRule="auto"/>
        <w:rPr>
          <w:noProof/>
          <w:szCs w:val="22"/>
        </w:rPr>
      </w:pPr>
      <w:r>
        <w:t>Aucune étude d’interaction n’a été réalisée avec ELREXFIO.</w:t>
      </w:r>
    </w:p>
    <w:p w14:paraId="6CDAC0F2" w14:textId="77777777" w:rsidR="00D74E03" w:rsidRPr="0070578D" w:rsidRDefault="00D74E03" w:rsidP="00EF2A4C">
      <w:pPr>
        <w:spacing w:line="240" w:lineRule="auto"/>
        <w:rPr>
          <w:noProof/>
          <w:szCs w:val="22"/>
        </w:rPr>
      </w:pPr>
    </w:p>
    <w:p w14:paraId="1F290192" w14:textId="736C28AA" w:rsidR="00EF2A4C" w:rsidRPr="0070578D" w:rsidRDefault="00B7763E" w:rsidP="00EF2A4C">
      <w:pPr>
        <w:spacing w:line="240" w:lineRule="auto"/>
        <w:rPr>
          <w:noProof/>
          <w:szCs w:val="22"/>
        </w:rPr>
      </w:pPr>
      <w:r>
        <w:t>Le relargage</w:t>
      </w:r>
      <w:r w:rsidR="00A464CA">
        <w:t xml:space="preserve"> initial des cytokines </w:t>
      </w:r>
      <w:r>
        <w:t>en</w:t>
      </w:r>
      <w:r w:rsidR="00A464CA">
        <w:t xml:space="preserve"> début </w:t>
      </w:r>
      <w:r>
        <w:t xml:space="preserve">de traitement par </w:t>
      </w:r>
      <w:r w:rsidR="00A464CA">
        <w:t xml:space="preserve">ELREXFIO </w:t>
      </w:r>
      <w:r w:rsidR="00E675E3">
        <w:t xml:space="preserve">peut </w:t>
      </w:r>
      <w:r w:rsidR="00A464CA">
        <w:t xml:space="preserve">inhiber les enzymes du cytochrome </w:t>
      </w:r>
      <w:r>
        <w:t xml:space="preserve">(CYP) </w:t>
      </w:r>
      <w:r w:rsidR="00A464CA">
        <w:t xml:space="preserve">P450. Le risque d’interaction le plus élevé </w:t>
      </w:r>
      <w:r>
        <w:t>est attendu</w:t>
      </w:r>
      <w:r w:rsidR="00A464CA">
        <w:t xml:space="preserve"> pendant et jusqu’à 7 jours </w:t>
      </w:r>
      <w:r w:rsidR="004C21B4">
        <w:t xml:space="preserve">après le schéma </w:t>
      </w:r>
      <w:r w:rsidR="004C21B4" w:rsidRPr="00F97EBB">
        <w:t>posologique</w:t>
      </w:r>
      <w:r w:rsidR="004C21B4">
        <w:t xml:space="preserve"> d’escalade de dose d’ELREXFIO ainsi que pendant et jusqu’à 14 jours </w:t>
      </w:r>
      <w:r w:rsidR="00A464CA">
        <w:t xml:space="preserve">après </w:t>
      </w:r>
      <w:r>
        <w:t xml:space="preserve">un </w:t>
      </w:r>
      <w:r w:rsidR="00CC6D99">
        <w:t>SRC</w:t>
      </w:r>
      <w:r w:rsidR="00A464CA">
        <w:t xml:space="preserve">. Pendant cette période, la toxicité ou les concentrations du médicament doivent être surveillées chez les patients qui reçoivent en même temps des substrats sensibles du CYP </w:t>
      </w:r>
      <w:r>
        <w:t>ayant un index</w:t>
      </w:r>
      <w:r w:rsidR="00A464CA">
        <w:t xml:space="preserve"> thérapeutique étroit</w:t>
      </w:r>
      <w:r w:rsidR="009C1D41">
        <w:t xml:space="preserve"> (par exemple, la ciclosporine, la phénytoïne, le sirolimus et la warfarin)</w:t>
      </w:r>
      <w:r w:rsidR="00A464CA">
        <w:t xml:space="preserve">. La dose du médicament concomitant doit être </w:t>
      </w:r>
      <w:r>
        <w:t xml:space="preserve">ajustée </w:t>
      </w:r>
      <w:r w:rsidR="00A464CA">
        <w:t>si nécessaire.</w:t>
      </w:r>
    </w:p>
    <w:bookmarkEnd w:id="7"/>
    <w:p w14:paraId="032E090C" w14:textId="77777777" w:rsidR="0098130B" w:rsidRPr="00743D4B" w:rsidRDefault="0098130B" w:rsidP="00772DCE">
      <w:pPr>
        <w:spacing w:line="240" w:lineRule="auto"/>
      </w:pPr>
    </w:p>
    <w:p w14:paraId="181DBE05" w14:textId="77777777" w:rsidR="00812D16" w:rsidRPr="0070578D" w:rsidRDefault="00812D16" w:rsidP="00204AAB">
      <w:pPr>
        <w:spacing w:line="240" w:lineRule="auto"/>
        <w:ind w:left="567" w:hanging="567"/>
        <w:outlineLvl w:val="0"/>
        <w:rPr>
          <w:noProof/>
          <w:szCs w:val="22"/>
        </w:rPr>
      </w:pPr>
      <w:r>
        <w:rPr>
          <w:b/>
        </w:rPr>
        <w:t>4.6</w:t>
      </w:r>
      <w:r>
        <w:rPr>
          <w:b/>
        </w:rPr>
        <w:tab/>
        <w:t>Fertilité, grossesse et allaitement</w:t>
      </w:r>
    </w:p>
    <w:p w14:paraId="480F832F" w14:textId="77777777" w:rsidR="00B07B8D" w:rsidRPr="0070578D" w:rsidRDefault="00B07B8D" w:rsidP="00B07B8D">
      <w:pPr>
        <w:spacing w:line="240" w:lineRule="auto"/>
        <w:rPr>
          <w:i/>
          <w:szCs w:val="22"/>
        </w:rPr>
      </w:pPr>
    </w:p>
    <w:p w14:paraId="413ED0C9" w14:textId="77777777" w:rsidR="004C21B4" w:rsidRDefault="00EA2846" w:rsidP="00EA2846">
      <w:pPr>
        <w:spacing w:line="240" w:lineRule="auto"/>
        <w:rPr>
          <w:u w:val="single"/>
        </w:rPr>
      </w:pPr>
      <w:bookmarkStart w:id="8" w:name="_Hlk83220343"/>
      <w:r>
        <w:rPr>
          <w:u w:val="single"/>
        </w:rPr>
        <w:t>Femmes en âge de procréer/Contraception</w:t>
      </w:r>
    </w:p>
    <w:p w14:paraId="162889DA" w14:textId="5E44118F" w:rsidR="00EA2846" w:rsidRPr="0070578D" w:rsidRDefault="00EA2846" w:rsidP="00EA2846">
      <w:pPr>
        <w:spacing w:line="240" w:lineRule="auto"/>
      </w:pPr>
    </w:p>
    <w:p w14:paraId="2C3D39A0" w14:textId="033E4523" w:rsidR="00EA2846" w:rsidRPr="00565DDC" w:rsidRDefault="00A049F8" w:rsidP="00EA2846">
      <w:pPr>
        <w:spacing w:line="240" w:lineRule="auto"/>
        <w:rPr>
          <w:szCs w:val="22"/>
        </w:rPr>
      </w:pPr>
      <w:r>
        <w:t>Un test de grossesse doit être réalisé chez l</w:t>
      </w:r>
      <w:r w:rsidR="00EA2846">
        <w:t>es femmes en âge de procréer avant l’instauration du traitement par ELREXFIO.</w:t>
      </w:r>
    </w:p>
    <w:p w14:paraId="43D88944" w14:textId="77777777" w:rsidR="00034263" w:rsidRDefault="00034263" w:rsidP="00EA2846">
      <w:pPr>
        <w:spacing w:line="240" w:lineRule="auto"/>
      </w:pPr>
    </w:p>
    <w:p w14:paraId="6516BCE2" w14:textId="157CB777" w:rsidR="00EA2846" w:rsidRPr="0070578D" w:rsidRDefault="00EA2846" w:rsidP="00EA2846">
      <w:pPr>
        <w:spacing w:line="240" w:lineRule="auto"/>
      </w:pPr>
      <w:r>
        <w:t xml:space="preserve">Les femmes en âge de procréer doivent utiliser une méthode de contraception efficace durant le traitement par ELREXFIO et pendant </w:t>
      </w:r>
      <w:r w:rsidR="006E2D50">
        <w:t>6</w:t>
      </w:r>
      <w:r>
        <w:t> mois après l’administration de la dernière dose.</w:t>
      </w:r>
    </w:p>
    <w:p w14:paraId="3459195F" w14:textId="77777777" w:rsidR="000A091F" w:rsidRPr="0070578D" w:rsidRDefault="000A091F" w:rsidP="00772DCE">
      <w:pPr>
        <w:spacing w:line="240" w:lineRule="auto"/>
        <w:rPr>
          <w:szCs w:val="22"/>
        </w:rPr>
      </w:pPr>
    </w:p>
    <w:p w14:paraId="592F213C" w14:textId="4003A72C" w:rsidR="68789886" w:rsidRDefault="000A091F" w:rsidP="00772DCE">
      <w:pPr>
        <w:spacing w:line="240" w:lineRule="auto"/>
        <w:rPr>
          <w:u w:val="single"/>
        </w:rPr>
      </w:pPr>
      <w:r>
        <w:rPr>
          <w:u w:val="single"/>
        </w:rPr>
        <w:t>Grossesse</w:t>
      </w:r>
    </w:p>
    <w:p w14:paraId="6731225E" w14:textId="77777777" w:rsidR="004C21B4" w:rsidRPr="0070578D" w:rsidRDefault="004C21B4" w:rsidP="00772DCE">
      <w:pPr>
        <w:spacing w:line="240" w:lineRule="auto"/>
        <w:rPr>
          <w:szCs w:val="22"/>
          <w:u w:val="single"/>
        </w:rPr>
      </w:pPr>
    </w:p>
    <w:p w14:paraId="001ADED5" w14:textId="694C2425" w:rsidR="00264159" w:rsidRPr="0070578D" w:rsidRDefault="000A091F" w:rsidP="00772DCE">
      <w:pPr>
        <w:spacing w:line="240" w:lineRule="auto"/>
        <w:rPr>
          <w:szCs w:val="22"/>
        </w:rPr>
      </w:pPr>
      <w:r>
        <w:t>Il n’existe pas de données humaines ou animales permettant d’évaluer le risque lié à l’utilisation de l’elranatamab pendant la grossesse. On sait que l’</w:t>
      </w:r>
      <w:r>
        <w:rPr>
          <w:shd w:val="clear" w:color="auto" w:fill="FFFFFF"/>
        </w:rPr>
        <w:t>immunoglobuline (IgG)</w:t>
      </w:r>
      <w:r>
        <w:t xml:space="preserve"> humaine traverse le placenta après le premier trimestre de la grossesse. </w:t>
      </w:r>
      <w:r w:rsidR="00D56BC6">
        <w:t xml:space="preserve">De </w:t>
      </w:r>
      <w:r w:rsidR="00F97EBB">
        <w:t>par</w:t>
      </w:r>
      <w:r w:rsidR="00D56BC6">
        <w:t xml:space="preserve"> son </w:t>
      </w:r>
      <w:r>
        <w:t xml:space="preserve">mécanisme d’action, l’elranatamab peut être </w:t>
      </w:r>
      <w:r>
        <w:lastRenderedPageBreak/>
        <w:t>nocif pour le fœtus lorsqu’il est administré à une femme enceinte et, par conséquent, l’utilisation d’ELREXFIO n’est pas recommandée pendant la grossesse.</w:t>
      </w:r>
    </w:p>
    <w:p w14:paraId="21E3314D" w14:textId="77777777" w:rsidR="00264159" w:rsidRPr="00743D4B" w:rsidRDefault="00264159" w:rsidP="00772DCE">
      <w:pPr>
        <w:spacing w:line="240" w:lineRule="auto"/>
      </w:pPr>
    </w:p>
    <w:p w14:paraId="23E718FD" w14:textId="78A9CC7E" w:rsidR="008D524C" w:rsidRPr="0070578D" w:rsidRDefault="7A06E09D" w:rsidP="00772DCE">
      <w:pPr>
        <w:spacing w:line="240" w:lineRule="auto"/>
        <w:rPr>
          <w:noProof/>
          <w:szCs w:val="22"/>
        </w:rPr>
      </w:pPr>
      <w:r>
        <w:t xml:space="preserve">ELREXFIO étant associé à une hypogammaglobulinémie, il convient d’envisager une évaluation des taux </w:t>
      </w:r>
      <w:r w:rsidRPr="00F97EBB">
        <w:t>d’immunoglobuline</w:t>
      </w:r>
      <w:r>
        <w:t xml:space="preserve"> chez les nouveau-nés de mères traitées par ELREXFIO.</w:t>
      </w:r>
    </w:p>
    <w:p w14:paraId="73B664BE" w14:textId="77777777" w:rsidR="0078512E" w:rsidRPr="00A10D5D" w:rsidRDefault="0078512E" w:rsidP="0078512E">
      <w:pPr>
        <w:spacing w:line="240" w:lineRule="auto"/>
      </w:pPr>
    </w:p>
    <w:p w14:paraId="3743CE20" w14:textId="021129B4" w:rsidR="000A091F" w:rsidRDefault="000A091F" w:rsidP="0095631C">
      <w:pPr>
        <w:keepNext/>
        <w:spacing w:line="240" w:lineRule="auto"/>
        <w:rPr>
          <w:u w:val="single"/>
        </w:rPr>
      </w:pPr>
      <w:r>
        <w:rPr>
          <w:u w:val="single"/>
        </w:rPr>
        <w:t>Allaitement</w:t>
      </w:r>
    </w:p>
    <w:p w14:paraId="6779996F" w14:textId="77777777" w:rsidR="004C21B4" w:rsidRPr="0070578D" w:rsidRDefault="004C21B4" w:rsidP="0095631C">
      <w:pPr>
        <w:keepNext/>
        <w:spacing w:line="240" w:lineRule="auto"/>
        <w:rPr>
          <w:szCs w:val="22"/>
          <w:u w:val="single"/>
        </w:rPr>
      </w:pPr>
    </w:p>
    <w:p w14:paraId="3F477A44" w14:textId="6C9707E6" w:rsidR="0028564E" w:rsidRPr="0070578D" w:rsidRDefault="00F6513E" w:rsidP="00772DCE">
      <w:pPr>
        <w:spacing w:line="240" w:lineRule="auto"/>
        <w:rPr>
          <w:szCs w:val="22"/>
        </w:rPr>
      </w:pPr>
      <w:r>
        <w:t xml:space="preserve">On ne sait pas si l’elranatamab est excrété dans le lait humain ou animal, s’il affecte les nourrissons allaités ou s’il affecte la production de lait. On sait que les IgG humaines sont excrétées dans le lait maternel. Un risque pour l’enfant allaité ne peut être exclu. Par conséquent, l’allaitement n’est pas recommandé pendant le traitement par ELREXFIO et pendant </w:t>
      </w:r>
      <w:r w:rsidR="006E2D50">
        <w:t>6</w:t>
      </w:r>
      <w:r>
        <w:t> mois après l’administration de la dernière dose.</w:t>
      </w:r>
    </w:p>
    <w:p w14:paraId="342A57F9" w14:textId="77777777" w:rsidR="000A091F" w:rsidRPr="0070578D" w:rsidRDefault="000A091F" w:rsidP="00772DCE">
      <w:pPr>
        <w:spacing w:line="240" w:lineRule="auto"/>
        <w:rPr>
          <w:noProof/>
          <w:szCs w:val="22"/>
        </w:rPr>
      </w:pPr>
    </w:p>
    <w:p w14:paraId="577DBA0E" w14:textId="3CA7830A" w:rsidR="000A091F" w:rsidRDefault="000A091F" w:rsidP="00927263">
      <w:pPr>
        <w:keepNext/>
        <w:keepLines/>
        <w:widowControl w:val="0"/>
        <w:spacing w:line="240" w:lineRule="auto"/>
        <w:rPr>
          <w:u w:val="single"/>
        </w:rPr>
      </w:pPr>
      <w:r>
        <w:rPr>
          <w:u w:val="single"/>
        </w:rPr>
        <w:t>Fertilité</w:t>
      </w:r>
    </w:p>
    <w:p w14:paraId="015AE875" w14:textId="77777777" w:rsidR="004C21B4" w:rsidRPr="0070578D" w:rsidRDefault="004C21B4" w:rsidP="003D08BD">
      <w:pPr>
        <w:widowControl w:val="0"/>
        <w:spacing w:line="240" w:lineRule="auto"/>
        <w:rPr>
          <w:szCs w:val="22"/>
        </w:rPr>
      </w:pPr>
    </w:p>
    <w:p w14:paraId="0D5799AF" w14:textId="0B814572" w:rsidR="000A091F" w:rsidRPr="0070578D" w:rsidRDefault="004B0D3D" w:rsidP="003D08BD">
      <w:pPr>
        <w:widowControl w:val="0"/>
        <w:spacing w:line="240" w:lineRule="auto"/>
        <w:rPr>
          <w:iCs/>
          <w:noProof/>
          <w:szCs w:val="22"/>
        </w:rPr>
      </w:pPr>
      <w:r>
        <w:t xml:space="preserve">Il n’existe pas de données concernant les effets de l’elranatamab sur la fertilité humaine. Les effets de l’elranatamab sur la fertilité mâle et femelle n’ont pas été évalués </w:t>
      </w:r>
      <w:r w:rsidR="00EC53EE">
        <w:t>dans</w:t>
      </w:r>
      <w:r w:rsidR="009E42DE">
        <w:t xml:space="preserve"> les </w:t>
      </w:r>
      <w:r>
        <w:t>études menées chez l’animal.</w:t>
      </w:r>
      <w:r w:rsidR="00EC53EE">
        <w:t xml:space="preserve"> </w:t>
      </w:r>
    </w:p>
    <w:bookmarkEnd w:id="8"/>
    <w:p w14:paraId="74AF85F1" w14:textId="77777777" w:rsidR="00043AA0" w:rsidRPr="00743D4B" w:rsidRDefault="00043AA0" w:rsidP="00204AAB">
      <w:pPr>
        <w:spacing w:line="240" w:lineRule="auto"/>
        <w:rPr>
          <w:i/>
          <w:noProof/>
          <w:szCs w:val="22"/>
        </w:rPr>
      </w:pPr>
    </w:p>
    <w:p w14:paraId="0CB277AC" w14:textId="77777777" w:rsidR="00812D16" w:rsidRPr="0070578D" w:rsidRDefault="00812D16" w:rsidP="00B91D63">
      <w:pPr>
        <w:keepNext/>
        <w:spacing w:line="240" w:lineRule="auto"/>
        <w:ind w:left="567" w:hanging="567"/>
        <w:outlineLvl w:val="0"/>
        <w:rPr>
          <w:noProof/>
          <w:szCs w:val="22"/>
        </w:rPr>
      </w:pPr>
      <w:r>
        <w:rPr>
          <w:b/>
        </w:rPr>
        <w:t>4.7</w:t>
      </w:r>
      <w:r>
        <w:rPr>
          <w:b/>
        </w:rPr>
        <w:tab/>
        <w:t>Effets sur l’aptitude à conduire des véhicules et à utiliser des machines</w:t>
      </w:r>
    </w:p>
    <w:p w14:paraId="35A5C48C" w14:textId="77777777" w:rsidR="00812D16" w:rsidRPr="0070578D" w:rsidRDefault="00812D16" w:rsidP="00B91D63">
      <w:pPr>
        <w:keepNext/>
        <w:spacing w:line="240" w:lineRule="auto"/>
        <w:rPr>
          <w:noProof/>
          <w:szCs w:val="22"/>
        </w:rPr>
      </w:pPr>
    </w:p>
    <w:p w14:paraId="3371F824" w14:textId="77777777" w:rsidR="00407B41" w:rsidRPr="0070578D" w:rsidRDefault="00A23713" w:rsidP="00204AAB">
      <w:pPr>
        <w:spacing w:line="240" w:lineRule="auto"/>
        <w:rPr>
          <w:noProof/>
          <w:szCs w:val="22"/>
        </w:rPr>
      </w:pPr>
      <w:r>
        <w:t>ELREXFIO a une influence importante sur l’aptitude à conduire des véhicules et à utiliser des machines.</w:t>
      </w:r>
    </w:p>
    <w:p w14:paraId="36494948" w14:textId="77777777" w:rsidR="00407B41" w:rsidRPr="0070578D" w:rsidRDefault="00407B41" w:rsidP="00204AAB">
      <w:pPr>
        <w:spacing w:line="240" w:lineRule="auto"/>
        <w:rPr>
          <w:noProof/>
          <w:szCs w:val="22"/>
        </w:rPr>
      </w:pPr>
    </w:p>
    <w:p w14:paraId="348D1E95" w14:textId="3602CE08" w:rsidR="00812D16" w:rsidRPr="0070578D" w:rsidRDefault="00407B41" w:rsidP="00204AAB">
      <w:pPr>
        <w:spacing w:line="240" w:lineRule="auto"/>
        <w:rPr>
          <w:szCs w:val="22"/>
        </w:rPr>
      </w:pPr>
      <w:r>
        <w:t xml:space="preserve">En raison du risque d’ICANS, les patients </w:t>
      </w:r>
      <w:r w:rsidR="00CB1AFC">
        <w:t xml:space="preserve">recevant </w:t>
      </w:r>
      <w:r>
        <w:t xml:space="preserve">ELREXFIO présentent un risque d’altération du niveau de conscience (voir rubrique 4.8). Les patients doivent être informés qu’ils doivent s’abstenir de conduire des véhicules ou d’utiliser des machines lourdes ou potentiellement </w:t>
      </w:r>
      <w:r w:rsidRPr="00645C0A">
        <w:t xml:space="preserve">dangereuses </w:t>
      </w:r>
      <w:r w:rsidR="00645C0A">
        <w:t xml:space="preserve">le jour de la première et de la </w:t>
      </w:r>
      <w:r w:rsidR="00460BF7">
        <w:t>seconde</w:t>
      </w:r>
      <w:r w:rsidR="00645C0A">
        <w:t xml:space="preserve"> escalade de dose et </w:t>
      </w:r>
      <w:r w:rsidR="00645C0A" w:rsidRPr="00645C0A">
        <w:t>48 heures après chacune des 2 </w:t>
      </w:r>
      <w:r w:rsidR="00645C0A">
        <w:t xml:space="preserve">escalades de </w:t>
      </w:r>
      <w:r w:rsidR="00645C0A" w:rsidRPr="00645C0A">
        <w:t>doses</w:t>
      </w:r>
      <w:r w:rsidR="00645C0A">
        <w:t xml:space="preserve"> </w:t>
      </w:r>
      <w:r>
        <w:t>et en cas de nouvelle apparition d’une toxicité neurologique jusqu’à la résolution de tout symptôme neurologique (voir rubriques 4.2 et 4.4).</w:t>
      </w:r>
    </w:p>
    <w:p w14:paraId="24DB0249" w14:textId="77777777" w:rsidR="0078512E" w:rsidRPr="00743D4B" w:rsidRDefault="0078512E" w:rsidP="00204AAB">
      <w:pPr>
        <w:spacing w:line="240" w:lineRule="auto"/>
        <w:rPr>
          <w:noProof/>
          <w:szCs w:val="22"/>
        </w:rPr>
      </w:pPr>
    </w:p>
    <w:p w14:paraId="00F3814A" w14:textId="77777777" w:rsidR="00812D16" w:rsidRPr="00743D4B" w:rsidRDefault="00855481" w:rsidP="00897BCC">
      <w:pPr>
        <w:keepNext/>
        <w:spacing w:line="240" w:lineRule="auto"/>
        <w:outlineLvl w:val="0"/>
        <w:rPr>
          <w:b/>
          <w:noProof/>
          <w:szCs w:val="22"/>
        </w:rPr>
      </w:pPr>
      <w:r>
        <w:rPr>
          <w:b/>
        </w:rPr>
        <w:t>4.8</w:t>
      </w:r>
      <w:r>
        <w:rPr>
          <w:b/>
        </w:rPr>
        <w:tab/>
        <w:t>Effets indésirables</w:t>
      </w:r>
    </w:p>
    <w:p w14:paraId="18B3B466" w14:textId="77777777" w:rsidR="00812D16" w:rsidRPr="00743D4B" w:rsidRDefault="00812D16" w:rsidP="00793E0F">
      <w:pPr>
        <w:keepNext/>
        <w:autoSpaceDE w:val="0"/>
        <w:autoSpaceDN w:val="0"/>
        <w:adjustRightInd w:val="0"/>
        <w:spacing w:line="240" w:lineRule="auto"/>
        <w:rPr>
          <w:noProof/>
          <w:szCs w:val="22"/>
        </w:rPr>
      </w:pPr>
    </w:p>
    <w:p w14:paraId="411C6F98" w14:textId="77777777" w:rsidR="00001414" w:rsidRPr="00743D4B" w:rsidRDefault="00001414" w:rsidP="00793E0F">
      <w:pPr>
        <w:keepNext/>
        <w:autoSpaceDE w:val="0"/>
        <w:autoSpaceDN w:val="0"/>
        <w:adjustRightInd w:val="0"/>
        <w:spacing w:line="240" w:lineRule="auto"/>
        <w:rPr>
          <w:noProof/>
          <w:szCs w:val="22"/>
          <w:u w:val="single"/>
        </w:rPr>
      </w:pPr>
      <w:r>
        <w:rPr>
          <w:u w:val="single"/>
        </w:rPr>
        <w:t>Résumé du profil de sécurité</w:t>
      </w:r>
    </w:p>
    <w:p w14:paraId="24D961FC" w14:textId="77777777" w:rsidR="009C043E" w:rsidRDefault="009C043E" w:rsidP="007969C3">
      <w:pPr>
        <w:shd w:val="clear" w:color="auto" w:fill="FFFFFF"/>
        <w:spacing w:line="240" w:lineRule="auto"/>
      </w:pPr>
    </w:p>
    <w:p w14:paraId="7AF1E495" w14:textId="42610765" w:rsidR="00001414" w:rsidRPr="00743D4B" w:rsidRDefault="00001414" w:rsidP="00001414">
      <w:pPr>
        <w:shd w:val="clear" w:color="auto" w:fill="FFFFFF"/>
        <w:spacing w:line="240" w:lineRule="auto"/>
        <w:rPr>
          <w:szCs w:val="22"/>
        </w:rPr>
      </w:pPr>
      <w:r>
        <w:t xml:space="preserve">Les effets indésirables les plus fréquents sont le </w:t>
      </w:r>
      <w:r w:rsidR="00CC6D99">
        <w:t xml:space="preserve">SRC </w:t>
      </w:r>
      <w:r>
        <w:t>(57,9 %), l’anémie (54,1 %), la neutropénie (4</w:t>
      </w:r>
      <w:r w:rsidR="007B2F57">
        <w:t>5,9</w:t>
      </w:r>
      <w:r>
        <w:t> %), la fatigue (44,</w:t>
      </w:r>
      <w:r w:rsidR="007B2F57">
        <w:t>8</w:t>
      </w:r>
      <w:r>
        <w:t> %), l’infection des voies aériennes supérieures (</w:t>
      </w:r>
      <w:r w:rsidR="007B2F57">
        <w:t>42,6</w:t>
      </w:r>
      <w:r>
        <w:t> %), la réaction au site d’injection (38,3 %), la diarrhée (</w:t>
      </w:r>
      <w:r w:rsidR="007B2F57">
        <w:t>41,5</w:t>
      </w:r>
      <w:r>
        <w:t> %), la pneumonie (3</w:t>
      </w:r>
      <w:r w:rsidR="007B2F57">
        <w:t>8,3</w:t>
      </w:r>
      <w:r>
        <w:t xml:space="preserve"> %), la thrombopénie (36,1 %), la lymphopénie (30,1 %), </w:t>
      </w:r>
      <w:r w:rsidR="00793A5D">
        <w:t xml:space="preserve">la </w:t>
      </w:r>
      <w:r w:rsidR="00793A5D" w:rsidRPr="00C44D50">
        <w:t xml:space="preserve">diminution de </w:t>
      </w:r>
      <w:r w:rsidRPr="00C44D50">
        <w:t>l’appétit</w:t>
      </w:r>
      <w:r>
        <w:t xml:space="preserve"> (2</w:t>
      </w:r>
      <w:r w:rsidR="007B2F57">
        <w:t>7,3</w:t>
      </w:r>
      <w:r>
        <w:t xml:space="preserve"> %), </w:t>
      </w:r>
      <w:r w:rsidR="009C1D41">
        <w:t>la fièvre (2</w:t>
      </w:r>
      <w:r w:rsidR="007B2F57">
        <w:t>8,4</w:t>
      </w:r>
      <w:r w:rsidR="009C1D41">
        <w:t xml:space="preserve"> %), </w:t>
      </w:r>
      <w:r>
        <w:t>le rash (2</w:t>
      </w:r>
      <w:r w:rsidR="007B2F57">
        <w:t>7,9</w:t>
      </w:r>
      <w:r>
        <w:t> %), l’arthralgie (25,</w:t>
      </w:r>
      <w:r w:rsidR="007B2F57">
        <w:t>7</w:t>
      </w:r>
      <w:r>
        <w:t> %), l’hypokaliémie (23,</w:t>
      </w:r>
      <w:r w:rsidR="007B2F57">
        <w:t>5</w:t>
      </w:r>
      <w:r>
        <w:t> %), les nausées (21,</w:t>
      </w:r>
      <w:r w:rsidR="007B2F57">
        <w:t>9</w:t>
      </w:r>
      <w:r>
        <w:t> %)</w:t>
      </w:r>
      <w:r w:rsidR="007B2F57">
        <w:t>,</w:t>
      </w:r>
      <w:r>
        <w:t xml:space="preserve"> la sécheresse cutanée (21,</w:t>
      </w:r>
      <w:r w:rsidR="007B2F57">
        <w:t>9</w:t>
      </w:r>
      <w:r>
        <w:t> %)</w:t>
      </w:r>
      <w:r w:rsidR="007B2F57">
        <w:t xml:space="preserve"> et la dyspnée (20,8 %)</w:t>
      </w:r>
      <w:r>
        <w:t>.</w:t>
      </w:r>
    </w:p>
    <w:p w14:paraId="2CDB1FDE" w14:textId="77777777" w:rsidR="00001414" w:rsidRPr="00743D4B" w:rsidRDefault="00001414" w:rsidP="00001414">
      <w:pPr>
        <w:shd w:val="clear" w:color="auto" w:fill="FFFFFF"/>
        <w:spacing w:line="240" w:lineRule="auto"/>
        <w:rPr>
          <w:szCs w:val="22"/>
        </w:rPr>
      </w:pPr>
    </w:p>
    <w:p w14:paraId="6D624550" w14:textId="1BA46612" w:rsidR="00001414" w:rsidRPr="00743D4B" w:rsidRDefault="00001414" w:rsidP="00001414">
      <w:pPr>
        <w:shd w:val="clear" w:color="auto" w:fill="FFFFFF" w:themeFill="background1"/>
        <w:spacing w:line="240" w:lineRule="auto"/>
      </w:pPr>
      <w:r>
        <w:t>Les effets indésirables graves sont la pneumonie (3</w:t>
      </w:r>
      <w:r w:rsidR="007B2F57">
        <w:t>1,7</w:t>
      </w:r>
      <w:r>
        <w:t> %), le sepsis (15,</w:t>
      </w:r>
      <w:r w:rsidR="007B2F57">
        <w:t>8</w:t>
      </w:r>
      <w:r>
        <w:t xml:space="preserve"> %), le </w:t>
      </w:r>
      <w:r w:rsidR="00CC6D99">
        <w:t xml:space="preserve">SRC </w:t>
      </w:r>
      <w:r>
        <w:t>(12,6 %), l’anémie (5,5 %), l’infection des voies aériennes supérieures (</w:t>
      </w:r>
      <w:r w:rsidR="007B2F57">
        <w:t>5,5</w:t>
      </w:r>
      <w:r>
        <w:t> %), l’infection des voies urinaires (3,</w:t>
      </w:r>
      <w:r w:rsidR="007B2F57">
        <w:t>8</w:t>
      </w:r>
      <w:r>
        <w:t xml:space="preserve"> %), la neutropénie fébrile (2,7 %), </w:t>
      </w:r>
      <w:r w:rsidR="004A3647">
        <w:t xml:space="preserve">la diarrhée (2,7 %), </w:t>
      </w:r>
      <w:r>
        <w:t>la dyspnée (2,2 %) et la fièvre (2,2 %).</w:t>
      </w:r>
    </w:p>
    <w:p w14:paraId="6E09FAB5" w14:textId="77777777" w:rsidR="00001414" w:rsidRDefault="00001414" w:rsidP="00793E0F">
      <w:pPr>
        <w:autoSpaceDE w:val="0"/>
        <w:autoSpaceDN w:val="0"/>
        <w:adjustRightInd w:val="0"/>
        <w:spacing w:line="240" w:lineRule="auto"/>
        <w:rPr>
          <w:noProof/>
          <w:szCs w:val="22"/>
        </w:rPr>
      </w:pPr>
    </w:p>
    <w:p w14:paraId="0FE3DA48" w14:textId="77777777" w:rsidR="00001414" w:rsidRPr="00743D4B" w:rsidRDefault="00001414" w:rsidP="00793E0F">
      <w:pPr>
        <w:autoSpaceDE w:val="0"/>
        <w:autoSpaceDN w:val="0"/>
        <w:adjustRightInd w:val="0"/>
        <w:spacing w:line="240" w:lineRule="auto"/>
      </w:pPr>
      <w:r>
        <w:rPr>
          <w:u w:val="single"/>
        </w:rPr>
        <w:t>Tableau listant les effets indésirables</w:t>
      </w:r>
      <w:r>
        <w:t xml:space="preserve"> </w:t>
      </w:r>
    </w:p>
    <w:p w14:paraId="495291A8" w14:textId="77777777" w:rsidR="00001414" w:rsidRDefault="00001414" w:rsidP="00001414">
      <w:pPr>
        <w:shd w:val="clear" w:color="auto" w:fill="FFFFFF" w:themeFill="background1"/>
        <w:spacing w:line="240" w:lineRule="auto"/>
      </w:pPr>
    </w:p>
    <w:p w14:paraId="7FAAC733" w14:textId="2EEF29B5" w:rsidR="00001414" w:rsidRPr="00743D4B" w:rsidRDefault="00001414" w:rsidP="00001414">
      <w:pPr>
        <w:shd w:val="clear" w:color="auto" w:fill="FFFFFF" w:themeFill="background1"/>
        <w:spacing w:line="240" w:lineRule="auto"/>
      </w:pPr>
      <w:r>
        <w:t>Le tableau 6 récapitule les effets indésirables rapportés chez les patients ayant reçu ELREXFIO selon le schéma posologique recommandé</w:t>
      </w:r>
      <w:r w:rsidR="009C1D41">
        <w:t xml:space="preserve"> (N=183 comprenant 64 patients ayant</w:t>
      </w:r>
      <w:r w:rsidR="009C1D41" w:rsidRPr="00793E0F">
        <w:rPr>
          <w:color w:val="000000" w:themeColor="text1"/>
          <w:szCs w:val="22"/>
        </w:rPr>
        <w:t xml:space="preserve"> </w:t>
      </w:r>
      <w:r w:rsidR="009C1D41">
        <w:t>précédemment reçu</w:t>
      </w:r>
      <w:r w:rsidR="009C1D41" w:rsidRPr="009C1D41">
        <w:t xml:space="preserve"> un conjugué anticorps-médicament (CAM) ou un traitement par lymphocytes T à récepteurs antigéniques chimériques (CAR) ciblant le BCMA </w:t>
      </w:r>
      <w:r w:rsidR="00B1776C">
        <w:t>[</w:t>
      </w:r>
      <w:r w:rsidR="009C1D41" w:rsidRPr="009C1D41">
        <w:t>cohorte de soutien B</w:t>
      </w:r>
      <w:r w:rsidR="00B1776C">
        <w:t>]</w:t>
      </w:r>
      <w:r w:rsidR="009C1D41" w:rsidRPr="009C1D41">
        <w:t>). La durée médiane du traitement était</w:t>
      </w:r>
      <w:r w:rsidR="00B1776C">
        <w:t xml:space="preserve"> de 4,1 (intervalle : 0,03 à 20,3) mois</w:t>
      </w:r>
      <w:r>
        <w:t>. Les données de sécurité d’ELREXFIO ont également été évaluées dans l’ensemble de la population traitée (N = 265) et aucun autre effet indésirable n’a été identifié.</w:t>
      </w:r>
    </w:p>
    <w:p w14:paraId="55A8E251" w14:textId="77777777" w:rsidR="00001414" w:rsidRPr="00743D4B" w:rsidRDefault="00001414" w:rsidP="003D08BD">
      <w:pPr>
        <w:autoSpaceDE w:val="0"/>
        <w:autoSpaceDN w:val="0"/>
        <w:adjustRightInd w:val="0"/>
        <w:spacing w:line="240" w:lineRule="auto"/>
        <w:rPr>
          <w:b/>
          <w:szCs w:val="22"/>
          <w:u w:val="single"/>
        </w:rPr>
      </w:pPr>
    </w:p>
    <w:p w14:paraId="0A88EDF6" w14:textId="15B74929" w:rsidR="00001414" w:rsidRPr="00743D4B" w:rsidRDefault="00001414" w:rsidP="00001414">
      <w:pPr>
        <w:autoSpaceDE w:val="0"/>
        <w:autoSpaceDN w:val="0"/>
        <w:adjustRightInd w:val="0"/>
        <w:spacing w:line="240" w:lineRule="auto"/>
        <w:rPr>
          <w:noProof/>
          <w:szCs w:val="22"/>
          <w:u w:val="single"/>
        </w:rPr>
      </w:pPr>
      <w:r>
        <w:lastRenderedPageBreak/>
        <w:t xml:space="preserve">Les effets indésirables sont répertoriés </w:t>
      </w:r>
      <w:r w:rsidR="00565DDC">
        <w:t xml:space="preserve">selon la classification des systèmes d’organes MedDRA et </w:t>
      </w:r>
      <w:r>
        <w:t>par fréquence. Les catégories de fréquence sont définies comme suit : très fréquent (≥ 1/10), fréquent (≥ 1/100, &lt; 1/10), peu fréquent (≥ 1/1 000, &lt; 1/100), rare (≥ 1/10 000, &lt; 1/1 000)</w:t>
      </w:r>
      <w:r w:rsidR="00565DDC">
        <w:t>,</w:t>
      </w:r>
      <w:r>
        <w:t xml:space="preserve"> très rare (&lt; 1/10 000)</w:t>
      </w:r>
      <w:r w:rsidR="00565DDC">
        <w:t xml:space="preserve"> et fréquence indéterminée (la fréquence </w:t>
      </w:r>
      <w:r w:rsidR="00565DDC" w:rsidRPr="002E1CB8">
        <w:t>ne peut être estimée sur la base des données disponibles</w:t>
      </w:r>
      <w:r w:rsidR="00565DDC">
        <w:t>)</w:t>
      </w:r>
      <w:r>
        <w:t>.</w:t>
      </w:r>
      <w:r w:rsidR="00B1776C">
        <w:t xml:space="preserve"> </w:t>
      </w:r>
      <w:r>
        <w:t>Au sein de chaque groupe de fréquence, les effets indésirables sont présentés, le cas échéant, suivant un ordre décroissant de gravité.</w:t>
      </w:r>
    </w:p>
    <w:p w14:paraId="421DAC51" w14:textId="77777777" w:rsidR="00DD766B" w:rsidRDefault="00DD766B" w:rsidP="00793E0F">
      <w:pPr>
        <w:tabs>
          <w:tab w:val="left" w:pos="0"/>
        </w:tabs>
        <w:autoSpaceDE w:val="0"/>
        <w:autoSpaceDN w:val="0"/>
        <w:adjustRightInd w:val="0"/>
        <w:spacing w:line="240" w:lineRule="auto"/>
        <w:rPr>
          <w:noProof/>
          <w:szCs w:val="22"/>
        </w:rPr>
      </w:pPr>
    </w:p>
    <w:p w14:paraId="71B1C38F" w14:textId="2B5C4CA4" w:rsidR="00446BF9" w:rsidRPr="00743D4B" w:rsidRDefault="00446BF9" w:rsidP="00446BF9">
      <w:pPr>
        <w:tabs>
          <w:tab w:val="left" w:pos="0"/>
        </w:tabs>
        <w:autoSpaceDE w:val="0"/>
        <w:autoSpaceDN w:val="0"/>
        <w:adjustRightInd w:val="0"/>
        <w:spacing w:line="240" w:lineRule="auto"/>
        <w:ind w:left="1418" w:hanging="1418"/>
        <w:rPr>
          <w:noProof/>
          <w:szCs w:val="22"/>
        </w:rPr>
      </w:pPr>
      <w:r>
        <w:rPr>
          <w:b/>
        </w:rPr>
        <w:t>Tableau 6.</w:t>
      </w:r>
      <w:r>
        <w:tab/>
      </w:r>
      <w:r>
        <w:rPr>
          <w:b/>
        </w:rPr>
        <w:t>Effets indésirables observés chez les patients atteints de myélome multiple traités par ELREXFIO, au cours de l’étude MagnetisMM-3, à la dose recommandée</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4F1FE0" w14:paraId="62183469" w14:textId="77777777" w:rsidTr="00A64757">
        <w:trPr>
          <w:trHeight w:val="242"/>
        </w:trPr>
        <w:tc>
          <w:tcPr>
            <w:tcW w:w="2682" w:type="dxa"/>
            <w:vMerge w:val="restart"/>
            <w:tcBorders>
              <w:top w:val="single" w:sz="4" w:space="0" w:color="auto"/>
              <w:bottom w:val="single" w:sz="4" w:space="0" w:color="auto"/>
            </w:tcBorders>
            <w:shd w:val="clear" w:color="auto" w:fill="auto"/>
          </w:tcPr>
          <w:p w14:paraId="5750A382" w14:textId="77777777" w:rsidR="004F1FE0" w:rsidRPr="00BD70FE" w:rsidRDefault="004F1FE0" w:rsidP="007709CC">
            <w:pPr>
              <w:keepNext/>
              <w:autoSpaceDE w:val="0"/>
              <w:autoSpaceDN w:val="0"/>
              <w:adjustRightInd w:val="0"/>
              <w:spacing w:line="240" w:lineRule="auto"/>
              <w:rPr>
                <w:b/>
                <w:bCs/>
                <w:noProof/>
                <w:szCs w:val="22"/>
              </w:rPr>
            </w:pPr>
            <w:r>
              <w:rPr>
                <w:b/>
              </w:rPr>
              <w:t>Classe de systèmes d’organes</w:t>
            </w:r>
          </w:p>
        </w:tc>
        <w:tc>
          <w:tcPr>
            <w:tcW w:w="2610" w:type="dxa"/>
            <w:vMerge w:val="restart"/>
            <w:tcBorders>
              <w:top w:val="single" w:sz="4" w:space="0" w:color="auto"/>
              <w:bottom w:val="single" w:sz="4" w:space="0" w:color="auto"/>
            </w:tcBorders>
            <w:shd w:val="clear" w:color="auto" w:fill="auto"/>
          </w:tcPr>
          <w:p w14:paraId="4B9DA338" w14:textId="77777777" w:rsidR="004F1FE0" w:rsidRPr="0019398D" w:rsidRDefault="004F1FE0" w:rsidP="00C238FB">
            <w:pPr>
              <w:keepNext/>
              <w:autoSpaceDE w:val="0"/>
              <w:autoSpaceDN w:val="0"/>
              <w:adjustRightInd w:val="0"/>
              <w:spacing w:line="240" w:lineRule="auto"/>
              <w:rPr>
                <w:b/>
                <w:bCs/>
                <w:noProof/>
                <w:szCs w:val="22"/>
              </w:rPr>
            </w:pPr>
            <w:r>
              <w:rPr>
                <w:b/>
              </w:rPr>
              <w:t>Effet indésirable</w:t>
            </w:r>
          </w:p>
        </w:tc>
        <w:tc>
          <w:tcPr>
            <w:tcW w:w="1530" w:type="dxa"/>
            <w:vMerge w:val="restart"/>
            <w:tcBorders>
              <w:top w:val="single" w:sz="4" w:space="0" w:color="auto"/>
              <w:bottom w:val="single" w:sz="4" w:space="0" w:color="auto"/>
            </w:tcBorders>
            <w:shd w:val="clear" w:color="auto" w:fill="auto"/>
          </w:tcPr>
          <w:p w14:paraId="798B71E2" w14:textId="77777777" w:rsidR="004F1FE0" w:rsidRPr="0019398D" w:rsidRDefault="004F1FE0" w:rsidP="00793E0F">
            <w:pPr>
              <w:keepNext/>
              <w:autoSpaceDE w:val="0"/>
              <w:autoSpaceDN w:val="0"/>
              <w:adjustRightInd w:val="0"/>
              <w:spacing w:line="240" w:lineRule="auto"/>
              <w:rPr>
                <w:b/>
                <w:bCs/>
                <w:noProof/>
                <w:szCs w:val="22"/>
              </w:rPr>
            </w:pPr>
            <w:r>
              <w:rPr>
                <w:b/>
              </w:rPr>
              <w:t>Fréquence</w:t>
            </w:r>
          </w:p>
          <w:p w14:paraId="759CE36F" w14:textId="77777777" w:rsidR="004F1FE0" w:rsidRPr="0019398D" w:rsidRDefault="004F1FE0" w:rsidP="007709CC">
            <w:pPr>
              <w:keepNext/>
              <w:autoSpaceDE w:val="0"/>
              <w:autoSpaceDN w:val="0"/>
              <w:adjustRightInd w:val="0"/>
              <w:spacing w:line="240" w:lineRule="auto"/>
              <w:rPr>
                <w:b/>
                <w:bCs/>
                <w:noProof/>
                <w:szCs w:val="22"/>
              </w:rPr>
            </w:pPr>
            <w:r>
              <w:rPr>
                <w:b/>
              </w:rPr>
              <w:t>(Tous grades confondus)</w:t>
            </w:r>
          </w:p>
        </w:tc>
        <w:tc>
          <w:tcPr>
            <w:tcW w:w="2440" w:type="dxa"/>
            <w:gridSpan w:val="2"/>
            <w:tcBorders>
              <w:top w:val="single" w:sz="4" w:space="0" w:color="auto"/>
              <w:bottom w:val="single" w:sz="4" w:space="0" w:color="auto"/>
            </w:tcBorders>
            <w:shd w:val="clear" w:color="auto" w:fill="auto"/>
          </w:tcPr>
          <w:p w14:paraId="1ECE0EBD" w14:textId="77777777" w:rsidR="004F1FE0" w:rsidRPr="0019398D" w:rsidRDefault="004F1FE0" w:rsidP="007709CC">
            <w:pPr>
              <w:keepNext/>
              <w:autoSpaceDE w:val="0"/>
              <w:autoSpaceDN w:val="0"/>
              <w:adjustRightInd w:val="0"/>
              <w:spacing w:line="240" w:lineRule="auto"/>
              <w:jc w:val="center"/>
              <w:rPr>
                <w:b/>
                <w:bCs/>
                <w:noProof/>
                <w:szCs w:val="22"/>
              </w:rPr>
            </w:pPr>
            <w:r>
              <w:rPr>
                <w:b/>
              </w:rPr>
              <w:t>N = 183</w:t>
            </w:r>
          </w:p>
        </w:tc>
      </w:tr>
      <w:tr w:rsidR="004F1FE0" w14:paraId="1F7C69B6" w14:textId="77777777" w:rsidTr="00A64757">
        <w:trPr>
          <w:trHeight w:val="53"/>
        </w:trPr>
        <w:tc>
          <w:tcPr>
            <w:tcW w:w="2682" w:type="dxa"/>
            <w:vMerge/>
            <w:shd w:val="clear" w:color="auto" w:fill="auto"/>
          </w:tcPr>
          <w:p w14:paraId="559F927C" w14:textId="77777777" w:rsidR="004F1FE0" w:rsidRPr="00BD70FE" w:rsidRDefault="004F1FE0" w:rsidP="007709CC">
            <w:pPr>
              <w:keepNext/>
              <w:autoSpaceDE w:val="0"/>
              <w:autoSpaceDN w:val="0"/>
              <w:adjustRightInd w:val="0"/>
              <w:spacing w:line="240" w:lineRule="auto"/>
              <w:jc w:val="both"/>
              <w:rPr>
                <w:b/>
                <w:bCs/>
                <w:noProof/>
                <w:szCs w:val="22"/>
              </w:rPr>
            </w:pPr>
          </w:p>
        </w:tc>
        <w:tc>
          <w:tcPr>
            <w:tcW w:w="2610" w:type="dxa"/>
            <w:vMerge/>
            <w:shd w:val="clear" w:color="auto" w:fill="auto"/>
          </w:tcPr>
          <w:p w14:paraId="65C37FED" w14:textId="77777777" w:rsidR="004F1FE0" w:rsidRPr="0019398D" w:rsidRDefault="004F1FE0" w:rsidP="007709CC">
            <w:pPr>
              <w:keepNext/>
              <w:autoSpaceDE w:val="0"/>
              <w:autoSpaceDN w:val="0"/>
              <w:adjustRightInd w:val="0"/>
              <w:spacing w:line="240" w:lineRule="auto"/>
              <w:jc w:val="both"/>
              <w:rPr>
                <w:b/>
                <w:bCs/>
                <w:noProof/>
                <w:szCs w:val="22"/>
              </w:rPr>
            </w:pPr>
          </w:p>
        </w:tc>
        <w:tc>
          <w:tcPr>
            <w:tcW w:w="1530" w:type="dxa"/>
            <w:vMerge/>
            <w:shd w:val="clear" w:color="auto" w:fill="auto"/>
          </w:tcPr>
          <w:p w14:paraId="180FA1FC" w14:textId="77777777" w:rsidR="004F1FE0" w:rsidRPr="0019398D" w:rsidRDefault="004F1FE0" w:rsidP="007709CC">
            <w:pPr>
              <w:keepNext/>
              <w:autoSpaceDE w:val="0"/>
              <w:autoSpaceDN w:val="0"/>
              <w:adjustRightInd w:val="0"/>
              <w:spacing w:line="240" w:lineRule="auto"/>
              <w:jc w:val="both"/>
              <w:rPr>
                <w:b/>
                <w:bCs/>
                <w:noProof/>
                <w:szCs w:val="22"/>
              </w:rPr>
            </w:pPr>
          </w:p>
        </w:tc>
        <w:tc>
          <w:tcPr>
            <w:tcW w:w="1260" w:type="dxa"/>
            <w:shd w:val="clear" w:color="auto" w:fill="auto"/>
          </w:tcPr>
          <w:p w14:paraId="2AC5EFD4" w14:textId="77777777" w:rsidR="004F1FE0" w:rsidRPr="0019398D" w:rsidRDefault="004F1FE0" w:rsidP="00927263">
            <w:pPr>
              <w:keepNext/>
              <w:autoSpaceDE w:val="0"/>
              <w:autoSpaceDN w:val="0"/>
              <w:adjustRightInd w:val="0"/>
              <w:spacing w:line="240" w:lineRule="auto"/>
              <w:jc w:val="center"/>
              <w:rPr>
                <w:b/>
                <w:bCs/>
                <w:noProof/>
                <w:szCs w:val="22"/>
              </w:rPr>
            </w:pPr>
            <w:r>
              <w:rPr>
                <w:b/>
              </w:rPr>
              <w:t>Tous grades confondus (%)</w:t>
            </w:r>
          </w:p>
        </w:tc>
        <w:tc>
          <w:tcPr>
            <w:tcW w:w="1180" w:type="dxa"/>
            <w:shd w:val="clear" w:color="auto" w:fill="auto"/>
          </w:tcPr>
          <w:p w14:paraId="068E6319" w14:textId="77777777" w:rsidR="004F1FE0" w:rsidRPr="0019398D" w:rsidRDefault="004F1FE0" w:rsidP="00927263">
            <w:pPr>
              <w:keepNext/>
              <w:autoSpaceDE w:val="0"/>
              <w:autoSpaceDN w:val="0"/>
              <w:adjustRightInd w:val="0"/>
              <w:spacing w:line="240" w:lineRule="auto"/>
              <w:jc w:val="center"/>
              <w:rPr>
                <w:b/>
                <w:bCs/>
                <w:noProof/>
                <w:szCs w:val="22"/>
              </w:rPr>
            </w:pPr>
            <w:r>
              <w:rPr>
                <w:b/>
              </w:rPr>
              <w:t>Grade 3 ou 4 (%)</w:t>
            </w:r>
          </w:p>
        </w:tc>
      </w:tr>
      <w:tr w:rsidR="00A91B71" w14:paraId="54A303F4" w14:textId="77777777" w:rsidTr="00446BF9">
        <w:trPr>
          <w:trHeight w:val="269"/>
        </w:trPr>
        <w:tc>
          <w:tcPr>
            <w:tcW w:w="2682" w:type="dxa"/>
            <w:vMerge w:val="restart"/>
            <w:shd w:val="clear" w:color="auto" w:fill="auto"/>
          </w:tcPr>
          <w:p w14:paraId="02F0245E" w14:textId="77777777" w:rsidR="00A91B71" w:rsidRPr="00BD70FE" w:rsidRDefault="00A91B71" w:rsidP="007709CC">
            <w:pPr>
              <w:keepNext/>
              <w:autoSpaceDE w:val="0"/>
              <w:autoSpaceDN w:val="0"/>
              <w:adjustRightInd w:val="0"/>
              <w:spacing w:line="240" w:lineRule="auto"/>
              <w:rPr>
                <w:b/>
                <w:bCs/>
                <w:noProof/>
                <w:szCs w:val="22"/>
              </w:rPr>
            </w:pPr>
            <w:r>
              <w:rPr>
                <w:b/>
              </w:rPr>
              <w:t>Infections et infestations</w:t>
            </w:r>
          </w:p>
        </w:tc>
        <w:tc>
          <w:tcPr>
            <w:tcW w:w="2610" w:type="dxa"/>
            <w:shd w:val="clear" w:color="auto" w:fill="auto"/>
          </w:tcPr>
          <w:p w14:paraId="51AFD4EF" w14:textId="77777777" w:rsidR="00A91B71" w:rsidRPr="0019398D" w:rsidRDefault="00A91B71" w:rsidP="007709CC">
            <w:pPr>
              <w:keepNext/>
              <w:autoSpaceDE w:val="0"/>
              <w:autoSpaceDN w:val="0"/>
              <w:adjustRightInd w:val="0"/>
              <w:spacing w:line="240" w:lineRule="auto"/>
              <w:rPr>
                <w:szCs w:val="22"/>
              </w:rPr>
            </w:pPr>
            <w:r>
              <w:t>Pneumonie</w:t>
            </w:r>
            <w:r>
              <w:rPr>
                <w:vertAlign w:val="superscript"/>
              </w:rPr>
              <w:t>a</w:t>
            </w:r>
          </w:p>
        </w:tc>
        <w:tc>
          <w:tcPr>
            <w:tcW w:w="1530" w:type="dxa"/>
            <w:shd w:val="clear" w:color="auto" w:fill="auto"/>
          </w:tcPr>
          <w:p w14:paraId="6188A3CD" w14:textId="77777777" w:rsidR="00A91B71" w:rsidRPr="0019398D" w:rsidRDefault="00A91B71" w:rsidP="007709CC">
            <w:pPr>
              <w:keepNext/>
              <w:autoSpaceDE w:val="0"/>
              <w:autoSpaceDN w:val="0"/>
              <w:adjustRightInd w:val="0"/>
              <w:spacing w:line="240" w:lineRule="auto"/>
              <w:jc w:val="center"/>
              <w:rPr>
                <w:szCs w:val="22"/>
              </w:rPr>
            </w:pPr>
            <w:r>
              <w:t>Très fréquent</w:t>
            </w:r>
          </w:p>
        </w:tc>
        <w:tc>
          <w:tcPr>
            <w:tcW w:w="1260" w:type="dxa"/>
          </w:tcPr>
          <w:p w14:paraId="5200CB2F" w14:textId="0CEC7B36" w:rsidR="00A91B71" w:rsidRPr="0019398D" w:rsidRDefault="00A91B71" w:rsidP="007709CC">
            <w:pPr>
              <w:keepNext/>
              <w:autoSpaceDE w:val="0"/>
              <w:autoSpaceDN w:val="0"/>
              <w:adjustRightInd w:val="0"/>
              <w:spacing w:line="240" w:lineRule="auto"/>
              <w:jc w:val="center"/>
              <w:rPr>
                <w:szCs w:val="22"/>
              </w:rPr>
            </w:pPr>
            <w:r>
              <w:t>3</w:t>
            </w:r>
            <w:r w:rsidR="009863C4">
              <w:t>8,3</w:t>
            </w:r>
          </w:p>
        </w:tc>
        <w:tc>
          <w:tcPr>
            <w:tcW w:w="1180" w:type="dxa"/>
          </w:tcPr>
          <w:p w14:paraId="037FB081" w14:textId="673F82B5" w:rsidR="00A91B71" w:rsidRPr="0019398D" w:rsidRDefault="00A91B71" w:rsidP="007709CC">
            <w:pPr>
              <w:keepNext/>
              <w:autoSpaceDE w:val="0"/>
              <w:autoSpaceDN w:val="0"/>
              <w:adjustRightInd w:val="0"/>
              <w:spacing w:line="240" w:lineRule="auto"/>
              <w:jc w:val="center"/>
              <w:rPr>
                <w:szCs w:val="22"/>
              </w:rPr>
            </w:pPr>
            <w:r>
              <w:t>2</w:t>
            </w:r>
            <w:r w:rsidR="009863C4">
              <w:t>5,7</w:t>
            </w:r>
          </w:p>
        </w:tc>
      </w:tr>
      <w:tr w:rsidR="00A91B71" w14:paraId="384750AF" w14:textId="77777777" w:rsidTr="00446BF9">
        <w:tc>
          <w:tcPr>
            <w:tcW w:w="2682" w:type="dxa"/>
            <w:vMerge/>
          </w:tcPr>
          <w:p w14:paraId="0CDB7F3C" w14:textId="77777777" w:rsidR="00A91B71" w:rsidRPr="00BD70FE" w:rsidRDefault="00A91B71" w:rsidP="007709CC">
            <w:pPr>
              <w:keepNext/>
              <w:autoSpaceDE w:val="0"/>
              <w:autoSpaceDN w:val="0"/>
              <w:adjustRightInd w:val="0"/>
              <w:spacing w:line="240" w:lineRule="auto"/>
              <w:rPr>
                <w:b/>
                <w:bCs/>
                <w:noProof/>
                <w:szCs w:val="22"/>
              </w:rPr>
            </w:pPr>
          </w:p>
        </w:tc>
        <w:tc>
          <w:tcPr>
            <w:tcW w:w="2610" w:type="dxa"/>
            <w:shd w:val="clear" w:color="auto" w:fill="auto"/>
          </w:tcPr>
          <w:p w14:paraId="5BACE13C" w14:textId="77777777" w:rsidR="00A91B71" w:rsidRPr="0019398D" w:rsidRDefault="00A91B71" w:rsidP="007709CC">
            <w:pPr>
              <w:keepNext/>
              <w:autoSpaceDE w:val="0"/>
              <w:autoSpaceDN w:val="0"/>
              <w:adjustRightInd w:val="0"/>
              <w:spacing w:line="240" w:lineRule="auto"/>
              <w:rPr>
                <w:szCs w:val="22"/>
              </w:rPr>
            </w:pPr>
            <w:r>
              <w:t>Sepsis</w:t>
            </w:r>
            <w:r>
              <w:rPr>
                <w:vertAlign w:val="superscript"/>
              </w:rPr>
              <w:t>b</w:t>
            </w:r>
          </w:p>
        </w:tc>
        <w:tc>
          <w:tcPr>
            <w:tcW w:w="1530" w:type="dxa"/>
            <w:shd w:val="clear" w:color="auto" w:fill="auto"/>
          </w:tcPr>
          <w:p w14:paraId="12499CBB" w14:textId="77777777" w:rsidR="00A91B71" w:rsidRPr="0019398D" w:rsidRDefault="00A91B71" w:rsidP="007709CC">
            <w:pPr>
              <w:keepNext/>
              <w:autoSpaceDE w:val="0"/>
              <w:autoSpaceDN w:val="0"/>
              <w:adjustRightInd w:val="0"/>
              <w:spacing w:line="240" w:lineRule="auto"/>
              <w:jc w:val="center"/>
              <w:rPr>
                <w:szCs w:val="22"/>
              </w:rPr>
            </w:pPr>
            <w:r>
              <w:t>Très fréquent</w:t>
            </w:r>
          </w:p>
        </w:tc>
        <w:tc>
          <w:tcPr>
            <w:tcW w:w="1260" w:type="dxa"/>
          </w:tcPr>
          <w:p w14:paraId="2D0E74EC" w14:textId="0A864D86" w:rsidR="00A91B71" w:rsidRPr="0019398D" w:rsidRDefault="00A91B71" w:rsidP="007709CC">
            <w:pPr>
              <w:keepNext/>
              <w:autoSpaceDE w:val="0"/>
              <w:autoSpaceDN w:val="0"/>
              <w:adjustRightInd w:val="0"/>
              <w:spacing w:line="240" w:lineRule="auto"/>
              <w:jc w:val="center"/>
              <w:rPr>
                <w:szCs w:val="22"/>
              </w:rPr>
            </w:pPr>
            <w:r>
              <w:t>18,</w:t>
            </w:r>
            <w:r w:rsidR="009863C4">
              <w:t>6</w:t>
            </w:r>
          </w:p>
        </w:tc>
        <w:tc>
          <w:tcPr>
            <w:tcW w:w="1180" w:type="dxa"/>
          </w:tcPr>
          <w:p w14:paraId="1EA8440C" w14:textId="5D58B324" w:rsidR="00A91B71" w:rsidRPr="0019398D" w:rsidRDefault="00A91B71" w:rsidP="007709CC">
            <w:pPr>
              <w:keepNext/>
              <w:autoSpaceDE w:val="0"/>
              <w:autoSpaceDN w:val="0"/>
              <w:adjustRightInd w:val="0"/>
              <w:spacing w:line="240" w:lineRule="auto"/>
              <w:jc w:val="center"/>
              <w:rPr>
                <w:szCs w:val="22"/>
              </w:rPr>
            </w:pPr>
            <w:r>
              <w:t>1</w:t>
            </w:r>
            <w:r w:rsidR="009863C4">
              <w:t>3,1</w:t>
            </w:r>
          </w:p>
        </w:tc>
      </w:tr>
      <w:tr w:rsidR="00A91B71" w14:paraId="1547F39D" w14:textId="77777777" w:rsidTr="00446BF9">
        <w:tc>
          <w:tcPr>
            <w:tcW w:w="2682" w:type="dxa"/>
            <w:vMerge/>
          </w:tcPr>
          <w:p w14:paraId="22EF18A0" w14:textId="77777777" w:rsidR="00A91B71" w:rsidRPr="00BD70FE" w:rsidRDefault="00A91B71" w:rsidP="007709CC">
            <w:pPr>
              <w:keepNext/>
              <w:autoSpaceDE w:val="0"/>
              <w:autoSpaceDN w:val="0"/>
              <w:adjustRightInd w:val="0"/>
              <w:spacing w:line="240" w:lineRule="auto"/>
              <w:rPr>
                <w:b/>
                <w:bCs/>
                <w:noProof/>
                <w:szCs w:val="22"/>
              </w:rPr>
            </w:pPr>
          </w:p>
        </w:tc>
        <w:tc>
          <w:tcPr>
            <w:tcW w:w="2610" w:type="dxa"/>
            <w:shd w:val="clear" w:color="auto" w:fill="auto"/>
          </w:tcPr>
          <w:p w14:paraId="49907DCD" w14:textId="77777777" w:rsidR="00A91B71" w:rsidRPr="0019398D" w:rsidRDefault="00A91B71" w:rsidP="007709CC">
            <w:pPr>
              <w:keepNext/>
              <w:autoSpaceDE w:val="0"/>
              <w:autoSpaceDN w:val="0"/>
              <w:adjustRightInd w:val="0"/>
              <w:spacing w:line="240" w:lineRule="auto"/>
              <w:rPr>
                <w:vertAlign w:val="superscript"/>
              </w:rPr>
            </w:pPr>
            <w:r>
              <w:t>Infection des voies aériennes supérieures</w:t>
            </w:r>
          </w:p>
        </w:tc>
        <w:tc>
          <w:tcPr>
            <w:tcW w:w="1530" w:type="dxa"/>
            <w:shd w:val="clear" w:color="auto" w:fill="auto"/>
          </w:tcPr>
          <w:p w14:paraId="47370CD8" w14:textId="77777777" w:rsidR="00A91B71" w:rsidRPr="0019398D" w:rsidRDefault="00A91B71" w:rsidP="007709CC">
            <w:pPr>
              <w:keepNext/>
              <w:autoSpaceDE w:val="0"/>
              <w:autoSpaceDN w:val="0"/>
              <w:adjustRightInd w:val="0"/>
              <w:spacing w:line="240" w:lineRule="auto"/>
              <w:jc w:val="center"/>
              <w:rPr>
                <w:noProof/>
                <w:szCs w:val="22"/>
              </w:rPr>
            </w:pPr>
            <w:r>
              <w:t xml:space="preserve">Très fréquent </w:t>
            </w:r>
          </w:p>
        </w:tc>
        <w:tc>
          <w:tcPr>
            <w:tcW w:w="1260" w:type="dxa"/>
          </w:tcPr>
          <w:p w14:paraId="25F49F79" w14:textId="2EDD6563" w:rsidR="00A91B71" w:rsidRPr="0019398D" w:rsidRDefault="009863C4" w:rsidP="007709CC">
            <w:pPr>
              <w:keepNext/>
              <w:autoSpaceDE w:val="0"/>
              <w:autoSpaceDN w:val="0"/>
              <w:adjustRightInd w:val="0"/>
              <w:spacing w:line="240" w:lineRule="auto"/>
              <w:jc w:val="center"/>
              <w:rPr>
                <w:noProof/>
                <w:szCs w:val="22"/>
              </w:rPr>
            </w:pPr>
            <w:r>
              <w:t>42,6</w:t>
            </w:r>
          </w:p>
        </w:tc>
        <w:tc>
          <w:tcPr>
            <w:tcW w:w="1180" w:type="dxa"/>
          </w:tcPr>
          <w:p w14:paraId="3496B91A" w14:textId="7E8763B9" w:rsidR="00A91B71" w:rsidRPr="0019398D" w:rsidRDefault="009863C4" w:rsidP="007709CC">
            <w:pPr>
              <w:keepNext/>
              <w:autoSpaceDE w:val="0"/>
              <w:autoSpaceDN w:val="0"/>
              <w:adjustRightInd w:val="0"/>
              <w:spacing w:line="240" w:lineRule="auto"/>
              <w:jc w:val="center"/>
              <w:rPr>
                <w:noProof/>
                <w:szCs w:val="22"/>
              </w:rPr>
            </w:pPr>
            <w:r>
              <w:t>6,0</w:t>
            </w:r>
          </w:p>
        </w:tc>
      </w:tr>
      <w:tr w:rsidR="00A91B71" w14:paraId="66CDDBDF" w14:textId="77777777" w:rsidTr="00446BF9">
        <w:tc>
          <w:tcPr>
            <w:tcW w:w="2682" w:type="dxa"/>
            <w:vMerge/>
          </w:tcPr>
          <w:p w14:paraId="0459875C" w14:textId="77777777" w:rsidR="00A91B71" w:rsidRPr="00BD70FE" w:rsidRDefault="00A91B71" w:rsidP="007709CC">
            <w:pPr>
              <w:keepNext/>
              <w:autoSpaceDE w:val="0"/>
              <w:autoSpaceDN w:val="0"/>
              <w:adjustRightInd w:val="0"/>
              <w:spacing w:line="240" w:lineRule="auto"/>
              <w:rPr>
                <w:b/>
                <w:bCs/>
                <w:noProof/>
                <w:szCs w:val="22"/>
              </w:rPr>
            </w:pPr>
          </w:p>
        </w:tc>
        <w:tc>
          <w:tcPr>
            <w:tcW w:w="2610" w:type="dxa"/>
            <w:shd w:val="clear" w:color="auto" w:fill="auto"/>
          </w:tcPr>
          <w:p w14:paraId="79AA862C" w14:textId="77777777" w:rsidR="00A91B71" w:rsidRPr="0019398D" w:rsidRDefault="00A91B71" w:rsidP="007709CC">
            <w:pPr>
              <w:keepNext/>
              <w:autoSpaceDE w:val="0"/>
              <w:autoSpaceDN w:val="0"/>
              <w:adjustRightInd w:val="0"/>
              <w:spacing w:line="240" w:lineRule="auto"/>
              <w:rPr>
                <w:szCs w:val="22"/>
              </w:rPr>
            </w:pPr>
            <w:r>
              <w:t>Infection des voies urinaires</w:t>
            </w:r>
          </w:p>
        </w:tc>
        <w:tc>
          <w:tcPr>
            <w:tcW w:w="1530" w:type="dxa"/>
            <w:shd w:val="clear" w:color="auto" w:fill="auto"/>
          </w:tcPr>
          <w:p w14:paraId="1DEA3734" w14:textId="77777777" w:rsidR="00A91B71" w:rsidRPr="0019398D" w:rsidRDefault="00A91B71" w:rsidP="007709CC">
            <w:pPr>
              <w:keepNext/>
              <w:autoSpaceDE w:val="0"/>
              <w:autoSpaceDN w:val="0"/>
              <w:adjustRightInd w:val="0"/>
              <w:spacing w:line="240" w:lineRule="auto"/>
              <w:jc w:val="center"/>
              <w:rPr>
                <w:szCs w:val="22"/>
              </w:rPr>
            </w:pPr>
            <w:r>
              <w:t>Très fréquent</w:t>
            </w:r>
          </w:p>
        </w:tc>
        <w:tc>
          <w:tcPr>
            <w:tcW w:w="1260" w:type="dxa"/>
          </w:tcPr>
          <w:p w14:paraId="3D548B0D" w14:textId="2B09AB77" w:rsidR="00A91B71" w:rsidRPr="0019398D" w:rsidRDefault="009863C4" w:rsidP="007709CC">
            <w:pPr>
              <w:keepNext/>
              <w:autoSpaceDE w:val="0"/>
              <w:autoSpaceDN w:val="0"/>
              <w:adjustRightInd w:val="0"/>
              <w:spacing w:line="240" w:lineRule="auto"/>
              <w:jc w:val="center"/>
              <w:rPr>
                <w:szCs w:val="22"/>
              </w:rPr>
            </w:pPr>
            <w:r>
              <w:t>13,7</w:t>
            </w:r>
          </w:p>
        </w:tc>
        <w:tc>
          <w:tcPr>
            <w:tcW w:w="1180" w:type="dxa"/>
          </w:tcPr>
          <w:p w14:paraId="6F673E4C" w14:textId="2D03C66E" w:rsidR="00A91B71" w:rsidRPr="0019398D" w:rsidRDefault="009863C4" w:rsidP="007709CC">
            <w:pPr>
              <w:keepNext/>
              <w:autoSpaceDE w:val="0"/>
              <w:autoSpaceDN w:val="0"/>
              <w:adjustRightInd w:val="0"/>
              <w:spacing w:line="240" w:lineRule="auto"/>
              <w:jc w:val="center"/>
              <w:rPr>
                <w:szCs w:val="22"/>
              </w:rPr>
            </w:pPr>
            <w:r>
              <w:t>6,0</w:t>
            </w:r>
          </w:p>
        </w:tc>
      </w:tr>
      <w:tr w:rsidR="00A91B71" w14:paraId="45593CCB" w14:textId="77777777" w:rsidTr="00446BF9">
        <w:tc>
          <w:tcPr>
            <w:tcW w:w="2682" w:type="dxa"/>
            <w:vMerge/>
          </w:tcPr>
          <w:p w14:paraId="2CDFC119" w14:textId="77777777" w:rsidR="00A91B71" w:rsidRPr="00BD70FE" w:rsidRDefault="00A91B71" w:rsidP="007709CC">
            <w:pPr>
              <w:keepNext/>
              <w:autoSpaceDE w:val="0"/>
              <w:autoSpaceDN w:val="0"/>
              <w:adjustRightInd w:val="0"/>
              <w:spacing w:line="240" w:lineRule="auto"/>
              <w:rPr>
                <w:b/>
                <w:bCs/>
                <w:noProof/>
                <w:szCs w:val="22"/>
              </w:rPr>
            </w:pPr>
          </w:p>
        </w:tc>
        <w:tc>
          <w:tcPr>
            <w:tcW w:w="2610" w:type="dxa"/>
            <w:shd w:val="clear" w:color="auto" w:fill="auto"/>
          </w:tcPr>
          <w:p w14:paraId="1EFF9ACD" w14:textId="04E02768" w:rsidR="00A91B71" w:rsidRDefault="00A91B71" w:rsidP="007709CC">
            <w:pPr>
              <w:keepNext/>
              <w:autoSpaceDE w:val="0"/>
              <w:autoSpaceDN w:val="0"/>
              <w:adjustRightInd w:val="0"/>
              <w:spacing w:line="240" w:lineRule="auto"/>
            </w:pPr>
            <w:r>
              <w:t>Infection à cytomégalovirus</w:t>
            </w:r>
            <w:r w:rsidR="00201857" w:rsidRPr="004051BB">
              <w:rPr>
                <w:vertAlign w:val="superscript"/>
              </w:rPr>
              <w:t>c</w:t>
            </w:r>
          </w:p>
        </w:tc>
        <w:tc>
          <w:tcPr>
            <w:tcW w:w="1530" w:type="dxa"/>
            <w:shd w:val="clear" w:color="auto" w:fill="auto"/>
          </w:tcPr>
          <w:p w14:paraId="4EE25F39" w14:textId="7DE72B49" w:rsidR="00A91B71" w:rsidRDefault="00A91B71" w:rsidP="007709CC">
            <w:pPr>
              <w:keepNext/>
              <w:autoSpaceDE w:val="0"/>
              <w:autoSpaceDN w:val="0"/>
              <w:adjustRightInd w:val="0"/>
              <w:spacing w:line="240" w:lineRule="auto"/>
              <w:jc w:val="center"/>
            </w:pPr>
            <w:r>
              <w:t>Fréquent</w:t>
            </w:r>
          </w:p>
        </w:tc>
        <w:tc>
          <w:tcPr>
            <w:tcW w:w="1260" w:type="dxa"/>
          </w:tcPr>
          <w:p w14:paraId="5D6BE2C0" w14:textId="31FD3533" w:rsidR="00A91B71" w:rsidRDefault="00201857" w:rsidP="007709CC">
            <w:pPr>
              <w:keepNext/>
              <w:autoSpaceDE w:val="0"/>
              <w:autoSpaceDN w:val="0"/>
              <w:adjustRightInd w:val="0"/>
              <w:spacing w:line="240" w:lineRule="auto"/>
              <w:jc w:val="center"/>
            </w:pPr>
            <w:r>
              <w:t>9,3</w:t>
            </w:r>
          </w:p>
        </w:tc>
        <w:tc>
          <w:tcPr>
            <w:tcW w:w="1180" w:type="dxa"/>
          </w:tcPr>
          <w:p w14:paraId="0EE6BFD0" w14:textId="0E81472C" w:rsidR="00A91B71" w:rsidRDefault="00201857" w:rsidP="007709CC">
            <w:pPr>
              <w:keepNext/>
              <w:autoSpaceDE w:val="0"/>
              <w:autoSpaceDN w:val="0"/>
              <w:adjustRightInd w:val="0"/>
              <w:spacing w:line="240" w:lineRule="auto"/>
              <w:jc w:val="center"/>
            </w:pPr>
            <w:r>
              <w:t>2,2</w:t>
            </w:r>
          </w:p>
        </w:tc>
      </w:tr>
      <w:tr w:rsidR="004F1FE0" w14:paraId="56BB802B" w14:textId="77777777" w:rsidTr="00446BF9">
        <w:tc>
          <w:tcPr>
            <w:tcW w:w="2682" w:type="dxa"/>
            <w:vMerge w:val="restart"/>
            <w:shd w:val="clear" w:color="auto" w:fill="auto"/>
          </w:tcPr>
          <w:p w14:paraId="0278FA5E" w14:textId="77777777" w:rsidR="004F1FE0" w:rsidRPr="00BD70FE" w:rsidRDefault="004F1FE0" w:rsidP="004F07E4">
            <w:pPr>
              <w:autoSpaceDE w:val="0"/>
              <w:autoSpaceDN w:val="0"/>
              <w:adjustRightInd w:val="0"/>
              <w:spacing w:line="240" w:lineRule="auto"/>
              <w:rPr>
                <w:b/>
                <w:bCs/>
                <w:noProof/>
                <w:szCs w:val="22"/>
              </w:rPr>
            </w:pPr>
            <w:r>
              <w:rPr>
                <w:b/>
              </w:rPr>
              <w:t>Affections hématologiques et du système lymphatique</w:t>
            </w:r>
          </w:p>
        </w:tc>
        <w:tc>
          <w:tcPr>
            <w:tcW w:w="2610" w:type="dxa"/>
            <w:shd w:val="clear" w:color="auto" w:fill="auto"/>
          </w:tcPr>
          <w:p w14:paraId="7629A164" w14:textId="77777777" w:rsidR="004F1FE0" w:rsidRPr="0019398D" w:rsidRDefault="004F1FE0" w:rsidP="004F07E4">
            <w:pPr>
              <w:autoSpaceDE w:val="0"/>
              <w:autoSpaceDN w:val="0"/>
              <w:adjustRightInd w:val="0"/>
              <w:spacing w:line="240" w:lineRule="auto"/>
              <w:rPr>
                <w:szCs w:val="22"/>
              </w:rPr>
            </w:pPr>
            <w:r>
              <w:t>Neutropénie</w:t>
            </w:r>
          </w:p>
        </w:tc>
        <w:tc>
          <w:tcPr>
            <w:tcW w:w="1530" w:type="dxa"/>
            <w:shd w:val="clear" w:color="auto" w:fill="auto"/>
          </w:tcPr>
          <w:p w14:paraId="362170D8" w14:textId="77777777" w:rsidR="004F1FE0" w:rsidRPr="0019398D" w:rsidRDefault="004F1FE0" w:rsidP="004F07E4">
            <w:pPr>
              <w:autoSpaceDE w:val="0"/>
              <w:autoSpaceDN w:val="0"/>
              <w:adjustRightInd w:val="0"/>
              <w:spacing w:line="240" w:lineRule="auto"/>
              <w:jc w:val="center"/>
              <w:rPr>
                <w:szCs w:val="22"/>
              </w:rPr>
            </w:pPr>
            <w:r>
              <w:t>Très fréquent</w:t>
            </w:r>
          </w:p>
        </w:tc>
        <w:tc>
          <w:tcPr>
            <w:tcW w:w="1260" w:type="dxa"/>
          </w:tcPr>
          <w:p w14:paraId="3BF2CE15" w14:textId="10AC5D46" w:rsidR="004F1FE0" w:rsidRPr="0019398D" w:rsidRDefault="004F1FE0" w:rsidP="004F07E4">
            <w:pPr>
              <w:autoSpaceDE w:val="0"/>
              <w:autoSpaceDN w:val="0"/>
              <w:adjustRightInd w:val="0"/>
              <w:spacing w:line="240" w:lineRule="auto"/>
              <w:jc w:val="center"/>
              <w:rPr>
                <w:szCs w:val="22"/>
              </w:rPr>
            </w:pPr>
            <w:r>
              <w:t>4</w:t>
            </w:r>
            <w:r w:rsidR="009863C4">
              <w:t>5,9</w:t>
            </w:r>
          </w:p>
        </w:tc>
        <w:tc>
          <w:tcPr>
            <w:tcW w:w="1180" w:type="dxa"/>
          </w:tcPr>
          <w:p w14:paraId="6CD8DDA2" w14:textId="3F82F9C2" w:rsidR="004F1FE0" w:rsidRPr="0019398D" w:rsidRDefault="004F1FE0" w:rsidP="004F07E4">
            <w:pPr>
              <w:autoSpaceDE w:val="0"/>
              <w:autoSpaceDN w:val="0"/>
              <w:adjustRightInd w:val="0"/>
              <w:spacing w:line="240" w:lineRule="auto"/>
              <w:jc w:val="center"/>
              <w:rPr>
                <w:noProof/>
                <w:szCs w:val="22"/>
              </w:rPr>
            </w:pPr>
            <w:r>
              <w:t>4</w:t>
            </w:r>
            <w:r w:rsidR="009863C4">
              <w:t>4,3</w:t>
            </w:r>
          </w:p>
        </w:tc>
      </w:tr>
      <w:tr w:rsidR="004F1FE0" w14:paraId="6A453C2D" w14:textId="77777777" w:rsidTr="00446BF9">
        <w:tc>
          <w:tcPr>
            <w:tcW w:w="2682" w:type="dxa"/>
            <w:vMerge/>
          </w:tcPr>
          <w:p w14:paraId="7230D63F"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56982CEA" w14:textId="77777777" w:rsidR="004F1FE0" w:rsidRPr="0019398D" w:rsidRDefault="004F1FE0" w:rsidP="004F07E4">
            <w:pPr>
              <w:autoSpaceDE w:val="0"/>
              <w:autoSpaceDN w:val="0"/>
              <w:adjustRightInd w:val="0"/>
              <w:spacing w:line="240" w:lineRule="auto"/>
              <w:rPr>
                <w:b/>
                <w:bCs/>
                <w:noProof/>
                <w:szCs w:val="22"/>
              </w:rPr>
            </w:pPr>
            <w:r>
              <w:t>Anémie</w:t>
            </w:r>
          </w:p>
        </w:tc>
        <w:tc>
          <w:tcPr>
            <w:tcW w:w="1530" w:type="dxa"/>
            <w:shd w:val="clear" w:color="auto" w:fill="auto"/>
          </w:tcPr>
          <w:p w14:paraId="26FFFAEE" w14:textId="77777777" w:rsidR="004F1FE0" w:rsidRPr="0019398D" w:rsidRDefault="004F1FE0" w:rsidP="004F07E4">
            <w:pPr>
              <w:autoSpaceDE w:val="0"/>
              <w:autoSpaceDN w:val="0"/>
              <w:adjustRightInd w:val="0"/>
              <w:spacing w:line="240" w:lineRule="auto"/>
              <w:jc w:val="center"/>
              <w:rPr>
                <w:szCs w:val="22"/>
              </w:rPr>
            </w:pPr>
            <w:r>
              <w:t>Très fréquent</w:t>
            </w:r>
          </w:p>
        </w:tc>
        <w:tc>
          <w:tcPr>
            <w:tcW w:w="1260" w:type="dxa"/>
          </w:tcPr>
          <w:p w14:paraId="454A41D8" w14:textId="77777777" w:rsidR="004F1FE0" w:rsidRPr="0019398D" w:rsidRDefault="004F1FE0" w:rsidP="004F07E4">
            <w:pPr>
              <w:autoSpaceDE w:val="0"/>
              <w:autoSpaceDN w:val="0"/>
              <w:adjustRightInd w:val="0"/>
              <w:spacing w:line="240" w:lineRule="auto"/>
              <w:jc w:val="center"/>
              <w:rPr>
                <w:szCs w:val="22"/>
              </w:rPr>
            </w:pPr>
            <w:r>
              <w:t>54,1</w:t>
            </w:r>
          </w:p>
        </w:tc>
        <w:tc>
          <w:tcPr>
            <w:tcW w:w="1180" w:type="dxa"/>
          </w:tcPr>
          <w:p w14:paraId="4CCCDCF3" w14:textId="77777777" w:rsidR="004F1FE0" w:rsidRPr="0019398D" w:rsidRDefault="004F1FE0" w:rsidP="004F07E4">
            <w:pPr>
              <w:autoSpaceDE w:val="0"/>
              <w:autoSpaceDN w:val="0"/>
              <w:adjustRightInd w:val="0"/>
              <w:spacing w:line="240" w:lineRule="auto"/>
              <w:jc w:val="center"/>
              <w:rPr>
                <w:szCs w:val="22"/>
              </w:rPr>
            </w:pPr>
            <w:r>
              <w:t>42,6</w:t>
            </w:r>
          </w:p>
        </w:tc>
      </w:tr>
      <w:tr w:rsidR="004F1FE0" w14:paraId="19E89473" w14:textId="77777777" w:rsidTr="00446BF9">
        <w:tc>
          <w:tcPr>
            <w:tcW w:w="2682" w:type="dxa"/>
            <w:vMerge/>
          </w:tcPr>
          <w:p w14:paraId="7D228BBF"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15812D4" w14:textId="77777777" w:rsidR="004F1FE0" w:rsidRPr="0019398D" w:rsidRDefault="004F1FE0" w:rsidP="004F07E4">
            <w:pPr>
              <w:autoSpaceDE w:val="0"/>
              <w:autoSpaceDN w:val="0"/>
              <w:adjustRightInd w:val="0"/>
              <w:spacing w:line="240" w:lineRule="auto"/>
              <w:rPr>
                <w:szCs w:val="22"/>
              </w:rPr>
            </w:pPr>
            <w:r>
              <w:t>Thrombopénie</w:t>
            </w:r>
          </w:p>
        </w:tc>
        <w:tc>
          <w:tcPr>
            <w:tcW w:w="1530" w:type="dxa"/>
            <w:shd w:val="clear" w:color="auto" w:fill="auto"/>
          </w:tcPr>
          <w:p w14:paraId="1AD70CFC"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4719DB57" w14:textId="77777777" w:rsidR="004F1FE0" w:rsidRPr="0019398D" w:rsidRDefault="004F1FE0" w:rsidP="004F07E4">
            <w:pPr>
              <w:autoSpaceDE w:val="0"/>
              <w:autoSpaceDN w:val="0"/>
              <w:adjustRightInd w:val="0"/>
              <w:spacing w:line="240" w:lineRule="auto"/>
              <w:jc w:val="center"/>
              <w:rPr>
                <w:noProof/>
                <w:szCs w:val="22"/>
              </w:rPr>
            </w:pPr>
            <w:r>
              <w:t>36,1</w:t>
            </w:r>
          </w:p>
        </w:tc>
        <w:tc>
          <w:tcPr>
            <w:tcW w:w="1180" w:type="dxa"/>
          </w:tcPr>
          <w:p w14:paraId="4600707F" w14:textId="77777777" w:rsidR="004F1FE0" w:rsidRPr="0019398D" w:rsidRDefault="004F1FE0" w:rsidP="004F07E4">
            <w:pPr>
              <w:autoSpaceDE w:val="0"/>
              <w:autoSpaceDN w:val="0"/>
              <w:adjustRightInd w:val="0"/>
              <w:spacing w:line="240" w:lineRule="auto"/>
              <w:jc w:val="center"/>
              <w:rPr>
                <w:noProof/>
                <w:szCs w:val="22"/>
              </w:rPr>
            </w:pPr>
            <w:r>
              <w:t>26,2</w:t>
            </w:r>
          </w:p>
        </w:tc>
      </w:tr>
      <w:tr w:rsidR="004F1FE0" w14:paraId="16B32EC2" w14:textId="77777777" w:rsidTr="00446BF9">
        <w:tc>
          <w:tcPr>
            <w:tcW w:w="2682" w:type="dxa"/>
            <w:vMerge/>
          </w:tcPr>
          <w:p w14:paraId="0A93D13A"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3CE628E" w14:textId="77777777" w:rsidR="004F1FE0" w:rsidRPr="0019398D" w:rsidRDefault="004F1FE0" w:rsidP="004F07E4">
            <w:pPr>
              <w:autoSpaceDE w:val="0"/>
              <w:autoSpaceDN w:val="0"/>
              <w:adjustRightInd w:val="0"/>
              <w:spacing w:line="240" w:lineRule="auto"/>
              <w:rPr>
                <w:szCs w:val="22"/>
              </w:rPr>
            </w:pPr>
            <w:r>
              <w:t>Lymphopénie</w:t>
            </w:r>
          </w:p>
        </w:tc>
        <w:tc>
          <w:tcPr>
            <w:tcW w:w="1530" w:type="dxa"/>
            <w:shd w:val="clear" w:color="auto" w:fill="auto"/>
          </w:tcPr>
          <w:p w14:paraId="7FA7BC2C"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60EAD4F9" w14:textId="77777777" w:rsidR="004F1FE0" w:rsidRPr="0019398D" w:rsidRDefault="004F1FE0" w:rsidP="004F07E4">
            <w:pPr>
              <w:autoSpaceDE w:val="0"/>
              <w:autoSpaceDN w:val="0"/>
              <w:adjustRightInd w:val="0"/>
              <w:spacing w:line="240" w:lineRule="auto"/>
              <w:jc w:val="center"/>
              <w:rPr>
                <w:noProof/>
                <w:szCs w:val="22"/>
              </w:rPr>
            </w:pPr>
            <w:r>
              <w:t>30,1</w:t>
            </w:r>
          </w:p>
        </w:tc>
        <w:tc>
          <w:tcPr>
            <w:tcW w:w="1180" w:type="dxa"/>
          </w:tcPr>
          <w:p w14:paraId="2BF9515D" w14:textId="77777777" w:rsidR="004F1FE0" w:rsidRPr="0019398D" w:rsidRDefault="004F1FE0" w:rsidP="004F07E4">
            <w:pPr>
              <w:autoSpaceDE w:val="0"/>
              <w:autoSpaceDN w:val="0"/>
              <w:adjustRightInd w:val="0"/>
              <w:spacing w:line="240" w:lineRule="auto"/>
              <w:jc w:val="center"/>
              <w:rPr>
                <w:noProof/>
                <w:szCs w:val="22"/>
              </w:rPr>
            </w:pPr>
            <w:r>
              <w:t>27,9</w:t>
            </w:r>
          </w:p>
        </w:tc>
      </w:tr>
      <w:tr w:rsidR="004F1FE0" w14:paraId="65584D64" w14:textId="77777777" w:rsidTr="00446BF9">
        <w:tc>
          <w:tcPr>
            <w:tcW w:w="2682" w:type="dxa"/>
            <w:vMerge/>
          </w:tcPr>
          <w:p w14:paraId="73159760"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E5D21FB" w14:textId="77777777" w:rsidR="004F1FE0" w:rsidRPr="0019398D" w:rsidRDefault="004F1FE0" w:rsidP="004F07E4">
            <w:pPr>
              <w:autoSpaceDE w:val="0"/>
              <w:autoSpaceDN w:val="0"/>
              <w:adjustRightInd w:val="0"/>
              <w:spacing w:line="240" w:lineRule="auto"/>
              <w:rPr>
                <w:szCs w:val="22"/>
              </w:rPr>
            </w:pPr>
            <w:r>
              <w:t>Leucopénie</w:t>
            </w:r>
          </w:p>
        </w:tc>
        <w:tc>
          <w:tcPr>
            <w:tcW w:w="1530" w:type="dxa"/>
            <w:shd w:val="clear" w:color="auto" w:fill="auto"/>
          </w:tcPr>
          <w:p w14:paraId="75ED676F"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2FA5F194" w14:textId="1EB44B37" w:rsidR="004F1FE0" w:rsidRPr="0019398D" w:rsidRDefault="004F1FE0" w:rsidP="004F07E4">
            <w:pPr>
              <w:autoSpaceDE w:val="0"/>
              <w:autoSpaceDN w:val="0"/>
              <w:adjustRightInd w:val="0"/>
              <w:spacing w:line="240" w:lineRule="auto"/>
              <w:jc w:val="center"/>
              <w:rPr>
                <w:noProof/>
                <w:szCs w:val="22"/>
              </w:rPr>
            </w:pPr>
            <w:r>
              <w:t>1</w:t>
            </w:r>
            <w:r w:rsidR="009863C4">
              <w:t>8,6</w:t>
            </w:r>
          </w:p>
        </w:tc>
        <w:tc>
          <w:tcPr>
            <w:tcW w:w="1180" w:type="dxa"/>
          </w:tcPr>
          <w:p w14:paraId="0C31961B" w14:textId="05B63841" w:rsidR="004F1FE0" w:rsidRPr="0019398D" w:rsidRDefault="009863C4" w:rsidP="004F07E4">
            <w:pPr>
              <w:autoSpaceDE w:val="0"/>
              <w:autoSpaceDN w:val="0"/>
              <w:adjustRightInd w:val="0"/>
              <w:spacing w:line="240" w:lineRule="auto"/>
              <w:jc w:val="center"/>
              <w:rPr>
                <w:noProof/>
                <w:szCs w:val="22"/>
              </w:rPr>
            </w:pPr>
            <w:r>
              <w:t>13,1</w:t>
            </w:r>
          </w:p>
        </w:tc>
      </w:tr>
      <w:tr w:rsidR="004F1FE0" w14:paraId="249C7553" w14:textId="77777777" w:rsidTr="00446BF9">
        <w:tc>
          <w:tcPr>
            <w:tcW w:w="2682" w:type="dxa"/>
            <w:vMerge/>
          </w:tcPr>
          <w:p w14:paraId="079DEF64"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50F57EAF" w14:textId="77777777" w:rsidR="004F1FE0" w:rsidRPr="0019398D" w:rsidRDefault="004F1FE0" w:rsidP="004F07E4">
            <w:pPr>
              <w:autoSpaceDE w:val="0"/>
              <w:autoSpaceDN w:val="0"/>
              <w:adjustRightInd w:val="0"/>
              <w:spacing w:line="240" w:lineRule="auto"/>
              <w:rPr>
                <w:szCs w:val="22"/>
              </w:rPr>
            </w:pPr>
            <w:r>
              <w:t>Neutropénie fébrile</w:t>
            </w:r>
          </w:p>
        </w:tc>
        <w:tc>
          <w:tcPr>
            <w:tcW w:w="1530" w:type="dxa"/>
            <w:shd w:val="clear" w:color="auto" w:fill="auto"/>
          </w:tcPr>
          <w:p w14:paraId="7509D19E" w14:textId="77777777" w:rsidR="004F1FE0" w:rsidRPr="0019398D" w:rsidRDefault="004F1FE0" w:rsidP="00F46ED6">
            <w:pPr>
              <w:autoSpaceDE w:val="0"/>
              <w:autoSpaceDN w:val="0"/>
              <w:adjustRightInd w:val="0"/>
              <w:spacing w:line="240" w:lineRule="auto"/>
              <w:ind w:left="57"/>
              <w:rPr>
                <w:noProof/>
                <w:szCs w:val="22"/>
              </w:rPr>
            </w:pPr>
            <w:r>
              <w:t>Fréquent</w:t>
            </w:r>
          </w:p>
        </w:tc>
        <w:tc>
          <w:tcPr>
            <w:tcW w:w="1260" w:type="dxa"/>
          </w:tcPr>
          <w:p w14:paraId="14BB96A2" w14:textId="77777777" w:rsidR="004F1FE0" w:rsidRPr="0019398D" w:rsidRDefault="004F1FE0" w:rsidP="004F07E4">
            <w:pPr>
              <w:autoSpaceDE w:val="0"/>
              <w:autoSpaceDN w:val="0"/>
              <w:adjustRightInd w:val="0"/>
              <w:spacing w:line="240" w:lineRule="auto"/>
              <w:jc w:val="center"/>
              <w:rPr>
                <w:noProof/>
                <w:szCs w:val="22"/>
              </w:rPr>
            </w:pPr>
            <w:r>
              <w:t>2,7</w:t>
            </w:r>
          </w:p>
        </w:tc>
        <w:tc>
          <w:tcPr>
            <w:tcW w:w="1180" w:type="dxa"/>
          </w:tcPr>
          <w:p w14:paraId="7B8E7E9E" w14:textId="77777777" w:rsidR="004F1FE0" w:rsidRPr="0019398D" w:rsidRDefault="004F1FE0" w:rsidP="004F07E4">
            <w:pPr>
              <w:autoSpaceDE w:val="0"/>
              <w:autoSpaceDN w:val="0"/>
              <w:adjustRightInd w:val="0"/>
              <w:spacing w:line="240" w:lineRule="auto"/>
              <w:jc w:val="center"/>
              <w:rPr>
                <w:noProof/>
                <w:szCs w:val="22"/>
              </w:rPr>
            </w:pPr>
            <w:r>
              <w:t>2,7</w:t>
            </w:r>
          </w:p>
        </w:tc>
      </w:tr>
      <w:tr w:rsidR="004F1FE0" w14:paraId="43B33BA6" w14:textId="77777777" w:rsidTr="00446BF9">
        <w:tc>
          <w:tcPr>
            <w:tcW w:w="2682" w:type="dxa"/>
            <w:vMerge w:val="restart"/>
            <w:shd w:val="clear" w:color="auto" w:fill="auto"/>
          </w:tcPr>
          <w:p w14:paraId="214DC9CB" w14:textId="77777777" w:rsidR="004F1FE0" w:rsidRPr="00BD70FE" w:rsidRDefault="004F1FE0" w:rsidP="004F07E4">
            <w:pPr>
              <w:autoSpaceDE w:val="0"/>
              <w:autoSpaceDN w:val="0"/>
              <w:adjustRightInd w:val="0"/>
              <w:spacing w:line="240" w:lineRule="auto"/>
              <w:rPr>
                <w:b/>
                <w:bCs/>
                <w:noProof/>
                <w:szCs w:val="22"/>
              </w:rPr>
            </w:pPr>
            <w:r>
              <w:rPr>
                <w:b/>
              </w:rPr>
              <w:t>Affections du système immunitaire</w:t>
            </w:r>
          </w:p>
        </w:tc>
        <w:tc>
          <w:tcPr>
            <w:tcW w:w="2610" w:type="dxa"/>
            <w:shd w:val="clear" w:color="auto" w:fill="auto"/>
          </w:tcPr>
          <w:p w14:paraId="40434604" w14:textId="1BDDE0B9" w:rsidR="004F1FE0" w:rsidRPr="0019398D" w:rsidRDefault="004F1FE0" w:rsidP="004F07E4">
            <w:pPr>
              <w:autoSpaceDE w:val="0"/>
              <w:autoSpaceDN w:val="0"/>
              <w:adjustRightInd w:val="0"/>
              <w:spacing w:line="240" w:lineRule="auto"/>
              <w:rPr>
                <w:szCs w:val="22"/>
              </w:rPr>
            </w:pPr>
            <w:r>
              <w:t xml:space="preserve">Syndrome de </w:t>
            </w:r>
            <w:r w:rsidR="00CE5218" w:rsidRPr="00F97EBB">
              <w:t>relargage</w:t>
            </w:r>
            <w:r w:rsidR="00CE5218">
              <w:t xml:space="preserve"> </w:t>
            </w:r>
            <w:r>
              <w:t>des cytokines</w:t>
            </w:r>
          </w:p>
        </w:tc>
        <w:tc>
          <w:tcPr>
            <w:tcW w:w="1530" w:type="dxa"/>
            <w:shd w:val="clear" w:color="auto" w:fill="auto"/>
          </w:tcPr>
          <w:p w14:paraId="6FE1D60D" w14:textId="77777777" w:rsidR="004F1FE0" w:rsidRPr="0019398D" w:rsidRDefault="004F1FE0" w:rsidP="004F07E4">
            <w:pPr>
              <w:autoSpaceDE w:val="0"/>
              <w:autoSpaceDN w:val="0"/>
              <w:adjustRightInd w:val="0"/>
              <w:spacing w:line="240" w:lineRule="auto"/>
              <w:jc w:val="center"/>
              <w:rPr>
                <w:szCs w:val="22"/>
              </w:rPr>
            </w:pPr>
            <w:r>
              <w:t>Très fréquent</w:t>
            </w:r>
          </w:p>
        </w:tc>
        <w:tc>
          <w:tcPr>
            <w:tcW w:w="1260" w:type="dxa"/>
          </w:tcPr>
          <w:p w14:paraId="45DD9F51" w14:textId="77777777" w:rsidR="004F1FE0" w:rsidRPr="0019398D" w:rsidRDefault="004F1FE0" w:rsidP="004F07E4">
            <w:pPr>
              <w:autoSpaceDE w:val="0"/>
              <w:autoSpaceDN w:val="0"/>
              <w:adjustRightInd w:val="0"/>
              <w:spacing w:line="240" w:lineRule="auto"/>
              <w:jc w:val="center"/>
              <w:rPr>
                <w:szCs w:val="22"/>
              </w:rPr>
            </w:pPr>
            <w:r>
              <w:t>57,9</w:t>
            </w:r>
          </w:p>
        </w:tc>
        <w:tc>
          <w:tcPr>
            <w:tcW w:w="1180" w:type="dxa"/>
          </w:tcPr>
          <w:p w14:paraId="6235C429" w14:textId="77777777" w:rsidR="004F1FE0" w:rsidRPr="0019398D" w:rsidRDefault="004F1FE0" w:rsidP="004F07E4">
            <w:pPr>
              <w:autoSpaceDE w:val="0"/>
              <w:autoSpaceDN w:val="0"/>
              <w:adjustRightInd w:val="0"/>
              <w:spacing w:line="240" w:lineRule="auto"/>
              <w:jc w:val="center"/>
              <w:rPr>
                <w:szCs w:val="22"/>
              </w:rPr>
            </w:pPr>
            <w:r>
              <w:t>0,5</w:t>
            </w:r>
          </w:p>
        </w:tc>
      </w:tr>
      <w:tr w:rsidR="004F1FE0" w14:paraId="43DD0EFC" w14:textId="77777777" w:rsidTr="00446BF9">
        <w:tc>
          <w:tcPr>
            <w:tcW w:w="2682" w:type="dxa"/>
            <w:vMerge/>
          </w:tcPr>
          <w:p w14:paraId="4E043894"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2FB677A" w14:textId="77777777" w:rsidR="004F1FE0" w:rsidRPr="0019398D" w:rsidRDefault="004F1FE0" w:rsidP="004F07E4">
            <w:pPr>
              <w:autoSpaceDE w:val="0"/>
              <w:autoSpaceDN w:val="0"/>
              <w:adjustRightInd w:val="0"/>
              <w:spacing w:line="240" w:lineRule="auto"/>
              <w:rPr>
                <w:szCs w:val="22"/>
              </w:rPr>
            </w:pPr>
            <w:r>
              <w:t>Hypogammaglobulinémie</w:t>
            </w:r>
          </w:p>
        </w:tc>
        <w:tc>
          <w:tcPr>
            <w:tcW w:w="1530" w:type="dxa"/>
            <w:shd w:val="clear" w:color="auto" w:fill="auto"/>
          </w:tcPr>
          <w:p w14:paraId="51BD6167"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694E7B17" w14:textId="3A98BCBA" w:rsidR="004F1FE0" w:rsidRPr="0019398D" w:rsidRDefault="009863C4" w:rsidP="004F07E4">
            <w:pPr>
              <w:autoSpaceDE w:val="0"/>
              <w:autoSpaceDN w:val="0"/>
              <w:adjustRightInd w:val="0"/>
              <w:spacing w:line="240" w:lineRule="auto"/>
              <w:jc w:val="center"/>
              <w:rPr>
                <w:noProof/>
                <w:szCs w:val="22"/>
              </w:rPr>
            </w:pPr>
            <w:r>
              <w:t>16,4</w:t>
            </w:r>
          </w:p>
        </w:tc>
        <w:tc>
          <w:tcPr>
            <w:tcW w:w="1180" w:type="dxa"/>
          </w:tcPr>
          <w:p w14:paraId="02D516EC" w14:textId="77777777" w:rsidR="004F1FE0" w:rsidRPr="0019398D" w:rsidRDefault="004F1FE0" w:rsidP="004F07E4">
            <w:pPr>
              <w:autoSpaceDE w:val="0"/>
              <w:autoSpaceDN w:val="0"/>
              <w:adjustRightInd w:val="0"/>
              <w:spacing w:line="240" w:lineRule="auto"/>
              <w:jc w:val="center"/>
              <w:rPr>
                <w:noProof/>
                <w:szCs w:val="22"/>
              </w:rPr>
            </w:pPr>
            <w:r>
              <w:t>2,7</w:t>
            </w:r>
          </w:p>
        </w:tc>
      </w:tr>
      <w:tr w:rsidR="004F1FE0" w14:paraId="59776A56" w14:textId="77777777" w:rsidTr="00446BF9">
        <w:tc>
          <w:tcPr>
            <w:tcW w:w="2682" w:type="dxa"/>
            <w:vMerge w:val="restart"/>
            <w:shd w:val="clear" w:color="auto" w:fill="auto"/>
          </w:tcPr>
          <w:p w14:paraId="1294BCAF" w14:textId="77777777" w:rsidR="004F1FE0" w:rsidRPr="00BD70FE" w:rsidRDefault="004F1FE0" w:rsidP="004F07E4">
            <w:pPr>
              <w:autoSpaceDE w:val="0"/>
              <w:autoSpaceDN w:val="0"/>
              <w:adjustRightInd w:val="0"/>
              <w:spacing w:line="240" w:lineRule="auto"/>
              <w:rPr>
                <w:b/>
                <w:bCs/>
                <w:noProof/>
                <w:szCs w:val="22"/>
              </w:rPr>
            </w:pPr>
            <w:r>
              <w:rPr>
                <w:b/>
              </w:rPr>
              <w:t>Troubles du métabolisme et de la nutrition</w:t>
            </w:r>
          </w:p>
        </w:tc>
        <w:tc>
          <w:tcPr>
            <w:tcW w:w="2610" w:type="dxa"/>
            <w:shd w:val="clear" w:color="auto" w:fill="auto"/>
          </w:tcPr>
          <w:p w14:paraId="6F17359A" w14:textId="4BC79871" w:rsidR="004F1FE0" w:rsidRPr="0019398D" w:rsidRDefault="00CE5218" w:rsidP="004F07E4">
            <w:pPr>
              <w:autoSpaceDE w:val="0"/>
              <w:autoSpaceDN w:val="0"/>
              <w:adjustRightInd w:val="0"/>
              <w:spacing w:line="240" w:lineRule="auto"/>
              <w:rPr>
                <w:szCs w:val="22"/>
              </w:rPr>
            </w:pPr>
            <w:r w:rsidRPr="00F97EBB">
              <w:t>Diminution de l’appétit</w:t>
            </w:r>
          </w:p>
        </w:tc>
        <w:tc>
          <w:tcPr>
            <w:tcW w:w="1530" w:type="dxa"/>
            <w:shd w:val="clear" w:color="auto" w:fill="auto"/>
          </w:tcPr>
          <w:p w14:paraId="68703F57"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353AEA1D" w14:textId="108CFE5F" w:rsidR="004F1FE0" w:rsidRPr="0019398D" w:rsidRDefault="004F1FE0" w:rsidP="004F07E4">
            <w:pPr>
              <w:autoSpaceDE w:val="0"/>
              <w:autoSpaceDN w:val="0"/>
              <w:adjustRightInd w:val="0"/>
              <w:spacing w:line="240" w:lineRule="auto"/>
              <w:jc w:val="center"/>
              <w:rPr>
                <w:noProof/>
                <w:szCs w:val="22"/>
              </w:rPr>
            </w:pPr>
            <w:r>
              <w:t>2</w:t>
            </w:r>
            <w:r w:rsidR="009863C4">
              <w:t>7,3</w:t>
            </w:r>
          </w:p>
        </w:tc>
        <w:tc>
          <w:tcPr>
            <w:tcW w:w="1180" w:type="dxa"/>
          </w:tcPr>
          <w:p w14:paraId="30341787" w14:textId="77777777" w:rsidR="004F1FE0" w:rsidRPr="0019398D" w:rsidRDefault="004F1FE0" w:rsidP="004F07E4">
            <w:pPr>
              <w:autoSpaceDE w:val="0"/>
              <w:autoSpaceDN w:val="0"/>
              <w:adjustRightInd w:val="0"/>
              <w:spacing w:line="240" w:lineRule="auto"/>
              <w:jc w:val="center"/>
              <w:rPr>
                <w:noProof/>
                <w:szCs w:val="22"/>
              </w:rPr>
            </w:pPr>
            <w:r>
              <w:t>1,1</w:t>
            </w:r>
          </w:p>
        </w:tc>
      </w:tr>
      <w:tr w:rsidR="004F1FE0" w14:paraId="17CF09E4" w14:textId="77777777" w:rsidTr="00446BF9">
        <w:tc>
          <w:tcPr>
            <w:tcW w:w="2682" w:type="dxa"/>
            <w:vMerge/>
          </w:tcPr>
          <w:p w14:paraId="55374C58"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4578A369" w14:textId="77777777" w:rsidR="004F1FE0" w:rsidRPr="0019398D" w:rsidRDefault="004F1FE0" w:rsidP="004F07E4">
            <w:pPr>
              <w:autoSpaceDE w:val="0"/>
              <w:autoSpaceDN w:val="0"/>
              <w:adjustRightInd w:val="0"/>
              <w:spacing w:line="240" w:lineRule="auto"/>
              <w:rPr>
                <w:szCs w:val="22"/>
              </w:rPr>
            </w:pPr>
            <w:r>
              <w:t>Hypokaliémie</w:t>
            </w:r>
          </w:p>
        </w:tc>
        <w:tc>
          <w:tcPr>
            <w:tcW w:w="1530" w:type="dxa"/>
            <w:shd w:val="clear" w:color="auto" w:fill="auto"/>
          </w:tcPr>
          <w:p w14:paraId="4021CC03"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6B9C52E6" w14:textId="0C072AFA" w:rsidR="004F1FE0" w:rsidRPr="0019398D" w:rsidRDefault="004F1FE0" w:rsidP="004F07E4">
            <w:pPr>
              <w:autoSpaceDE w:val="0"/>
              <w:autoSpaceDN w:val="0"/>
              <w:adjustRightInd w:val="0"/>
              <w:spacing w:line="240" w:lineRule="auto"/>
              <w:jc w:val="center"/>
              <w:rPr>
                <w:noProof/>
                <w:szCs w:val="22"/>
              </w:rPr>
            </w:pPr>
            <w:r>
              <w:t>23,</w:t>
            </w:r>
            <w:r w:rsidR="009863C4">
              <w:t>5</w:t>
            </w:r>
          </w:p>
        </w:tc>
        <w:tc>
          <w:tcPr>
            <w:tcW w:w="1180" w:type="dxa"/>
          </w:tcPr>
          <w:p w14:paraId="67252A27" w14:textId="0A086F99" w:rsidR="004F1FE0" w:rsidRPr="0019398D" w:rsidRDefault="009863C4" w:rsidP="004F07E4">
            <w:pPr>
              <w:autoSpaceDE w:val="0"/>
              <w:autoSpaceDN w:val="0"/>
              <w:adjustRightInd w:val="0"/>
              <w:spacing w:line="240" w:lineRule="auto"/>
              <w:jc w:val="center"/>
              <w:rPr>
                <w:noProof/>
                <w:szCs w:val="22"/>
              </w:rPr>
            </w:pPr>
            <w:r>
              <w:t>9,3</w:t>
            </w:r>
          </w:p>
        </w:tc>
      </w:tr>
      <w:tr w:rsidR="004F1FE0" w14:paraId="694BF9BE" w14:textId="77777777" w:rsidTr="00446BF9">
        <w:tc>
          <w:tcPr>
            <w:tcW w:w="2682" w:type="dxa"/>
            <w:vMerge/>
          </w:tcPr>
          <w:p w14:paraId="7CBB1CA2"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1466485" w14:textId="77777777" w:rsidR="004F1FE0" w:rsidRPr="0019398D" w:rsidRDefault="004F1FE0" w:rsidP="004F07E4">
            <w:pPr>
              <w:autoSpaceDE w:val="0"/>
              <w:autoSpaceDN w:val="0"/>
              <w:adjustRightInd w:val="0"/>
              <w:spacing w:line="240" w:lineRule="auto"/>
              <w:rPr>
                <w:szCs w:val="22"/>
              </w:rPr>
            </w:pPr>
            <w:r>
              <w:t>Hypophosphatémie</w:t>
            </w:r>
          </w:p>
        </w:tc>
        <w:tc>
          <w:tcPr>
            <w:tcW w:w="1530" w:type="dxa"/>
            <w:shd w:val="clear" w:color="auto" w:fill="auto"/>
          </w:tcPr>
          <w:p w14:paraId="748B0AEB" w14:textId="77777777" w:rsidR="004F1FE0" w:rsidRPr="0019398D" w:rsidRDefault="004F1FE0" w:rsidP="00F46ED6">
            <w:pPr>
              <w:autoSpaceDE w:val="0"/>
              <w:autoSpaceDN w:val="0"/>
              <w:adjustRightInd w:val="0"/>
              <w:spacing w:line="240" w:lineRule="auto"/>
              <w:ind w:left="57"/>
              <w:rPr>
                <w:noProof/>
                <w:szCs w:val="22"/>
              </w:rPr>
            </w:pPr>
            <w:r>
              <w:t>Fréquent</w:t>
            </w:r>
          </w:p>
        </w:tc>
        <w:tc>
          <w:tcPr>
            <w:tcW w:w="1260" w:type="dxa"/>
          </w:tcPr>
          <w:p w14:paraId="152ED9F3" w14:textId="77777777" w:rsidR="004F1FE0" w:rsidRPr="0019398D" w:rsidRDefault="004F1FE0" w:rsidP="004F07E4">
            <w:pPr>
              <w:autoSpaceDE w:val="0"/>
              <w:autoSpaceDN w:val="0"/>
              <w:adjustRightInd w:val="0"/>
              <w:spacing w:line="240" w:lineRule="auto"/>
              <w:jc w:val="center"/>
              <w:rPr>
                <w:noProof/>
                <w:szCs w:val="22"/>
              </w:rPr>
            </w:pPr>
            <w:r>
              <w:t>6,6</w:t>
            </w:r>
          </w:p>
        </w:tc>
        <w:tc>
          <w:tcPr>
            <w:tcW w:w="1180" w:type="dxa"/>
          </w:tcPr>
          <w:p w14:paraId="416C0D6E" w14:textId="77777777" w:rsidR="004F1FE0" w:rsidRPr="0019398D" w:rsidRDefault="004F1FE0" w:rsidP="004F07E4">
            <w:pPr>
              <w:autoSpaceDE w:val="0"/>
              <w:autoSpaceDN w:val="0"/>
              <w:adjustRightInd w:val="0"/>
              <w:spacing w:line="240" w:lineRule="auto"/>
              <w:jc w:val="center"/>
              <w:rPr>
                <w:noProof/>
                <w:szCs w:val="22"/>
              </w:rPr>
            </w:pPr>
            <w:r>
              <w:t>0,5</w:t>
            </w:r>
          </w:p>
        </w:tc>
      </w:tr>
      <w:tr w:rsidR="004F1FE0" w14:paraId="33012A54" w14:textId="77777777" w:rsidTr="00446BF9">
        <w:tc>
          <w:tcPr>
            <w:tcW w:w="2682" w:type="dxa"/>
            <w:vMerge w:val="restart"/>
            <w:shd w:val="clear" w:color="auto" w:fill="auto"/>
          </w:tcPr>
          <w:p w14:paraId="22B8E47D" w14:textId="77777777" w:rsidR="004F1FE0" w:rsidRPr="00BD70FE" w:rsidRDefault="004F1FE0" w:rsidP="004F07E4">
            <w:pPr>
              <w:autoSpaceDE w:val="0"/>
              <w:autoSpaceDN w:val="0"/>
              <w:adjustRightInd w:val="0"/>
              <w:spacing w:line="240" w:lineRule="auto"/>
              <w:rPr>
                <w:b/>
                <w:bCs/>
                <w:noProof/>
                <w:szCs w:val="22"/>
              </w:rPr>
            </w:pPr>
            <w:r>
              <w:rPr>
                <w:b/>
              </w:rPr>
              <w:t xml:space="preserve">Affections du système nerveux </w:t>
            </w:r>
          </w:p>
        </w:tc>
        <w:tc>
          <w:tcPr>
            <w:tcW w:w="2610" w:type="dxa"/>
            <w:shd w:val="clear" w:color="auto" w:fill="auto"/>
          </w:tcPr>
          <w:p w14:paraId="2A22498E" w14:textId="76BC894A" w:rsidR="004F1FE0" w:rsidRPr="0019398D" w:rsidRDefault="002123A7" w:rsidP="004F07E4">
            <w:pPr>
              <w:autoSpaceDE w:val="0"/>
              <w:autoSpaceDN w:val="0"/>
              <w:adjustRightInd w:val="0"/>
              <w:spacing w:line="240" w:lineRule="auto"/>
              <w:rPr>
                <w:szCs w:val="22"/>
              </w:rPr>
            </w:pPr>
            <w:r>
              <w:t>Neuropathie périphérique</w:t>
            </w:r>
            <w:r w:rsidR="00201857">
              <w:rPr>
                <w:vertAlign w:val="superscript"/>
              </w:rPr>
              <w:t>d</w:t>
            </w:r>
          </w:p>
        </w:tc>
        <w:tc>
          <w:tcPr>
            <w:tcW w:w="1530" w:type="dxa"/>
            <w:shd w:val="clear" w:color="auto" w:fill="auto"/>
          </w:tcPr>
          <w:p w14:paraId="006CA4A2" w14:textId="7F16D6C7" w:rsidR="004F1FE0" w:rsidRPr="0019398D" w:rsidRDefault="002123A7" w:rsidP="004F07E4">
            <w:pPr>
              <w:autoSpaceDE w:val="0"/>
              <w:autoSpaceDN w:val="0"/>
              <w:adjustRightInd w:val="0"/>
              <w:spacing w:line="240" w:lineRule="auto"/>
              <w:jc w:val="center"/>
              <w:rPr>
                <w:szCs w:val="22"/>
              </w:rPr>
            </w:pPr>
            <w:r>
              <w:t>Très f</w:t>
            </w:r>
            <w:r w:rsidR="004F1FE0">
              <w:t>réquent</w:t>
            </w:r>
          </w:p>
        </w:tc>
        <w:tc>
          <w:tcPr>
            <w:tcW w:w="1260" w:type="dxa"/>
          </w:tcPr>
          <w:p w14:paraId="62F4785F" w14:textId="00ADEB98" w:rsidR="004F1FE0" w:rsidRPr="0019398D" w:rsidRDefault="002123A7" w:rsidP="004F07E4">
            <w:pPr>
              <w:autoSpaceDE w:val="0"/>
              <w:autoSpaceDN w:val="0"/>
              <w:adjustRightInd w:val="0"/>
              <w:spacing w:line="240" w:lineRule="auto"/>
              <w:jc w:val="center"/>
              <w:rPr>
                <w:szCs w:val="22"/>
              </w:rPr>
            </w:pPr>
            <w:r>
              <w:t>1</w:t>
            </w:r>
            <w:r w:rsidR="009863C4">
              <w:t>6,9</w:t>
            </w:r>
          </w:p>
        </w:tc>
        <w:tc>
          <w:tcPr>
            <w:tcW w:w="1180" w:type="dxa"/>
          </w:tcPr>
          <w:p w14:paraId="57BAC414" w14:textId="77777777" w:rsidR="004F1FE0" w:rsidRPr="0019398D" w:rsidRDefault="004F1FE0" w:rsidP="004F07E4">
            <w:pPr>
              <w:autoSpaceDE w:val="0"/>
              <w:autoSpaceDN w:val="0"/>
              <w:adjustRightInd w:val="0"/>
              <w:spacing w:line="240" w:lineRule="auto"/>
              <w:jc w:val="center"/>
              <w:rPr>
                <w:szCs w:val="22"/>
              </w:rPr>
            </w:pPr>
            <w:r>
              <w:t>1,1</w:t>
            </w:r>
          </w:p>
        </w:tc>
      </w:tr>
      <w:tr w:rsidR="004F1FE0" w14:paraId="32C3CFE8" w14:textId="77777777" w:rsidTr="00446BF9">
        <w:tc>
          <w:tcPr>
            <w:tcW w:w="2682" w:type="dxa"/>
            <w:vMerge/>
          </w:tcPr>
          <w:p w14:paraId="4EC1A40B"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75BF176E" w14:textId="350219B6" w:rsidR="004F1FE0" w:rsidRPr="002123A7" w:rsidRDefault="002123A7" w:rsidP="004F07E4">
            <w:pPr>
              <w:autoSpaceDE w:val="0"/>
              <w:autoSpaceDN w:val="0"/>
              <w:adjustRightInd w:val="0"/>
              <w:spacing w:line="240" w:lineRule="auto"/>
              <w:rPr>
                <w:szCs w:val="22"/>
              </w:rPr>
            </w:pPr>
            <w:r>
              <w:t>Maux de tête</w:t>
            </w:r>
          </w:p>
        </w:tc>
        <w:tc>
          <w:tcPr>
            <w:tcW w:w="1530" w:type="dxa"/>
            <w:shd w:val="clear" w:color="auto" w:fill="auto"/>
          </w:tcPr>
          <w:p w14:paraId="3EF2C435" w14:textId="77777777" w:rsidR="004F1FE0" w:rsidRPr="0019398D" w:rsidRDefault="004F1FE0" w:rsidP="004F07E4">
            <w:pPr>
              <w:autoSpaceDE w:val="0"/>
              <w:autoSpaceDN w:val="0"/>
              <w:adjustRightInd w:val="0"/>
              <w:spacing w:line="240" w:lineRule="auto"/>
              <w:jc w:val="center"/>
              <w:rPr>
                <w:szCs w:val="22"/>
              </w:rPr>
            </w:pPr>
            <w:r>
              <w:t>Très fréquent</w:t>
            </w:r>
          </w:p>
        </w:tc>
        <w:tc>
          <w:tcPr>
            <w:tcW w:w="1260" w:type="dxa"/>
          </w:tcPr>
          <w:p w14:paraId="025DF8CE" w14:textId="2B33E3BD" w:rsidR="004F1FE0" w:rsidRPr="0019398D" w:rsidRDefault="002123A7" w:rsidP="004F07E4">
            <w:pPr>
              <w:autoSpaceDE w:val="0"/>
              <w:autoSpaceDN w:val="0"/>
              <w:adjustRightInd w:val="0"/>
              <w:spacing w:line="240" w:lineRule="auto"/>
              <w:jc w:val="center"/>
              <w:rPr>
                <w:szCs w:val="22"/>
              </w:rPr>
            </w:pPr>
            <w:r>
              <w:t>19,</w:t>
            </w:r>
            <w:r w:rsidR="009863C4">
              <w:t>7</w:t>
            </w:r>
          </w:p>
        </w:tc>
        <w:tc>
          <w:tcPr>
            <w:tcW w:w="1180" w:type="dxa"/>
          </w:tcPr>
          <w:p w14:paraId="6A1E9840" w14:textId="212FA2F6" w:rsidR="004F1FE0" w:rsidRPr="0019398D" w:rsidRDefault="002123A7" w:rsidP="004F07E4">
            <w:pPr>
              <w:autoSpaceDE w:val="0"/>
              <w:autoSpaceDN w:val="0"/>
              <w:adjustRightInd w:val="0"/>
              <w:spacing w:line="240" w:lineRule="auto"/>
              <w:jc w:val="center"/>
              <w:rPr>
                <w:szCs w:val="22"/>
              </w:rPr>
            </w:pPr>
            <w:r>
              <w:t>0</w:t>
            </w:r>
          </w:p>
        </w:tc>
      </w:tr>
      <w:tr w:rsidR="004F1FE0" w14:paraId="25E347DB" w14:textId="77777777" w:rsidTr="00446BF9">
        <w:tc>
          <w:tcPr>
            <w:tcW w:w="2682" w:type="dxa"/>
            <w:vMerge/>
          </w:tcPr>
          <w:p w14:paraId="1D0BBD0B"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6600697" w14:textId="2506A055" w:rsidR="004F1FE0" w:rsidRPr="0019398D" w:rsidRDefault="002123A7" w:rsidP="004F07E4">
            <w:pPr>
              <w:autoSpaceDE w:val="0"/>
              <w:autoSpaceDN w:val="0"/>
              <w:adjustRightInd w:val="0"/>
              <w:spacing w:line="240" w:lineRule="auto"/>
              <w:rPr>
                <w:b/>
                <w:bCs/>
                <w:noProof/>
                <w:szCs w:val="22"/>
              </w:rPr>
            </w:pPr>
            <w:r>
              <w:t>Syndrome de neurotoxicité associée aux cellules effectrices immunitaires</w:t>
            </w:r>
            <w:r w:rsidR="00B1776C">
              <w:t xml:space="preserve"> (ICANS)</w:t>
            </w:r>
          </w:p>
        </w:tc>
        <w:tc>
          <w:tcPr>
            <w:tcW w:w="1530" w:type="dxa"/>
            <w:shd w:val="clear" w:color="auto" w:fill="auto"/>
          </w:tcPr>
          <w:p w14:paraId="0CE9C685" w14:textId="25FD3CB6" w:rsidR="004F1FE0" w:rsidRPr="0019398D" w:rsidRDefault="002123A7" w:rsidP="004F07E4">
            <w:pPr>
              <w:autoSpaceDE w:val="0"/>
              <w:autoSpaceDN w:val="0"/>
              <w:adjustRightInd w:val="0"/>
              <w:spacing w:line="240" w:lineRule="auto"/>
              <w:jc w:val="center"/>
              <w:rPr>
                <w:szCs w:val="22"/>
              </w:rPr>
            </w:pPr>
            <w:r>
              <w:t>F</w:t>
            </w:r>
            <w:r w:rsidR="004F1FE0">
              <w:t>réquent</w:t>
            </w:r>
          </w:p>
        </w:tc>
        <w:tc>
          <w:tcPr>
            <w:tcW w:w="1260" w:type="dxa"/>
          </w:tcPr>
          <w:p w14:paraId="7F7192DC" w14:textId="46AE0238" w:rsidR="004F1FE0" w:rsidRPr="0019398D" w:rsidRDefault="002123A7" w:rsidP="004F07E4">
            <w:pPr>
              <w:autoSpaceDE w:val="0"/>
              <w:autoSpaceDN w:val="0"/>
              <w:adjustRightInd w:val="0"/>
              <w:spacing w:line="240" w:lineRule="auto"/>
              <w:jc w:val="center"/>
              <w:rPr>
                <w:szCs w:val="22"/>
              </w:rPr>
            </w:pPr>
            <w:r>
              <w:t>3,3</w:t>
            </w:r>
          </w:p>
        </w:tc>
        <w:tc>
          <w:tcPr>
            <w:tcW w:w="1180" w:type="dxa"/>
          </w:tcPr>
          <w:p w14:paraId="431C0B1E" w14:textId="5F2BF0F9" w:rsidR="004F1FE0" w:rsidRPr="0019398D" w:rsidRDefault="002123A7" w:rsidP="004F07E4">
            <w:pPr>
              <w:autoSpaceDE w:val="0"/>
              <w:autoSpaceDN w:val="0"/>
              <w:adjustRightInd w:val="0"/>
              <w:spacing w:line="240" w:lineRule="auto"/>
              <w:jc w:val="center"/>
              <w:rPr>
                <w:szCs w:val="22"/>
              </w:rPr>
            </w:pPr>
            <w:r>
              <w:t>1,1</w:t>
            </w:r>
          </w:p>
        </w:tc>
      </w:tr>
      <w:tr w:rsidR="004F1FE0" w14:paraId="5A5208F5" w14:textId="77777777" w:rsidTr="00446BF9">
        <w:tc>
          <w:tcPr>
            <w:tcW w:w="2682" w:type="dxa"/>
            <w:shd w:val="clear" w:color="auto" w:fill="auto"/>
          </w:tcPr>
          <w:p w14:paraId="1B485AC0" w14:textId="77777777" w:rsidR="004F1FE0" w:rsidRPr="00BD70FE" w:rsidRDefault="004F1FE0" w:rsidP="004F07E4">
            <w:pPr>
              <w:autoSpaceDE w:val="0"/>
              <w:autoSpaceDN w:val="0"/>
              <w:adjustRightInd w:val="0"/>
              <w:spacing w:line="240" w:lineRule="auto"/>
              <w:rPr>
                <w:b/>
                <w:bCs/>
                <w:noProof/>
                <w:szCs w:val="22"/>
              </w:rPr>
            </w:pPr>
            <w:r>
              <w:rPr>
                <w:b/>
              </w:rPr>
              <w:t>Affections respiratoires, thoraciques et médiastinales</w:t>
            </w:r>
          </w:p>
        </w:tc>
        <w:tc>
          <w:tcPr>
            <w:tcW w:w="2610" w:type="dxa"/>
            <w:shd w:val="clear" w:color="auto" w:fill="auto"/>
          </w:tcPr>
          <w:p w14:paraId="41CE4873" w14:textId="77777777" w:rsidR="004F1FE0" w:rsidRPr="0019398D" w:rsidRDefault="004F1FE0" w:rsidP="004F07E4">
            <w:pPr>
              <w:autoSpaceDE w:val="0"/>
              <w:autoSpaceDN w:val="0"/>
              <w:adjustRightInd w:val="0"/>
              <w:spacing w:line="240" w:lineRule="auto"/>
              <w:rPr>
                <w:noProof/>
                <w:szCs w:val="22"/>
              </w:rPr>
            </w:pPr>
            <w:r>
              <w:t>Dyspnée</w:t>
            </w:r>
          </w:p>
        </w:tc>
        <w:tc>
          <w:tcPr>
            <w:tcW w:w="1530" w:type="dxa"/>
            <w:shd w:val="clear" w:color="auto" w:fill="auto"/>
          </w:tcPr>
          <w:p w14:paraId="21BE2F4F"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1829A0C6" w14:textId="00B48203" w:rsidR="004F1FE0" w:rsidRPr="0019398D" w:rsidRDefault="009863C4" w:rsidP="004F07E4">
            <w:pPr>
              <w:autoSpaceDE w:val="0"/>
              <w:autoSpaceDN w:val="0"/>
              <w:adjustRightInd w:val="0"/>
              <w:spacing w:line="240" w:lineRule="auto"/>
              <w:jc w:val="center"/>
              <w:rPr>
                <w:noProof/>
                <w:szCs w:val="22"/>
              </w:rPr>
            </w:pPr>
            <w:r>
              <w:t>20,8</w:t>
            </w:r>
          </w:p>
        </w:tc>
        <w:tc>
          <w:tcPr>
            <w:tcW w:w="1180" w:type="dxa"/>
          </w:tcPr>
          <w:p w14:paraId="100992D1" w14:textId="77777777" w:rsidR="004F1FE0" w:rsidRPr="0019398D" w:rsidRDefault="004F1FE0" w:rsidP="004F07E4">
            <w:pPr>
              <w:autoSpaceDE w:val="0"/>
              <w:autoSpaceDN w:val="0"/>
              <w:adjustRightInd w:val="0"/>
              <w:spacing w:line="240" w:lineRule="auto"/>
              <w:jc w:val="center"/>
              <w:rPr>
                <w:noProof/>
                <w:szCs w:val="22"/>
              </w:rPr>
            </w:pPr>
            <w:r>
              <w:t>4,9</w:t>
            </w:r>
          </w:p>
        </w:tc>
      </w:tr>
      <w:tr w:rsidR="004F1FE0" w14:paraId="65E4AC05" w14:textId="77777777" w:rsidTr="00446BF9">
        <w:tc>
          <w:tcPr>
            <w:tcW w:w="2682" w:type="dxa"/>
            <w:vMerge w:val="restart"/>
            <w:shd w:val="clear" w:color="auto" w:fill="auto"/>
          </w:tcPr>
          <w:p w14:paraId="182E7F37" w14:textId="77777777" w:rsidR="004F1FE0" w:rsidRPr="00BD70FE" w:rsidRDefault="004F1FE0" w:rsidP="004F07E4">
            <w:pPr>
              <w:autoSpaceDE w:val="0"/>
              <w:autoSpaceDN w:val="0"/>
              <w:adjustRightInd w:val="0"/>
              <w:spacing w:line="240" w:lineRule="auto"/>
              <w:rPr>
                <w:b/>
                <w:bCs/>
                <w:noProof/>
                <w:szCs w:val="22"/>
              </w:rPr>
            </w:pPr>
            <w:r>
              <w:rPr>
                <w:b/>
              </w:rPr>
              <w:t xml:space="preserve">Affections gastro-intestinales </w:t>
            </w:r>
          </w:p>
        </w:tc>
        <w:tc>
          <w:tcPr>
            <w:tcW w:w="2610" w:type="dxa"/>
            <w:shd w:val="clear" w:color="auto" w:fill="auto"/>
          </w:tcPr>
          <w:p w14:paraId="4AD31D26" w14:textId="77777777" w:rsidR="004F1FE0" w:rsidRPr="0019398D" w:rsidRDefault="004F1FE0" w:rsidP="004F07E4">
            <w:pPr>
              <w:autoSpaceDE w:val="0"/>
              <w:autoSpaceDN w:val="0"/>
              <w:adjustRightInd w:val="0"/>
              <w:spacing w:line="240" w:lineRule="auto"/>
              <w:rPr>
                <w:noProof/>
                <w:szCs w:val="22"/>
              </w:rPr>
            </w:pPr>
            <w:r>
              <w:t>Diarrhée</w:t>
            </w:r>
          </w:p>
        </w:tc>
        <w:tc>
          <w:tcPr>
            <w:tcW w:w="1530" w:type="dxa"/>
            <w:shd w:val="clear" w:color="auto" w:fill="auto"/>
          </w:tcPr>
          <w:p w14:paraId="20120F2D"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6FDCF90D" w14:textId="27EC5C7C" w:rsidR="004F1FE0" w:rsidRPr="0019398D" w:rsidRDefault="009863C4" w:rsidP="004F07E4">
            <w:pPr>
              <w:autoSpaceDE w:val="0"/>
              <w:autoSpaceDN w:val="0"/>
              <w:adjustRightInd w:val="0"/>
              <w:spacing w:line="240" w:lineRule="auto"/>
              <w:jc w:val="center"/>
              <w:rPr>
                <w:noProof/>
                <w:szCs w:val="22"/>
              </w:rPr>
            </w:pPr>
            <w:r>
              <w:t>41,5</w:t>
            </w:r>
          </w:p>
        </w:tc>
        <w:tc>
          <w:tcPr>
            <w:tcW w:w="1180" w:type="dxa"/>
          </w:tcPr>
          <w:p w14:paraId="0B4B6169" w14:textId="31A4C366" w:rsidR="004F1FE0" w:rsidRPr="0019398D" w:rsidRDefault="009863C4" w:rsidP="004F07E4">
            <w:pPr>
              <w:autoSpaceDE w:val="0"/>
              <w:autoSpaceDN w:val="0"/>
              <w:adjustRightInd w:val="0"/>
              <w:spacing w:line="240" w:lineRule="auto"/>
              <w:jc w:val="center"/>
              <w:rPr>
                <w:noProof/>
                <w:szCs w:val="22"/>
              </w:rPr>
            </w:pPr>
            <w:r>
              <w:t>2,7</w:t>
            </w:r>
          </w:p>
        </w:tc>
      </w:tr>
      <w:tr w:rsidR="004F1FE0" w14:paraId="755E1289" w14:textId="77777777" w:rsidTr="00446BF9">
        <w:tc>
          <w:tcPr>
            <w:tcW w:w="2682" w:type="dxa"/>
            <w:vMerge/>
          </w:tcPr>
          <w:p w14:paraId="10A82279"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D3F2997" w14:textId="77777777" w:rsidR="004F1FE0" w:rsidRPr="0019398D" w:rsidRDefault="004F1FE0" w:rsidP="004F07E4">
            <w:pPr>
              <w:autoSpaceDE w:val="0"/>
              <w:autoSpaceDN w:val="0"/>
              <w:adjustRightInd w:val="0"/>
              <w:spacing w:line="240" w:lineRule="auto"/>
              <w:rPr>
                <w:noProof/>
                <w:szCs w:val="22"/>
              </w:rPr>
            </w:pPr>
            <w:r>
              <w:t>Nausées</w:t>
            </w:r>
          </w:p>
        </w:tc>
        <w:tc>
          <w:tcPr>
            <w:tcW w:w="1530" w:type="dxa"/>
            <w:shd w:val="clear" w:color="auto" w:fill="auto"/>
          </w:tcPr>
          <w:p w14:paraId="1B2B5116"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67D27A8D" w14:textId="18E8EC2F" w:rsidR="004F1FE0" w:rsidRPr="0019398D" w:rsidRDefault="004F1FE0" w:rsidP="004F07E4">
            <w:pPr>
              <w:autoSpaceDE w:val="0"/>
              <w:autoSpaceDN w:val="0"/>
              <w:adjustRightInd w:val="0"/>
              <w:spacing w:line="240" w:lineRule="auto"/>
              <w:jc w:val="center"/>
              <w:rPr>
                <w:noProof/>
                <w:szCs w:val="22"/>
              </w:rPr>
            </w:pPr>
            <w:r>
              <w:t>21,</w:t>
            </w:r>
            <w:r w:rsidR="009863C4">
              <w:t>9</w:t>
            </w:r>
          </w:p>
        </w:tc>
        <w:tc>
          <w:tcPr>
            <w:tcW w:w="1180" w:type="dxa"/>
          </w:tcPr>
          <w:p w14:paraId="10B470F5" w14:textId="77777777" w:rsidR="004F1FE0" w:rsidRPr="0019398D" w:rsidRDefault="004F1FE0" w:rsidP="004F07E4">
            <w:pPr>
              <w:autoSpaceDE w:val="0"/>
              <w:autoSpaceDN w:val="0"/>
              <w:adjustRightInd w:val="0"/>
              <w:spacing w:line="240" w:lineRule="auto"/>
              <w:jc w:val="center"/>
              <w:rPr>
                <w:noProof/>
                <w:szCs w:val="22"/>
              </w:rPr>
            </w:pPr>
            <w:r>
              <w:t>0</w:t>
            </w:r>
          </w:p>
        </w:tc>
      </w:tr>
      <w:tr w:rsidR="004F1FE0" w14:paraId="4363D1AB" w14:textId="77777777" w:rsidTr="00446BF9">
        <w:tc>
          <w:tcPr>
            <w:tcW w:w="2682" w:type="dxa"/>
            <w:vMerge w:val="restart"/>
            <w:shd w:val="clear" w:color="auto" w:fill="auto"/>
          </w:tcPr>
          <w:p w14:paraId="34FA0011" w14:textId="77777777" w:rsidR="004F1FE0" w:rsidRPr="00BD70FE" w:rsidRDefault="004F1FE0" w:rsidP="004F07E4">
            <w:pPr>
              <w:autoSpaceDE w:val="0"/>
              <w:autoSpaceDN w:val="0"/>
              <w:adjustRightInd w:val="0"/>
              <w:spacing w:line="240" w:lineRule="auto"/>
              <w:rPr>
                <w:b/>
                <w:bCs/>
                <w:noProof/>
                <w:szCs w:val="22"/>
              </w:rPr>
            </w:pPr>
            <w:r>
              <w:rPr>
                <w:b/>
              </w:rPr>
              <w:t>Affections de la peau et du tissu sous-cutané</w:t>
            </w:r>
          </w:p>
        </w:tc>
        <w:tc>
          <w:tcPr>
            <w:tcW w:w="2610" w:type="dxa"/>
            <w:shd w:val="clear" w:color="auto" w:fill="auto"/>
          </w:tcPr>
          <w:p w14:paraId="75E14E09" w14:textId="39EBE0E2" w:rsidR="004F1FE0" w:rsidRPr="0019398D" w:rsidRDefault="004F1FE0" w:rsidP="004F07E4">
            <w:pPr>
              <w:autoSpaceDE w:val="0"/>
              <w:autoSpaceDN w:val="0"/>
              <w:adjustRightInd w:val="0"/>
              <w:spacing w:line="240" w:lineRule="auto"/>
              <w:rPr>
                <w:bCs/>
                <w:szCs w:val="22"/>
              </w:rPr>
            </w:pPr>
            <w:r>
              <w:t>Rash</w:t>
            </w:r>
            <w:r w:rsidR="00201857">
              <w:rPr>
                <w:vertAlign w:val="superscript"/>
              </w:rPr>
              <w:t>e</w:t>
            </w:r>
          </w:p>
        </w:tc>
        <w:tc>
          <w:tcPr>
            <w:tcW w:w="1530" w:type="dxa"/>
            <w:shd w:val="clear" w:color="auto" w:fill="auto"/>
          </w:tcPr>
          <w:p w14:paraId="5F7BA282"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25163D27" w14:textId="3AB98F88" w:rsidR="004F1FE0" w:rsidRPr="0019398D" w:rsidRDefault="004F1FE0" w:rsidP="004F07E4">
            <w:pPr>
              <w:autoSpaceDE w:val="0"/>
              <w:autoSpaceDN w:val="0"/>
              <w:adjustRightInd w:val="0"/>
              <w:spacing w:line="240" w:lineRule="auto"/>
              <w:jc w:val="center"/>
              <w:rPr>
                <w:noProof/>
                <w:szCs w:val="22"/>
              </w:rPr>
            </w:pPr>
            <w:r>
              <w:t>2</w:t>
            </w:r>
            <w:r w:rsidR="003D5346">
              <w:t>7,9</w:t>
            </w:r>
          </w:p>
        </w:tc>
        <w:tc>
          <w:tcPr>
            <w:tcW w:w="1180" w:type="dxa"/>
          </w:tcPr>
          <w:p w14:paraId="6134D888" w14:textId="77777777" w:rsidR="004F1FE0" w:rsidRPr="0019398D" w:rsidRDefault="004F1FE0" w:rsidP="004F07E4">
            <w:pPr>
              <w:autoSpaceDE w:val="0"/>
              <w:autoSpaceDN w:val="0"/>
              <w:adjustRightInd w:val="0"/>
              <w:spacing w:line="240" w:lineRule="auto"/>
              <w:jc w:val="center"/>
              <w:rPr>
                <w:noProof/>
                <w:szCs w:val="22"/>
              </w:rPr>
            </w:pPr>
            <w:r>
              <w:t>0</w:t>
            </w:r>
          </w:p>
        </w:tc>
      </w:tr>
      <w:tr w:rsidR="004F1FE0" w14:paraId="48D957FA" w14:textId="77777777" w:rsidTr="00446BF9">
        <w:tc>
          <w:tcPr>
            <w:tcW w:w="2682" w:type="dxa"/>
            <w:vMerge/>
          </w:tcPr>
          <w:p w14:paraId="676F550D"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51EBBF3" w14:textId="77777777" w:rsidR="004F1FE0" w:rsidRPr="0019398D" w:rsidRDefault="004F1FE0" w:rsidP="004F07E4">
            <w:pPr>
              <w:autoSpaceDE w:val="0"/>
              <w:autoSpaceDN w:val="0"/>
              <w:adjustRightInd w:val="0"/>
              <w:spacing w:line="240" w:lineRule="auto"/>
              <w:rPr>
                <w:szCs w:val="22"/>
                <w:vertAlign w:val="superscript"/>
              </w:rPr>
            </w:pPr>
            <w:r>
              <w:t>Sécheresse cutanée</w:t>
            </w:r>
          </w:p>
        </w:tc>
        <w:tc>
          <w:tcPr>
            <w:tcW w:w="1530" w:type="dxa"/>
            <w:shd w:val="clear" w:color="auto" w:fill="auto"/>
          </w:tcPr>
          <w:p w14:paraId="771D2627"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344D8DF2" w14:textId="7BC420AE" w:rsidR="004F1FE0" w:rsidRPr="0019398D" w:rsidRDefault="004F1FE0" w:rsidP="004F07E4">
            <w:pPr>
              <w:autoSpaceDE w:val="0"/>
              <w:autoSpaceDN w:val="0"/>
              <w:adjustRightInd w:val="0"/>
              <w:spacing w:line="240" w:lineRule="auto"/>
              <w:jc w:val="center"/>
              <w:rPr>
                <w:noProof/>
                <w:szCs w:val="22"/>
              </w:rPr>
            </w:pPr>
            <w:r>
              <w:t>21,</w:t>
            </w:r>
            <w:r w:rsidR="003D5346">
              <w:t>9</w:t>
            </w:r>
          </w:p>
        </w:tc>
        <w:tc>
          <w:tcPr>
            <w:tcW w:w="1180" w:type="dxa"/>
          </w:tcPr>
          <w:p w14:paraId="1E4B466C" w14:textId="77777777" w:rsidR="004F1FE0" w:rsidRPr="0019398D" w:rsidRDefault="004F1FE0" w:rsidP="004F07E4">
            <w:pPr>
              <w:autoSpaceDE w:val="0"/>
              <w:autoSpaceDN w:val="0"/>
              <w:adjustRightInd w:val="0"/>
              <w:spacing w:line="240" w:lineRule="auto"/>
              <w:jc w:val="center"/>
              <w:rPr>
                <w:noProof/>
                <w:szCs w:val="22"/>
              </w:rPr>
            </w:pPr>
            <w:r>
              <w:t>0</w:t>
            </w:r>
          </w:p>
        </w:tc>
      </w:tr>
      <w:tr w:rsidR="004F1FE0" w14:paraId="740A9900" w14:textId="77777777" w:rsidTr="00446BF9">
        <w:tc>
          <w:tcPr>
            <w:tcW w:w="2682" w:type="dxa"/>
            <w:shd w:val="clear" w:color="auto" w:fill="auto"/>
          </w:tcPr>
          <w:p w14:paraId="5510FB3E" w14:textId="77777777" w:rsidR="004F1FE0" w:rsidRPr="00BD70FE" w:rsidRDefault="004F1FE0" w:rsidP="004F07E4">
            <w:pPr>
              <w:autoSpaceDE w:val="0"/>
              <w:autoSpaceDN w:val="0"/>
              <w:adjustRightInd w:val="0"/>
              <w:spacing w:line="240" w:lineRule="auto"/>
              <w:rPr>
                <w:b/>
                <w:bCs/>
                <w:noProof/>
                <w:szCs w:val="22"/>
              </w:rPr>
            </w:pPr>
            <w:r>
              <w:rPr>
                <w:b/>
              </w:rPr>
              <w:t>Affections musculosquelettiques et du tissu conjonctif</w:t>
            </w:r>
          </w:p>
        </w:tc>
        <w:tc>
          <w:tcPr>
            <w:tcW w:w="2610" w:type="dxa"/>
            <w:shd w:val="clear" w:color="auto" w:fill="auto"/>
          </w:tcPr>
          <w:p w14:paraId="0783692C" w14:textId="77777777" w:rsidR="004F1FE0" w:rsidRPr="0019398D" w:rsidRDefault="004F1FE0" w:rsidP="004F07E4">
            <w:pPr>
              <w:autoSpaceDE w:val="0"/>
              <w:autoSpaceDN w:val="0"/>
              <w:adjustRightInd w:val="0"/>
              <w:spacing w:line="240" w:lineRule="auto"/>
              <w:rPr>
                <w:bCs/>
                <w:szCs w:val="22"/>
              </w:rPr>
            </w:pPr>
            <w:r>
              <w:t>Arthralgie</w:t>
            </w:r>
          </w:p>
        </w:tc>
        <w:tc>
          <w:tcPr>
            <w:tcW w:w="1530" w:type="dxa"/>
            <w:shd w:val="clear" w:color="auto" w:fill="auto"/>
          </w:tcPr>
          <w:p w14:paraId="576662D2"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0DEA0814" w14:textId="2E26AFF8" w:rsidR="004F1FE0" w:rsidRPr="0019398D" w:rsidRDefault="004F1FE0" w:rsidP="004F07E4">
            <w:pPr>
              <w:autoSpaceDE w:val="0"/>
              <w:autoSpaceDN w:val="0"/>
              <w:adjustRightInd w:val="0"/>
              <w:spacing w:line="240" w:lineRule="auto"/>
              <w:jc w:val="center"/>
              <w:rPr>
                <w:noProof/>
                <w:szCs w:val="22"/>
              </w:rPr>
            </w:pPr>
            <w:r>
              <w:t>25,</w:t>
            </w:r>
            <w:r w:rsidR="003D5346">
              <w:t>7</w:t>
            </w:r>
          </w:p>
        </w:tc>
        <w:tc>
          <w:tcPr>
            <w:tcW w:w="1180" w:type="dxa"/>
          </w:tcPr>
          <w:p w14:paraId="6644AF6B" w14:textId="77777777" w:rsidR="004F1FE0" w:rsidRPr="0019398D" w:rsidRDefault="004F1FE0" w:rsidP="004F07E4">
            <w:pPr>
              <w:autoSpaceDE w:val="0"/>
              <w:autoSpaceDN w:val="0"/>
              <w:adjustRightInd w:val="0"/>
              <w:spacing w:line="240" w:lineRule="auto"/>
              <w:jc w:val="center"/>
              <w:rPr>
                <w:szCs w:val="22"/>
              </w:rPr>
            </w:pPr>
            <w:r>
              <w:t>1,6</w:t>
            </w:r>
          </w:p>
        </w:tc>
      </w:tr>
      <w:tr w:rsidR="004F1FE0" w14:paraId="29D8C724" w14:textId="77777777" w:rsidTr="00446BF9">
        <w:tc>
          <w:tcPr>
            <w:tcW w:w="2682" w:type="dxa"/>
            <w:vMerge w:val="restart"/>
            <w:shd w:val="clear" w:color="auto" w:fill="auto"/>
          </w:tcPr>
          <w:p w14:paraId="559C7BE0" w14:textId="77777777" w:rsidR="004F1FE0" w:rsidRPr="00BD70FE" w:rsidRDefault="004F1FE0" w:rsidP="004F07E4">
            <w:pPr>
              <w:autoSpaceDE w:val="0"/>
              <w:autoSpaceDN w:val="0"/>
              <w:adjustRightInd w:val="0"/>
              <w:spacing w:line="240" w:lineRule="auto"/>
              <w:rPr>
                <w:b/>
                <w:bCs/>
                <w:noProof/>
                <w:szCs w:val="22"/>
              </w:rPr>
            </w:pPr>
            <w:r>
              <w:rPr>
                <w:b/>
              </w:rPr>
              <w:t>Troubles généraux et anomalies au site d’administration</w:t>
            </w:r>
          </w:p>
        </w:tc>
        <w:tc>
          <w:tcPr>
            <w:tcW w:w="2610" w:type="dxa"/>
            <w:shd w:val="clear" w:color="auto" w:fill="auto"/>
          </w:tcPr>
          <w:p w14:paraId="6F492959" w14:textId="77777777" w:rsidR="004F1FE0" w:rsidRPr="0019398D" w:rsidRDefault="004F1FE0" w:rsidP="004F07E4">
            <w:pPr>
              <w:autoSpaceDE w:val="0"/>
              <w:autoSpaceDN w:val="0"/>
              <w:adjustRightInd w:val="0"/>
              <w:spacing w:line="240" w:lineRule="auto"/>
              <w:rPr>
                <w:noProof/>
                <w:szCs w:val="22"/>
              </w:rPr>
            </w:pPr>
            <w:r>
              <w:t>Réaction au site d’injection</w:t>
            </w:r>
          </w:p>
        </w:tc>
        <w:tc>
          <w:tcPr>
            <w:tcW w:w="1530" w:type="dxa"/>
            <w:shd w:val="clear" w:color="auto" w:fill="auto"/>
          </w:tcPr>
          <w:p w14:paraId="64C42787"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542D4AF8" w14:textId="77777777" w:rsidR="004F1FE0" w:rsidRPr="0019398D" w:rsidRDefault="004F1FE0" w:rsidP="004F07E4">
            <w:pPr>
              <w:autoSpaceDE w:val="0"/>
              <w:autoSpaceDN w:val="0"/>
              <w:adjustRightInd w:val="0"/>
              <w:spacing w:line="240" w:lineRule="auto"/>
              <w:jc w:val="center"/>
              <w:rPr>
                <w:noProof/>
                <w:szCs w:val="22"/>
              </w:rPr>
            </w:pPr>
            <w:r>
              <w:t>38,3</w:t>
            </w:r>
          </w:p>
        </w:tc>
        <w:tc>
          <w:tcPr>
            <w:tcW w:w="1180" w:type="dxa"/>
          </w:tcPr>
          <w:p w14:paraId="68A1FFA2" w14:textId="77777777" w:rsidR="004F1FE0" w:rsidRPr="0019398D" w:rsidRDefault="004F1FE0" w:rsidP="004F07E4">
            <w:pPr>
              <w:autoSpaceDE w:val="0"/>
              <w:autoSpaceDN w:val="0"/>
              <w:adjustRightInd w:val="0"/>
              <w:spacing w:line="240" w:lineRule="auto"/>
              <w:jc w:val="center"/>
              <w:rPr>
                <w:noProof/>
                <w:szCs w:val="22"/>
              </w:rPr>
            </w:pPr>
            <w:r>
              <w:t>0</w:t>
            </w:r>
          </w:p>
        </w:tc>
      </w:tr>
      <w:tr w:rsidR="004F1FE0" w14:paraId="3B21B302" w14:textId="77777777" w:rsidTr="00446BF9">
        <w:tc>
          <w:tcPr>
            <w:tcW w:w="2682" w:type="dxa"/>
            <w:vMerge/>
          </w:tcPr>
          <w:p w14:paraId="7C5C6905"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0035E6D2" w14:textId="77777777" w:rsidR="004F1FE0" w:rsidRPr="0019398D" w:rsidRDefault="004F1FE0" w:rsidP="004F07E4">
            <w:pPr>
              <w:autoSpaceDE w:val="0"/>
              <w:autoSpaceDN w:val="0"/>
              <w:adjustRightInd w:val="0"/>
              <w:spacing w:line="240" w:lineRule="auto"/>
              <w:rPr>
                <w:noProof/>
                <w:szCs w:val="22"/>
              </w:rPr>
            </w:pPr>
            <w:r>
              <w:t>Pyrexie</w:t>
            </w:r>
          </w:p>
        </w:tc>
        <w:tc>
          <w:tcPr>
            <w:tcW w:w="1530" w:type="dxa"/>
            <w:shd w:val="clear" w:color="auto" w:fill="auto"/>
          </w:tcPr>
          <w:p w14:paraId="2EE4BF76"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1891DC0D" w14:textId="1D398135" w:rsidR="004F1FE0" w:rsidRPr="0019398D" w:rsidRDefault="004F1FE0" w:rsidP="004F07E4">
            <w:pPr>
              <w:autoSpaceDE w:val="0"/>
              <w:autoSpaceDN w:val="0"/>
              <w:adjustRightInd w:val="0"/>
              <w:spacing w:line="240" w:lineRule="auto"/>
              <w:jc w:val="center"/>
              <w:rPr>
                <w:noProof/>
                <w:szCs w:val="22"/>
              </w:rPr>
            </w:pPr>
            <w:r>
              <w:t>2</w:t>
            </w:r>
            <w:r w:rsidR="003D5346">
              <w:t>8,4</w:t>
            </w:r>
          </w:p>
        </w:tc>
        <w:tc>
          <w:tcPr>
            <w:tcW w:w="1180" w:type="dxa"/>
          </w:tcPr>
          <w:p w14:paraId="2EB399D8" w14:textId="77777777" w:rsidR="004F1FE0" w:rsidRPr="0019398D" w:rsidRDefault="004F1FE0" w:rsidP="004F07E4">
            <w:pPr>
              <w:autoSpaceDE w:val="0"/>
              <w:autoSpaceDN w:val="0"/>
              <w:adjustRightInd w:val="0"/>
              <w:spacing w:line="240" w:lineRule="auto"/>
              <w:jc w:val="center"/>
              <w:rPr>
                <w:noProof/>
                <w:szCs w:val="22"/>
              </w:rPr>
            </w:pPr>
            <w:r>
              <w:t>3,3</w:t>
            </w:r>
          </w:p>
        </w:tc>
      </w:tr>
      <w:tr w:rsidR="004F1FE0" w14:paraId="4587CEBF" w14:textId="77777777" w:rsidTr="00446BF9">
        <w:tc>
          <w:tcPr>
            <w:tcW w:w="2682" w:type="dxa"/>
            <w:vMerge/>
          </w:tcPr>
          <w:p w14:paraId="16DD2EC4"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E57E347" w14:textId="77777777" w:rsidR="004F1FE0" w:rsidRPr="0019398D" w:rsidRDefault="004F1FE0" w:rsidP="004F07E4">
            <w:pPr>
              <w:autoSpaceDE w:val="0"/>
              <w:autoSpaceDN w:val="0"/>
              <w:adjustRightInd w:val="0"/>
              <w:spacing w:line="240" w:lineRule="auto"/>
              <w:rPr>
                <w:noProof/>
                <w:szCs w:val="22"/>
              </w:rPr>
            </w:pPr>
            <w:r>
              <w:t>Fatigue</w:t>
            </w:r>
          </w:p>
        </w:tc>
        <w:tc>
          <w:tcPr>
            <w:tcW w:w="1530" w:type="dxa"/>
            <w:shd w:val="clear" w:color="auto" w:fill="auto"/>
          </w:tcPr>
          <w:p w14:paraId="4CB6FEF9"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23606AAE" w14:textId="421E8600" w:rsidR="004F1FE0" w:rsidRPr="0019398D" w:rsidRDefault="004F1FE0" w:rsidP="004F07E4">
            <w:pPr>
              <w:autoSpaceDE w:val="0"/>
              <w:autoSpaceDN w:val="0"/>
              <w:adjustRightInd w:val="0"/>
              <w:spacing w:line="240" w:lineRule="auto"/>
              <w:jc w:val="center"/>
              <w:rPr>
                <w:noProof/>
                <w:szCs w:val="22"/>
              </w:rPr>
            </w:pPr>
            <w:r>
              <w:t>44,</w:t>
            </w:r>
            <w:r w:rsidR="003D5346">
              <w:t>8</w:t>
            </w:r>
          </w:p>
        </w:tc>
        <w:tc>
          <w:tcPr>
            <w:tcW w:w="1180" w:type="dxa"/>
          </w:tcPr>
          <w:p w14:paraId="44E94EFB" w14:textId="77777777" w:rsidR="004F1FE0" w:rsidRPr="0019398D" w:rsidRDefault="004F1FE0" w:rsidP="004F07E4">
            <w:pPr>
              <w:autoSpaceDE w:val="0"/>
              <w:autoSpaceDN w:val="0"/>
              <w:adjustRightInd w:val="0"/>
              <w:spacing w:line="240" w:lineRule="auto"/>
              <w:jc w:val="center"/>
              <w:rPr>
                <w:noProof/>
                <w:szCs w:val="22"/>
              </w:rPr>
            </w:pPr>
            <w:r>
              <w:t>6,0</w:t>
            </w:r>
          </w:p>
        </w:tc>
      </w:tr>
      <w:tr w:rsidR="004F1FE0" w14:paraId="27A63163" w14:textId="77777777" w:rsidTr="00446BF9">
        <w:tc>
          <w:tcPr>
            <w:tcW w:w="2682" w:type="dxa"/>
            <w:shd w:val="clear" w:color="auto" w:fill="auto"/>
          </w:tcPr>
          <w:p w14:paraId="06134DE2" w14:textId="77777777" w:rsidR="004F1FE0" w:rsidRPr="00BD70FE" w:rsidRDefault="004F1FE0" w:rsidP="004F07E4">
            <w:pPr>
              <w:autoSpaceDE w:val="0"/>
              <w:autoSpaceDN w:val="0"/>
              <w:adjustRightInd w:val="0"/>
              <w:spacing w:line="240" w:lineRule="auto"/>
              <w:rPr>
                <w:b/>
                <w:bCs/>
                <w:noProof/>
                <w:szCs w:val="22"/>
              </w:rPr>
            </w:pPr>
            <w:r>
              <w:rPr>
                <w:b/>
              </w:rPr>
              <w:t>Investigations</w:t>
            </w:r>
          </w:p>
        </w:tc>
        <w:tc>
          <w:tcPr>
            <w:tcW w:w="2610" w:type="dxa"/>
            <w:shd w:val="clear" w:color="auto" w:fill="auto"/>
          </w:tcPr>
          <w:p w14:paraId="2D9F7812" w14:textId="37ADBC2C" w:rsidR="004F1FE0" w:rsidRPr="0019398D" w:rsidRDefault="007D0D53" w:rsidP="004F07E4">
            <w:pPr>
              <w:tabs>
                <w:tab w:val="left" w:pos="600"/>
              </w:tabs>
              <w:autoSpaceDE w:val="0"/>
              <w:autoSpaceDN w:val="0"/>
              <w:adjustRightInd w:val="0"/>
              <w:spacing w:line="240" w:lineRule="auto"/>
              <w:rPr>
                <w:noProof/>
                <w:szCs w:val="22"/>
              </w:rPr>
            </w:pPr>
            <w:r>
              <w:t xml:space="preserve">Elévation des </w:t>
            </w:r>
            <w:r w:rsidR="004F1FE0">
              <w:t xml:space="preserve">Transaminases </w:t>
            </w:r>
          </w:p>
        </w:tc>
        <w:tc>
          <w:tcPr>
            <w:tcW w:w="1530" w:type="dxa"/>
            <w:shd w:val="clear" w:color="auto" w:fill="auto"/>
          </w:tcPr>
          <w:p w14:paraId="59CE2161" w14:textId="77777777" w:rsidR="004F1FE0" w:rsidRPr="0019398D" w:rsidRDefault="004F1FE0" w:rsidP="004F07E4">
            <w:pPr>
              <w:autoSpaceDE w:val="0"/>
              <w:autoSpaceDN w:val="0"/>
              <w:adjustRightInd w:val="0"/>
              <w:spacing w:line="240" w:lineRule="auto"/>
              <w:jc w:val="center"/>
              <w:rPr>
                <w:noProof/>
                <w:szCs w:val="22"/>
              </w:rPr>
            </w:pPr>
            <w:r>
              <w:t>Très fréquent</w:t>
            </w:r>
          </w:p>
        </w:tc>
        <w:tc>
          <w:tcPr>
            <w:tcW w:w="1260" w:type="dxa"/>
          </w:tcPr>
          <w:p w14:paraId="53E37415" w14:textId="77777777" w:rsidR="004F1FE0" w:rsidRPr="0019398D" w:rsidRDefault="004F1FE0" w:rsidP="004F07E4">
            <w:pPr>
              <w:autoSpaceDE w:val="0"/>
              <w:autoSpaceDN w:val="0"/>
              <w:adjustRightInd w:val="0"/>
              <w:spacing w:line="240" w:lineRule="auto"/>
              <w:jc w:val="center"/>
              <w:rPr>
                <w:noProof/>
                <w:szCs w:val="22"/>
              </w:rPr>
            </w:pPr>
            <w:r>
              <w:t>16,9</w:t>
            </w:r>
          </w:p>
        </w:tc>
        <w:tc>
          <w:tcPr>
            <w:tcW w:w="1180" w:type="dxa"/>
          </w:tcPr>
          <w:p w14:paraId="57E92E68" w14:textId="77777777" w:rsidR="004F1FE0" w:rsidRPr="0019398D" w:rsidRDefault="004F1FE0" w:rsidP="004F07E4">
            <w:pPr>
              <w:autoSpaceDE w:val="0"/>
              <w:autoSpaceDN w:val="0"/>
              <w:adjustRightInd w:val="0"/>
              <w:spacing w:line="240" w:lineRule="auto"/>
              <w:jc w:val="center"/>
              <w:rPr>
                <w:noProof/>
                <w:szCs w:val="22"/>
              </w:rPr>
            </w:pPr>
            <w:r>
              <w:t>5,5</w:t>
            </w:r>
          </w:p>
        </w:tc>
      </w:tr>
    </w:tbl>
    <w:p w14:paraId="2361FF8D" w14:textId="28078D3C" w:rsidR="0006688E" w:rsidRDefault="0006688E" w:rsidP="00446BF9">
      <w:pPr>
        <w:autoSpaceDE w:val="0"/>
        <w:autoSpaceDN w:val="0"/>
        <w:adjustRightInd w:val="0"/>
        <w:spacing w:line="240" w:lineRule="auto"/>
        <w:ind w:left="567" w:hanging="567"/>
        <w:rPr>
          <w:noProof/>
          <w:szCs w:val="22"/>
        </w:rPr>
      </w:pPr>
      <w:r w:rsidRPr="00A64757">
        <w:rPr>
          <w:sz w:val="18"/>
        </w:rPr>
        <w:lastRenderedPageBreak/>
        <w:t>a.</w:t>
      </w:r>
      <w:r w:rsidRPr="00A64757">
        <w:rPr>
          <w:sz w:val="18"/>
        </w:rPr>
        <w:tab/>
        <w:t>Pneumonie comprend pneumonie, pneumonie COVID-19, aspergillose bronchopulmonaire, infection des voies aériennes inférieures, infection bactérienne des voies aériennes inférieures, infection fongique des voies aériennes inférieures, pneumonie à Pneumocystis jirovecii, pneumonie à adénovirus, pneumonie bactérienne, pneumonie à cytomégalovirus, pneumonie fongique, pneumonie grippale, pneumonie à Pseudomonas, pneumonie virale, pneumonie atypique, pneumonie à coronavirus, pneumonie à haemophilus, pneumonie à pneumocoque, pneumonie respiratoire syncytiale virale, pneumopathie d’inhalation.</w:t>
      </w:r>
    </w:p>
    <w:p w14:paraId="46AFAA0D" w14:textId="20AFD2AB" w:rsidR="0006688E" w:rsidRDefault="0006688E" w:rsidP="00446BF9">
      <w:pPr>
        <w:autoSpaceDE w:val="0"/>
        <w:autoSpaceDN w:val="0"/>
        <w:adjustRightInd w:val="0"/>
        <w:spacing w:line="240" w:lineRule="auto"/>
        <w:ind w:left="567" w:hanging="567"/>
        <w:rPr>
          <w:noProof/>
          <w:szCs w:val="22"/>
        </w:rPr>
      </w:pPr>
      <w:r w:rsidRPr="00A64757">
        <w:rPr>
          <w:sz w:val="18"/>
        </w:rPr>
        <w:t>b.</w:t>
      </w:r>
      <w:r w:rsidRPr="00A64757">
        <w:rPr>
          <w:sz w:val="18"/>
        </w:rPr>
        <w:tab/>
        <w:t>Sepsis comprend sepsis, bactériémie, bactériémie liée à un dispositif, sepsis lié à un dispositif, bactériémie à Escherichia, sepsis à Escherichia, sepsis à Klebsiella, sepsis à Pseudomonas, choc septique, bactériémie à staphylocoque, sepsis à staphylocoque, sepsis à streptocoque, lurosepsie, bactériémie à Campylobacter.</w:t>
      </w:r>
    </w:p>
    <w:tbl>
      <w:tblPr>
        <w:tblW w:w="9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2"/>
      </w:tblGrid>
      <w:tr w:rsidR="0006688E" w:rsidRPr="005C3910" w14:paraId="3EE026A1" w14:textId="77777777" w:rsidTr="00446BF9">
        <w:trPr>
          <w:trHeight w:val="64"/>
        </w:trPr>
        <w:tc>
          <w:tcPr>
            <w:tcW w:w="9262" w:type="dxa"/>
            <w:tcBorders>
              <w:top w:val="nil"/>
              <w:left w:val="nil"/>
              <w:bottom w:val="nil"/>
              <w:right w:val="nil"/>
            </w:tcBorders>
          </w:tcPr>
          <w:p w14:paraId="3D995860" w14:textId="44C20B77" w:rsidR="0006688E" w:rsidRPr="00A64757" w:rsidRDefault="0006688E" w:rsidP="00446BF9">
            <w:pPr>
              <w:tabs>
                <w:tab w:val="clear" w:pos="567"/>
                <w:tab w:val="left" w:pos="547"/>
              </w:tabs>
              <w:autoSpaceDE w:val="0"/>
              <w:autoSpaceDN w:val="0"/>
              <w:adjustRightInd w:val="0"/>
              <w:spacing w:line="240" w:lineRule="auto"/>
              <w:ind w:left="547" w:hanging="567"/>
              <w:rPr>
                <w:sz w:val="18"/>
              </w:rPr>
            </w:pPr>
            <w:r w:rsidRPr="00A64757">
              <w:rPr>
                <w:sz w:val="18"/>
              </w:rPr>
              <w:t>c.</w:t>
            </w:r>
            <w:r w:rsidRPr="00A64757">
              <w:rPr>
                <w:sz w:val="18"/>
              </w:rPr>
              <w:tab/>
              <w:t>Infection à cytomégalovirus comprend réactivation d’une infection à cytomégalovirus, infection à cytomégalovirus, choriorétinite à cytomégalovirus, gastroentérite à cytomégalovirus, virémie à cytomégalovirus.</w:t>
            </w:r>
          </w:p>
        </w:tc>
      </w:tr>
    </w:tbl>
    <w:p w14:paraId="655E0CED" w14:textId="455265B4" w:rsidR="0006688E" w:rsidRDefault="0006688E" w:rsidP="00446BF9">
      <w:pPr>
        <w:autoSpaceDE w:val="0"/>
        <w:autoSpaceDN w:val="0"/>
        <w:adjustRightInd w:val="0"/>
        <w:spacing w:line="240" w:lineRule="auto"/>
        <w:ind w:left="567" w:hanging="567"/>
        <w:rPr>
          <w:noProof/>
          <w:szCs w:val="22"/>
        </w:rPr>
      </w:pPr>
      <w:r w:rsidRPr="00A64757">
        <w:rPr>
          <w:sz w:val="18"/>
        </w:rPr>
        <w:t>d.</w:t>
      </w:r>
      <w:r w:rsidRPr="00A64757">
        <w:rPr>
          <w:sz w:val="18"/>
        </w:rPr>
        <w:tab/>
        <w:t>Neuropathie périphérique comprend neuropathie périphérique sensitive, paresthésie, neuropathie sensorimotrice périphérique, dysesthésie, neuropathie périphérique, neuropathie motrice périphérique, syndrome de Guillain-Barré, hypoesthésie, névralgie, polyneuropathie.</w:t>
      </w:r>
    </w:p>
    <w:p w14:paraId="71ACDAD6" w14:textId="75C2E91F" w:rsidR="0006688E" w:rsidRDefault="0006688E" w:rsidP="00446BF9">
      <w:pPr>
        <w:autoSpaceDE w:val="0"/>
        <w:autoSpaceDN w:val="0"/>
        <w:adjustRightInd w:val="0"/>
        <w:spacing w:line="240" w:lineRule="auto"/>
        <w:ind w:left="567" w:hanging="567"/>
        <w:rPr>
          <w:noProof/>
          <w:szCs w:val="22"/>
        </w:rPr>
      </w:pPr>
      <w:r w:rsidRPr="00A64757">
        <w:rPr>
          <w:sz w:val="18"/>
        </w:rPr>
        <w:t>e.</w:t>
      </w:r>
      <w:r w:rsidRPr="00A64757">
        <w:rPr>
          <w:sz w:val="18"/>
        </w:rPr>
        <w:tab/>
        <w:t>Rash comprend dermatite exfoliatrice, dermatite exfoliatrice généralisée, érythème, syndrome d’érythrodysesthésie palmo-plantaire, rash, rash érythémateux, rash maculeux, rash maculopapuleux, rash pustuleux, exanthème intertrigineux et de flexion symétrique lié au médicament, épidermolyse.</w:t>
      </w:r>
    </w:p>
    <w:p w14:paraId="2965C7FE" w14:textId="77777777" w:rsidR="0006688E" w:rsidRPr="00743D4B" w:rsidRDefault="0006688E" w:rsidP="00793E0F">
      <w:pPr>
        <w:autoSpaceDE w:val="0"/>
        <w:autoSpaceDN w:val="0"/>
        <w:adjustRightInd w:val="0"/>
        <w:spacing w:line="240" w:lineRule="auto"/>
        <w:rPr>
          <w:noProof/>
          <w:szCs w:val="22"/>
        </w:rPr>
      </w:pPr>
    </w:p>
    <w:p w14:paraId="5DC54C5F" w14:textId="77777777" w:rsidR="0018553C" w:rsidRPr="00743D4B" w:rsidRDefault="0018553C" w:rsidP="00793E0F">
      <w:pPr>
        <w:autoSpaceDE w:val="0"/>
        <w:autoSpaceDN w:val="0"/>
        <w:adjustRightInd w:val="0"/>
        <w:spacing w:line="240" w:lineRule="auto"/>
        <w:rPr>
          <w:u w:val="single"/>
        </w:rPr>
      </w:pPr>
      <w:r>
        <w:rPr>
          <w:u w:val="single"/>
        </w:rPr>
        <w:t>Description de certains effets indésirables</w:t>
      </w:r>
    </w:p>
    <w:p w14:paraId="750FC36E" w14:textId="77777777" w:rsidR="00587CE2" w:rsidRPr="00743D4B" w:rsidRDefault="00587CE2" w:rsidP="00793E0F">
      <w:pPr>
        <w:autoSpaceDE w:val="0"/>
        <w:autoSpaceDN w:val="0"/>
        <w:adjustRightInd w:val="0"/>
        <w:spacing w:line="240" w:lineRule="auto"/>
        <w:rPr>
          <w:noProof/>
          <w:szCs w:val="22"/>
        </w:rPr>
      </w:pPr>
    </w:p>
    <w:p w14:paraId="78C95AE1" w14:textId="1A2FCFE9" w:rsidR="00C66757" w:rsidRPr="00743D4B" w:rsidRDefault="00C66757" w:rsidP="00793E0F">
      <w:pPr>
        <w:autoSpaceDE w:val="0"/>
        <w:autoSpaceDN w:val="0"/>
        <w:adjustRightInd w:val="0"/>
        <w:spacing w:line="240" w:lineRule="auto"/>
        <w:rPr>
          <w:i/>
          <w:iCs/>
          <w:noProof/>
          <w:szCs w:val="22"/>
        </w:rPr>
      </w:pPr>
      <w:r>
        <w:rPr>
          <w:i/>
        </w:rPr>
        <w:t xml:space="preserve">Syndrome de </w:t>
      </w:r>
      <w:r w:rsidR="00CC6D99">
        <w:rPr>
          <w:i/>
        </w:rPr>
        <w:t>relargage</w:t>
      </w:r>
      <w:r>
        <w:rPr>
          <w:i/>
        </w:rPr>
        <w:t xml:space="preserve"> des cytokines (</w:t>
      </w:r>
      <w:r w:rsidR="00143572">
        <w:rPr>
          <w:i/>
        </w:rPr>
        <w:t>S</w:t>
      </w:r>
      <w:r w:rsidR="00CC6D99">
        <w:rPr>
          <w:i/>
        </w:rPr>
        <w:t>R</w:t>
      </w:r>
      <w:r w:rsidR="00143572">
        <w:rPr>
          <w:i/>
        </w:rPr>
        <w:t>C</w:t>
      </w:r>
      <w:r>
        <w:rPr>
          <w:i/>
        </w:rPr>
        <w:t>)</w:t>
      </w:r>
    </w:p>
    <w:p w14:paraId="5FB056C2" w14:textId="05452BB0" w:rsidR="00A807D6" w:rsidRPr="00743D4B" w:rsidRDefault="007E343E" w:rsidP="00C66757">
      <w:pPr>
        <w:tabs>
          <w:tab w:val="clear" w:pos="567"/>
        </w:tabs>
        <w:spacing w:line="240" w:lineRule="auto"/>
      </w:pPr>
      <w:r>
        <w:t xml:space="preserve">Un </w:t>
      </w:r>
      <w:r w:rsidR="00CC6D99">
        <w:t xml:space="preserve">SRC </w:t>
      </w:r>
      <w:r w:rsidR="00BA34F3">
        <w:t xml:space="preserve">a été </w:t>
      </w:r>
      <w:r w:rsidR="007907E1">
        <w:t>observé</w:t>
      </w:r>
      <w:r>
        <w:t xml:space="preserve"> chez 57,9 % des patients ayant reçu ELREXFIO selon le schéma posologique recommandé, avec un </w:t>
      </w:r>
      <w:r w:rsidR="00CC6D99">
        <w:t xml:space="preserve">SRC </w:t>
      </w:r>
      <w:r>
        <w:t xml:space="preserve">de grade 1 chez 43,7 %, de grade 2 chez 13,7 % et de grade 3 chez 0,5 % des patients. </w:t>
      </w:r>
      <w:bookmarkStart w:id="9" w:name="_Hlk86668391"/>
      <w:r>
        <w:t xml:space="preserve">La plupart des patients ont présenté un </w:t>
      </w:r>
      <w:r w:rsidR="00793A5D">
        <w:t xml:space="preserve">SRC </w:t>
      </w:r>
      <w:r>
        <w:t xml:space="preserve">après la première </w:t>
      </w:r>
      <w:r w:rsidR="00AE0290">
        <w:t>escalade de dose</w:t>
      </w:r>
      <w:r>
        <w:t xml:space="preserve"> (43,2 %) ou la </w:t>
      </w:r>
      <w:r w:rsidR="002B4711">
        <w:t xml:space="preserve">seconde </w:t>
      </w:r>
      <w:r w:rsidR="00AE0290">
        <w:t>escalade de dose</w:t>
      </w:r>
      <w:r>
        <w:t xml:space="preserve"> (19,1 %), 7,1 % des patients </w:t>
      </w:r>
      <w:r w:rsidR="00260152">
        <w:t xml:space="preserve">ont </w:t>
      </w:r>
      <w:r>
        <w:t xml:space="preserve">présenté un </w:t>
      </w:r>
      <w:r w:rsidR="00CC6D99">
        <w:t xml:space="preserve">SRC </w:t>
      </w:r>
      <w:r>
        <w:t xml:space="preserve">après la première dose </w:t>
      </w:r>
      <w:r w:rsidR="006527AF" w:rsidRPr="00F97EBB">
        <w:t xml:space="preserve">complète </w:t>
      </w:r>
      <w:r w:rsidRPr="00F97EBB">
        <w:t>de traitement et</w:t>
      </w:r>
      <w:r>
        <w:t xml:space="preserve"> </w:t>
      </w:r>
      <w:bookmarkEnd w:id="9"/>
      <w:r>
        <w:t xml:space="preserve">1,6 % des patients après une dose ultérieure. Une récidive de </w:t>
      </w:r>
      <w:r w:rsidR="00CC6D99">
        <w:t xml:space="preserve">SRC </w:t>
      </w:r>
      <w:r w:rsidR="007907E1">
        <w:t>a été observée</w:t>
      </w:r>
      <w:r>
        <w:t xml:space="preserve"> chez 13,1 % des patients. Le délai médian d</w:t>
      </w:r>
      <w:r w:rsidR="007907E1">
        <w:t>’apparition</w:t>
      </w:r>
      <w:r w:rsidR="00F97EBB">
        <w:t xml:space="preserve"> </w:t>
      </w:r>
      <w:r>
        <w:t xml:space="preserve">d’un </w:t>
      </w:r>
      <w:r w:rsidR="009403E7" w:rsidRPr="00F97EBB">
        <w:t>SRC</w:t>
      </w:r>
      <w:r w:rsidR="009403E7">
        <w:t xml:space="preserve"> </w:t>
      </w:r>
      <w:r>
        <w:t>était de 2 (intervalle : 1 à 9) jours après la dose la plus récente, avec une durée médiane de 2 (intervalle</w:t>
      </w:r>
      <w:r w:rsidR="00143572">
        <w:t> </w:t>
      </w:r>
      <w:r>
        <w:t>: 1 à 19) jours.</w:t>
      </w:r>
    </w:p>
    <w:p w14:paraId="0AFD3569" w14:textId="77777777" w:rsidR="008D4BB1" w:rsidRPr="00743D4B" w:rsidRDefault="008D4BB1" w:rsidP="00C66757">
      <w:pPr>
        <w:tabs>
          <w:tab w:val="clear" w:pos="567"/>
        </w:tabs>
        <w:spacing w:line="240" w:lineRule="auto"/>
        <w:rPr>
          <w:bCs/>
          <w:szCs w:val="22"/>
        </w:rPr>
      </w:pPr>
    </w:p>
    <w:p w14:paraId="2EF6A3F5" w14:textId="633EB7CF" w:rsidR="00C56B9E" w:rsidRPr="00743D4B" w:rsidRDefault="00C56B9E" w:rsidP="00C56B9E">
      <w:pPr>
        <w:tabs>
          <w:tab w:val="clear" w:pos="567"/>
        </w:tabs>
        <w:spacing w:line="240" w:lineRule="auto"/>
      </w:pPr>
      <w:r>
        <w:t xml:space="preserve">Parmi les patients ayant développé un </w:t>
      </w:r>
      <w:r w:rsidR="00CC6D99">
        <w:t>SRC</w:t>
      </w:r>
      <w:r>
        <w:t>, les symptômes associés comprenaient la fièvre (99 %), l’hypotension (21 %)</w:t>
      </w:r>
      <w:r w:rsidR="002123A7">
        <w:t xml:space="preserve">, l’hypoxie (11,4 %). </w:t>
      </w:r>
      <w:r>
        <w:t>3</w:t>
      </w:r>
      <w:r w:rsidR="000E777F">
        <w:t>4</w:t>
      </w:r>
      <w:r>
        <w:t xml:space="preserve"> % des patients ont reçu du tocilizumab (ou du siltuximab) et 15,1 % des patients ont reçu des corticostéroïdes pour le traitement du </w:t>
      </w:r>
      <w:r w:rsidR="00CC6D99">
        <w:t>SRC</w:t>
      </w:r>
      <w:r>
        <w:t>.</w:t>
      </w:r>
    </w:p>
    <w:p w14:paraId="46FCCB4A" w14:textId="77777777" w:rsidR="00C56B9E" w:rsidRPr="00743D4B" w:rsidRDefault="00C56B9E" w:rsidP="00C56B9E">
      <w:pPr>
        <w:spacing w:line="240" w:lineRule="auto"/>
      </w:pPr>
    </w:p>
    <w:p w14:paraId="6B0FB530" w14:textId="77777777" w:rsidR="00C56B9E" w:rsidRPr="00743D4B" w:rsidRDefault="00C56B9E" w:rsidP="00C56B9E">
      <w:pPr>
        <w:spacing w:line="240" w:lineRule="auto"/>
        <w:rPr>
          <w:b/>
          <w:i/>
          <w:szCs w:val="22"/>
        </w:rPr>
      </w:pPr>
      <w:r>
        <w:rPr>
          <w:i/>
        </w:rPr>
        <w:t>Syndrome de neurotoxicité associée aux cellules effectrices immunitaires (ICANS)</w:t>
      </w:r>
    </w:p>
    <w:p w14:paraId="54A6F470" w14:textId="19F7209C" w:rsidR="00C56B9E" w:rsidRPr="00743D4B" w:rsidRDefault="00C56B9E" w:rsidP="00C56B9E">
      <w:pPr>
        <w:spacing w:line="240" w:lineRule="auto"/>
        <w:rPr>
          <w:szCs w:val="22"/>
        </w:rPr>
      </w:pPr>
      <w:r>
        <w:t xml:space="preserve">Un ICANS </w:t>
      </w:r>
      <w:r w:rsidR="00E30158">
        <w:t>a été observé</w:t>
      </w:r>
      <w:r>
        <w:t xml:space="preserve"> chez 3,3 % des patients après un traitement par ELREXFIO selon le schéma posologique recommandé</w:t>
      </w:r>
      <w:r w:rsidR="002123A7">
        <w:t>, avec un ICANS de grade 1 chez 0,5 %, de grade 2 chez 1,6 % et de grade 3 chez 1,1 % des patients</w:t>
      </w:r>
      <w:r>
        <w:t xml:space="preserve">. La majorité des patients ont présenté un ICANS après la première </w:t>
      </w:r>
      <w:r w:rsidR="00AE0290">
        <w:t>escalade de dose</w:t>
      </w:r>
      <w:r>
        <w:t xml:space="preserve"> (2,7 %), 1 (0,5 %) patient a présenté un ICANS après la </w:t>
      </w:r>
      <w:r w:rsidR="00603F1D">
        <w:t xml:space="preserve">seconde </w:t>
      </w:r>
      <w:r w:rsidR="00AE0290">
        <w:t>escalade de dose</w:t>
      </w:r>
      <w:r>
        <w:t xml:space="preserve"> et 1 (0,5 %) patient a présenté un ICANS après une dose ultérieure. Une récidive d’ICANS </w:t>
      </w:r>
      <w:r w:rsidR="00E30158">
        <w:t>a été observée</w:t>
      </w:r>
      <w:r>
        <w:t xml:space="preserve"> chez 1,1 % des patients. Le délai médian </w:t>
      </w:r>
      <w:r w:rsidR="00134A95">
        <w:t>d’apparition</w:t>
      </w:r>
      <w:r>
        <w:t xml:space="preserve"> était de 3 (intervalle : 1 à 4) jours après la dose la plus récente, avec une durée médiane de 2 (intervalle</w:t>
      </w:r>
      <w:r w:rsidR="00F120C4">
        <w:t> </w:t>
      </w:r>
      <w:r>
        <w:t>: 1 à 18) jours.</w:t>
      </w:r>
    </w:p>
    <w:p w14:paraId="23FC4C39" w14:textId="77777777" w:rsidR="00C56B9E" w:rsidRPr="00743D4B" w:rsidRDefault="00C56B9E" w:rsidP="00C56B9E">
      <w:pPr>
        <w:spacing w:line="240" w:lineRule="auto"/>
      </w:pPr>
    </w:p>
    <w:p w14:paraId="2104F0E3" w14:textId="768D729C" w:rsidR="00C56B9E" w:rsidRDefault="00C56B9E" w:rsidP="00C56B9E">
      <w:pPr>
        <w:spacing w:line="240" w:lineRule="auto"/>
        <w:rPr>
          <w:szCs w:val="22"/>
        </w:rPr>
      </w:pPr>
      <w:r>
        <w:t>La survenue d</w:t>
      </w:r>
      <w:r w:rsidR="00E30158">
        <w:t>’un</w:t>
      </w:r>
      <w:r w:rsidR="009C043E">
        <w:t xml:space="preserve"> </w:t>
      </w:r>
      <w:r>
        <w:t xml:space="preserve">ICANS peut être concomitante </w:t>
      </w:r>
      <w:r w:rsidR="00A519C3">
        <w:t>à un</w:t>
      </w:r>
      <w:r>
        <w:t xml:space="preserve"> </w:t>
      </w:r>
      <w:r w:rsidR="00CC6D99">
        <w:t>SRC</w:t>
      </w:r>
      <w:r>
        <w:t xml:space="preserve">, </w:t>
      </w:r>
      <w:r w:rsidR="00A519C3">
        <w:t xml:space="preserve">ou </w:t>
      </w:r>
      <w:r>
        <w:t>ultérieure à la résolution d</w:t>
      </w:r>
      <w:r w:rsidR="00A519C3">
        <w:t>’un</w:t>
      </w:r>
      <w:r>
        <w:t xml:space="preserve"> </w:t>
      </w:r>
      <w:r w:rsidR="00CC6D99">
        <w:t xml:space="preserve">SRC </w:t>
      </w:r>
      <w:r>
        <w:t xml:space="preserve">ou </w:t>
      </w:r>
      <w:r w:rsidR="007171E2">
        <w:t xml:space="preserve">peut être </w:t>
      </w:r>
      <w:r w:rsidR="009D4F5B">
        <w:t>indépendant</w:t>
      </w:r>
      <w:r w:rsidR="007171E2">
        <w:t xml:space="preserve"> de la survenue</w:t>
      </w:r>
      <w:r>
        <w:t xml:space="preserve"> </w:t>
      </w:r>
      <w:r w:rsidR="00CC6D99">
        <w:t>SRC</w:t>
      </w:r>
      <w:r>
        <w:t>. Les symptômes les plus fréquents de l’ICANS sont une altération du niveau de conscience et des scores d’encéphalopathie associée aux cellules effectrices immunitaires (ICE) de grade 1 ou de grade 2</w:t>
      </w:r>
      <w:r w:rsidR="00B1776C">
        <w:t xml:space="preserve"> (voir tableau 3)</w:t>
      </w:r>
      <w:r>
        <w:t>. Parmi les patients ayant développé un ICANS, 66,7 % ont reçu des corticostéroïdes, 33,3 % du tocilizumab (ou du siltuximab), 33,3 % du lévétiracétam et 16,7 % de l’anakinra pour le traitement de l’ICANS.</w:t>
      </w:r>
    </w:p>
    <w:p w14:paraId="559A078F" w14:textId="77777777" w:rsidR="00C56B9E" w:rsidRDefault="00C56B9E" w:rsidP="00C56B9E">
      <w:pPr>
        <w:spacing w:line="240" w:lineRule="auto"/>
      </w:pPr>
    </w:p>
    <w:p w14:paraId="1120E3A6" w14:textId="77777777" w:rsidR="00C56B9E" w:rsidRPr="00743D4B" w:rsidRDefault="00C56B9E" w:rsidP="00AF1088">
      <w:pPr>
        <w:keepNext/>
        <w:autoSpaceDE w:val="0"/>
        <w:autoSpaceDN w:val="0"/>
        <w:adjustRightInd w:val="0"/>
        <w:spacing w:line="240" w:lineRule="auto"/>
        <w:rPr>
          <w:szCs w:val="22"/>
          <w:u w:val="single"/>
        </w:rPr>
      </w:pPr>
      <w:r>
        <w:rPr>
          <w:u w:val="single"/>
        </w:rPr>
        <w:t>Déclaration des effets indésirables suspectés</w:t>
      </w:r>
    </w:p>
    <w:p w14:paraId="170EA9F5" w14:textId="77777777" w:rsidR="002123A7" w:rsidRDefault="002123A7" w:rsidP="00AF1088">
      <w:pPr>
        <w:keepNext/>
        <w:autoSpaceDE w:val="0"/>
        <w:autoSpaceDN w:val="0"/>
        <w:adjustRightInd w:val="0"/>
        <w:spacing w:line="240" w:lineRule="auto"/>
      </w:pPr>
    </w:p>
    <w:p w14:paraId="35CA23F5" w14:textId="1B5F7F51" w:rsidR="00C56B9E" w:rsidRPr="00743D4B" w:rsidRDefault="00C56B9E" w:rsidP="00C56B9E">
      <w:pPr>
        <w:autoSpaceDE w:val="0"/>
        <w:autoSpaceDN w:val="0"/>
        <w:adjustRightInd w:val="0"/>
        <w:spacing w:line="240" w:lineRule="auto"/>
        <w:rPr>
          <w:noProof/>
          <w:szCs w:val="22"/>
        </w:rPr>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F51484">
        <w:rPr>
          <w:highlight w:val="lightGray"/>
        </w:rPr>
        <w:t>le système national de déclaration</w:t>
      </w:r>
      <w:r>
        <w:rPr>
          <w:highlight w:val="lightGray"/>
        </w:rPr>
        <w:t xml:space="preserve"> – </w:t>
      </w:r>
      <w:r w:rsidR="00272897" w:rsidRPr="00F51484">
        <w:rPr>
          <w:rStyle w:val="Hyperlink"/>
          <w:highlight w:val="lightGray"/>
        </w:rPr>
        <w:t xml:space="preserve">voir </w:t>
      </w:r>
      <w:hyperlink r:id="rId9" w:history="1">
        <w:r w:rsidR="00272897" w:rsidRPr="00F51484">
          <w:rPr>
            <w:rStyle w:val="Hyperlink"/>
            <w:highlight w:val="lightGray"/>
          </w:rPr>
          <w:t>Annexe V</w:t>
        </w:r>
      </w:hyperlink>
      <w:r>
        <w:t>.</w:t>
      </w:r>
    </w:p>
    <w:p w14:paraId="26D240E0" w14:textId="77777777" w:rsidR="002748D8" w:rsidRPr="00743D4B" w:rsidRDefault="002748D8" w:rsidP="002748D8">
      <w:pPr>
        <w:spacing w:line="240" w:lineRule="auto"/>
        <w:rPr>
          <w:noProof/>
          <w:szCs w:val="22"/>
        </w:rPr>
      </w:pPr>
    </w:p>
    <w:p w14:paraId="6B0FA72A" w14:textId="77777777" w:rsidR="00241974" w:rsidRPr="00BF6F4F" w:rsidRDefault="00812D16" w:rsidP="00241974">
      <w:pPr>
        <w:keepNext/>
        <w:spacing w:line="240" w:lineRule="auto"/>
        <w:ind w:left="562" w:hanging="562"/>
        <w:outlineLvl w:val="0"/>
        <w:rPr>
          <w:noProof/>
          <w:szCs w:val="22"/>
        </w:rPr>
      </w:pPr>
      <w:r>
        <w:rPr>
          <w:b/>
        </w:rPr>
        <w:t>4.9</w:t>
      </w:r>
      <w:r>
        <w:rPr>
          <w:b/>
        </w:rPr>
        <w:tab/>
        <w:t>Surdosage</w:t>
      </w:r>
    </w:p>
    <w:p w14:paraId="528CF5A3" w14:textId="77777777" w:rsidR="00812D16" w:rsidRPr="00BF6F4F" w:rsidRDefault="00812D16" w:rsidP="00CE5102">
      <w:pPr>
        <w:keepNext/>
        <w:spacing w:line="240" w:lineRule="auto"/>
        <w:rPr>
          <w:noProof/>
          <w:szCs w:val="22"/>
        </w:rPr>
      </w:pPr>
    </w:p>
    <w:p w14:paraId="04B83FF7" w14:textId="77777777" w:rsidR="0073386D" w:rsidRDefault="0073386D" w:rsidP="0073386D">
      <w:pPr>
        <w:spacing w:line="240" w:lineRule="auto"/>
        <w:rPr>
          <w:u w:val="single"/>
        </w:rPr>
      </w:pPr>
      <w:r>
        <w:rPr>
          <w:u w:val="single"/>
        </w:rPr>
        <w:t>Symptômes et signes</w:t>
      </w:r>
    </w:p>
    <w:p w14:paraId="1935174C" w14:textId="77777777" w:rsidR="002123A7" w:rsidRDefault="002123A7" w:rsidP="0073386D">
      <w:pPr>
        <w:spacing w:line="240" w:lineRule="auto"/>
      </w:pPr>
    </w:p>
    <w:p w14:paraId="2B7AA0BA" w14:textId="41BE48CB" w:rsidR="0073386D" w:rsidRDefault="000E777F" w:rsidP="00545978">
      <w:pPr>
        <w:widowControl w:val="0"/>
        <w:spacing w:line="240" w:lineRule="auto"/>
        <w:rPr>
          <w:szCs w:val="22"/>
        </w:rPr>
      </w:pPr>
      <w:r>
        <w:t xml:space="preserve">Peu de </w:t>
      </w:r>
      <w:r w:rsidR="0073386D">
        <w:t xml:space="preserve">cas de surdosage </w:t>
      </w:r>
      <w:r>
        <w:t xml:space="preserve">ont </w:t>
      </w:r>
      <w:r w:rsidR="0073386D">
        <w:t>été rapporté</w:t>
      </w:r>
      <w:r>
        <w:t>s</w:t>
      </w:r>
      <w:r w:rsidR="0073386D">
        <w:t xml:space="preserve"> au cours des études cliniques. La dose maximale tolérée </w:t>
      </w:r>
      <w:r w:rsidR="0073386D">
        <w:lastRenderedPageBreak/>
        <w:t>d’elranatamab n’a pas été déterminée. Au cours des études cliniques, des doses allant jusqu’à 76 mg 1</w:t>
      </w:r>
      <w:r w:rsidR="002123A7">
        <w:t xml:space="preserve"> fois par s</w:t>
      </w:r>
      <w:r w:rsidR="00793A5D">
        <w:t>emaine</w:t>
      </w:r>
      <w:r w:rsidR="0073386D">
        <w:t xml:space="preserve"> ont été administrées.</w:t>
      </w:r>
    </w:p>
    <w:p w14:paraId="1A74C9AD" w14:textId="77777777" w:rsidR="0073386D" w:rsidRDefault="0073386D" w:rsidP="0073386D">
      <w:pPr>
        <w:spacing w:line="240" w:lineRule="auto"/>
        <w:rPr>
          <w:szCs w:val="22"/>
          <w:u w:val="single"/>
        </w:rPr>
      </w:pPr>
    </w:p>
    <w:p w14:paraId="0D69BDFA" w14:textId="77777777" w:rsidR="0073386D" w:rsidRPr="00BF6F4F" w:rsidRDefault="0073386D" w:rsidP="004D5BF3">
      <w:pPr>
        <w:keepNext/>
        <w:spacing w:line="240" w:lineRule="auto"/>
        <w:rPr>
          <w:noProof/>
          <w:szCs w:val="22"/>
          <w:u w:val="single"/>
        </w:rPr>
      </w:pPr>
      <w:r>
        <w:rPr>
          <w:u w:val="single"/>
        </w:rPr>
        <w:t>Traitement</w:t>
      </w:r>
    </w:p>
    <w:p w14:paraId="116DDC6C" w14:textId="77777777" w:rsidR="002123A7" w:rsidRDefault="002123A7" w:rsidP="0073386D">
      <w:pPr>
        <w:spacing w:line="240" w:lineRule="auto"/>
      </w:pPr>
    </w:p>
    <w:p w14:paraId="2CA9E847" w14:textId="0F1E1DE7" w:rsidR="0073386D" w:rsidRPr="00BF6F4F" w:rsidRDefault="0073386D" w:rsidP="0073386D">
      <w:pPr>
        <w:spacing w:line="240" w:lineRule="auto"/>
        <w:rPr>
          <w:noProof/>
          <w:szCs w:val="22"/>
        </w:rPr>
      </w:pPr>
      <w:r>
        <w:t xml:space="preserve">En cas de surdosage, le patient doit faire l’objet d’une surveillance </w:t>
      </w:r>
      <w:r w:rsidR="004E574A">
        <w:t>afin</w:t>
      </w:r>
      <w:r>
        <w:t xml:space="preserve"> de détecter tout signe ou symptôme d’effet indésirable et un traitement de </w:t>
      </w:r>
      <w:r w:rsidR="005F5FF4">
        <w:t xml:space="preserve">support </w:t>
      </w:r>
      <w:r>
        <w:t>approprié doit être mis en place immédiatement.</w:t>
      </w:r>
    </w:p>
    <w:p w14:paraId="0D40B813" w14:textId="77777777" w:rsidR="00FE1BD0" w:rsidRPr="00743D4B" w:rsidRDefault="00FE1BD0" w:rsidP="00674492">
      <w:pPr>
        <w:spacing w:line="240" w:lineRule="auto"/>
        <w:rPr>
          <w:noProof/>
          <w:szCs w:val="22"/>
        </w:rPr>
      </w:pPr>
    </w:p>
    <w:p w14:paraId="06E260EF" w14:textId="77777777" w:rsidR="00302D93" w:rsidRPr="00743D4B" w:rsidRDefault="00302D93" w:rsidP="003D08BD">
      <w:pPr>
        <w:spacing w:line="240" w:lineRule="auto"/>
        <w:rPr>
          <w:noProof/>
          <w:szCs w:val="22"/>
        </w:rPr>
      </w:pPr>
    </w:p>
    <w:p w14:paraId="35AD74DC" w14:textId="77777777" w:rsidR="00812D16" w:rsidRPr="00743D4B" w:rsidRDefault="00812D16" w:rsidP="005E1C79">
      <w:pPr>
        <w:keepNext/>
        <w:spacing w:line="240" w:lineRule="auto"/>
        <w:rPr>
          <w:szCs w:val="22"/>
        </w:rPr>
      </w:pPr>
      <w:r>
        <w:rPr>
          <w:b/>
        </w:rPr>
        <w:t>5.</w:t>
      </w:r>
      <w:r>
        <w:rPr>
          <w:b/>
        </w:rPr>
        <w:tab/>
        <w:t>PROPRIÉTÉS PHARMACOLOGIQUES</w:t>
      </w:r>
    </w:p>
    <w:p w14:paraId="5A68F310" w14:textId="77777777" w:rsidR="00812D16" w:rsidRPr="00743D4B" w:rsidRDefault="00812D16" w:rsidP="005E1C79">
      <w:pPr>
        <w:keepNext/>
        <w:spacing w:line="240" w:lineRule="auto"/>
        <w:rPr>
          <w:szCs w:val="22"/>
        </w:rPr>
      </w:pPr>
    </w:p>
    <w:p w14:paraId="0741902C" w14:textId="77777777" w:rsidR="00812D16" w:rsidRPr="00743D4B" w:rsidRDefault="00812D16" w:rsidP="005E1C79">
      <w:pPr>
        <w:keepNext/>
        <w:spacing w:line="240" w:lineRule="auto"/>
        <w:ind w:left="567" w:hanging="567"/>
        <w:outlineLvl w:val="0"/>
        <w:rPr>
          <w:szCs w:val="22"/>
        </w:rPr>
      </w:pPr>
      <w:r>
        <w:rPr>
          <w:b/>
        </w:rPr>
        <w:t>5.1</w:t>
      </w:r>
      <w:r>
        <w:rPr>
          <w:b/>
        </w:rPr>
        <w:tab/>
        <w:t>Propriétés pharmacodynamiques</w:t>
      </w:r>
    </w:p>
    <w:p w14:paraId="794495EA" w14:textId="77777777" w:rsidR="00812D16" w:rsidRPr="00743D4B" w:rsidRDefault="00812D16" w:rsidP="005E1C79">
      <w:pPr>
        <w:keepNext/>
        <w:spacing w:line="240" w:lineRule="auto"/>
        <w:rPr>
          <w:szCs w:val="22"/>
        </w:rPr>
      </w:pPr>
    </w:p>
    <w:p w14:paraId="5738191C" w14:textId="3779E73C" w:rsidR="00B6095C" w:rsidRPr="00743D4B" w:rsidRDefault="00B6095C" w:rsidP="00B6095C">
      <w:pPr>
        <w:spacing w:line="240" w:lineRule="auto"/>
        <w:rPr>
          <w:szCs w:val="22"/>
        </w:rPr>
      </w:pPr>
      <w:r>
        <w:t xml:space="preserve">Classe pharmacothérapeutique : </w:t>
      </w:r>
      <w:r w:rsidR="00B41432">
        <w:t>A</w:t>
      </w:r>
      <w:r w:rsidR="002123A7">
        <w:t>nticorps monoclonaux et conjugués anticorps-médicaments</w:t>
      </w:r>
      <w:r>
        <w:t>, Code ATC</w:t>
      </w:r>
      <w:r w:rsidR="007E291C">
        <w:t> </w:t>
      </w:r>
      <w:r>
        <w:t xml:space="preserve">: </w:t>
      </w:r>
      <w:r w:rsidR="00EB6812" w:rsidRPr="000E777F">
        <w:t>L01FX32</w:t>
      </w:r>
    </w:p>
    <w:p w14:paraId="1E281E9E" w14:textId="77777777" w:rsidR="00B6095C" w:rsidRPr="00743D4B" w:rsidRDefault="00B6095C" w:rsidP="00B6095C">
      <w:pPr>
        <w:spacing w:line="240" w:lineRule="auto"/>
        <w:rPr>
          <w:b/>
          <w:szCs w:val="22"/>
        </w:rPr>
      </w:pPr>
    </w:p>
    <w:p w14:paraId="042B45E7" w14:textId="77777777" w:rsidR="00B6095C" w:rsidRDefault="00B6095C" w:rsidP="00B6095C">
      <w:pPr>
        <w:autoSpaceDE w:val="0"/>
        <w:autoSpaceDN w:val="0"/>
        <w:adjustRightInd w:val="0"/>
        <w:spacing w:line="240" w:lineRule="auto"/>
        <w:rPr>
          <w:szCs w:val="22"/>
          <w:u w:val="single"/>
        </w:rPr>
      </w:pPr>
      <w:r>
        <w:rPr>
          <w:u w:val="single"/>
        </w:rPr>
        <w:t>Mécanisme d’action</w:t>
      </w:r>
    </w:p>
    <w:p w14:paraId="7F2D475E" w14:textId="77777777" w:rsidR="00B1776C" w:rsidRDefault="00B1776C" w:rsidP="00B6095C">
      <w:pPr>
        <w:autoSpaceDE w:val="0"/>
        <w:autoSpaceDN w:val="0"/>
        <w:adjustRightInd w:val="0"/>
        <w:spacing w:line="240" w:lineRule="auto"/>
      </w:pPr>
    </w:p>
    <w:p w14:paraId="0B2572BB" w14:textId="5AA8B765" w:rsidR="00B6095C" w:rsidRPr="00BF6F4F" w:rsidRDefault="002123A7" w:rsidP="00B6095C">
      <w:pPr>
        <w:autoSpaceDE w:val="0"/>
        <w:autoSpaceDN w:val="0"/>
        <w:adjustRightInd w:val="0"/>
        <w:spacing w:line="240" w:lineRule="auto"/>
        <w:rPr>
          <w:szCs w:val="22"/>
        </w:rPr>
      </w:pPr>
      <w:r>
        <w:t>L’elranatamab</w:t>
      </w:r>
      <w:r w:rsidR="00B6095C">
        <w:t xml:space="preserve"> est un anticorps bispécifique </w:t>
      </w:r>
      <w:r w:rsidR="002766E3" w:rsidRPr="002766E3">
        <w:t>engageant les lymphocytes</w:t>
      </w:r>
      <w:r w:rsidR="002766E3">
        <w:t> </w:t>
      </w:r>
      <w:r w:rsidR="002766E3" w:rsidRPr="002766E3">
        <w:t xml:space="preserve">T </w:t>
      </w:r>
      <w:r w:rsidR="00B6095C">
        <w:t xml:space="preserve">qui se lie </w:t>
      </w:r>
      <w:r>
        <w:t>au</w:t>
      </w:r>
      <w:r w:rsidR="008F1C08">
        <w:t xml:space="preserve"> </w:t>
      </w:r>
      <w:r>
        <w:t xml:space="preserve">CD3-epsilon sur les lymphocytes T et à l’antigène de maturation des lymphocytes B </w:t>
      </w:r>
      <w:r w:rsidR="00B90BF6">
        <w:t>(</w:t>
      </w:r>
      <w:r w:rsidR="00B6095C">
        <w:t>BCMA</w:t>
      </w:r>
      <w:r w:rsidR="00B90BF6">
        <w:t>)</w:t>
      </w:r>
      <w:r w:rsidR="003A5C68">
        <w:t xml:space="preserve"> exprimé </w:t>
      </w:r>
      <w:r w:rsidR="00B6095C">
        <w:t>sur les plasmocytes</w:t>
      </w:r>
      <w:r w:rsidR="00B90BF6">
        <w:t>, les</w:t>
      </w:r>
      <w:r w:rsidR="00B6095C">
        <w:t xml:space="preserve"> plasmablastes et les cellules </w:t>
      </w:r>
      <w:r w:rsidR="00C32959">
        <w:t>myélomateuse</w:t>
      </w:r>
      <w:r w:rsidR="00682BA1">
        <w:t>s</w:t>
      </w:r>
      <w:r w:rsidR="00B6095C">
        <w:t>. La liaison d</w:t>
      </w:r>
      <w:r w:rsidR="00B90BF6">
        <w:t>e l’elranatamab</w:t>
      </w:r>
      <w:r w:rsidR="00B6095C">
        <w:t xml:space="preserve"> au BCMA </w:t>
      </w:r>
      <w:r w:rsidR="00C32959">
        <w:t xml:space="preserve">exprimé </w:t>
      </w:r>
      <w:r w:rsidR="00B6095C">
        <w:t>sur les cellules tumorales et au CD3</w:t>
      </w:r>
      <w:r w:rsidR="00C32959">
        <w:t xml:space="preserve"> exprimé</w:t>
      </w:r>
      <w:r w:rsidR="00B6095C">
        <w:t xml:space="preserve"> sur les lymphocytes T est indépendante de la spécificité du récepteur des lymphocytes T (TCR) natif ou de la dépendance aux molécules du complexe majeur d’histocompatibilité (CMH) de classe 1. </w:t>
      </w:r>
      <w:bookmarkStart w:id="10" w:name="_Hlk147927823"/>
      <w:r w:rsidR="00B90BF6">
        <w:t xml:space="preserve">L’elranatamab </w:t>
      </w:r>
      <w:r w:rsidR="00B6095C">
        <w:t xml:space="preserve">a activé les lymphocytes T, entraîné la </w:t>
      </w:r>
      <w:r w:rsidR="0037397A" w:rsidRPr="00B90BF6">
        <w:t>relargage</w:t>
      </w:r>
      <w:r w:rsidR="0037397A">
        <w:t xml:space="preserve"> </w:t>
      </w:r>
      <w:r w:rsidR="00B6095C">
        <w:t>des cytokines pro-inflammatoires et provoqué la lyse des cellules du myélome multiple.</w:t>
      </w:r>
    </w:p>
    <w:bookmarkEnd w:id="10"/>
    <w:p w14:paraId="36AF322C" w14:textId="77777777" w:rsidR="00B6095C" w:rsidRPr="00743D4B" w:rsidRDefault="00B6095C" w:rsidP="00B6095C">
      <w:pPr>
        <w:shd w:val="clear" w:color="auto" w:fill="FFFFFF"/>
        <w:spacing w:line="240" w:lineRule="auto"/>
        <w:rPr>
          <w:szCs w:val="22"/>
        </w:rPr>
      </w:pPr>
    </w:p>
    <w:p w14:paraId="7A248B56" w14:textId="77777777" w:rsidR="00B6095C" w:rsidRPr="00BF6F4F" w:rsidRDefault="00B6095C" w:rsidP="00B6095C">
      <w:pPr>
        <w:autoSpaceDE w:val="0"/>
        <w:autoSpaceDN w:val="0"/>
        <w:adjustRightInd w:val="0"/>
        <w:spacing w:line="240" w:lineRule="auto"/>
        <w:rPr>
          <w:szCs w:val="22"/>
          <w:u w:val="single"/>
        </w:rPr>
      </w:pPr>
      <w:r>
        <w:rPr>
          <w:u w:val="single"/>
        </w:rPr>
        <w:t>Effets pharmacodynamiques</w:t>
      </w:r>
    </w:p>
    <w:p w14:paraId="67025BC6" w14:textId="77777777" w:rsidR="00B6095C" w:rsidRDefault="00B6095C" w:rsidP="00B6095C">
      <w:pPr>
        <w:shd w:val="clear" w:color="auto" w:fill="FFFFFF"/>
        <w:spacing w:line="240" w:lineRule="auto"/>
        <w:rPr>
          <w:szCs w:val="22"/>
        </w:rPr>
      </w:pPr>
    </w:p>
    <w:p w14:paraId="6087ACBE" w14:textId="77777777" w:rsidR="00B6095C" w:rsidRPr="00B370BD" w:rsidRDefault="00B6095C" w:rsidP="00793E0F">
      <w:pPr>
        <w:spacing w:line="240" w:lineRule="auto"/>
        <w:rPr>
          <w:i/>
          <w:iCs/>
          <w:noProof/>
          <w:szCs w:val="22"/>
        </w:rPr>
      </w:pPr>
      <w:r>
        <w:rPr>
          <w:i/>
        </w:rPr>
        <w:t>Immunogénicité</w:t>
      </w:r>
    </w:p>
    <w:p w14:paraId="4FFAF1DA" w14:textId="15908C4A" w:rsidR="00B6095C" w:rsidRPr="00743D4B" w:rsidRDefault="00B6095C" w:rsidP="00B6095C">
      <w:pPr>
        <w:shd w:val="clear" w:color="auto" w:fill="FFFFFF"/>
        <w:spacing w:line="240" w:lineRule="auto"/>
        <w:rPr>
          <w:szCs w:val="22"/>
          <w:shd w:val="clear" w:color="auto" w:fill="FFFFFF"/>
        </w:rPr>
      </w:pPr>
      <w:r>
        <w:rPr>
          <w:shd w:val="clear" w:color="auto" w:fill="FFFFFF"/>
        </w:rPr>
        <w:t xml:space="preserve">Au cours du traitement par </w:t>
      </w:r>
      <w:r w:rsidR="00B90BF6">
        <w:rPr>
          <w:shd w:val="clear" w:color="auto" w:fill="FFFFFF"/>
        </w:rPr>
        <w:t xml:space="preserve">elranatamab </w:t>
      </w:r>
      <w:r>
        <w:rPr>
          <w:shd w:val="clear" w:color="auto" w:fill="FFFFFF"/>
        </w:rPr>
        <w:t>à la dose recommandée</w:t>
      </w:r>
      <w:r w:rsidR="000E777F">
        <w:rPr>
          <w:shd w:val="clear" w:color="auto" w:fill="FFFFFF"/>
        </w:rPr>
        <w:t xml:space="preserve"> pendant l’étude </w:t>
      </w:r>
      <w:r w:rsidR="000E777F" w:rsidRPr="000E777F">
        <w:rPr>
          <w:shd w:val="clear" w:color="auto" w:fill="FFFFFF"/>
        </w:rPr>
        <w:t>MagnetisMM-3</w:t>
      </w:r>
      <w:r>
        <w:rPr>
          <w:shd w:val="clear" w:color="auto" w:fill="FFFFFF"/>
        </w:rPr>
        <w:t>, des anticorps anti</w:t>
      </w:r>
      <w:r>
        <w:rPr>
          <w:shd w:val="clear" w:color="auto" w:fill="FFFFFF"/>
        </w:rPr>
        <w:noBreakHyphen/>
      </w:r>
      <w:r w:rsidR="00B90BF6">
        <w:rPr>
          <w:shd w:val="clear" w:color="auto" w:fill="FFFFFF"/>
        </w:rPr>
        <w:t xml:space="preserve">médicament (AAM) ont été détectés chez </w:t>
      </w:r>
      <w:r w:rsidR="000E777F">
        <w:rPr>
          <w:shd w:val="clear" w:color="auto" w:fill="FFFFFF"/>
        </w:rPr>
        <w:t>9,5</w:t>
      </w:r>
      <w:r w:rsidR="00B90BF6">
        <w:rPr>
          <w:shd w:val="clear" w:color="auto" w:fill="FFFFFF"/>
        </w:rPr>
        <w:t> % des participants</w:t>
      </w:r>
      <w:r>
        <w:rPr>
          <w:shd w:val="clear" w:color="auto" w:fill="FFFFFF"/>
        </w:rPr>
        <w:t>. Aucun</w:t>
      </w:r>
      <w:r w:rsidR="00B90BF6">
        <w:rPr>
          <w:shd w:val="clear" w:color="auto" w:fill="FFFFFF"/>
        </w:rPr>
        <w:t>e preuve d’</w:t>
      </w:r>
      <w:r w:rsidR="00C42155">
        <w:rPr>
          <w:shd w:val="clear" w:color="auto" w:fill="FFFFFF"/>
        </w:rPr>
        <w:t xml:space="preserve">un </w:t>
      </w:r>
      <w:r w:rsidR="00B90BF6">
        <w:rPr>
          <w:shd w:val="clear" w:color="auto" w:fill="FFFFFF"/>
        </w:rPr>
        <w:t>impact</w:t>
      </w:r>
      <w:r>
        <w:rPr>
          <w:shd w:val="clear" w:color="auto" w:fill="FFFFFF"/>
        </w:rPr>
        <w:t xml:space="preserve"> des AAM n’a été </w:t>
      </w:r>
      <w:r w:rsidR="00B90BF6">
        <w:rPr>
          <w:shd w:val="clear" w:color="auto" w:fill="FFFFFF"/>
        </w:rPr>
        <w:t xml:space="preserve">observée </w:t>
      </w:r>
      <w:r>
        <w:rPr>
          <w:shd w:val="clear" w:color="auto" w:fill="FFFFFF"/>
        </w:rPr>
        <w:t xml:space="preserve">sur la pharmacocinétique, </w:t>
      </w:r>
      <w:r w:rsidR="00B90BF6">
        <w:rPr>
          <w:shd w:val="clear" w:color="auto" w:fill="FFFFFF"/>
        </w:rPr>
        <w:t xml:space="preserve">l’efficacité ou </w:t>
      </w:r>
      <w:r>
        <w:rPr>
          <w:shd w:val="clear" w:color="auto" w:fill="FFFFFF"/>
        </w:rPr>
        <w:t>la sécurité</w:t>
      </w:r>
      <w:r w:rsidR="00B90BF6">
        <w:rPr>
          <w:shd w:val="clear" w:color="auto" w:fill="FFFFFF"/>
        </w:rPr>
        <w:t> ; toutefois les données sont encore limitées</w:t>
      </w:r>
      <w:r>
        <w:rPr>
          <w:shd w:val="clear" w:color="auto" w:fill="FFFFFF"/>
        </w:rPr>
        <w:t>.</w:t>
      </w:r>
    </w:p>
    <w:p w14:paraId="691D298F" w14:textId="77777777" w:rsidR="00B6095C" w:rsidRPr="00743D4B" w:rsidRDefault="00B6095C" w:rsidP="00B6095C">
      <w:pPr>
        <w:autoSpaceDE w:val="0"/>
        <w:autoSpaceDN w:val="0"/>
        <w:adjustRightInd w:val="0"/>
        <w:spacing w:line="240" w:lineRule="auto"/>
        <w:rPr>
          <w:szCs w:val="22"/>
        </w:rPr>
      </w:pPr>
    </w:p>
    <w:p w14:paraId="1ED04C56" w14:textId="77777777" w:rsidR="00812D16" w:rsidRPr="00BF6F4F" w:rsidRDefault="00812D16" w:rsidP="00302D93">
      <w:pPr>
        <w:keepNext/>
        <w:autoSpaceDE w:val="0"/>
        <w:autoSpaceDN w:val="0"/>
        <w:adjustRightInd w:val="0"/>
        <w:spacing w:line="240" w:lineRule="auto"/>
        <w:rPr>
          <w:szCs w:val="22"/>
          <w:u w:val="single"/>
        </w:rPr>
      </w:pPr>
      <w:r>
        <w:rPr>
          <w:u w:val="single"/>
        </w:rPr>
        <w:t>Efficacité et sécurité cliniques</w:t>
      </w:r>
    </w:p>
    <w:p w14:paraId="380D3C9C" w14:textId="77777777" w:rsidR="00C00CAF" w:rsidRPr="00BF6F4F" w:rsidRDefault="00C00CAF" w:rsidP="00302D93">
      <w:pPr>
        <w:keepNext/>
        <w:autoSpaceDE w:val="0"/>
        <w:autoSpaceDN w:val="0"/>
        <w:adjustRightInd w:val="0"/>
        <w:spacing w:line="240" w:lineRule="auto"/>
        <w:rPr>
          <w:szCs w:val="22"/>
        </w:rPr>
      </w:pPr>
    </w:p>
    <w:p w14:paraId="6EDAFD71" w14:textId="77777777" w:rsidR="00BD4CBF" w:rsidRPr="00BF6F4F" w:rsidRDefault="00BD4CBF" w:rsidP="00CD7C38">
      <w:pPr>
        <w:keepNext/>
        <w:spacing w:line="240" w:lineRule="auto"/>
        <w:rPr>
          <w:i/>
          <w:iCs/>
          <w:szCs w:val="22"/>
        </w:rPr>
      </w:pPr>
      <w:r>
        <w:rPr>
          <w:i/>
        </w:rPr>
        <w:t>Myélome multiple en rechute ou réfractaire</w:t>
      </w:r>
    </w:p>
    <w:p w14:paraId="6239D0E9" w14:textId="1CB76778" w:rsidR="00450FEC" w:rsidRPr="00BF6F4F" w:rsidRDefault="00450FEC" w:rsidP="00450FEC">
      <w:pPr>
        <w:spacing w:line="240" w:lineRule="auto"/>
        <w:rPr>
          <w:b/>
          <w:bCs/>
        </w:rPr>
      </w:pPr>
      <w:r>
        <w:t xml:space="preserve">L’efficacité d’ELREXFIO en monothérapie a été évaluée chez des patients atteints de myélome multiple en rechute ou réfractaire dans le cadre d’une étude de phase II en ouvert, non randomisée et multicentrique (MagnetisMM-3). L’étude incluait des patients réfractaires à au moins un inhibiteur du protéasome (IP), un agent immunomodulateur (IMiD) et un anticorps monoclonal anti-CD38. L’étude </w:t>
      </w:r>
      <w:bookmarkStart w:id="11" w:name="_Hlk93579950"/>
      <w:r>
        <w:t xml:space="preserve">MagnetisMM-3 </w:t>
      </w:r>
      <w:bookmarkEnd w:id="11"/>
      <w:r>
        <w:t xml:space="preserve">a inclus 123 patients naïfs de traitement </w:t>
      </w:r>
      <w:r w:rsidR="00505842">
        <w:t xml:space="preserve">antérieur </w:t>
      </w:r>
      <w:r>
        <w:t>ciblant le BCMA (cohorte pivot A)</w:t>
      </w:r>
      <w:r w:rsidR="00B1776C">
        <w:t>.</w:t>
      </w:r>
      <w:r w:rsidR="00F46ED6">
        <w:t xml:space="preserve"> </w:t>
      </w:r>
      <w:r>
        <w:t xml:space="preserve">Les patients présentaient une maladie mesurable selon les critères de l’International </w:t>
      </w:r>
      <w:r w:rsidR="00B90BF6">
        <w:t>m</w:t>
      </w:r>
      <w:r>
        <w:t xml:space="preserve">yeloma </w:t>
      </w:r>
      <w:r w:rsidR="00B90BF6">
        <w:t>w</w:t>
      </w:r>
      <w:r>
        <w:t xml:space="preserve">orking </w:t>
      </w:r>
      <w:r w:rsidR="00B90BF6">
        <w:t>g</w:t>
      </w:r>
      <w:r>
        <w:t xml:space="preserve">roup (IMWG) au moment du recrutement. </w:t>
      </w:r>
      <w:r w:rsidR="006C38BF">
        <w:t>Pour être inclus dans l’étude les patients devaient présenter</w:t>
      </w:r>
      <w:r>
        <w:t xml:space="preserve"> un score ECOG ≤ 2, </w:t>
      </w:r>
      <w:r w:rsidR="00DB6D03">
        <w:t>une fonction médullaire</w:t>
      </w:r>
      <w:r>
        <w:t xml:space="preserve"> adéquate à l’inclusion (numération absolue des neutrophiles ≥ 1,0</w:t>
      </w:r>
      <w:r w:rsidR="005A198A">
        <w:t> × </w:t>
      </w:r>
      <w:r>
        <w:t>10</w:t>
      </w:r>
      <w:r>
        <w:rPr>
          <w:vertAlign w:val="superscript"/>
        </w:rPr>
        <w:t>9</w:t>
      </w:r>
      <w:r w:rsidR="001C17CF">
        <w:t>/</w:t>
      </w:r>
      <w:r w:rsidR="00AC4222">
        <w:t>L</w:t>
      </w:r>
      <w:r>
        <w:t>, numération plaquettaire ≥ 25 </w:t>
      </w:r>
      <w:r w:rsidR="005A198A">
        <w:t>×</w:t>
      </w:r>
      <w:r>
        <w:t> 10</w:t>
      </w:r>
      <w:r>
        <w:rPr>
          <w:vertAlign w:val="superscript"/>
        </w:rPr>
        <w:t>9</w:t>
      </w:r>
      <w:r w:rsidR="001C17CF">
        <w:t>/</w:t>
      </w:r>
      <w:r w:rsidR="00AC4222">
        <w:t>L</w:t>
      </w:r>
      <w:r>
        <w:t>, taux d’hémoglobine ≥ 8 g/d</w:t>
      </w:r>
      <w:r w:rsidR="00AC4222">
        <w:t>L</w:t>
      </w:r>
      <w:r>
        <w:t>), une fonction rénale (ClCr ≥ 30 </w:t>
      </w:r>
      <w:r w:rsidR="001C17CF">
        <w:t>m</w:t>
      </w:r>
      <w:r w:rsidR="00FE7BBE">
        <w:t>L</w:t>
      </w:r>
      <w:r>
        <w:t xml:space="preserve">/min) et hépatique </w:t>
      </w:r>
      <w:r w:rsidR="005A198A">
        <w:t xml:space="preserve">[aspartate aminotransférase </w:t>
      </w:r>
      <w:r>
        <w:t>(AST</w:t>
      </w:r>
      <w:r w:rsidR="005A198A">
        <w:t>)</w:t>
      </w:r>
      <w:r>
        <w:t xml:space="preserve"> et </w:t>
      </w:r>
      <w:r w:rsidR="005A198A">
        <w:t>alanine transaminase (</w:t>
      </w:r>
      <w:r>
        <w:t>ALT</w:t>
      </w:r>
      <w:r w:rsidR="005A198A">
        <w:t>)</w:t>
      </w:r>
      <w:r>
        <w:t xml:space="preserve"> ≤ 2,5 </w:t>
      </w:r>
      <w:r w:rsidR="005A198A">
        <w:t>×</w:t>
      </w:r>
      <w:r>
        <w:t> </w:t>
      </w:r>
      <w:r w:rsidR="005A198A">
        <w:t>limite supérieure de la normale (</w:t>
      </w:r>
      <w:r>
        <w:t>LSN</w:t>
      </w:r>
      <w:r w:rsidR="005A198A">
        <w:t>)]</w:t>
      </w:r>
      <w:r>
        <w:t>, bilirubine totale ≤ 2 </w:t>
      </w:r>
      <w:r w:rsidR="005A198A">
        <w:t>×</w:t>
      </w:r>
      <w:r>
        <w:t> LSN)</w:t>
      </w:r>
      <w:r w:rsidR="006C79F7">
        <w:t xml:space="preserve"> adéquates</w:t>
      </w:r>
      <w:r>
        <w:t>, et une fraction d’éjection ventriculaire gauche ≥</w:t>
      </w:r>
      <w:r w:rsidR="00AD24A4">
        <w:t> </w:t>
      </w:r>
      <w:r>
        <w:t xml:space="preserve">40 %. Les patients atteints de myélome multiple indolent, de leucémie à plasmocytes active, d’amyloïdose, de </w:t>
      </w:r>
      <w:r w:rsidR="00B1776C">
        <w:t>POEMS (</w:t>
      </w:r>
      <w:r>
        <w:t xml:space="preserve">syndrome </w:t>
      </w:r>
      <w:r w:rsidR="0008687A">
        <w:t>de polyneuropathie, organomégalie, endocrinopathie, trouble des cellules plasmatiques monoclonales et altérations cutanées</w:t>
      </w:r>
      <w:r w:rsidR="00B1776C">
        <w:t>)</w:t>
      </w:r>
      <w:r>
        <w:t xml:space="preserve">, </w:t>
      </w:r>
      <w:r w:rsidR="00343E8C">
        <w:t xml:space="preserve">ou ayant reçu une </w:t>
      </w:r>
      <w:r>
        <w:t xml:space="preserve">greffe de cellules souches dans les 12 semaines précédant </w:t>
      </w:r>
      <w:r w:rsidR="001D6A97">
        <w:t>l’inclusion</w:t>
      </w:r>
      <w:r w:rsidR="0008687A">
        <w:t>,</w:t>
      </w:r>
      <w:r>
        <w:t xml:space="preserve"> </w:t>
      </w:r>
      <w:r w:rsidR="007D7467">
        <w:t xml:space="preserve">soufrant </w:t>
      </w:r>
      <w:r>
        <w:t>d’infections actives</w:t>
      </w:r>
      <w:r w:rsidR="003C7E00">
        <w:t>,</w:t>
      </w:r>
      <w:r w:rsidR="0008687A">
        <w:t xml:space="preserve"> de neuropathies et</w:t>
      </w:r>
      <w:r w:rsidR="003C7E00">
        <w:t xml:space="preserve"> de</w:t>
      </w:r>
      <w:r w:rsidR="0008687A">
        <w:t xml:space="preserve"> maladies cardiovasculaires cliniquement significatives </w:t>
      </w:r>
      <w:r>
        <w:t>n’ont pas été inclus dans l’étude.</w:t>
      </w:r>
    </w:p>
    <w:p w14:paraId="5F105408" w14:textId="77777777" w:rsidR="00450FEC" w:rsidRPr="00743D4B" w:rsidRDefault="00450FEC" w:rsidP="00450FEC">
      <w:pPr>
        <w:spacing w:line="240" w:lineRule="auto"/>
      </w:pPr>
    </w:p>
    <w:p w14:paraId="1074AB7F" w14:textId="364B9507" w:rsidR="00F044A3" w:rsidRPr="00BF6F4F" w:rsidRDefault="00450FEC" w:rsidP="00450FEC">
      <w:pPr>
        <w:spacing w:line="240" w:lineRule="auto"/>
        <w:rPr>
          <w:bCs/>
          <w:szCs w:val="22"/>
        </w:rPr>
      </w:pPr>
      <w:r>
        <w:lastRenderedPageBreak/>
        <w:t xml:space="preserve">Les patients ont reçu une administration sous-cutanée d’ELREXFIO à des doses </w:t>
      </w:r>
      <w:r w:rsidR="00D41EBB" w:rsidRPr="00F6619F">
        <w:t>croissantes</w:t>
      </w:r>
      <w:r w:rsidR="0074070D" w:rsidRPr="00F6619F">
        <w:t xml:space="preserve"> (phase d’escalade de dose)</w:t>
      </w:r>
      <w:r w:rsidR="00D41EBB">
        <w:t xml:space="preserve"> </w:t>
      </w:r>
      <w:r>
        <w:t xml:space="preserve">de 12 mg </w:t>
      </w:r>
      <w:r w:rsidR="0095650F">
        <w:t>au</w:t>
      </w:r>
      <w:r>
        <w:t xml:space="preserve"> Jour 1 et de 32 mg </w:t>
      </w:r>
      <w:r w:rsidR="0095650F">
        <w:t>au</w:t>
      </w:r>
      <w:r>
        <w:t xml:space="preserve"> Jour 4 du traitement, suivies de la première dose complète d’ELREXFIO (76 mg) </w:t>
      </w:r>
      <w:r w:rsidR="0095650F">
        <w:t>au</w:t>
      </w:r>
      <w:r>
        <w:t xml:space="preserve"> Jour 8 du traitement. Par la suite, les patients ont reçu 76 mg </w:t>
      </w:r>
      <w:r w:rsidR="0095650F">
        <w:t xml:space="preserve">d’ELREXFIO </w:t>
      </w:r>
      <w:r>
        <w:t xml:space="preserve">une fois par semaine. Après 24 semaines, </w:t>
      </w:r>
      <w:r w:rsidR="00456AB1">
        <w:t>chez les patients ayant obtenu une réponse partielle ou meilleure, comme définie selon les critères de l’IMWG, et persistante pendant au moins 2 mois</w:t>
      </w:r>
      <w:r w:rsidR="008F2A89">
        <w:t>,</w:t>
      </w:r>
      <w:r w:rsidR="00456AB1">
        <w:t xml:space="preserve"> </w:t>
      </w:r>
      <w:r w:rsidR="00FD0F2F">
        <w:t>l’intervalle d’administration a été modifié de toutes les semaines à toutes les 2 semaines</w:t>
      </w:r>
      <w:r w:rsidR="000E777F">
        <w:t xml:space="preserve">, </w:t>
      </w:r>
      <w:r w:rsidR="008F2A89">
        <w:t>puis</w:t>
      </w:r>
      <w:r w:rsidR="000E777F">
        <w:t xml:space="preserve"> de toutes les 2 semaines à toutes les 4 semaines après au moins 24 semaines </w:t>
      </w:r>
      <w:r w:rsidR="00E10604">
        <w:t xml:space="preserve">de traitement </w:t>
      </w:r>
      <w:r w:rsidR="00950924" w:rsidRPr="00950924">
        <w:t>à la dose</w:t>
      </w:r>
      <w:r w:rsidR="000E777F">
        <w:t xml:space="preserve"> de 76 mg</w:t>
      </w:r>
      <w:r w:rsidR="00133516">
        <w:t xml:space="preserve"> </w:t>
      </w:r>
      <w:r w:rsidR="00133516" w:rsidRPr="00133516">
        <w:t>administrée</w:t>
      </w:r>
      <w:r w:rsidR="000E777F">
        <w:t xml:space="preserve"> toutes les 2 semaines</w:t>
      </w:r>
      <w:r>
        <w:t xml:space="preserve"> (voir rubrique 4.2).</w:t>
      </w:r>
      <w:r w:rsidR="00FD0F2F">
        <w:t xml:space="preserve"> </w:t>
      </w:r>
    </w:p>
    <w:p w14:paraId="66E3F2E3" w14:textId="77777777" w:rsidR="007C43A8" w:rsidRPr="00743D4B" w:rsidRDefault="007C43A8" w:rsidP="00CD7C38">
      <w:pPr>
        <w:spacing w:line="240" w:lineRule="auto"/>
        <w:rPr>
          <w:bCs/>
        </w:rPr>
      </w:pPr>
    </w:p>
    <w:p w14:paraId="51E9E0CE" w14:textId="67BA42B9" w:rsidR="000D0867" w:rsidRPr="00BF6F4F" w:rsidRDefault="00411FFE" w:rsidP="002564E9">
      <w:pPr>
        <w:spacing w:line="240" w:lineRule="auto"/>
        <w:rPr>
          <w:szCs w:val="22"/>
        </w:rPr>
      </w:pPr>
      <w:r>
        <w:t>Parmi les 123 patients traités dans la cohorte pivot A, l’âge médian était de 68 ans (intervalle : 36 à 89) ans, avec 19,5 % de patients âgés de ≥ 75 ans. 44,7 % des patients étaient des femmes ; 58,5 % étaient blancs, 13 % étaient asiatiques, 8,9 % étaient hispaniques/latino-américains et 7,3 % étaient noirs. Le stade de la maladie (R-ISS) à l’entrée dans l’étude était de 22,8 % au stade I, 55,3 % au stade II et 15,4 % au stade III. Le délai médian entre le diagnostic initial de myélome multiple et l</w:t>
      </w:r>
      <w:r w:rsidR="007C5C43">
        <w:t>’inclusion dans l’étude</w:t>
      </w:r>
      <w:r w:rsidR="0008687A">
        <w:t xml:space="preserve"> </w:t>
      </w:r>
      <w:r>
        <w:t xml:space="preserve">était de 72,9 (intervalle : 16 à 228) mois. Les patients avaient reçu une médiane de 5 lignes de traitement antérieures (intervalle : 2 à 22) ; 96,0 % d’entre eux avaient reçu ≥ 3 lignes de traitement antérieures. 96,7 % étaient </w:t>
      </w:r>
      <w:r w:rsidR="00553373">
        <w:t>triple-</w:t>
      </w:r>
      <w:r>
        <w:t>réfractaires et 95,9 % étaient réfractaires à leur dernière ligne de traitement. 68,3 % ont reçu une greffe de cellules souches autologues antérieure et 5,7 % une greffe de cellules souches allogéniques antérieure.</w:t>
      </w:r>
      <w:r w:rsidR="003D6010" w:rsidRPr="003D6010">
        <w:t xml:space="preserve"> </w:t>
      </w:r>
      <w:r w:rsidR="003D6010">
        <w:t xml:space="preserve">25,2 % des patients présentaient </w:t>
      </w:r>
      <w:r w:rsidR="00121B16">
        <w:t>une anomalie</w:t>
      </w:r>
      <w:r w:rsidR="003D6010">
        <w:t xml:space="preserve"> cytogénétique à haut risque [t(4;14), t(14;16) ou del(17p)]</w:t>
      </w:r>
      <w:r>
        <w:t xml:space="preserve">. 31,7 % des patients présentaient une maladie extramédullaire (présence d’un plasmocytome [extramédullaire et/ou paramédullaire] avec une composante des tissus mous) à l’inclusion selon </w:t>
      </w:r>
      <w:r w:rsidRPr="003E56CD">
        <w:t xml:space="preserve">le comité indépendant de relecture centralisée </w:t>
      </w:r>
      <w:r w:rsidR="003E56CD" w:rsidRPr="00F46ED6">
        <w:t xml:space="preserve">en aveugle </w:t>
      </w:r>
      <w:r w:rsidRPr="00F46ED6">
        <w:t>(BICR</w:t>
      </w:r>
      <w:r w:rsidR="003E56CD" w:rsidRPr="00F46ED6">
        <w:t xml:space="preserve">, </w:t>
      </w:r>
      <w:r w:rsidR="003E56CD" w:rsidRPr="00F46ED6">
        <w:rPr>
          <w:bCs/>
          <w:szCs w:val="22"/>
        </w:rPr>
        <w:t>Blinded Independent Central Review</w:t>
      </w:r>
      <w:r w:rsidRPr="00F46ED6">
        <w:t>).</w:t>
      </w:r>
    </w:p>
    <w:p w14:paraId="14621FB9" w14:textId="77777777" w:rsidR="006D2DF9" w:rsidRPr="00743D4B" w:rsidRDefault="006D2DF9" w:rsidP="002564E9">
      <w:pPr>
        <w:spacing w:line="240" w:lineRule="auto"/>
        <w:rPr>
          <w:szCs w:val="22"/>
        </w:rPr>
      </w:pPr>
    </w:p>
    <w:p w14:paraId="1367AA5E" w14:textId="75031806" w:rsidR="00F76559" w:rsidRPr="00743D4B" w:rsidRDefault="00F76559" w:rsidP="00F76559">
      <w:pPr>
        <w:spacing w:line="240" w:lineRule="auto"/>
        <w:rPr>
          <w:b/>
          <w:szCs w:val="22"/>
        </w:rPr>
      </w:pPr>
      <w:bookmarkStart w:id="12" w:name="_Hlk119408017"/>
      <w:r>
        <w:t xml:space="preserve">Les résultats d’efficacité étaient basés sur le taux de réponse et la durée de la réponse (DR), tels qu’évalués par </w:t>
      </w:r>
      <w:r w:rsidRPr="0094117F">
        <w:t xml:space="preserve">le </w:t>
      </w:r>
      <w:r>
        <w:t xml:space="preserve">BICR </w:t>
      </w:r>
      <w:r w:rsidR="005547F0">
        <w:t xml:space="preserve">comme définie selon les critères de </w:t>
      </w:r>
      <w:r>
        <w:t xml:space="preserve">l’IMWG. Les résultats d’efficacité de la cohorte pivot A sont présentés dans le tableau 7. </w:t>
      </w:r>
      <w:r w:rsidR="00E33BF5">
        <w:t xml:space="preserve">Chez les patients répondeurs, </w:t>
      </w:r>
      <w:r w:rsidR="008D7271">
        <w:t>l</w:t>
      </w:r>
      <w:r>
        <w:t>a médiane (intervalle) d</w:t>
      </w:r>
      <w:r w:rsidR="005547F0">
        <w:t>e</w:t>
      </w:r>
      <w:r>
        <w:t xml:space="preserve"> suivi à partir de la dose initiale était de </w:t>
      </w:r>
      <w:r w:rsidR="004C7272">
        <w:t>27,9</w:t>
      </w:r>
      <w:r>
        <w:t xml:space="preserve"> (</w:t>
      </w:r>
      <w:r w:rsidR="004C7272">
        <w:t>3,6</w:t>
      </w:r>
      <w:r>
        <w:t xml:space="preserve"> ; </w:t>
      </w:r>
      <w:r w:rsidR="004C7272">
        <w:t>36,8</w:t>
      </w:r>
      <w:r>
        <w:t>) mois.</w:t>
      </w:r>
    </w:p>
    <w:p w14:paraId="0AFF876F" w14:textId="77777777" w:rsidR="00F76559" w:rsidRDefault="00F76559" w:rsidP="00F76559">
      <w:pPr>
        <w:spacing w:line="240" w:lineRule="auto"/>
        <w:rPr>
          <w:szCs w:val="22"/>
        </w:rPr>
      </w:pPr>
    </w:p>
    <w:p w14:paraId="7039E571" w14:textId="61DD817E" w:rsidR="00545978" w:rsidRPr="00545978" w:rsidRDefault="00545978" w:rsidP="00F76559">
      <w:pPr>
        <w:spacing w:line="240" w:lineRule="auto"/>
        <w:rPr>
          <w:b/>
          <w:bCs/>
          <w:szCs w:val="22"/>
        </w:rPr>
      </w:pPr>
      <w:r w:rsidRPr="00545978">
        <w:rPr>
          <w:b/>
          <w:bCs/>
        </w:rPr>
        <w:t>Tableau 7.</w:t>
      </w:r>
      <w:r w:rsidRPr="00545978">
        <w:rPr>
          <w:b/>
          <w:bCs/>
          <w:szCs w:val="22"/>
        </w:rPr>
        <w:tab/>
      </w:r>
      <w:r w:rsidRPr="00545978">
        <w:rPr>
          <w:b/>
          <w:bCs/>
        </w:rPr>
        <w:t>Résultats d’efficacité de l’étude MagnetisMM-3 dans la cohorte pivot 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14:paraId="7DCFA238" w14:textId="77777777" w:rsidTr="00545978">
        <w:trPr>
          <w:tblHeader/>
        </w:trPr>
        <w:tc>
          <w:tcPr>
            <w:tcW w:w="6655" w:type="dxa"/>
            <w:shd w:val="clear" w:color="auto" w:fill="auto"/>
          </w:tcPr>
          <w:p w14:paraId="0E6E6A60" w14:textId="77777777" w:rsidR="00F76559" w:rsidRPr="00BF6F4F" w:rsidRDefault="00F76559" w:rsidP="004F07E4">
            <w:pPr>
              <w:pStyle w:val="PIHeading2"/>
              <w:keepLines w:val="0"/>
              <w:tabs>
                <w:tab w:val="left" w:pos="540"/>
              </w:tabs>
              <w:spacing w:before="0" w:after="0"/>
              <w:rPr>
                <w:rFonts w:ascii="Times New Roman" w:hAnsi="Times New Roman"/>
                <w:b w:val="0"/>
                <w:bCs/>
                <w:sz w:val="22"/>
                <w:szCs w:val="22"/>
              </w:rPr>
            </w:pPr>
          </w:p>
        </w:tc>
        <w:tc>
          <w:tcPr>
            <w:tcW w:w="2700" w:type="dxa"/>
          </w:tcPr>
          <w:p w14:paraId="3CF38FA9" w14:textId="77777777" w:rsidR="00F76559" w:rsidRPr="00BF6F4F" w:rsidRDefault="00F76559" w:rsidP="004F07E4">
            <w:pPr>
              <w:pStyle w:val="PIHeading2"/>
              <w:keepLines w:val="0"/>
              <w:shd w:val="clear" w:color="auto" w:fill="FFFFFF" w:themeFill="background1"/>
              <w:tabs>
                <w:tab w:val="left" w:pos="540"/>
              </w:tabs>
              <w:spacing w:before="0" w:after="0"/>
              <w:jc w:val="center"/>
              <w:rPr>
                <w:rFonts w:ascii="Times New Roman" w:hAnsi="Times New Roman"/>
                <w:sz w:val="22"/>
                <w:szCs w:val="22"/>
              </w:rPr>
            </w:pPr>
            <w:r>
              <w:rPr>
                <w:rFonts w:ascii="Times New Roman" w:hAnsi="Times New Roman"/>
                <w:sz w:val="22"/>
              </w:rPr>
              <w:t>Patients naïfs de traitement ciblant le BCMA</w:t>
            </w:r>
          </w:p>
          <w:p w14:paraId="66DB155E" w14:textId="77777777" w:rsidR="00F76559" w:rsidRPr="00A64757" w:rsidRDefault="00F76559" w:rsidP="004F07E4">
            <w:pPr>
              <w:pStyle w:val="PIHeading2"/>
              <w:keepLines w:val="0"/>
              <w:shd w:val="clear" w:color="auto" w:fill="FFFFFF" w:themeFill="background1"/>
              <w:tabs>
                <w:tab w:val="left" w:pos="540"/>
              </w:tabs>
              <w:spacing w:before="0" w:after="0"/>
              <w:jc w:val="center"/>
              <w:rPr>
                <w:b w:val="0"/>
                <w:sz w:val="22"/>
                <w:szCs w:val="22"/>
              </w:rPr>
            </w:pPr>
            <w:r>
              <w:rPr>
                <w:rFonts w:ascii="Times New Roman" w:hAnsi="Times New Roman"/>
                <w:sz w:val="22"/>
              </w:rPr>
              <w:t>(cohorte pivot A)</w:t>
            </w:r>
          </w:p>
        </w:tc>
      </w:tr>
      <w:tr w:rsidR="00F76559" w14:paraId="4797C72D" w14:textId="77777777" w:rsidTr="00545978">
        <w:trPr>
          <w:tblHeader/>
        </w:trPr>
        <w:tc>
          <w:tcPr>
            <w:tcW w:w="6655" w:type="dxa"/>
            <w:shd w:val="clear" w:color="auto" w:fill="auto"/>
          </w:tcPr>
          <w:p w14:paraId="218F2DD7" w14:textId="77777777" w:rsidR="00F76559" w:rsidRPr="00BF6F4F" w:rsidRDefault="00F76559" w:rsidP="004F07E4">
            <w:pPr>
              <w:pStyle w:val="PIHeading2"/>
              <w:keepNext w:val="0"/>
              <w:keepLines w:val="0"/>
              <w:tabs>
                <w:tab w:val="left" w:pos="540"/>
              </w:tabs>
              <w:spacing w:before="0" w:after="0"/>
              <w:rPr>
                <w:rFonts w:ascii="Times New Roman" w:hAnsi="Times New Roman"/>
                <w:b w:val="0"/>
                <w:bCs/>
                <w:sz w:val="22"/>
                <w:szCs w:val="22"/>
              </w:rPr>
            </w:pPr>
          </w:p>
        </w:tc>
        <w:tc>
          <w:tcPr>
            <w:tcW w:w="2700" w:type="dxa"/>
          </w:tcPr>
          <w:p w14:paraId="0CDE4F60" w14:textId="77777777" w:rsidR="00F76559" w:rsidRPr="00BF6F4F" w:rsidRDefault="00F76559" w:rsidP="004F07E4">
            <w:pPr>
              <w:jc w:val="center"/>
              <w:rPr>
                <w:b/>
                <w:bCs/>
                <w:szCs w:val="22"/>
                <w:vertAlign w:val="superscript"/>
              </w:rPr>
            </w:pPr>
            <w:r>
              <w:rPr>
                <w:b/>
              </w:rPr>
              <w:t>Tous les patients traités (N = 123)</w:t>
            </w:r>
          </w:p>
        </w:tc>
      </w:tr>
      <w:tr w:rsidR="00F76559" w14:paraId="2D4A817A" w14:textId="77777777" w:rsidTr="00545978">
        <w:tc>
          <w:tcPr>
            <w:tcW w:w="6655" w:type="dxa"/>
            <w:shd w:val="clear" w:color="auto" w:fill="auto"/>
          </w:tcPr>
          <w:p w14:paraId="24C0F71F" w14:textId="77777777" w:rsidR="00F76559" w:rsidRPr="00897589"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Taux de réponse objective (TRO : RCs+RC+TBRP+RP), </w:t>
            </w:r>
            <w:r w:rsidRPr="00A10D5D">
              <w:rPr>
                <w:rFonts w:ascii="Times New Roman" w:hAnsi="Times New Roman"/>
                <w:b w:val="0"/>
                <w:bCs/>
                <w:sz w:val="22"/>
              </w:rPr>
              <w:t>n (%) (IC à 95 %)</w:t>
            </w:r>
          </w:p>
        </w:tc>
        <w:tc>
          <w:tcPr>
            <w:tcW w:w="2700" w:type="dxa"/>
          </w:tcPr>
          <w:p w14:paraId="19D517B6" w14:textId="77777777"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75 (61,0 %)</w:t>
            </w:r>
          </w:p>
          <w:p w14:paraId="1EFB647B" w14:textId="77777777"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(51,8 ; 69,6)</w:t>
            </w:r>
          </w:p>
        </w:tc>
      </w:tr>
      <w:tr w:rsidR="00F76559" w14:paraId="26BFE105" w14:textId="77777777" w:rsidTr="00545978">
        <w:tc>
          <w:tcPr>
            <w:tcW w:w="6655" w:type="dxa"/>
            <w:shd w:val="clear" w:color="auto" w:fill="auto"/>
          </w:tcPr>
          <w:p w14:paraId="1E55E10A" w14:textId="78CE47AC"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Réponse complète </w:t>
            </w:r>
            <w:r w:rsidR="008D7271">
              <w:rPr>
                <w:rFonts w:ascii="Times New Roman" w:hAnsi="Times New Roman"/>
                <w:b w:val="0"/>
                <w:sz w:val="22"/>
              </w:rPr>
              <w:t>string</w:t>
            </w:r>
            <w:r w:rsidR="00CF60E6">
              <w:rPr>
                <w:rFonts w:ascii="Times New Roman" w:hAnsi="Times New Roman"/>
                <w:b w:val="0"/>
                <w:sz w:val="22"/>
              </w:rPr>
              <w:t>e</w:t>
            </w:r>
            <w:r w:rsidR="008D7271">
              <w:rPr>
                <w:rFonts w:ascii="Times New Roman" w:hAnsi="Times New Roman"/>
                <w:b w:val="0"/>
                <w:sz w:val="22"/>
              </w:rPr>
              <w:t xml:space="preserve">nte </w:t>
            </w:r>
            <w:r>
              <w:rPr>
                <w:rFonts w:ascii="Times New Roman" w:hAnsi="Times New Roman"/>
                <w:b w:val="0"/>
                <w:sz w:val="22"/>
              </w:rPr>
              <w:t>(RCs)</w:t>
            </w:r>
          </w:p>
        </w:tc>
        <w:tc>
          <w:tcPr>
            <w:tcW w:w="2700" w:type="dxa"/>
          </w:tcPr>
          <w:p w14:paraId="5FA70D8E" w14:textId="0E8631F5" w:rsidR="00F76559" w:rsidRPr="00BF6F4F" w:rsidRDefault="004C7272"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20</w:t>
            </w:r>
            <w:r w:rsidR="00F76559">
              <w:rPr>
                <w:rFonts w:ascii="Times New Roman" w:hAnsi="Times New Roman"/>
                <w:b w:val="0"/>
                <w:sz w:val="22"/>
              </w:rPr>
              <w:t xml:space="preserve"> (</w:t>
            </w:r>
            <w:r>
              <w:rPr>
                <w:rFonts w:ascii="Times New Roman" w:hAnsi="Times New Roman"/>
                <w:b w:val="0"/>
                <w:sz w:val="22"/>
              </w:rPr>
              <w:t>16,3</w:t>
            </w:r>
            <w:r w:rsidR="00F76559">
              <w:rPr>
                <w:rFonts w:ascii="Times New Roman" w:hAnsi="Times New Roman"/>
                <w:b w:val="0"/>
                <w:sz w:val="22"/>
              </w:rPr>
              <w:t> %)</w:t>
            </w:r>
          </w:p>
        </w:tc>
      </w:tr>
      <w:tr w:rsidR="00F76559" w14:paraId="40A43993" w14:textId="77777777" w:rsidTr="00545978">
        <w:tc>
          <w:tcPr>
            <w:tcW w:w="6655" w:type="dxa"/>
            <w:shd w:val="clear" w:color="auto" w:fill="auto"/>
          </w:tcPr>
          <w:p w14:paraId="2A284DE4"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Réponse complète (RC)</w:t>
            </w:r>
          </w:p>
        </w:tc>
        <w:tc>
          <w:tcPr>
            <w:tcW w:w="2700" w:type="dxa"/>
          </w:tcPr>
          <w:p w14:paraId="6740EBD5" w14:textId="5A389CC7" w:rsidR="00F76559" w:rsidRPr="00BF6F4F" w:rsidRDefault="004C7272"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26</w:t>
            </w:r>
            <w:r w:rsidR="00F76559">
              <w:rPr>
                <w:rFonts w:ascii="Times New Roman" w:hAnsi="Times New Roman"/>
                <w:b w:val="0"/>
                <w:sz w:val="22"/>
              </w:rPr>
              <w:t xml:space="preserve"> (</w:t>
            </w:r>
            <w:r>
              <w:rPr>
                <w:rFonts w:ascii="Times New Roman" w:hAnsi="Times New Roman"/>
                <w:b w:val="0"/>
                <w:sz w:val="22"/>
              </w:rPr>
              <w:t>21,1</w:t>
            </w:r>
            <w:r w:rsidR="00F76559">
              <w:rPr>
                <w:rFonts w:ascii="Times New Roman" w:hAnsi="Times New Roman"/>
                <w:b w:val="0"/>
                <w:sz w:val="22"/>
              </w:rPr>
              <w:t> %)</w:t>
            </w:r>
          </w:p>
        </w:tc>
      </w:tr>
      <w:tr w:rsidR="00F76559" w14:paraId="7BCAFAA1" w14:textId="77777777" w:rsidTr="00545978">
        <w:tc>
          <w:tcPr>
            <w:tcW w:w="6655" w:type="dxa"/>
            <w:shd w:val="clear" w:color="auto" w:fill="auto"/>
          </w:tcPr>
          <w:p w14:paraId="77418528"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Très bonne réponse partielle (TBRP)</w:t>
            </w:r>
          </w:p>
        </w:tc>
        <w:tc>
          <w:tcPr>
            <w:tcW w:w="2700" w:type="dxa"/>
          </w:tcPr>
          <w:p w14:paraId="279E37AF" w14:textId="55B2F6C5" w:rsidR="00F76559" w:rsidRPr="00BF6F4F" w:rsidRDefault="004C7272"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23</w:t>
            </w:r>
            <w:r w:rsidR="00F76559">
              <w:rPr>
                <w:rFonts w:ascii="Times New Roman" w:hAnsi="Times New Roman"/>
                <w:b w:val="0"/>
                <w:sz w:val="22"/>
              </w:rPr>
              <w:t xml:space="preserve"> (</w:t>
            </w:r>
            <w:r>
              <w:rPr>
                <w:rFonts w:ascii="Times New Roman" w:hAnsi="Times New Roman"/>
                <w:b w:val="0"/>
                <w:sz w:val="22"/>
              </w:rPr>
              <w:t>18,7</w:t>
            </w:r>
            <w:r w:rsidR="00F76559">
              <w:rPr>
                <w:rFonts w:ascii="Times New Roman" w:hAnsi="Times New Roman"/>
                <w:b w:val="0"/>
                <w:sz w:val="22"/>
              </w:rPr>
              <w:t> %)</w:t>
            </w:r>
          </w:p>
        </w:tc>
      </w:tr>
      <w:tr w:rsidR="00F76559" w14:paraId="57185DE1" w14:textId="77777777" w:rsidTr="00545978">
        <w:tc>
          <w:tcPr>
            <w:tcW w:w="6655" w:type="dxa"/>
            <w:shd w:val="clear" w:color="auto" w:fill="auto"/>
          </w:tcPr>
          <w:p w14:paraId="34FDEC53"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Réponse partielle (RP)</w:t>
            </w:r>
          </w:p>
        </w:tc>
        <w:tc>
          <w:tcPr>
            <w:tcW w:w="2700" w:type="dxa"/>
          </w:tcPr>
          <w:p w14:paraId="0C5FED1E" w14:textId="77777777"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6 (4,9 %)</w:t>
            </w:r>
          </w:p>
        </w:tc>
      </w:tr>
      <w:tr w:rsidR="00F76559" w14:paraId="4C1ECAC5" w14:textId="77777777" w:rsidTr="00545978">
        <w:tc>
          <w:tcPr>
            <w:tcW w:w="6655" w:type="dxa"/>
            <w:shd w:val="clear" w:color="auto" w:fill="auto"/>
          </w:tcPr>
          <w:p w14:paraId="5CD6739A" w14:textId="77777777" w:rsidR="00F76559" w:rsidRPr="00165E37" w:rsidRDefault="00F7655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sz w:val="22"/>
              </w:rPr>
              <w:t>Taux de réponse complète</w:t>
            </w:r>
            <w:r>
              <w:rPr>
                <w:rFonts w:ascii="Times New Roman" w:hAnsi="Times New Roman"/>
                <w:b w:val="0"/>
                <w:sz w:val="22"/>
              </w:rPr>
              <w:t xml:space="preserve"> (RCs+RC), n (%)</w:t>
            </w:r>
          </w:p>
          <w:p w14:paraId="2A1DC63F" w14:textId="77777777" w:rsidR="00F76559" w:rsidRPr="00165E37"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(IC à 95 %)</w:t>
            </w:r>
          </w:p>
        </w:tc>
        <w:tc>
          <w:tcPr>
            <w:tcW w:w="2700" w:type="dxa"/>
          </w:tcPr>
          <w:p w14:paraId="534B168F" w14:textId="3A6DC5E8" w:rsidR="00F76559" w:rsidRPr="00BF6F4F" w:rsidRDefault="004C7272" w:rsidP="004F07E4">
            <w:pPr>
              <w:jc w:val="center"/>
              <w:rPr>
                <w:bCs/>
                <w:szCs w:val="22"/>
              </w:rPr>
            </w:pPr>
            <w:r>
              <w:t>46</w:t>
            </w:r>
            <w:r w:rsidR="00F76559">
              <w:t xml:space="preserve"> (</w:t>
            </w:r>
            <w:r>
              <w:t>37,4</w:t>
            </w:r>
            <w:r w:rsidR="00F76559">
              <w:t> %)</w:t>
            </w:r>
          </w:p>
          <w:p w14:paraId="02AD4438" w14:textId="706A4157" w:rsidR="00F76559" w:rsidRPr="00BF6F4F" w:rsidRDefault="00F76559" w:rsidP="004F07E4">
            <w:pPr>
              <w:jc w:val="center"/>
              <w:rPr>
                <w:b/>
                <w:bCs/>
                <w:szCs w:val="22"/>
              </w:rPr>
            </w:pPr>
            <w:r>
              <w:t>(</w:t>
            </w:r>
            <w:r w:rsidR="004C7272">
              <w:t>28,8</w:t>
            </w:r>
            <w:r>
              <w:t xml:space="preserve"> ; </w:t>
            </w:r>
            <w:r w:rsidR="004C7272">
              <w:t>46,6</w:t>
            </w:r>
            <w:r>
              <w:t>)</w:t>
            </w:r>
          </w:p>
        </w:tc>
      </w:tr>
      <w:tr w:rsidR="00F76559" w14:paraId="59E014DC" w14:textId="77777777" w:rsidTr="00545978">
        <w:tc>
          <w:tcPr>
            <w:tcW w:w="6655" w:type="dxa"/>
            <w:shd w:val="clear" w:color="auto" w:fill="auto"/>
          </w:tcPr>
          <w:p w14:paraId="5455CAC6" w14:textId="77777777" w:rsidR="00F76559" w:rsidRPr="00BF6F4F"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Délai jusqu’à la première réponse (mois)</w:t>
            </w:r>
          </w:p>
          <w:p w14:paraId="7A50EB49"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Nombre de répondeurs</w:t>
            </w:r>
          </w:p>
          <w:p w14:paraId="0D5F5C2A"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Médiane</w:t>
            </w:r>
          </w:p>
          <w:p w14:paraId="1E5F687D"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sz w:val="22"/>
                <w:szCs w:val="22"/>
              </w:rPr>
            </w:pPr>
            <w:r>
              <w:rPr>
                <w:rFonts w:ascii="Times New Roman" w:hAnsi="Times New Roman"/>
                <w:b w:val="0"/>
                <w:sz w:val="22"/>
              </w:rPr>
              <w:t>Intervalle</w:t>
            </w:r>
          </w:p>
        </w:tc>
        <w:tc>
          <w:tcPr>
            <w:tcW w:w="2700" w:type="dxa"/>
          </w:tcPr>
          <w:p w14:paraId="4D3843D9" w14:textId="77777777" w:rsidR="00F76559" w:rsidRPr="00BF6F4F" w:rsidRDefault="00F76559" w:rsidP="004F07E4">
            <w:pPr>
              <w:jc w:val="center"/>
              <w:rPr>
                <w:b/>
                <w:bCs/>
                <w:szCs w:val="22"/>
              </w:rPr>
            </w:pPr>
          </w:p>
          <w:p w14:paraId="028FBDC4" w14:textId="77777777" w:rsidR="00F76559" w:rsidRPr="00BF6F4F" w:rsidRDefault="00F76559" w:rsidP="004F07E4">
            <w:pPr>
              <w:jc w:val="center"/>
              <w:rPr>
                <w:szCs w:val="22"/>
              </w:rPr>
            </w:pPr>
            <w:r>
              <w:t>75</w:t>
            </w:r>
          </w:p>
          <w:p w14:paraId="5F6FCB30" w14:textId="77777777" w:rsidR="00F76559" w:rsidRPr="00BF6F4F" w:rsidRDefault="00F76559" w:rsidP="004F07E4">
            <w:pPr>
              <w:jc w:val="center"/>
              <w:rPr>
                <w:szCs w:val="22"/>
              </w:rPr>
            </w:pPr>
            <w:r>
              <w:t>1,22</w:t>
            </w:r>
          </w:p>
          <w:p w14:paraId="5ED2D91D" w14:textId="77777777" w:rsidR="00F76559" w:rsidRPr="00BF6F4F" w:rsidRDefault="00F76559" w:rsidP="004F07E4">
            <w:pPr>
              <w:jc w:val="center"/>
              <w:rPr>
                <w:b/>
                <w:bCs/>
                <w:szCs w:val="22"/>
              </w:rPr>
            </w:pPr>
            <w:r>
              <w:t>(0,9 ; 7,4)</w:t>
            </w:r>
          </w:p>
        </w:tc>
      </w:tr>
      <w:tr w:rsidR="00F76559" w14:paraId="1816580E" w14:textId="77777777" w:rsidTr="00545978">
        <w:tc>
          <w:tcPr>
            <w:tcW w:w="6655" w:type="dxa"/>
            <w:shd w:val="clear" w:color="auto" w:fill="auto"/>
          </w:tcPr>
          <w:p w14:paraId="048D2846" w14:textId="77777777" w:rsidR="00F76559" w:rsidRPr="00A97DE1" w:rsidRDefault="00F76559" w:rsidP="004F07E4">
            <w:pPr>
              <w:pStyle w:val="PIHeading2"/>
              <w:keepNext w:val="0"/>
              <w:keepLines w:val="0"/>
              <w:tabs>
                <w:tab w:val="left" w:pos="540"/>
              </w:tabs>
              <w:spacing w:before="0" w:after="0"/>
              <w:rPr>
                <w:rFonts w:ascii="Times New Roman" w:hAnsi="Times New Roman"/>
                <w:sz w:val="22"/>
                <w:szCs w:val="22"/>
              </w:rPr>
            </w:pPr>
            <w:r w:rsidRPr="00A97DE1">
              <w:rPr>
                <w:rFonts w:ascii="Times New Roman" w:hAnsi="Times New Roman"/>
                <w:sz w:val="22"/>
              </w:rPr>
              <w:t>Durée de la réponse (DR) (mois)</w:t>
            </w:r>
          </w:p>
          <w:p w14:paraId="364EAB92" w14:textId="77777777" w:rsidR="00F76559" w:rsidRPr="00A97DE1"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A97DE1">
              <w:rPr>
                <w:rFonts w:ascii="Times New Roman" w:hAnsi="Times New Roman"/>
                <w:b w:val="0"/>
                <w:sz w:val="22"/>
              </w:rPr>
              <w:t>Nombre de répondeurs</w:t>
            </w:r>
          </w:p>
          <w:p w14:paraId="0318C4FA" w14:textId="77777777" w:rsidR="00F76559" w:rsidRPr="00A97DE1"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A97DE1">
              <w:rPr>
                <w:rFonts w:ascii="Times New Roman" w:hAnsi="Times New Roman"/>
                <w:b w:val="0"/>
                <w:sz w:val="22"/>
              </w:rPr>
              <w:t>Médiane (IC à 95 %)</w:t>
            </w:r>
          </w:p>
          <w:p w14:paraId="5828F36D" w14:textId="2D192A60" w:rsidR="00F76559" w:rsidRPr="00A97DE1" w:rsidRDefault="00A97DE1" w:rsidP="004F07E4">
            <w:pPr>
              <w:pStyle w:val="PIHeading2"/>
              <w:keepNext w:val="0"/>
              <w:keepLines w:val="0"/>
              <w:tabs>
                <w:tab w:val="left" w:pos="540"/>
              </w:tabs>
              <w:spacing w:before="0" w:after="0"/>
              <w:ind w:left="540"/>
              <w:rPr>
                <w:rFonts w:ascii="Times New Roman" w:hAnsi="Times New Roman"/>
                <w:b w:val="0"/>
                <w:bCs/>
                <w:sz w:val="22"/>
                <w:szCs w:val="22"/>
              </w:rPr>
            </w:pPr>
            <w:r w:rsidRPr="00A97DE1">
              <w:rPr>
                <w:rFonts w:ascii="Times New Roman" w:hAnsi="Times New Roman"/>
                <w:b w:val="0"/>
                <w:sz w:val="22"/>
              </w:rPr>
              <w:t>Taux de p</w:t>
            </w:r>
            <w:r w:rsidR="00C40DEF" w:rsidRPr="00A97DE1">
              <w:rPr>
                <w:rFonts w:ascii="Times New Roman" w:hAnsi="Times New Roman"/>
                <w:b w:val="0"/>
                <w:sz w:val="22"/>
              </w:rPr>
              <w:t xml:space="preserve">atients maintenant la réponse </w:t>
            </w:r>
            <w:r w:rsidR="00F76559" w:rsidRPr="00A97DE1">
              <w:rPr>
                <w:rFonts w:ascii="Times New Roman" w:hAnsi="Times New Roman"/>
                <w:b w:val="0"/>
                <w:sz w:val="22"/>
              </w:rPr>
              <w:t>à 12 mois (IC à 95 %)</w:t>
            </w:r>
          </w:p>
          <w:p w14:paraId="360F76BD" w14:textId="0FE613AB" w:rsidR="004C7272" w:rsidRPr="00A97DE1" w:rsidRDefault="00591FCF" w:rsidP="001B4ED7">
            <w:pPr>
              <w:pStyle w:val="PIHeading2"/>
              <w:keepNext w:val="0"/>
              <w:keepLines w:val="0"/>
              <w:tabs>
                <w:tab w:val="left" w:pos="540"/>
              </w:tabs>
              <w:spacing w:before="0" w:after="0"/>
              <w:ind w:left="540"/>
              <w:rPr>
                <w:rFonts w:ascii="Times New Roman" w:hAnsi="Times New Roman"/>
                <w:b w:val="0"/>
                <w:bCs/>
                <w:sz w:val="22"/>
                <w:szCs w:val="22"/>
                <w:highlight w:val="green"/>
              </w:rPr>
            </w:pPr>
            <w:r w:rsidRPr="004C7272">
              <w:rPr>
                <w:rFonts w:ascii="Times New Roman" w:hAnsi="Times New Roman"/>
                <w:b w:val="0"/>
                <w:bCs/>
                <w:sz w:val="22"/>
                <w:szCs w:val="22"/>
              </w:rPr>
              <w:t xml:space="preserve">Taux de patients maintenant la réponse à </w:t>
            </w:r>
            <w:r>
              <w:rPr>
                <w:rFonts w:ascii="Times New Roman" w:hAnsi="Times New Roman"/>
                <w:b w:val="0"/>
                <w:bCs/>
                <w:sz w:val="22"/>
                <w:szCs w:val="22"/>
              </w:rPr>
              <w:t>24 </w:t>
            </w:r>
            <w:r w:rsidRPr="004C7272">
              <w:rPr>
                <w:rFonts w:ascii="Times New Roman" w:hAnsi="Times New Roman"/>
                <w:b w:val="0"/>
                <w:bCs/>
                <w:sz w:val="22"/>
                <w:szCs w:val="22"/>
              </w:rPr>
              <w:t>mois (IC à 95</w:t>
            </w:r>
            <w:r>
              <w:rPr>
                <w:rFonts w:ascii="Times New Roman" w:hAnsi="Times New Roman"/>
                <w:b w:val="0"/>
                <w:bCs/>
                <w:sz w:val="22"/>
                <w:szCs w:val="22"/>
              </w:rPr>
              <w:t> </w:t>
            </w:r>
            <w:r w:rsidRPr="004C7272">
              <w:rPr>
                <w:rFonts w:ascii="Times New Roman" w:hAnsi="Times New Roman"/>
                <w:b w:val="0"/>
                <w:bCs/>
                <w:sz w:val="22"/>
                <w:szCs w:val="22"/>
              </w:rPr>
              <w:t>%)</w:t>
            </w:r>
          </w:p>
        </w:tc>
        <w:tc>
          <w:tcPr>
            <w:tcW w:w="2700" w:type="dxa"/>
          </w:tcPr>
          <w:p w14:paraId="0A4AF7D8" w14:textId="77777777" w:rsidR="00F76559" w:rsidRPr="00743D4B" w:rsidRDefault="00F76559" w:rsidP="004F07E4">
            <w:pPr>
              <w:jc w:val="center"/>
              <w:rPr>
                <w:b/>
                <w:bCs/>
                <w:szCs w:val="22"/>
              </w:rPr>
            </w:pPr>
          </w:p>
          <w:p w14:paraId="7912E25F" w14:textId="77777777" w:rsidR="00F76559" w:rsidRPr="00743D4B" w:rsidRDefault="00F76559" w:rsidP="004F07E4">
            <w:pPr>
              <w:jc w:val="center"/>
              <w:rPr>
                <w:szCs w:val="22"/>
              </w:rPr>
            </w:pPr>
            <w:r>
              <w:t>75</w:t>
            </w:r>
          </w:p>
          <w:p w14:paraId="64834C99" w14:textId="77777777" w:rsidR="00F76559" w:rsidRPr="00743D4B" w:rsidRDefault="00F76559" w:rsidP="004F07E4">
            <w:pPr>
              <w:jc w:val="center"/>
              <w:rPr>
                <w:b/>
                <w:szCs w:val="22"/>
              </w:rPr>
            </w:pPr>
            <w:r w:rsidRPr="0008687A">
              <w:t>NE (NE ; NE)</w:t>
            </w:r>
          </w:p>
          <w:p w14:paraId="60D2E6B6" w14:textId="2355B03A" w:rsidR="004C7272" w:rsidRPr="00743D4B" w:rsidRDefault="004C7272" w:rsidP="001B4ED7">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73,4 (61,4 ; 82,1)</w:t>
            </w:r>
            <w:r w:rsidR="00E65DA9" w:rsidDel="002C2FB4">
              <w:rPr>
                <w:rFonts w:ascii="Times New Roman" w:hAnsi="Times New Roman"/>
                <w:b w:val="0"/>
                <w:sz w:val="22"/>
              </w:rPr>
              <w:t xml:space="preserve"> </w:t>
            </w:r>
          </w:p>
          <w:p w14:paraId="63002849" w14:textId="7D4D4838" w:rsidR="00F76559" w:rsidRPr="00743D4B" w:rsidRDefault="00591FCF" w:rsidP="001B4ED7">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66,9 (54,4 ; 76,7)</w:t>
            </w:r>
          </w:p>
        </w:tc>
      </w:tr>
      <w:tr w:rsidR="00F76559" w14:paraId="6E6EB91E" w14:textId="77777777" w:rsidTr="00545978">
        <w:tc>
          <w:tcPr>
            <w:tcW w:w="6655" w:type="dxa"/>
            <w:tcBorders>
              <w:bottom w:val="single" w:sz="4" w:space="0" w:color="auto"/>
            </w:tcBorders>
            <w:shd w:val="clear" w:color="auto" w:fill="auto"/>
          </w:tcPr>
          <w:p w14:paraId="2C3CDB44" w14:textId="71E4BA49" w:rsidR="00F76559" w:rsidRPr="00743D4B" w:rsidRDefault="00F76559" w:rsidP="00545978">
            <w:pPr>
              <w:pStyle w:val="PIHeading2"/>
              <w:tabs>
                <w:tab w:val="left" w:pos="540"/>
              </w:tabs>
              <w:spacing w:before="0" w:after="0"/>
              <w:rPr>
                <w:rFonts w:ascii="Times New Roman" w:hAnsi="Times New Roman"/>
                <w:sz w:val="22"/>
                <w:szCs w:val="22"/>
              </w:rPr>
            </w:pPr>
            <w:r>
              <w:rPr>
                <w:rFonts w:ascii="Times New Roman" w:hAnsi="Times New Roman"/>
                <w:sz w:val="22"/>
              </w:rPr>
              <w:lastRenderedPageBreak/>
              <w:t>Taux de négativité de la MRM</w:t>
            </w:r>
            <w:r>
              <w:rPr>
                <w:rFonts w:ascii="Times New Roman" w:hAnsi="Times New Roman"/>
                <w:sz w:val="22"/>
                <w:vertAlign w:val="superscript"/>
              </w:rPr>
              <w:t>a</w:t>
            </w:r>
            <w:r>
              <w:rPr>
                <w:rFonts w:ascii="Times New Roman" w:hAnsi="Times New Roman"/>
                <w:sz w:val="22"/>
              </w:rPr>
              <w:t xml:space="preserve"> chez les patients ayant obtenu une RC ou une RCs et dont la MRM pouvait être évaluée </w:t>
            </w:r>
            <w:r w:rsidR="0008687A">
              <w:rPr>
                <w:rFonts w:ascii="Times New Roman" w:hAnsi="Times New Roman"/>
                <w:b w:val="0"/>
                <w:sz w:val="22"/>
              </w:rPr>
              <w:t>(</w:t>
            </w:r>
            <w:r w:rsidR="00376226">
              <w:rPr>
                <w:rFonts w:ascii="Times New Roman" w:hAnsi="Times New Roman"/>
                <w:b w:val="0"/>
                <w:sz w:val="22"/>
              </w:rPr>
              <w:t>31</w:t>
            </w:r>
            <w:r w:rsidR="0008687A">
              <w:rPr>
                <w:rFonts w:ascii="Times New Roman" w:hAnsi="Times New Roman"/>
                <w:b w:val="0"/>
                <w:sz w:val="22"/>
              </w:rPr>
              <w:t xml:space="preserve"> des </w:t>
            </w:r>
            <w:r w:rsidR="00376226">
              <w:rPr>
                <w:rFonts w:ascii="Times New Roman" w:hAnsi="Times New Roman"/>
                <w:b w:val="0"/>
                <w:sz w:val="22"/>
              </w:rPr>
              <w:t>46</w:t>
            </w:r>
            <w:r w:rsidR="0008687A">
              <w:rPr>
                <w:rFonts w:ascii="Times New Roman" w:hAnsi="Times New Roman"/>
                <w:b w:val="0"/>
                <w:sz w:val="22"/>
              </w:rPr>
              <w:t> patients ayant atteint une RC/RCs ont pu être évalués pour la MRM)</w:t>
            </w:r>
          </w:p>
          <w:p w14:paraId="35B492CD" w14:textId="77777777" w:rsidR="00F76559" w:rsidRPr="00743D4B" w:rsidRDefault="00F76559" w:rsidP="00545978">
            <w:pPr>
              <w:pStyle w:val="PIHeading2"/>
              <w:tabs>
                <w:tab w:val="left" w:pos="540"/>
              </w:tabs>
              <w:spacing w:before="0" w:after="0"/>
              <w:rPr>
                <w:rFonts w:ascii="Times New Roman" w:hAnsi="Times New Roman"/>
                <w:b w:val="0"/>
                <w:bCs/>
                <w:sz w:val="22"/>
                <w:szCs w:val="22"/>
              </w:rPr>
            </w:pPr>
            <w:r>
              <w:rPr>
                <w:rFonts w:ascii="Times New Roman" w:hAnsi="Times New Roman"/>
                <w:b w:val="0"/>
                <w:sz w:val="22"/>
              </w:rPr>
              <w:t>n (%)</w:t>
            </w:r>
          </w:p>
          <w:p w14:paraId="6B7086CE" w14:textId="77777777" w:rsidR="00F76559" w:rsidRPr="00743D4B" w:rsidRDefault="00F76559" w:rsidP="00545978">
            <w:pPr>
              <w:pStyle w:val="PIHeading2"/>
              <w:tabs>
                <w:tab w:val="left" w:pos="540"/>
              </w:tabs>
              <w:spacing w:before="0" w:after="0"/>
              <w:rPr>
                <w:rFonts w:ascii="Times New Roman" w:hAnsi="Times New Roman"/>
                <w:sz w:val="22"/>
                <w:szCs w:val="22"/>
              </w:rPr>
            </w:pPr>
            <w:r>
              <w:rPr>
                <w:rFonts w:ascii="Times New Roman" w:hAnsi="Times New Roman"/>
                <w:b w:val="0"/>
                <w:sz w:val="22"/>
              </w:rPr>
              <w:t>IC à 95 % (%)</w:t>
            </w:r>
          </w:p>
        </w:tc>
        <w:tc>
          <w:tcPr>
            <w:tcW w:w="2700" w:type="dxa"/>
            <w:tcBorders>
              <w:bottom w:val="single" w:sz="4" w:space="0" w:color="auto"/>
            </w:tcBorders>
          </w:tcPr>
          <w:p w14:paraId="56F07FDA" w14:textId="77777777" w:rsidR="00F76559" w:rsidRPr="00743D4B" w:rsidRDefault="00F76559" w:rsidP="00545978">
            <w:pPr>
              <w:pStyle w:val="PIHeading2"/>
              <w:tabs>
                <w:tab w:val="left" w:pos="540"/>
              </w:tabs>
              <w:spacing w:before="0" w:after="0"/>
              <w:jc w:val="center"/>
              <w:rPr>
                <w:rFonts w:ascii="Times New Roman" w:hAnsi="Times New Roman"/>
                <w:b w:val="0"/>
                <w:bCs/>
                <w:sz w:val="22"/>
                <w:szCs w:val="22"/>
              </w:rPr>
            </w:pPr>
          </w:p>
          <w:p w14:paraId="6365A124" w14:textId="77777777" w:rsidR="00F76559" w:rsidRDefault="00F76559" w:rsidP="00545978">
            <w:pPr>
              <w:pStyle w:val="PIHeading2"/>
              <w:tabs>
                <w:tab w:val="left" w:pos="540"/>
              </w:tabs>
              <w:spacing w:before="0" w:after="0"/>
              <w:jc w:val="center"/>
              <w:rPr>
                <w:rFonts w:ascii="Times New Roman" w:hAnsi="Times New Roman"/>
                <w:b w:val="0"/>
                <w:bCs/>
                <w:sz w:val="22"/>
                <w:szCs w:val="22"/>
              </w:rPr>
            </w:pPr>
          </w:p>
          <w:p w14:paraId="0D8B8C91" w14:textId="77777777" w:rsidR="00B44835" w:rsidRPr="00743D4B" w:rsidRDefault="00B44835" w:rsidP="00545978">
            <w:pPr>
              <w:pStyle w:val="PIHeading2"/>
              <w:tabs>
                <w:tab w:val="left" w:pos="540"/>
              </w:tabs>
              <w:spacing w:before="0" w:after="0"/>
              <w:jc w:val="center"/>
              <w:rPr>
                <w:rFonts w:ascii="Times New Roman" w:hAnsi="Times New Roman"/>
                <w:b w:val="0"/>
                <w:bCs/>
                <w:sz w:val="22"/>
                <w:szCs w:val="22"/>
              </w:rPr>
            </w:pPr>
          </w:p>
          <w:p w14:paraId="4CE3BED7" w14:textId="0D94254A" w:rsidR="00F76559" w:rsidRPr="00743D4B" w:rsidRDefault="002609C2" w:rsidP="00545978">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28</w:t>
            </w:r>
            <w:r w:rsidR="00F76559">
              <w:rPr>
                <w:rFonts w:ascii="Times New Roman" w:hAnsi="Times New Roman"/>
                <w:b w:val="0"/>
                <w:sz w:val="22"/>
              </w:rPr>
              <w:t xml:space="preserve"> (</w:t>
            </w:r>
            <w:r>
              <w:rPr>
                <w:rFonts w:ascii="Times New Roman" w:hAnsi="Times New Roman"/>
                <w:b w:val="0"/>
                <w:sz w:val="22"/>
              </w:rPr>
              <w:t>90,3</w:t>
            </w:r>
            <w:r w:rsidR="00F76559">
              <w:rPr>
                <w:rFonts w:ascii="Times New Roman" w:hAnsi="Times New Roman"/>
                <w:b w:val="0"/>
                <w:sz w:val="22"/>
              </w:rPr>
              <w:t> %)</w:t>
            </w:r>
          </w:p>
          <w:p w14:paraId="581D1300" w14:textId="1E854849" w:rsidR="00F76559" w:rsidRPr="00743D4B" w:rsidRDefault="00F76559" w:rsidP="00545978">
            <w:pPr>
              <w:pStyle w:val="PIHeading2"/>
              <w:tabs>
                <w:tab w:val="left" w:pos="540"/>
              </w:tabs>
              <w:spacing w:before="0" w:after="0"/>
              <w:jc w:val="center"/>
              <w:rPr>
                <w:rFonts w:ascii="Times New Roman" w:hAnsi="Times New Roman"/>
                <w:b w:val="0"/>
                <w:sz w:val="22"/>
                <w:szCs w:val="22"/>
              </w:rPr>
            </w:pPr>
            <w:r>
              <w:rPr>
                <w:rFonts w:ascii="Times New Roman" w:hAnsi="Times New Roman"/>
                <w:b w:val="0"/>
                <w:sz w:val="22"/>
              </w:rPr>
              <w:t>(</w:t>
            </w:r>
            <w:r w:rsidR="002609C2">
              <w:rPr>
                <w:rFonts w:ascii="Times New Roman" w:hAnsi="Times New Roman"/>
                <w:b w:val="0"/>
                <w:sz w:val="22"/>
              </w:rPr>
              <w:t>74,2</w:t>
            </w:r>
            <w:r>
              <w:rPr>
                <w:rFonts w:ascii="Times New Roman" w:hAnsi="Times New Roman"/>
                <w:b w:val="0"/>
                <w:sz w:val="22"/>
              </w:rPr>
              <w:t xml:space="preserve"> ; </w:t>
            </w:r>
            <w:r w:rsidR="002609C2">
              <w:rPr>
                <w:rFonts w:ascii="Times New Roman" w:hAnsi="Times New Roman"/>
                <w:b w:val="0"/>
                <w:sz w:val="22"/>
              </w:rPr>
              <w:t>98,0</w:t>
            </w:r>
            <w:r>
              <w:rPr>
                <w:rFonts w:ascii="Times New Roman" w:hAnsi="Times New Roman"/>
                <w:b w:val="0"/>
                <w:sz w:val="22"/>
              </w:rPr>
              <w:t>)</w:t>
            </w:r>
          </w:p>
        </w:tc>
      </w:tr>
      <w:tr w:rsidR="00F76559" w14:paraId="043D1606" w14:textId="77777777" w:rsidTr="00545978">
        <w:tc>
          <w:tcPr>
            <w:tcW w:w="9355" w:type="dxa"/>
            <w:gridSpan w:val="2"/>
            <w:tcBorders>
              <w:top w:val="single" w:sz="4" w:space="0" w:color="auto"/>
              <w:left w:val="nil"/>
              <w:bottom w:val="nil"/>
              <w:right w:val="nil"/>
            </w:tcBorders>
            <w:shd w:val="clear" w:color="auto" w:fill="auto"/>
          </w:tcPr>
          <w:p w14:paraId="28C0B71A" w14:textId="3D53502F" w:rsidR="00F76559" w:rsidRPr="00A64757"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A64757">
              <w:rPr>
                <w:rFonts w:ascii="Times New Roman" w:hAnsi="Times New Roman"/>
                <w:b w:val="0"/>
                <w:sz w:val="18"/>
              </w:rPr>
              <w:t>Abréviations : IC = intervalle de confiance ; NE = non estimable ; MRM = maladie résiduelle minimale.</w:t>
            </w:r>
          </w:p>
        </w:tc>
      </w:tr>
      <w:tr w:rsidR="00F76559" w14:paraId="4A46021C" w14:textId="77777777" w:rsidTr="00545978">
        <w:tc>
          <w:tcPr>
            <w:tcW w:w="9355" w:type="dxa"/>
            <w:gridSpan w:val="2"/>
            <w:tcBorders>
              <w:top w:val="nil"/>
              <w:left w:val="nil"/>
              <w:bottom w:val="nil"/>
              <w:right w:val="nil"/>
            </w:tcBorders>
            <w:shd w:val="clear" w:color="auto" w:fill="auto"/>
          </w:tcPr>
          <w:p w14:paraId="368292C9" w14:textId="77777777" w:rsidR="00F76559" w:rsidRPr="00A64757"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A64757">
              <w:rPr>
                <w:rFonts w:ascii="Times New Roman" w:hAnsi="Times New Roman"/>
                <w:b w:val="0"/>
                <w:sz w:val="18"/>
              </w:rPr>
              <w:t>a.</w:t>
            </w:r>
            <w:r w:rsidRPr="00A64757">
              <w:rPr>
                <w:rFonts w:ascii="Times New Roman" w:hAnsi="Times New Roman"/>
                <w:b w:val="0"/>
                <w:sz w:val="18"/>
              </w:rPr>
              <w:tab/>
              <w:t>Par seuil de 10</w:t>
            </w:r>
            <w:r w:rsidRPr="00A64757">
              <w:rPr>
                <w:rFonts w:ascii="Times New Roman" w:hAnsi="Times New Roman"/>
                <w:b w:val="0"/>
                <w:sz w:val="18"/>
                <w:vertAlign w:val="superscript"/>
              </w:rPr>
              <w:t>-5</w:t>
            </w:r>
            <w:r w:rsidRPr="00A64757">
              <w:rPr>
                <w:rFonts w:ascii="Times New Roman" w:hAnsi="Times New Roman"/>
                <w:b w:val="0"/>
                <w:sz w:val="18"/>
              </w:rPr>
              <w:t>, test clonoSEQ de séquençage de nouvelle génération (Adaptive Biotechnologies).</w:t>
            </w:r>
          </w:p>
        </w:tc>
      </w:tr>
    </w:tbl>
    <w:p w14:paraId="7218D75F" w14:textId="77777777" w:rsidR="00DD6309" w:rsidRDefault="00DD6309" w:rsidP="5F3F5493">
      <w:pPr>
        <w:spacing w:line="240" w:lineRule="auto"/>
        <w:rPr>
          <w:u w:val="single"/>
        </w:rPr>
      </w:pPr>
    </w:p>
    <w:p w14:paraId="3E0B4847" w14:textId="77777777" w:rsidR="5F3F5493" w:rsidRPr="00743D4B" w:rsidRDefault="00812D16" w:rsidP="00822D84">
      <w:pPr>
        <w:keepNext/>
        <w:spacing w:line="240" w:lineRule="auto"/>
      </w:pPr>
      <w:r>
        <w:rPr>
          <w:u w:val="single"/>
        </w:rPr>
        <w:t>Population pédiatrique</w:t>
      </w:r>
    </w:p>
    <w:bookmarkEnd w:id="12"/>
    <w:p w14:paraId="2EF1538C" w14:textId="77777777" w:rsidR="00205A9E" w:rsidRDefault="00205A9E" w:rsidP="00AF1088">
      <w:pPr>
        <w:keepNext/>
        <w:spacing w:line="240" w:lineRule="auto"/>
      </w:pPr>
    </w:p>
    <w:p w14:paraId="51E0B3DE" w14:textId="3FB5725E" w:rsidR="008C4858" w:rsidRPr="00743D4B" w:rsidRDefault="00812D16" w:rsidP="00CD7C38">
      <w:pPr>
        <w:spacing w:line="240" w:lineRule="auto"/>
        <w:rPr>
          <w:szCs w:val="22"/>
        </w:rPr>
      </w:pPr>
      <w:r>
        <w:t>L’Agence européenne des médicaments a accordé une dérogation à l’obligation de soumettre les résultats d’études réalisées avec ELREXFIO dans tous les sous-groupes de la population pédiatrique dans le traitement du myélome multiple (voir rubrique 4.2 pour les informations concernant l’usage pédiatrique).</w:t>
      </w:r>
    </w:p>
    <w:p w14:paraId="346130F4" w14:textId="77777777" w:rsidR="00812D16" w:rsidRPr="00743D4B" w:rsidRDefault="00812D16" w:rsidP="00204AAB">
      <w:pPr>
        <w:numPr>
          <w:ilvl w:val="12"/>
          <w:numId w:val="0"/>
        </w:numPr>
        <w:spacing w:line="240" w:lineRule="auto"/>
        <w:ind w:right="-2"/>
        <w:rPr>
          <w:iCs/>
          <w:noProof/>
          <w:szCs w:val="22"/>
        </w:rPr>
      </w:pPr>
    </w:p>
    <w:p w14:paraId="00208E4B" w14:textId="10A1A9A8" w:rsidR="00196B4D" w:rsidRPr="00743D4B" w:rsidRDefault="00196B4D" w:rsidP="00A10D5D">
      <w:pPr>
        <w:spacing w:line="240" w:lineRule="auto"/>
        <w:rPr>
          <w:iCs/>
          <w:noProof/>
          <w:szCs w:val="22"/>
        </w:rPr>
      </w:pPr>
      <w:r>
        <w:t>Une autorisation de mise sur le marché « conditionnelle » a été délivrée pour ce médicament. Cela signifie que des preuves supplémentaires concernant ce médicament sont attendues.</w:t>
      </w:r>
    </w:p>
    <w:p w14:paraId="7BFF8E10" w14:textId="77777777" w:rsidR="00DF02BC" w:rsidRPr="00743D4B" w:rsidRDefault="00DF02BC" w:rsidP="00196B4D">
      <w:pPr>
        <w:numPr>
          <w:ilvl w:val="12"/>
          <w:numId w:val="0"/>
        </w:numPr>
        <w:spacing w:line="240" w:lineRule="auto"/>
        <w:ind w:right="-2"/>
        <w:rPr>
          <w:iCs/>
          <w:noProof/>
          <w:szCs w:val="22"/>
        </w:rPr>
      </w:pPr>
    </w:p>
    <w:p w14:paraId="15F9EC36" w14:textId="77777777" w:rsidR="00196B4D" w:rsidRPr="00743D4B" w:rsidRDefault="00196B4D" w:rsidP="00196B4D">
      <w:pPr>
        <w:numPr>
          <w:ilvl w:val="12"/>
          <w:numId w:val="0"/>
        </w:numPr>
        <w:spacing w:line="240" w:lineRule="auto"/>
        <w:ind w:right="-2"/>
        <w:rPr>
          <w:iCs/>
          <w:noProof/>
          <w:szCs w:val="22"/>
        </w:rPr>
      </w:pPr>
      <w:r>
        <w:t>L’Agence européenne des médicaments réévaluera toute nouvelle information sur ce médicament au moins chaque année et, si nécessaire, ce RCP sera mis à jour.</w:t>
      </w:r>
    </w:p>
    <w:p w14:paraId="2FE780CD" w14:textId="77777777" w:rsidR="00196B4D" w:rsidRPr="00743D4B" w:rsidRDefault="00196B4D" w:rsidP="00204AAB">
      <w:pPr>
        <w:numPr>
          <w:ilvl w:val="12"/>
          <w:numId w:val="0"/>
        </w:numPr>
        <w:spacing w:line="240" w:lineRule="auto"/>
        <w:ind w:right="-2"/>
        <w:rPr>
          <w:iCs/>
          <w:noProof/>
          <w:szCs w:val="22"/>
        </w:rPr>
      </w:pPr>
    </w:p>
    <w:p w14:paraId="5F450041" w14:textId="77777777" w:rsidR="00812D16" w:rsidRPr="00743D4B" w:rsidRDefault="00812D16" w:rsidP="00204AAB">
      <w:pPr>
        <w:spacing w:line="240" w:lineRule="auto"/>
        <w:ind w:left="567" w:hanging="567"/>
        <w:outlineLvl w:val="0"/>
        <w:rPr>
          <w:b/>
          <w:noProof/>
          <w:szCs w:val="22"/>
        </w:rPr>
      </w:pPr>
      <w:r>
        <w:rPr>
          <w:b/>
        </w:rPr>
        <w:t>5.2</w:t>
      </w:r>
      <w:r>
        <w:rPr>
          <w:b/>
        </w:rPr>
        <w:tab/>
        <w:t>Propriétés pharmacocinétiques</w:t>
      </w:r>
    </w:p>
    <w:p w14:paraId="752797E6" w14:textId="77777777" w:rsidR="00B21864" w:rsidRDefault="00B21864" w:rsidP="00B21864">
      <w:pPr>
        <w:spacing w:line="240" w:lineRule="auto"/>
      </w:pPr>
      <w:bookmarkStart w:id="13" w:name="_Hlk83220585"/>
    </w:p>
    <w:p w14:paraId="0AFB4E0A" w14:textId="677A2A8C" w:rsidR="00B21864" w:rsidRPr="000C2FCC" w:rsidRDefault="004F67B1" w:rsidP="00B21864">
      <w:pPr>
        <w:tabs>
          <w:tab w:val="left" w:pos="5760"/>
        </w:tabs>
        <w:rPr>
          <w:szCs w:val="22"/>
        </w:rPr>
      </w:pPr>
      <w:r>
        <w:t xml:space="preserve">Les paramètres pharmacocinétiques sont présentés sous forme de moyenne géométrique (coefficient de variation [CV] en %) pour l’elranatamab non lié, sauf indication contraire. </w:t>
      </w:r>
      <w:r w:rsidRPr="009C043E">
        <w:t xml:space="preserve">La </w:t>
      </w:r>
      <w:r w:rsidR="00A2674A" w:rsidRPr="009C043E">
        <w:t>concentration maximale (</w:t>
      </w:r>
      <w:r w:rsidRPr="009C043E">
        <w:rPr>
          <w:color w:val="000000" w:themeColor="text1"/>
        </w:rPr>
        <w:t>C</w:t>
      </w:r>
      <w:r w:rsidRPr="009C043E">
        <w:rPr>
          <w:color w:val="000000" w:themeColor="text1"/>
          <w:vertAlign w:val="subscript"/>
        </w:rPr>
        <w:t>max</w:t>
      </w:r>
      <w:r w:rsidR="00A2674A" w:rsidRPr="009C043E">
        <w:rPr>
          <w:color w:val="000000" w:themeColor="text1"/>
          <w:vertAlign w:val="subscript"/>
        </w:rPr>
        <w:t>)</w:t>
      </w:r>
      <w:r w:rsidRPr="009C043E">
        <w:rPr>
          <w:color w:val="000000" w:themeColor="text1"/>
        </w:rPr>
        <w:t xml:space="preserve"> et l’</w:t>
      </w:r>
      <w:r w:rsidR="00A2674A" w:rsidRPr="009C043E">
        <w:rPr>
          <w:color w:val="000000" w:themeColor="text1"/>
        </w:rPr>
        <w:t>aire sous la courbe (</w:t>
      </w:r>
      <w:r w:rsidRPr="009C043E">
        <w:rPr>
          <w:color w:val="000000" w:themeColor="text1"/>
        </w:rPr>
        <w:t>ASC</w:t>
      </w:r>
      <w:r w:rsidRPr="009C043E">
        <w:rPr>
          <w:color w:val="000000" w:themeColor="text1"/>
          <w:vertAlign w:val="subscript"/>
        </w:rPr>
        <w:t>tau</w:t>
      </w:r>
      <w:r w:rsidR="00BA64D1" w:rsidRPr="00A97DE1">
        <w:rPr>
          <w:color w:val="000000" w:themeColor="text1"/>
        </w:rPr>
        <w:t>)</w:t>
      </w:r>
      <w:r>
        <w:t xml:space="preserve"> de l’</w:t>
      </w:r>
      <w:r>
        <w:rPr>
          <w:shd w:val="clear" w:color="auto" w:fill="FFFFFF"/>
        </w:rPr>
        <w:t xml:space="preserve">elranatamab </w:t>
      </w:r>
      <w:r>
        <w:t xml:space="preserve">après </w:t>
      </w:r>
      <w:r w:rsidR="005342D2">
        <w:t xml:space="preserve">la première </w:t>
      </w:r>
      <w:r>
        <w:t xml:space="preserve">administration sous-cutanée ont augmenté de manière proportionnelle à la dose dans l’intervalle </w:t>
      </w:r>
      <w:r w:rsidR="005342D2">
        <w:t xml:space="preserve">de doses </w:t>
      </w:r>
      <w:r>
        <w:t>évalué</w:t>
      </w:r>
      <w:r w:rsidR="005342D2">
        <w:t>es</w:t>
      </w:r>
      <w:r>
        <w:t xml:space="preserve"> </w:t>
      </w:r>
      <w:r w:rsidR="005342D2">
        <w:t>administrées par voie</w:t>
      </w:r>
      <w:r>
        <w:t xml:space="preserve"> sous-cutanée (~ 6 à 76 mg).</w:t>
      </w:r>
      <w:r>
        <w:rPr>
          <w:color w:val="000000" w:themeColor="text1"/>
        </w:rPr>
        <w:t xml:space="preserve"> </w:t>
      </w:r>
      <w:r w:rsidR="0008687A">
        <w:rPr>
          <w:color w:val="000000" w:themeColor="text1"/>
        </w:rPr>
        <w:t>Le rapport d’accumulation médiane après 24 semaines d’administration hebdomadaire par rapport à la première dose sous-cutanée d’elranatamab de 76 mg pour la C</w:t>
      </w:r>
      <w:r w:rsidR="0008687A" w:rsidRPr="00821709">
        <w:rPr>
          <w:color w:val="000000" w:themeColor="text1"/>
          <w:vertAlign w:val="subscript"/>
        </w:rPr>
        <w:t>max</w:t>
      </w:r>
      <w:r w:rsidR="0008687A">
        <w:rPr>
          <w:color w:val="000000" w:themeColor="text1"/>
        </w:rPr>
        <w:t xml:space="preserve"> et </w:t>
      </w:r>
      <w:r w:rsidR="0008687A" w:rsidRPr="00BE0670">
        <w:rPr>
          <w:color w:val="000000" w:themeColor="text1"/>
        </w:rPr>
        <w:t>l’ASC</w:t>
      </w:r>
      <w:r w:rsidR="0008687A" w:rsidRPr="00821709">
        <w:rPr>
          <w:color w:val="000000" w:themeColor="text1"/>
          <w:vertAlign w:val="subscript"/>
        </w:rPr>
        <w:t>tau</w:t>
      </w:r>
      <w:r w:rsidR="0008687A">
        <w:rPr>
          <w:color w:val="000000" w:themeColor="text1"/>
        </w:rPr>
        <w:t xml:space="preserve"> était de 6,6 et 11,2, respectivement. </w:t>
      </w:r>
      <w:r>
        <w:rPr>
          <w:color w:val="000000" w:themeColor="text1"/>
        </w:rPr>
        <w:t xml:space="preserve">La </w:t>
      </w:r>
      <w:r w:rsidR="00071B4A">
        <w:rPr>
          <w:color w:val="000000" w:themeColor="text1"/>
        </w:rPr>
        <w:t>C</w:t>
      </w:r>
      <w:r w:rsidR="00071B4A" w:rsidRPr="00F46ED6">
        <w:rPr>
          <w:color w:val="000000" w:themeColor="text1"/>
          <w:vertAlign w:val="subscript"/>
        </w:rPr>
        <w:t>moy</w:t>
      </w:r>
      <w:r w:rsidR="00071B4A">
        <w:rPr>
          <w:color w:val="000000" w:themeColor="text1"/>
        </w:rPr>
        <w:t xml:space="preserve">, la </w:t>
      </w:r>
      <w:r>
        <w:rPr>
          <w:color w:val="000000" w:themeColor="text1"/>
        </w:rPr>
        <w:t>C</w:t>
      </w:r>
      <w:r>
        <w:rPr>
          <w:color w:val="000000" w:themeColor="text1"/>
          <w:vertAlign w:val="subscript"/>
        </w:rPr>
        <w:t>max</w:t>
      </w:r>
      <w:r>
        <w:rPr>
          <w:color w:val="000000" w:themeColor="text1"/>
        </w:rPr>
        <w:t xml:space="preserve">, </w:t>
      </w:r>
      <w:r w:rsidR="00071B4A">
        <w:rPr>
          <w:color w:val="000000" w:themeColor="text1"/>
        </w:rPr>
        <w:t xml:space="preserve">et </w:t>
      </w:r>
      <w:r>
        <w:rPr>
          <w:color w:val="000000" w:themeColor="text1"/>
        </w:rPr>
        <w:t>la C</w:t>
      </w:r>
      <w:r>
        <w:rPr>
          <w:color w:val="000000" w:themeColor="text1"/>
          <w:vertAlign w:val="subscript"/>
        </w:rPr>
        <w:t>résid</w:t>
      </w:r>
      <w:r>
        <w:rPr>
          <w:color w:val="000000" w:themeColor="text1"/>
        </w:rPr>
        <w:t xml:space="preserve"> </w:t>
      </w:r>
      <w:r w:rsidR="00F6619F">
        <w:rPr>
          <w:color w:val="000000" w:themeColor="text1"/>
        </w:rPr>
        <w:t>(concentration résiduelle)</w:t>
      </w:r>
      <w:r>
        <w:rPr>
          <w:color w:val="000000" w:themeColor="text1"/>
        </w:rPr>
        <w:t xml:space="preserve"> </w:t>
      </w:r>
      <w:r w:rsidR="00F46ED6">
        <w:rPr>
          <w:color w:val="000000" w:themeColor="text1"/>
        </w:rPr>
        <w:t xml:space="preserve">attendues </w:t>
      </w:r>
      <w:r w:rsidR="002609C2">
        <w:rPr>
          <w:color w:val="000000" w:themeColor="text1"/>
        </w:rPr>
        <w:t>ainsi que la C</w:t>
      </w:r>
      <w:r w:rsidR="002609C2" w:rsidRPr="00D46A21">
        <w:rPr>
          <w:color w:val="000000" w:themeColor="text1"/>
          <w:vertAlign w:val="subscript"/>
        </w:rPr>
        <w:t>résid</w:t>
      </w:r>
      <w:r w:rsidR="002609C2">
        <w:rPr>
          <w:color w:val="000000" w:themeColor="text1"/>
        </w:rPr>
        <w:t xml:space="preserve"> observée </w:t>
      </w:r>
      <w:r>
        <w:rPr>
          <w:color w:val="000000" w:themeColor="text1"/>
        </w:rPr>
        <w:t xml:space="preserve">de </w:t>
      </w:r>
      <w:r>
        <w:t>l’elranatamab</w:t>
      </w:r>
      <w:r>
        <w:rPr>
          <w:color w:val="000000" w:themeColor="text1"/>
        </w:rPr>
        <w:t xml:space="preserve"> sont présenté</w:t>
      </w:r>
      <w:r w:rsidR="00966434">
        <w:rPr>
          <w:color w:val="000000" w:themeColor="text1"/>
        </w:rPr>
        <w:t>e</w:t>
      </w:r>
      <w:r>
        <w:rPr>
          <w:color w:val="000000" w:themeColor="text1"/>
        </w:rPr>
        <w:t>s dans le tableau 8.</w:t>
      </w:r>
    </w:p>
    <w:p w14:paraId="65ED964B" w14:textId="77777777" w:rsidR="00B21864" w:rsidRPr="00743D4B" w:rsidRDefault="00B21864" w:rsidP="00B21864">
      <w:pPr>
        <w:tabs>
          <w:tab w:val="left" w:pos="360"/>
        </w:tabs>
        <w:rPr>
          <w:szCs w:val="22"/>
          <w:shd w:val="clear" w:color="auto" w:fill="FFFFFF"/>
        </w:rPr>
      </w:pPr>
    </w:p>
    <w:tbl>
      <w:tblPr>
        <w:tblStyle w:val="TableGrid"/>
        <w:tblW w:w="9073" w:type="dxa"/>
        <w:tblLook w:val="04A0" w:firstRow="1" w:lastRow="0" w:firstColumn="1" w:lastColumn="0" w:noHBand="0" w:noVBand="1"/>
      </w:tblPr>
      <w:tblGrid>
        <w:gridCol w:w="2954"/>
        <w:gridCol w:w="1505"/>
        <w:gridCol w:w="1485"/>
        <w:gridCol w:w="1541"/>
        <w:gridCol w:w="1588"/>
      </w:tblGrid>
      <w:tr w:rsidR="00DA400F" w14:paraId="63DBAC9D" w14:textId="0DE7D5DF" w:rsidTr="00D46A21">
        <w:tc>
          <w:tcPr>
            <w:tcW w:w="0" w:type="auto"/>
            <w:gridSpan w:val="5"/>
            <w:tcBorders>
              <w:top w:val="nil"/>
              <w:left w:val="nil"/>
              <w:bottom w:val="single" w:sz="4" w:space="0" w:color="auto"/>
              <w:right w:val="nil"/>
            </w:tcBorders>
            <w:vAlign w:val="center"/>
          </w:tcPr>
          <w:p w14:paraId="1204857C" w14:textId="31AAE19C" w:rsidR="00DA400F" w:rsidRDefault="00DA400F" w:rsidP="004F07E4">
            <w:pPr>
              <w:tabs>
                <w:tab w:val="left" w:pos="360"/>
              </w:tabs>
              <w:ind w:left="1155" w:hanging="1155"/>
              <w:rPr>
                <w:b/>
              </w:rPr>
            </w:pPr>
            <w:r>
              <w:rPr>
                <w:b/>
              </w:rPr>
              <w:t>Tableau 8.</w:t>
            </w:r>
            <w:r>
              <w:rPr>
                <w:b/>
              </w:rPr>
              <w:tab/>
              <w:t>Paramètres pharmacocinétiques de l’elranatamab selon la dose recommandée</w:t>
            </w:r>
          </w:p>
        </w:tc>
      </w:tr>
      <w:tr w:rsidR="00232EBD" w14:paraId="3E4A7389" w14:textId="5281A5BC" w:rsidTr="00EB6812">
        <w:trPr>
          <w:trHeight w:val="107"/>
        </w:trPr>
        <w:tc>
          <w:tcPr>
            <w:tcW w:w="2954" w:type="dxa"/>
            <w:vMerge w:val="restart"/>
            <w:tcBorders>
              <w:top w:val="single" w:sz="4" w:space="0" w:color="auto"/>
            </w:tcBorders>
            <w:vAlign w:val="center"/>
          </w:tcPr>
          <w:p w14:paraId="7D79ECD5" w14:textId="24F63E64" w:rsidR="00232EBD" w:rsidRPr="000C2FCC" w:rsidRDefault="00232EBD" w:rsidP="004F07E4">
            <w:pPr>
              <w:tabs>
                <w:tab w:val="left" w:pos="5760"/>
              </w:tabs>
              <w:jc w:val="center"/>
              <w:rPr>
                <w:b/>
                <w:szCs w:val="22"/>
              </w:rPr>
            </w:pPr>
            <w:r>
              <w:rPr>
                <w:b/>
              </w:rPr>
              <w:t>Temps d’évaluation</w:t>
            </w:r>
          </w:p>
        </w:tc>
        <w:tc>
          <w:tcPr>
            <w:tcW w:w="6119" w:type="dxa"/>
            <w:gridSpan w:val="4"/>
            <w:tcBorders>
              <w:top w:val="single" w:sz="4" w:space="0" w:color="auto"/>
            </w:tcBorders>
            <w:vAlign w:val="center"/>
          </w:tcPr>
          <w:p w14:paraId="52C00645" w14:textId="5851142B" w:rsidR="00232EBD" w:rsidRDefault="00232EBD" w:rsidP="004F07E4">
            <w:pPr>
              <w:tabs>
                <w:tab w:val="left" w:pos="5760"/>
              </w:tabs>
              <w:jc w:val="center"/>
              <w:rPr>
                <w:b/>
              </w:rPr>
            </w:pPr>
            <w:r>
              <w:rPr>
                <w:b/>
              </w:rPr>
              <w:t>Paramètres</w:t>
            </w:r>
          </w:p>
        </w:tc>
      </w:tr>
      <w:tr w:rsidR="00232EBD" w14:paraId="45864E84" w14:textId="77777777" w:rsidTr="00EB6812">
        <w:trPr>
          <w:trHeight w:val="106"/>
        </w:trPr>
        <w:tc>
          <w:tcPr>
            <w:tcW w:w="2954" w:type="dxa"/>
            <w:vMerge/>
            <w:vAlign w:val="center"/>
          </w:tcPr>
          <w:p w14:paraId="5C219532" w14:textId="77777777" w:rsidR="00232EBD" w:rsidRDefault="00232EBD" w:rsidP="004F07E4">
            <w:pPr>
              <w:tabs>
                <w:tab w:val="left" w:pos="5760"/>
              </w:tabs>
              <w:jc w:val="center"/>
              <w:rPr>
                <w:b/>
              </w:rPr>
            </w:pPr>
          </w:p>
        </w:tc>
        <w:tc>
          <w:tcPr>
            <w:tcW w:w="4531" w:type="dxa"/>
            <w:gridSpan w:val="3"/>
            <w:tcBorders>
              <w:top w:val="single" w:sz="4" w:space="0" w:color="auto"/>
            </w:tcBorders>
            <w:vAlign w:val="center"/>
          </w:tcPr>
          <w:p w14:paraId="2FC3FFD4" w14:textId="76D3F265" w:rsidR="00232EBD" w:rsidRDefault="00232EBD" w:rsidP="004F07E4">
            <w:pPr>
              <w:tabs>
                <w:tab w:val="left" w:pos="5760"/>
              </w:tabs>
              <w:jc w:val="center"/>
              <w:rPr>
                <w:b/>
              </w:rPr>
            </w:pPr>
            <w:r>
              <w:rPr>
                <w:b/>
              </w:rPr>
              <w:t>Attendus</w:t>
            </w:r>
          </w:p>
        </w:tc>
        <w:tc>
          <w:tcPr>
            <w:tcW w:w="1588" w:type="dxa"/>
            <w:tcBorders>
              <w:top w:val="single" w:sz="4" w:space="0" w:color="auto"/>
            </w:tcBorders>
            <w:vAlign w:val="center"/>
          </w:tcPr>
          <w:p w14:paraId="0F658AB0" w14:textId="6D471F20" w:rsidR="00232EBD" w:rsidRDefault="00232EBD" w:rsidP="004F07E4">
            <w:pPr>
              <w:tabs>
                <w:tab w:val="left" w:pos="5760"/>
              </w:tabs>
              <w:jc w:val="center"/>
              <w:rPr>
                <w:b/>
              </w:rPr>
            </w:pPr>
            <w:r>
              <w:rPr>
                <w:b/>
              </w:rPr>
              <w:t>Observés</w:t>
            </w:r>
          </w:p>
        </w:tc>
      </w:tr>
      <w:tr w:rsidR="00EB6812" w14:paraId="7B5D76D0" w14:textId="2BBD7144" w:rsidTr="00EB6812">
        <w:tc>
          <w:tcPr>
            <w:tcW w:w="2954" w:type="dxa"/>
            <w:tcBorders>
              <w:top w:val="single" w:sz="4" w:space="0" w:color="auto"/>
            </w:tcBorders>
            <w:vAlign w:val="center"/>
          </w:tcPr>
          <w:p w14:paraId="493F2709" w14:textId="77777777" w:rsidR="00DA400F" w:rsidRPr="000C2FCC" w:rsidRDefault="00DA400F" w:rsidP="004F07E4">
            <w:pPr>
              <w:tabs>
                <w:tab w:val="left" w:pos="5760"/>
              </w:tabs>
              <w:jc w:val="center"/>
              <w:rPr>
                <w:b/>
                <w:szCs w:val="22"/>
              </w:rPr>
            </w:pPr>
          </w:p>
        </w:tc>
        <w:tc>
          <w:tcPr>
            <w:tcW w:w="1505" w:type="dxa"/>
            <w:tcBorders>
              <w:top w:val="single" w:sz="4" w:space="0" w:color="auto"/>
            </w:tcBorders>
            <w:vAlign w:val="center"/>
          </w:tcPr>
          <w:p w14:paraId="16C95D10" w14:textId="77777777" w:rsidR="00DA400F" w:rsidRPr="00017D09" w:rsidRDefault="00DA400F" w:rsidP="004F07E4">
            <w:pPr>
              <w:tabs>
                <w:tab w:val="left" w:pos="360"/>
              </w:tabs>
              <w:jc w:val="center"/>
              <w:rPr>
                <w:b/>
                <w:color w:val="000000"/>
                <w:szCs w:val="22"/>
              </w:rPr>
            </w:pPr>
            <w:r>
              <w:rPr>
                <w:b/>
                <w:color w:val="000000" w:themeColor="text1"/>
              </w:rPr>
              <w:t>C</w:t>
            </w:r>
            <w:r>
              <w:rPr>
                <w:b/>
                <w:color w:val="000000" w:themeColor="text1"/>
                <w:vertAlign w:val="subscript"/>
              </w:rPr>
              <w:t>moy</w:t>
            </w:r>
          </w:p>
          <w:p w14:paraId="4603EBA7" w14:textId="0F8CBAD1" w:rsidR="00DA400F" w:rsidRPr="000C2FCC" w:rsidRDefault="00DA400F" w:rsidP="004F07E4">
            <w:pPr>
              <w:tabs>
                <w:tab w:val="left" w:pos="5760"/>
              </w:tabs>
              <w:jc w:val="center"/>
              <w:rPr>
                <w:b/>
                <w:szCs w:val="22"/>
              </w:rPr>
            </w:pPr>
            <w:r>
              <w:rPr>
                <w:b/>
                <w:color w:val="000000"/>
              </w:rPr>
              <w:t>(µg/mL)</w:t>
            </w:r>
          </w:p>
        </w:tc>
        <w:tc>
          <w:tcPr>
            <w:tcW w:w="1485" w:type="dxa"/>
            <w:tcBorders>
              <w:top w:val="single" w:sz="4" w:space="0" w:color="auto"/>
            </w:tcBorders>
            <w:vAlign w:val="center"/>
          </w:tcPr>
          <w:p w14:paraId="1F745264" w14:textId="77777777" w:rsidR="00DA400F" w:rsidRPr="00017D09" w:rsidRDefault="00DA400F" w:rsidP="004F07E4">
            <w:pPr>
              <w:tabs>
                <w:tab w:val="left" w:pos="360"/>
              </w:tabs>
              <w:jc w:val="center"/>
              <w:rPr>
                <w:b/>
                <w:szCs w:val="22"/>
              </w:rPr>
            </w:pPr>
            <w:r>
              <w:rPr>
                <w:b/>
                <w:color w:val="000000" w:themeColor="text1"/>
              </w:rPr>
              <w:t>C</w:t>
            </w:r>
            <w:r>
              <w:rPr>
                <w:b/>
                <w:color w:val="000000" w:themeColor="text1"/>
                <w:vertAlign w:val="subscript"/>
              </w:rPr>
              <w:t>max</w:t>
            </w:r>
          </w:p>
          <w:p w14:paraId="4C898F4F" w14:textId="491A271B" w:rsidR="00DA400F" w:rsidRPr="000C2FCC" w:rsidRDefault="00DA400F" w:rsidP="004F07E4">
            <w:pPr>
              <w:tabs>
                <w:tab w:val="left" w:pos="5760"/>
              </w:tabs>
              <w:jc w:val="center"/>
              <w:rPr>
                <w:b/>
                <w:szCs w:val="22"/>
              </w:rPr>
            </w:pPr>
            <w:r>
              <w:rPr>
                <w:b/>
              </w:rPr>
              <w:t>(µg/mL)</w:t>
            </w:r>
          </w:p>
        </w:tc>
        <w:tc>
          <w:tcPr>
            <w:tcW w:w="1541" w:type="dxa"/>
            <w:tcBorders>
              <w:top w:val="single" w:sz="4" w:space="0" w:color="auto"/>
            </w:tcBorders>
            <w:vAlign w:val="center"/>
          </w:tcPr>
          <w:p w14:paraId="544BA064" w14:textId="77777777" w:rsidR="00DA400F" w:rsidRPr="00017D09" w:rsidRDefault="00DA400F" w:rsidP="004F07E4">
            <w:pPr>
              <w:tabs>
                <w:tab w:val="left" w:pos="360"/>
              </w:tabs>
              <w:jc w:val="center"/>
              <w:rPr>
                <w:b/>
                <w:color w:val="000000" w:themeColor="text1"/>
                <w:szCs w:val="22"/>
              </w:rPr>
            </w:pPr>
            <w:r>
              <w:rPr>
                <w:b/>
                <w:color w:val="000000" w:themeColor="text1"/>
              </w:rPr>
              <w:t>C</w:t>
            </w:r>
            <w:r>
              <w:rPr>
                <w:b/>
                <w:color w:val="000000" w:themeColor="text1"/>
                <w:vertAlign w:val="subscript"/>
              </w:rPr>
              <w:t>résid</w:t>
            </w:r>
          </w:p>
          <w:p w14:paraId="7454FC3C" w14:textId="4C83CD0E" w:rsidR="00DA400F" w:rsidRPr="000C2FCC" w:rsidRDefault="00DA400F" w:rsidP="004F07E4">
            <w:pPr>
              <w:tabs>
                <w:tab w:val="left" w:pos="5760"/>
              </w:tabs>
              <w:jc w:val="center"/>
              <w:rPr>
                <w:b/>
                <w:szCs w:val="22"/>
              </w:rPr>
            </w:pPr>
            <w:r>
              <w:rPr>
                <w:b/>
                <w:color w:val="000000" w:themeColor="text1"/>
              </w:rPr>
              <w:t>(</w:t>
            </w:r>
            <w:r>
              <w:rPr>
                <w:b/>
              </w:rPr>
              <w:t>µg/mL)</w:t>
            </w:r>
          </w:p>
        </w:tc>
        <w:tc>
          <w:tcPr>
            <w:tcW w:w="1588" w:type="dxa"/>
            <w:tcBorders>
              <w:top w:val="single" w:sz="4" w:space="0" w:color="auto"/>
            </w:tcBorders>
            <w:vAlign w:val="center"/>
          </w:tcPr>
          <w:p w14:paraId="4ABCC077" w14:textId="3C440570" w:rsidR="00DA400F" w:rsidRPr="00DA400F" w:rsidRDefault="00DA400F" w:rsidP="00DA400F">
            <w:pPr>
              <w:tabs>
                <w:tab w:val="left" w:pos="360"/>
              </w:tabs>
              <w:jc w:val="center"/>
              <w:rPr>
                <w:b/>
                <w:color w:val="000000" w:themeColor="text1"/>
              </w:rPr>
            </w:pPr>
            <w:r w:rsidRPr="00DA400F">
              <w:rPr>
                <w:b/>
                <w:color w:val="000000" w:themeColor="text1"/>
              </w:rPr>
              <w:t>C</w:t>
            </w:r>
            <w:r w:rsidRPr="00D46A21">
              <w:rPr>
                <w:b/>
                <w:color w:val="000000" w:themeColor="text1"/>
                <w:vertAlign w:val="subscript"/>
              </w:rPr>
              <w:t>résid</w:t>
            </w:r>
            <w:r w:rsidRPr="00D46A21">
              <w:rPr>
                <w:b/>
                <w:color w:val="000000" w:themeColor="text1"/>
                <w:vertAlign w:val="superscript"/>
              </w:rPr>
              <w:t>d</w:t>
            </w:r>
          </w:p>
          <w:p w14:paraId="1DAEFC45" w14:textId="46307404" w:rsidR="00DA400F" w:rsidRDefault="00DA400F" w:rsidP="00DA400F">
            <w:pPr>
              <w:tabs>
                <w:tab w:val="left" w:pos="360"/>
              </w:tabs>
              <w:jc w:val="center"/>
              <w:rPr>
                <w:b/>
                <w:color w:val="000000" w:themeColor="text1"/>
              </w:rPr>
            </w:pPr>
            <w:r w:rsidRPr="00DA400F">
              <w:rPr>
                <w:b/>
                <w:color w:val="000000" w:themeColor="text1"/>
              </w:rPr>
              <w:t>(µg/mL)</w:t>
            </w:r>
          </w:p>
        </w:tc>
      </w:tr>
      <w:tr w:rsidR="006604DB" w14:paraId="33FCB645" w14:textId="5D10B03E" w:rsidTr="00EB6812">
        <w:tc>
          <w:tcPr>
            <w:tcW w:w="2954" w:type="dxa"/>
            <w:vAlign w:val="center"/>
          </w:tcPr>
          <w:p w14:paraId="4BA414DB" w14:textId="039DEA2D" w:rsidR="00DA400F" w:rsidRPr="000C2FCC" w:rsidRDefault="00B02E0F" w:rsidP="00DA400F">
            <w:pPr>
              <w:tabs>
                <w:tab w:val="left" w:pos="5760"/>
              </w:tabs>
              <w:rPr>
                <w:szCs w:val="22"/>
              </w:rPr>
            </w:pPr>
            <w:r>
              <w:rPr>
                <w:color w:val="000000" w:themeColor="text1"/>
              </w:rPr>
              <w:t>A la f</w:t>
            </w:r>
            <w:r w:rsidR="00DA400F">
              <w:rPr>
                <w:color w:val="000000" w:themeColor="text1"/>
              </w:rPr>
              <w:t>in de l’administration hebdomadaire (Semaine 24)</w:t>
            </w:r>
            <w:r w:rsidR="00EB6812" w:rsidRPr="00EB6812">
              <w:rPr>
                <w:color w:val="000000" w:themeColor="text1"/>
                <w:vertAlign w:val="superscript"/>
              </w:rPr>
              <w:t>a</w:t>
            </w:r>
          </w:p>
        </w:tc>
        <w:tc>
          <w:tcPr>
            <w:tcW w:w="1505" w:type="dxa"/>
            <w:vAlign w:val="center"/>
          </w:tcPr>
          <w:p w14:paraId="70C0E2CF" w14:textId="595EF931" w:rsidR="00DA400F" w:rsidRPr="000C2FCC" w:rsidRDefault="00DA400F" w:rsidP="00DA400F">
            <w:pPr>
              <w:tabs>
                <w:tab w:val="left" w:pos="5760"/>
              </w:tabs>
              <w:jc w:val="center"/>
              <w:rPr>
                <w:szCs w:val="22"/>
              </w:rPr>
            </w:pPr>
            <w:r>
              <w:t>32,0 (46 %)</w:t>
            </w:r>
          </w:p>
        </w:tc>
        <w:tc>
          <w:tcPr>
            <w:tcW w:w="1485" w:type="dxa"/>
            <w:vAlign w:val="center"/>
          </w:tcPr>
          <w:p w14:paraId="32CA0374" w14:textId="00EB55F8" w:rsidR="00DA400F" w:rsidRDefault="00DA400F" w:rsidP="00DA400F">
            <w:pPr>
              <w:tabs>
                <w:tab w:val="left" w:pos="5760"/>
              </w:tabs>
              <w:jc w:val="center"/>
              <w:rPr>
                <w:bCs/>
                <w:szCs w:val="22"/>
              </w:rPr>
            </w:pPr>
            <w:r>
              <w:t>33,0 (46 %)</w:t>
            </w:r>
          </w:p>
        </w:tc>
        <w:tc>
          <w:tcPr>
            <w:tcW w:w="1541" w:type="dxa"/>
            <w:vAlign w:val="center"/>
          </w:tcPr>
          <w:p w14:paraId="0AF3547B" w14:textId="45FC088C" w:rsidR="00DA400F" w:rsidRDefault="00DA400F" w:rsidP="00DA400F">
            <w:pPr>
              <w:tabs>
                <w:tab w:val="left" w:pos="5760"/>
              </w:tabs>
              <w:jc w:val="center"/>
              <w:rPr>
                <w:bCs/>
                <w:szCs w:val="22"/>
              </w:rPr>
            </w:pPr>
            <w:r>
              <w:t>30,5 (</w:t>
            </w:r>
            <w:r w:rsidR="00EB6812">
              <w:t>48</w:t>
            </w:r>
            <w:r>
              <w:t> %)</w:t>
            </w:r>
          </w:p>
        </w:tc>
        <w:tc>
          <w:tcPr>
            <w:tcW w:w="1588" w:type="dxa"/>
            <w:vAlign w:val="center"/>
          </w:tcPr>
          <w:p w14:paraId="644617CF" w14:textId="19F83B4D" w:rsidR="00DA400F" w:rsidRDefault="00DA400F" w:rsidP="00DA400F">
            <w:pPr>
              <w:tabs>
                <w:tab w:val="left" w:pos="5760"/>
              </w:tabs>
              <w:jc w:val="center"/>
            </w:pPr>
            <w:r w:rsidRPr="004C2FBD">
              <w:t>32</w:t>
            </w:r>
            <w:r>
              <w:t>,</w:t>
            </w:r>
            <w:r w:rsidRPr="004C2FBD">
              <w:t>2 (71</w:t>
            </w:r>
            <w:r>
              <w:t> </w:t>
            </w:r>
            <w:r w:rsidRPr="004C2FBD">
              <w:t xml:space="preserve">%) </w:t>
            </w:r>
          </w:p>
        </w:tc>
      </w:tr>
      <w:tr w:rsidR="006604DB" w14:paraId="30C151F5" w14:textId="700C3F81" w:rsidTr="00EB6812">
        <w:tc>
          <w:tcPr>
            <w:tcW w:w="2954" w:type="dxa"/>
            <w:tcBorders>
              <w:bottom w:val="single" w:sz="4" w:space="0" w:color="auto"/>
            </w:tcBorders>
            <w:vAlign w:val="center"/>
          </w:tcPr>
          <w:p w14:paraId="00E948C4" w14:textId="77777777" w:rsidR="00DA400F" w:rsidRPr="000C2FCC" w:rsidRDefault="00DA400F" w:rsidP="00DA400F">
            <w:pPr>
              <w:tabs>
                <w:tab w:val="left" w:pos="5760"/>
              </w:tabs>
              <w:rPr>
                <w:szCs w:val="22"/>
              </w:rPr>
            </w:pPr>
            <w:r>
              <w:rPr>
                <w:color w:val="000000" w:themeColor="text1"/>
              </w:rPr>
              <w:t>État d’équilibre (administration toutes les deux semaines)</w:t>
            </w:r>
            <w:r>
              <w:rPr>
                <w:color w:val="000000" w:themeColor="text1"/>
                <w:vertAlign w:val="superscript"/>
              </w:rPr>
              <w:t>a,b</w:t>
            </w:r>
          </w:p>
        </w:tc>
        <w:tc>
          <w:tcPr>
            <w:tcW w:w="1505" w:type="dxa"/>
            <w:tcBorders>
              <w:bottom w:val="single" w:sz="4" w:space="0" w:color="auto"/>
            </w:tcBorders>
            <w:vAlign w:val="center"/>
          </w:tcPr>
          <w:p w14:paraId="10993690" w14:textId="77E4FA02" w:rsidR="00DA400F" w:rsidRPr="000C2FCC" w:rsidRDefault="00DA400F" w:rsidP="00DA400F">
            <w:pPr>
              <w:tabs>
                <w:tab w:val="left" w:pos="5760"/>
              </w:tabs>
              <w:jc w:val="center"/>
              <w:rPr>
                <w:szCs w:val="22"/>
              </w:rPr>
            </w:pPr>
            <w:r>
              <w:t>17,7 (53 %)</w:t>
            </w:r>
          </w:p>
        </w:tc>
        <w:tc>
          <w:tcPr>
            <w:tcW w:w="1485" w:type="dxa"/>
            <w:tcBorders>
              <w:bottom w:val="single" w:sz="4" w:space="0" w:color="auto"/>
            </w:tcBorders>
            <w:vAlign w:val="center"/>
          </w:tcPr>
          <w:p w14:paraId="60CEDDFF" w14:textId="1C14F451" w:rsidR="00DA400F" w:rsidRDefault="00DA400F" w:rsidP="00DA400F">
            <w:pPr>
              <w:tabs>
                <w:tab w:val="left" w:pos="5760"/>
              </w:tabs>
              <w:jc w:val="center"/>
              <w:rPr>
                <w:bCs/>
                <w:szCs w:val="22"/>
              </w:rPr>
            </w:pPr>
            <w:r>
              <w:t>19,5 (51 %)</w:t>
            </w:r>
          </w:p>
        </w:tc>
        <w:tc>
          <w:tcPr>
            <w:tcW w:w="1541" w:type="dxa"/>
            <w:tcBorders>
              <w:bottom w:val="single" w:sz="4" w:space="0" w:color="auto"/>
            </w:tcBorders>
            <w:vAlign w:val="center"/>
          </w:tcPr>
          <w:p w14:paraId="7B276101" w14:textId="34C453C1" w:rsidR="00DA400F" w:rsidRDefault="00DA400F" w:rsidP="00DA400F">
            <w:pPr>
              <w:tabs>
                <w:tab w:val="left" w:pos="5760"/>
              </w:tabs>
              <w:jc w:val="center"/>
              <w:rPr>
                <w:bCs/>
                <w:szCs w:val="22"/>
              </w:rPr>
            </w:pPr>
            <w:r>
              <w:t>15,1 (60 %)</w:t>
            </w:r>
          </w:p>
        </w:tc>
        <w:tc>
          <w:tcPr>
            <w:tcW w:w="1588" w:type="dxa"/>
            <w:tcBorders>
              <w:bottom w:val="single" w:sz="4" w:space="0" w:color="auto"/>
            </w:tcBorders>
            <w:vAlign w:val="center"/>
          </w:tcPr>
          <w:p w14:paraId="20ED39DE" w14:textId="3F848068" w:rsidR="00DA400F" w:rsidRDefault="00DA400F" w:rsidP="00DA400F">
            <w:pPr>
              <w:tabs>
                <w:tab w:val="left" w:pos="5760"/>
              </w:tabs>
              <w:jc w:val="center"/>
            </w:pPr>
            <w:r w:rsidRPr="004C2FBD">
              <w:t>16</w:t>
            </w:r>
            <w:r>
              <w:t>,</w:t>
            </w:r>
            <w:r w:rsidRPr="004C2FBD">
              <w:t>5 (59</w:t>
            </w:r>
            <w:r>
              <w:t> </w:t>
            </w:r>
            <w:r w:rsidRPr="004C2FBD">
              <w:t xml:space="preserve">%) </w:t>
            </w:r>
          </w:p>
        </w:tc>
      </w:tr>
      <w:tr w:rsidR="00EB6812" w14:paraId="3E7F2AB1" w14:textId="77777777" w:rsidTr="00EB6812">
        <w:tc>
          <w:tcPr>
            <w:tcW w:w="2954" w:type="dxa"/>
            <w:tcBorders>
              <w:bottom w:val="single" w:sz="4" w:space="0" w:color="auto"/>
            </w:tcBorders>
            <w:vAlign w:val="center"/>
          </w:tcPr>
          <w:p w14:paraId="1246D50F" w14:textId="310D0E08" w:rsidR="00DA400F" w:rsidRDefault="00DA400F" w:rsidP="00DA400F">
            <w:pPr>
              <w:tabs>
                <w:tab w:val="left" w:pos="5760"/>
              </w:tabs>
              <w:rPr>
                <w:color w:val="000000" w:themeColor="text1"/>
              </w:rPr>
            </w:pPr>
            <w:r w:rsidRPr="00DA400F">
              <w:rPr>
                <w:color w:val="000000" w:themeColor="text1"/>
              </w:rPr>
              <w:t xml:space="preserve">État d’équilibre (administration toutes les </w:t>
            </w:r>
            <w:r>
              <w:rPr>
                <w:color w:val="000000" w:themeColor="text1"/>
              </w:rPr>
              <w:t>quatre</w:t>
            </w:r>
            <w:r w:rsidRPr="00DA400F">
              <w:rPr>
                <w:color w:val="000000" w:themeColor="text1"/>
              </w:rPr>
              <w:t xml:space="preserve"> semaines)</w:t>
            </w:r>
            <w:r w:rsidRPr="00D46A21">
              <w:rPr>
                <w:color w:val="000000" w:themeColor="text1"/>
                <w:vertAlign w:val="superscript"/>
              </w:rPr>
              <w:t>a,c</w:t>
            </w:r>
          </w:p>
        </w:tc>
        <w:tc>
          <w:tcPr>
            <w:tcW w:w="1505" w:type="dxa"/>
            <w:tcBorders>
              <w:bottom w:val="single" w:sz="4" w:space="0" w:color="auto"/>
            </w:tcBorders>
            <w:vAlign w:val="center"/>
          </w:tcPr>
          <w:p w14:paraId="42685ECA" w14:textId="6027D688" w:rsidR="00DA400F" w:rsidRDefault="00DA400F" w:rsidP="00DA400F">
            <w:pPr>
              <w:tabs>
                <w:tab w:val="left" w:pos="5760"/>
              </w:tabs>
              <w:jc w:val="center"/>
            </w:pPr>
            <w:r>
              <w:t>8,8</w:t>
            </w:r>
            <w:r w:rsidRPr="00B350D3">
              <w:t xml:space="preserve"> (5</w:t>
            </w:r>
            <w:r>
              <w:t>8 </w:t>
            </w:r>
            <w:r w:rsidRPr="00B350D3">
              <w:t>%)</w:t>
            </w:r>
          </w:p>
        </w:tc>
        <w:tc>
          <w:tcPr>
            <w:tcW w:w="1485" w:type="dxa"/>
            <w:tcBorders>
              <w:bottom w:val="single" w:sz="4" w:space="0" w:color="auto"/>
            </w:tcBorders>
            <w:vAlign w:val="center"/>
          </w:tcPr>
          <w:p w14:paraId="39094A05" w14:textId="40D84B63" w:rsidR="00DA400F" w:rsidRDefault="00DA400F" w:rsidP="00DA400F">
            <w:pPr>
              <w:tabs>
                <w:tab w:val="left" w:pos="5760"/>
              </w:tabs>
              <w:jc w:val="center"/>
            </w:pPr>
            <w:r>
              <w:t>11,5</w:t>
            </w:r>
            <w:r w:rsidRPr="00B350D3">
              <w:t xml:space="preserve"> (5</w:t>
            </w:r>
            <w:r>
              <w:t>4 </w:t>
            </w:r>
            <w:r w:rsidRPr="00B350D3">
              <w:t>%)</w:t>
            </w:r>
          </w:p>
        </w:tc>
        <w:tc>
          <w:tcPr>
            <w:tcW w:w="1541" w:type="dxa"/>
            <w:tcBorders>
              <w:bottom w:val="single" w:sz="4" w:space="0" w:color="auto"/>
            </w:tcBorders>
            <w:vAlign w:val="center"/>
          </w:tcPr>
          <w:p w14:paraId="3469651A" w14:textId="6187A943" w:rsidR="00DA400F" w:rsidRDefault="00DA400F" w:rsidP="00DA400F">
            <w:pPr>
              <w:tabs>
                <w:tab w:val="left" w:pos="5760"/>
              </w:tabs>
              <w:jc w:val="center"/>
            </w:pPr>
            <w:r w:rsidRPr="00B350D3">
              <w:t>5,9 (</w:t>
            </w:r>
            <w:r>
              <w:t>78 </w:t>
            </w:r>
            <w:r w:rsidRPr="00B350D3">
              <w:t>%)</w:t>
            </w:r>
          </w:p>
        </w:tc>
        <w:tc>
          <w:tcPr>
            <w:tcW w:w="1588" w:type="dxa"/>
            <w:tcBorders>
              <w:bottom w:val="single" w:sz="4" w:space="0" w:color="auto"/>
            </w:tcBorders>
            <w:vAlign w:val="center"/>
          </w:tcPr>
          <w:p w14:paraId="4A5874A1" w14:textId="4DF2D0A1" w:rsidR="00DA400F" w:rsidRDefault="00DA400F" w:rsidP="00DA400F">
            <w:pPr>
              <w:tabs>
                <w:tab w:val="left" w:pos="5760"/>
              </w:tabs>
              <w:jc w:val="center"/>
            </w:pPr>
            <w:r w:rsidRPr="004C2FBD">
              <w:t>6</w:t>
            </w:r>
            <w:r>
              <w:t>,</w:t>
            </w:r>
            <w:r w:rsidRPr="004C2FBD">
              <w:t>7 (76</w:t>
            </w:r>
            <w:r>
              <w:t> </w:t>
            </w:r>
            <w:r w:rsidRPr="004C2FBD">
              <w:t>%)</w:t>
            </w:r>
          </w:p>
        </w:tc>
      </w:tr>
      <w:tr w:rsidR="00EB6812" w:rsidRPr="002F781B" w14:paraId="47B9926A" w14:textId="47D1B2D2" w:rsidTr="004C6435">
        <w:tc>
          <w:tcPr>
            <w:tcW w:w="9073" w:type="dxa"/>
            <w:gridSpan w:val="5"/>
            <w:tcBorders>
              <w:top w:val="single" w:sz="4" w:space="0" w:color="auto"/>
              <w:left w:val="nil"/>
              <w:bottom w:val="nil"/>
              <w:right w:val="nil"/>
            </w:tcBorders>
            <w:vAlign w:val="center"/>
          </w:tcPr>
          <w:p w14:paraId="52C5EC78" w14:textId="6ACDD99E" w:rsidR="00EB6812" w:rsidRPr="00A64757" w:rsidRDefault="00EB6812" w:rsidP="00545978">
            <w:pPr>
              <w:tabs>
                <w:tab w:val="clear" w:pos="567"/>
                <w:tab w:val="left" w:pos="601"/>
                <w:tab w:val="left" w:pos="5760"/>
              </w:tabs>
              <w:spacing w:line="240" w:lineRule="auto"/>
              <w:ind w:left="601" w:hanging="601"/>
              <w:rPr>
                <w:sz w:val="18"/>
              </w:rPr>
            </w:pPr>
            <w:r w:rsidRPr="00A64757">
              <w:rPr>
                <w:sz w:val="18"/>
              </w:rPr>
              <w:t>a.</w:t>
            </w:r>
            <w:r w:rsidRPr="00A64757">
              <w:rPr>
                <w:sz w:val="18"/>
              </w:rPr>
              <w:tab/>
              <w:t>Les paramètres pharmacocinétiques attendus sont présentés pour les patients ayant obtenu une réponse.</w:t>
            </w:r>
          </w:p>
        </w:tc>
      </w:tr>
      <w:tr w:rsidR="00EB6812" w14:paraId="7A403B5C" w14:textId="0E0D8AB1" w:rsidTr="004E3853">
        <w:tc>
          <w:tcPr>
            <w:tcW w:w="9073" w:type="dxa"/>
            <w:gridSpan w:val="5"/>
            <w:tcBorders>
              <w:top w:val="nil"/>
              <w:left w:val="nil"/>
              <w:bottom w:val="nil"/>
              <w:right w:val="nil"/>
            </w:tcBorders>
            <w:vAlign w:val="center"/>
          </w:tcPr>
          <w:p w14:paraId="388E6CA3" w14:textId="1F007905" w:rsidR="00EB6812" w:rsidRPr="00A64757" w:rsidRDefault="00EB6812" w:rsidP="00545978">
            <w:pPr>
              <w:tabs>
                <w:tab w:val="clear" w:pos="567"/>
                <w:tab w:val="left" w:pos="601"/>
                <w:tab w:val="left" w:pos="5760"/>
              </w:tabs>
              <w:spacing w:line="240" w:lineRule="auto"/>
              <w:ind w:left="601" w:hanging="601"/>
              <w:rPr>
                <w:sz w:val="18"/>
              </w:rPr>
            </w:pPr>
            <w:r w:rsidRPr="00A64757">
              <w:rPr>
                <w:sz w:val="18"/>
              </w:rPr>
              <w:t>b.</w:t>
            </w:r>
            <w:r w:rsidRPr="00A64757">
              <w:rPr>
                <w:sz w:val="18"/>
              </w:rPr>
              <w:tab/>
              <w:t>L’exposition attendue à l’état d’équilibre de la dose d’elranatamab administrée toutes les deux semaines est estimée à la Semaine 48.</w:t>
            </w:r>
          </w:p>
        </w:tc>
      </w:tr>
      <w:tr w:rsidR="00EB6812" w14:paraId="745B137C" w14:textId="77777777" w:rsidTr="00E51326">
        <w:tc>
          <w:tcPr>
            <w:tcW w:w="9073" w:type="dxa"/>
            <w:gridSpan w:val="5"/>
            <w:tcBorders>
              <w:top w:val="nil"/>
              <w:left w:val="nil"/>
              <w:bottom w:val="nil"/>
              <w:right w:val="nil"/>
            </w:tcBorders>
            <w:vAlign w:val="center"/>
          </w:tcPr>
          <w:p w14:paraId="1E105A0B" w14:textId="33C40613" w:rsidR="00EB6812" w:rsidRPr="00A64757" w:rsidRDefault="00EB6812" w:rsidP="00545978">
            <w:pPr>
              <w:tabs>
                <w:tab w:val="clear" w:pos="567"/>
                <w:tab w:val="left" w:pos="601"/>
                <w:tab w:val="left" w:pos="5760"/>
              </w:tabs>
              <w:spacing w:line="240" w:lineRule="auto"/>
              <w:ind w:left="601" w:hanging="601"/>
              <w:rPr>
                <w:sz w:val="18"/>
              </w:rPr>
            </w:pPr>
            <w:r w:rsidRPr="00A64757">
              <w:rPr>
                <w:sz w:val="18"/>
              </w:rPr>
              <w:t>c.</w:t>
            </w:r>
            <w:r w:rsidRPr="00A64757">
              <w:rPr>
                <w:sz w:val="18"/>
              </w:rPr>
              <w:tab/>
              <w:t>L’exposition attendue à l’état d’équilibre de la dose d’elranatamab administrée toutes les quatre semaines est estimée à la Semaine 72.</w:t>
            </w:r>
          </w:p>
        </w:tc>
      </w:tr>
      <w:tr w:rsidR="00EB6812" w14:paraId="4067B7E1" w14:textId="77777777" w:rsidTr="00370C0C">
        <w:tc>
          <w:tcPr>
            <w:tcW w:w="9073" w:type="dxa"/>
            <w:gridSpan w:val="5"/>
            <w:tcBorders>
              <w:top w:val="nil"/>
              <w:left w:val="nil"/>
              <w:bottom w:val="nil"/>
              <w:right w:val="nil"/>
            </w:tcBorders>
            <w:vAlign w:val="center"/>
          </w:tcPr>
          <w:p w14:paraId="3B0B6D2A" w14:textId="01BFEA8A" w:rsidR="00EB6812" w:rsidRPr="00A64757" w:rsidRDefault="00EB6812" w:rsidP="00545978">
            <w:pPr>
              <w:tabs>
                <w:tab w:val="clear" w:pos="567"/>
                <w:tab w:val="left" w:pos="601"/>
                <w:tab w:val="left" w:pos="5760"/>
              </w:tabs>
              <w:spacing w:line="240" w:lineRule="auto"/>
              <w:ind w:left="601" w:hanging="601"/>
              <w:rPr>
                <w:sz w:val="18"/>
              </w:rPr>
            </w:pPr>
            <w:r w:rsidRPr="00A64757">
              <w:rPr>
                <w:sz w:val="18"/>
              </w:rPr>
              <w:lastRenderedPageBreak/>
              <w:t>d.</w:t>
            </w:r>
            <w:r w:rsidRPr="00A64757">
              <w:rPr>
                <w:sz w:val="18"/>
              </w:rPr>
              <w:tab/>
              <w:t>La C</w:t>
            </w:r>
            <w:r w:rsidRPr="00A64757">
              <w:rPr>
                <w:sz w:val="18"/>
                <w:vertAlign w:val="subscript"/>
              </w:rPr>
              <w:t>résid</w:t>
            </w:r>
            <w:r w:rsidRPr="00A64757">
              <w:rPr>
                <w:sz w:val="18"/>
              </w:rPr>
              <w:t xml:space="preserve"> observée de l’elranatamab est présentée sous forme de moyenne géométrique (CV en %). Les concentrations avant administration de la dose des Cycle 7 Jour 1 (n = 40), Cycle 13 Jour 1 (n = 23) et Cycle 25 Jour 1 (n = 10) représentent la C</w:t>
            </w:r>
            <w:r w:rsidRPr="00A64757">
              <w:rPr>
                <w:sz w:val="18"/>
                <w:vertAlign w:val="subscript"/>
              </w:rPr>
              <w:t>résid</w:t>
            </w:r>
            <w:r w:rsidRPr="00A64757">
              <w:rPr>
                <w:sz w:val="18"/>
              </w:rPr>
              <w:t xml:space="preserve"> à l’état d’équilibre pour le schéma posologique toutes les semaines, toutes les 2 semaines et toutes les 4 semaines, respectivement.</w:t>
            </w:r>
          </w:p>
        </w:tc>
      </w:tr>
    </w:tbl>
    <w:p w14:paraId="0D32333C" w14:textId="77777777" w:rsidR="00B21864" w:rsidRPr="00743D4B" w:rsidRDefault="00B21864" w:rsidP="00B21864">
      <w:pPr>
        <w:shd w:val="clear" w:color="auto" w:fill="FFFFFF"/>
        <w:spacing w:line="240" w:lineRule="auto"/>
        <w:rPr>
          <w:szCs w:val="22"/>
          <w:u w:val="single"/>
        </w:rPr>
      </w:pPr>
    </w:p>
    <w:p w14:paraId="59E42D2F" w14:textId="77777777" w:rsidR="00B21864" w:rsidRPr="000C2FCC" w:rsidRDefault="00B21864" w:rsidP="00B21864">
      <w:pPr>
        <w:shd w:val="clear" w:color="auto" w:fill="FFFFFF"/>
        <w:spacing w:before="20" w:after="20"/>
        <w:rPr>
          <w:szCs w:val="22"/>
          <w:u w:val="single"/>
          <w:shd w:val="clear" w:color="auto" w:fill="FFFFCC"/>
        </w:rPr>
      </w:pPr>
      <w:r>
        <w:rPr>
          <w:u w:val="single"/>
        </w:rPr>
        <w:t>Absorption</w:t>
      </w:r>
    </w:p>
    <w:p w14:paraId="44115D90" w14:textId="77777777" w:rsidR="009C043E" w:rsidRDefault="009C043E" w:rsidP="00B21864">
      <w:pPr>
        <w:shd w:val="clear" w:color="auto" w:fill="FFFFFF"/>
        <w:spacing w:line="240" w:lineRule="auto"/>
      </w:pPr>
    </w:p>
    <w:p w14:paraId="21A63A3E" w14:textId="312D11BE" w:rsidR="00B21864" w:rsidRPr="000C2FCC" w:rsidRDefault="00B21864" w:rsidP="00B21864">
      <w:pPr>
        <w:shd w:val="clear" w:color="auto" w:fill="FFFFFF"/>
        <w:spacing w:line="240" w:lineRule="auto"/>
        <w:rPr>
          <w:szCs w:val="22"/>
        </w:rPr>
      </w:pPr>
      <w:r>
        <w:t xml:space="preserve">La biodisponibilité moyenne </w:t>
      </w:r>
      <w:r w:rsidR="00F46ED6">
        <w:t>attendue</w:t>
      </w:r>
      <w:r w:rsidR="00071B4A">
        <w:t xml:space="preserve"> </w:t>
      </w:r>
      <w:r>
        <w:t>de l’elranatamab était de 56,2 % lorsqu’il était administré par voie sous-cutanée. Le T</w:t>
      </w:r>
      <w:r>
        <w:rPr>
          <w:vertAlign w:val="subscript"/>
        </w:rPr>
        <w:t>max</w:t>
      </w:r>
      <w:r>
        <w:t xml:space="preserve"> médian après l’administration d’elranatamab par voie SC, toutes doses confondues, était compris entre 3 et 7 jours.</w:t>
      </w:r>
    </w:p>
    <w:p w14:paraId="01153205" w14:textId="77777777" w:rsidR="00B21864" w:rsidRPr="000C2FCC" w:rsidRDefault="00B21864" w:rsidP="00B21864">
      <w:pPr>
        <w:shd w:val="clear" w:color="auto" w:fill="FFFFFF"/>
        <w:spacing w:line="240" w:lineRule="auto"/>
        <w:rPr>
          <w:szCs w:val="22"/>
          <w:u w:val="single"/>
        </w:rPr>
      </w:pPr>
    </w:p>
    <w:p w14:paraId="252CA6F6" w14:textId="77777777" w:rsidR="00B21864" w:rsidRPr="000C2FCC" w:rsidRDefault="00B21864" w:rsidP="00545978">
      <w:pPr>
        <w:keepNext/>
        <w:shd w:val="clear" w:color="auto" w:fill="FFFFFF" w:themeFill="background1"/>
        <w:spacing w:line="240" w:lineRule="auto"/>
        <w:rPr>
          <w:szCs w:val="22"/>
          <w:u w:val="single"/>
          <w:shd w:val="clear" w:color="auto" w:fill="FFFFCC"/>
        </w:rPr>
      </w:pPr>
      <w:r>
        <w:rPr>
          <w:u w:val="single"/>
        </w:rPr>
        <w:t>Distribution</w:t>
      </w:r>
    </w:p>
    <w:p w14:paraId="18F7AB95" w14:textId="77777777" w:rsidR="009C043E" w:rsidRDefault="009C043E" w:rsidP="00545978">
      <w:pPr>
        <w:tabs>
          <w:tab w:val="left" w:pos="5760"/>
        </w:tabs>
        <w:spacing w:line="240" w:lineRule="auto"/>
      </w:pPr>
    </w:p>
    <w:p w14:paraId="3D0DE73D" w14:textId="0829E43D" w:rsidR="00B21864" w:rsidRDefault="00B21864" w:rsidP="00545978">
      <w:pPr>
        <w:tabs>
          <w:tab w:val="left" w:pos="5760"/>
        </w:tabs>
        <w:spacing w:line="240" w:lineRule="auto"/>
      </w:pPr>
      <w:r>
        <w:t>D’après le modèle pharmacocinétique de population, le volume moyen de distribution de l’elranatamab non lié était de 4,78 </w:t>
      </w:r>
      <w:r w:rsidR="005F5F7D">
        <w:t>l</w:t>
      </w:r>
      <w:r w:rsidR="00071B4A">
        <w:t>, 69 %</w:t>
      </w:r>
      <w:r>
        <w:t xml:space="preserve"> (CV) pour le compartiment</w:t>
      </w:r>
      <w:r w:rsidR="00013B7F">
        <w:t> </w:t>
      </w:r>
      <w:r>
        <w:t>central et de 2,83</w:t>
      </w:r>
      <w:r w:rsidR="003B08BC">
        <w:t> </w:t>
      </w:r>
      <w:r w:rsidR="00F46ED6">
        <w:t>L</w:t>
      </w:r>
      <w:r w:rsidR="003B08BC">
        <w:t xml:space="preserve"> </w:t>
      </w:r>
      <w:r>
        <w:t>pour le compartiment périphérique.</w:t>
      </w:r>
    </w:p>
    <w:p w14:paraId="596CD328" w14:textId="77777777" w:rsidR="00B21864" w:rsidRDefault="00B21864" w:rsidP="00B21864">
      <w:pPr>
        <w:spacing w:line="240" w:lineRule="auto"/>
      </w:pPr>
    </w:p>
    <w:p w14:paraId="3EED8C55" w14:textId="77777777" w:rsidR="00B21864" w:rsidRPr="000C2FCC" w:rsidRDefault="00B21864" w:rsidP="00B21864">
      <w:pPr>
        <w:shd w:val="clear" w:color="auto" w:fill="FFFFFF" w:themeFill="background1"/>
        <w:spacing w:line="240" w:lineRule="auto"/>
        <w:rPr>
          <w:szCs w:val="22"/>
          <w:u w:val="single"/>
        </w:rPr>
      </w:pPr>
      <w:r>
        <w:rPr>
          <w:u w:val="single"/>
        </w:rPr>
        <w:t>Élimination</w:t>
      </w:r>
    </w:p>
    <w:p w14:paraId="3857F499" w14:textId="77777777" w:rsidR="009C043E" w:rsidRDefault="009C043E" w:rsidP="00B21864">
      <w:pPr>
        <w:shd w:val="clear" w:color="auto" w:fill="FFFFFF"/>
        <w:spacing w:line="240" w:lineRule="auto"/>
      </w:pPr>
    </w:p>
    <w:p w14:paraId="3A2D7AD0" w14:textId="76227FAD" w:rsidR="00B21864" w:rsidRDefault="00B21864" w:rsidP="00B21864">
      <w:pPr>
        <w:shd w:val="clear" w:color="auto" w:fill="FFFFFF"/>
        <w:spacing w:line="240" w:lineRule="auto"/>
      </w:pPr>
      <w:r>
        <w:t xml:space="preserve">La demi-vie </w:t>
      </w:r>
      <w:r w:rsidR="00071B4A">
        <w:t xml:space="preserve">moyenne géométrique </w:t>
      </w:r>
      <w:r>
        <w:t>attendue de l’elranatamab est de 22</w:t>
      </w:r>
      <w:r w:rsidR="00071B4A">
        <w:t xml:space="preserve">, </w:t>
      </w:r>
      <w:r>
        <w:t>64 %</w:t>
      </w:r>
      <w:r w:rsidR="00071B4A">
        <w:t xml:space="preserve"> (CV</w:t>
      </w:r>
      <w:r>
        <w:t>) jours</w:t>
      </w:r>
      <w:r w:rsidR="00071B4A">
        <w:t xml:space="preserve"> à la semaine 24</w:t>
      </w:r>
      <w:r>
        <w:t xml:space="preserve"> après</w:t>
      </w:r>
      <w:r w:rsidR="00071B4A">
        <w:t xml:space="preserve"> </w:t>
      </w:r>
      <w:r w:rsidR="007A5140">
        <w:t>les</w:t>
      </w:r>
      <w:r w:rsidR="00071B4A">
        <w:t xml:space="preserve"> dose</w:t>
      </w:r>
      <w:r w:rsidR="007A5140">
        <w:t>s</w:t>
      </w:r>
      <w:r w:rsidR="00071B4A">
        <w:t xml:space="preserve"> hebdomadaire</w:t>
      </w:r>
      <w:r w:rsidR="007A5140">
        <w:t>s</w:t>
      </w:r>
      <w:r w:rsidR="00071B4A">
        <w:t xml:space="preserve"> de 76 mg</w:t>
      </w:r>
      <w:r>
        <w:t xml:space="preserve">. D’après le modèle pharmacocinétique de population, la clairance </w:t>
      </w:r>
      <w:r w:rsidR="00071B4A">
        <w:t xml:space="preserve">moyenne attendue </w:t>
      </w:r>
      <w:r>
        <w:t>de l’elranatamab est de 0,324 </w:t>
      </w:r>
      <w:r w:rsidR="001C17CF">
        <w:t>l</w:t>
      </w:r>
      <w:r>
        <w:t>/jour</w:t>
      </w:r>
      <w:r w:rsidR="00071B4A">
        <w:t xml:space="preserve">, </w:t>
      </w:r>
      <w:r w:rsidR="00EA5A69">
        <w:t>100</w:t>
      </w:r>
      <w:r>
        <w:t> %</w:t>
      </w:r>
      <w:r w:rsidR="00071B4A">
        <w:t xml:space="preserve"> (CV</w:t>
      </w:r>
      <w:r>
        <w:t xml:space="preserve">). </w:t>
      </w:r>
    </w:p>
    <w:p w14:paraId="7DCD408C" w14:textId="77777777" w:rsidR="00B21864" w:rsidRDefault="00B21864" w:rsidP="00B21864">
      <w:pPr>
        <w:spacing w:line="240" w:lineRule="auto"/>
      </w:pPr>
    </w:p>
    <w:p w14:paraId="46322389" w14:textId="77777777" w:rsidR="00B21864" w:rsidRPr="000C2FCC" w:rsidRDefault="00B21864" w:rsidP="005E1C79">
      <w:pPr>
        <w:keepNext/>
        <w:shd w:val="clear" w:color="auto" w:fill="FFFFFF" w:themeFill="background1"/>
        <w:spacing w:line="240" w:lineRule="auto"/>
        <w:rPr>
          <w:szCs w:val="22"/>
          <w:shd w:val="clear" w:color="auto" w:fill="FFFFCC"/>
        </w:rPr>
      </w:pPr>
      <w:r>
        <w:rPr>
          <w:u w:val="single"/>
        </w:rPr>
        <w:t>Populations particulières</w:t>
      </w:r>
    </w:p>
    <w:p w14:paraId="28614C24" w14:textId="77777777" w:rsidR="009C043E" w:rsidRDefault="009C043E" w:rsidP="005E1C79">
      <w:pPr>
        <w:keepNext/>
        <w:tabs>
          <w:tab w:val="left" w:pos="5760"/>
        </w:tabs>
        <w:spacing w:before="40" w:after="40"/>
      </w:pPr>
    </w:p>
    <w:p w14:paraId="0C8A0F2C" w14:textId="22300CA1" w:rsidR="00B21864" w:rsidRPr="000C2FCC" w:rsidRDefault="00B21864" w:rsidP="005E1C79">
      <w:pPr>
        <w:keepNext/>
        <w:tabs>
          <w:tab w:val="left" w:pos="5760"/>
        </w:tabs>
        <w:spacing w:before="40" w:after="40"/>
        <w:rPr>
          <w:szCs w:val="22"/>
        </w:rPr>
      </w:pPr>
      <w:r>
        <w:t>Aucune différence cliniquement pertinente n’a été observée dans la pharmacocinétique de l’</w:t>
      </w:r>
      <w:r>
        <w:rPr>
          <w:shd w:val="clear" w:color="auto" w:fill="FFFFFF"/>
        </w:rPr>
        <w:t>elranatamab</w:t>
      </w:r>
      <w:r>
        <w:t xml:space="preserve"> en fonction de l’âge (36 à 89 ans), du sexe (167 hommes, 154 femmes), de l’origine ethnique (193 Blancs, 49 Asiatiques, 29 Noirs) et du poids corporel (37 à 160 kg).</w:t>
      </w:r>
    </w:p>
    <w:p w14:paraId="2774BAA4" w14:textId="77777777" w:rsidR="004C4B2A" w:rsidRPr="00743D4B" w:rsidRDefault="004C4B2A" w:rsidP="003D1CC8">
      <w:pPr>
        <w:shd w:val="clear" w:color="auto" w:fill="FFFFFF"/>
        <w:spacing w:line="240" w:lineRule="auto"/>
        <w:rPr>
          <w:szCs w:val="22"/>
        </w:rPr>
      </w:pPr>
    </w:p>
    <w:p w14:paraId="4428ED22" w14:textId="77777777" w:rsidR="004675FF" w:rsidRPr="000C2FCC" w:rsidRDefault="004675FF" w:rsidP="00CE5102">
      <w:pPr>
        <w:keepNext/>
        <w:shd w:val="clear" w:color="auto" w:fill="FFFFFF"/>
        <w:spacing w:line="240" w:lineRule="auto"/>
        <w:rPr>
          <w:i/>
          <w:iCs/>
          <w:szCs w:val="22"/>
        </w:rPr>
      </w:pPr>
      <w:r>
        <w:rPr>
          <w:i/>
        </w:rPr>
        <w:t>Insuffisance rénale</w:t>
      </w:r>
    </w:p>
    <w:p w14:paraId="711E1D19" w14:textId="64A22395" w:rsidR="00D74E03" w:rsidRPr="00FE7BBE" w:rsidRDefault="00D74E03" w:rsidP="00D74E03">
      <w:pPr>
        <w:shd w:val="clear" w:color="auto" w:fill="FFFFFF"/>
      </w:pPr>
      <w:r>
        <w:t>Aucune étude n’a été menée sur</w:t>
      </w:r>
      <w:r w:rsidR="00071B4A">
        <w:t xml:space="preserve"> l’elranatamab</w:t>
      </w:r>
      <w:r>
        <w:t xml:space="preserve"> chez </w:t>
      </w:r>
      <w:r w:rsidR="003B08BC">
        <w:t xml:space="preserve">des </w:t>
      </w:r>
      <w:r>
        <w:t>patients présentant une insuffisance rénale. Les résultats des analyses pharmacocinétiques de population indiquent qu’une insuffisance rénale légère (60 </w:t>
      </w:r>
      <w:r w:rsidR="001C17CF">
        <w:t>m</w:t>
      </w:r>
      <w:r w:rsidR="00FE7BBE">
        <w:t>L</w:t>
      </w:r>
      <w:r>
        <w:t>/min/1,73 m</w:t>
      </w:r>
      <w:r>
        <w:rPr>
          <w:vertAlign w:val="superscript"/>
        </w:rPr>
        <w:t>2</w:t>
      </w:r>
      <w:r>
        <w:t xml:space="preserve"> ≤ DFGe &lt; 90 </w:t>
      </w:r>
      <w:r w:rsidR="001C17CF">
        <w:t>m</w:t>
      </w:r>
      <w:r w:rsidR="00FE7BBE">
        <w:t>L</w:t>
      </w:r>
      <w:r>
        <w:t>/min/1,73 m</w:t>
      </w:r>
      <w:r>
        <w:rPr>
          <w:vertAlign w:val="superscript"/>
        </w:rPr>
        <w:t>2</w:t>
      </w:r>
      <w:r>
        <w:t>) ou une insuffisance rénale modérée (30 </w:t>
      </w:r>
      <w:r w:rsidR="001C17CF">
        <w:t>m</w:t>
      </w:r>
      <w:r w:rsidR="00FE7BBE">
        <w:t>L</w:t>
      </w:r>
      <w:r>
        <w:t>/min/1,73 m</w:t>
      </w:r>
      <w:r>
        <w:rPr>
          <w:vertAlign w:val="superscript"/>
        </w:rPr>
        <w:t>2</w:t>
      </w:r>
      <w:r>
        <w:t xml:space="preserve"> ≤ DFGe &lt; 60 </w:t>
      </w:r>
      <w:r w:rsidR="001C17CF">
        <w:t>m</w:t>
      </w:r>
      <w:r w:rsidR="00FE7BBE">
        <w:t>L</w:t>
      </w:r>
      <w:r>
        <w:t>/min/1,73 m</w:t>
      </w:r>
      <w:r>
        <w:rPr>
          <w:vertAlign w:val="superscript"/>
        </w:rPr>
        <w:t>2</w:t>
      </w:r>
      <w:r>
        <w:t>) n’a pas influencé de manière significative la pharmacocinétique de l’</w:t>
      </w:r>
      <w:r>
        <w:rPr>
          <w:shd w:val="clear" w:color="auto" w:fill="FFFFFF"/>
        </w:rPr>
        <w:t>elranatamab</w:t>
      </w:r>
      <w:r>
        <w:t>. Les données disponibles concernant les patients présentant une insuffisance rénale sévère (DFGe inférieur à 30 </w:t>
      </w:r>
      <w:r w:rsidR="001C17CF">
        <w:t>m</w:t>
      </w:r>
      <w:r w:rsidR="00FE7BBE">
        <w:t>L</w:t>
      </w:r>
      <w:r>
        <w:t>/min/1,73 m</w:t>
      </w:r>
      <w:r>
        <w:rPr>
          <w:vertAlign w:val="superscript"/>
        </w:rPr>
        <w:t>2</w:t>
      </w:r>
      <w:r>
        <w:t>) sont limitées.</w:t>
      </w:r>
    </w:p>
    <w:p w14:paraId="2B4F2991" w14:textId="77777777" w:rsidR="008A6EBA" w:rsidRPr="00743D4B" w:rsidRDefault="008A6EBA" w:rsidP="00D74E03">
      <w:pPr>
        <w:shd w:val="clear" w:color="auto" w:fill="FFFFFF"/>
        <w:rPr>
          <w:szCs w:val="22"/>
        </w:rPr>
      </w:pPr>
    </w:p>
    <w:p w14:paraId="16FA5F4B" w14:textId="77777777" w:rsidR="00D84614" w:rsidRPr="000C2FCC" w:rsidRDefault="00D84614" w:rsidP="003D1CC8">
      <w:pPr>
        <w:shd w:val="clear" w:color="auto" w:fill="FFFFFF"/>
        <w:spacing w:line="240" w:lineRule="auto"/>
        <w:rPr>
          <w:i/>
          <w:iCs/>
          <w:szCs w:val="22"/>
        </w:rPr>
      </w:pPr>
      <w:r>
        <w:rPr>
          <w:i/>
        </w:rPr>
        <w:t>Insuffisance hépatique</w:t>
      </w:r>
    </w:p>
    <w:p w14:paraId="1E267BE4" w14:textId="7BE966E8" w:rsidR="00D84614" w:rsidRPr="00CE5102" w:rsidRDefault="00D84614" w:rsidP="003D1CC8">
      <w:pPr>
        <w:shd w:val="clear" w:color="auto" w:fill="FFFFFF"/>
        <w:spacing w:line="240" w:lineRule="auto"/>
        <w:rPr>
          <w:szCs w:val="22"/>
        </w:rPr>
      </w:pPr>
      <w:r>
        <w:t xml:space="preserve">Aucune étude n’a été menée sur </w:t>
      </w:r>
      <w:r w:rsidR="00071B4A">
        <w:t>l’elranatamab</w:t>
      </w:r>
      <w:r w:rsidR="009C043E">
        <w:t xml:space="preserve"> </w:t>
      </w:r>
      <w:r>
        <w:t xml:space="preserve">chez </w:t>
      </w:r>
      <w:r w:rsidR="003B08BC">
        <w:t xml:space="preserve">des </w:t>
      </w:r>
      <w:r>
        <w:t>patients présentant une insuffisance hépatique. Les résultats des analyses pharmacocinétiques de population indiquent qu’une insuffisance hépatique légère (bilirubine totale &gt; 1 à 1,5 </w:t>
      </w:r>
      <w:r w:rsidR="007A5140" w:rsidRPr="00A97DE1">
        <w:rPr>
          <w:szCs w:val="22"/>
        </w:rPr>
        <w:t>×</w:t>
      </w:r>
      <w:r>
        <w:t xml:space="preserve"> LSN et </w:t>
      </w:r>
      <w:r w:rsidR="007A5140">
        <w:t xml:space="preserve">toute </w:t>
      </w:r>
      <w:r>
        <w:t>AST, ou bilirubine totale ≤ LSN et AST &gt; LSN) n’a pas influencé de manière significative la pharmacocinétique de l’elranatamab. Aucune donnée n’est disponible chez les patients présentant une insuffisance hépatique modérée (bilirubine totale &gt; 1,5 à 3,0 </w:t>
      </w:r>
      <w:r w:rsidR="00071B4A" w:rsidRPr="00821709">
        <w:rPr>
          <w:szCs w:val="22"/>
        </w:rPr>
        <w:t>×</w:t>
      </w:r>
      <w:r>
        <w:t> LSN et toute AST) ou sévère (bilirubine totale &gt; 3,0 </w:t>
      </w:r>
      <w:r w:rsidR="00071B4A" w:rsidRPr="00821709">
        <w:rPr>
          <w:szCs w:val="22"/>
        </w:rPr>
        <w:t>×</w:t>
      </w:r>
      <w:r>
        <w:t> LSN et toute AST).</w:t>
      </w:r>
    </w:p>
    <w:bookmarkEnd w:id="13"/>
    <w:p w14:paraId="456BA3C8" w14:textId="77777777" w:rsidR="00641960" w:rsidRPr="00743D4B" w:rsidRDefault="00641960" w:rsidP="003D1CC8">
      <w:pPr>
        <w:shd w:val="clear" w:color="auto" w:fill="FFFFFF"/>
        <w:spacing w:line="240" w:lineRule="auto"/>
        <w:rPr>
          <w:szCs w:val="22"/>
          <w:u w:val="single"/>
        </w:rPr>
      </w:pPr>
    </w:p>
    <w:p w14:paraId="4D771436" w14:textId="77777777" w:rsidR="00812D16" w:rsidRPr="000C2FCC" w:rsidRDefault="00812D16" w:rsidP="00204AAB">
      <w:pPr>
        <w:spacing w:line="240" w:lineRule="auto"/>
        <w:ind w:left="567" w:hanging="567"/>
        <w:outlineLvl w:val="0"/>
        <w:rPr>
          <w:noProof/>
          <w:szCs w:val="22"/>
        </w:rPr>
      </w:pPr>
      <w:r>
        <w:rPr>
          <w:b/>
        </w:rPr>
        <w:t>5.3</w:t>
      </w:r>
      <w:r>
        <w:rPr>
          <w:b/>
        </w:rPr>
        <w:tab/>
        <w:t>Données de sécurité préclinique</w:t>
      </w:r>
    </w:p>
    <w:p w14:paraId="6C4F2C50" w14:textId="77777777" w:rsidR="00812D16" w:rsidRPr="000C2FCC" w:rsidRDefault="00812D16" w:rsidP="00204AAB">
      <w:pPr>
        <w:spacing w:line="240" w:lineRule="auto"/>
        <w:rPr>
          <w:noProof/>
          <w:szCs w:val="22"/>
        </w:rPr>
      </w:pPr>
    </w:p>
    <w:p w14:paraId="3463EAF4" w14:textId="32EC014F" w:rsidR="00B54803" w:rsidRPr="000C2FCC" w:rsidRDefault="00B54803" w:rsidP="003D1CC8">
      <w:pPr>
        <w:shd w:val="clear" w:color="auto" w:fill="FFFFFF" w:themeFill="background1"/>
        <w:spacing w:line="240" w:lineRule="auto"/>
        <w:rPr>
          <w:szCs w:val="22"/>
          <w:u w:val="single"/>
        </w:rPr>
      </w:pPr>
      <w:r>
        <w:rPr>
          <w:u w:val="single"/>
        </w:rPr>
        <w:t>Ca</w:t>
      </w:r>
      <w:r w:rsidR="006E2D50">
        <w:rPr>
          <w:u w:val="single"/>
        </w:rPr>
        <w:t>ncérogénicité</w:t>
      </w:r>
      <w:r>
        <w:rPr>
          <w:u w:val="single"/>
        </w:rPr>
        <w:t xml:space="preserve"> et mutagénicité</w:t>
      </w:r>
    </w:p>
    <w:p w14:paraId="522B1F6E" w14:textId="77777777" w:rsidR="00071B4A" w:rsidRDefault="00071B4A" w:rsidP="003D1CC8">
      <w:pPr>
        <w:shd w:val="clear" w:color="auto" w:fill="FFFFFF"/>
        <w:spacing w:line="240" w:lineRule="auto"/>
      </w:pPr>
    </w:p>
    <w:p w14:paraId="78397013" w14:textId="22FAF8CA" w:rsidR="00B54803" w:rsidRPr="000C2FCC" w:rsidRDefault="002D4251" w:rsidP="003D1CC8">
      <w:pPr>
        <w:shd w:val="clear" w:color="auto" w:fill="FFFFFF"/>
        <w:spacing w:line="240" w:lineRule="auto"/>
        <w:rPr>
          <w:szCs w:val="22"/>
        </w:rPr>
      </w:pPr>
      <w:r>
        <w:t>Aucune étude n’a été menée chez l’animal pour évaluer le potentiel ca</w:t>
      </w:r>
      <w:r w:rsidR="006E2D50">
        <w:t>ncér</w:t>
      </w:r>
      <w:r>
        <w:t>ogène ou génotoxique de l’elranatamab.</w:t>
      </w:r>
    </w:p>
    <w:p w14:paraId="4E8D7626" w14:textId="77777777" w:rsidR="0045174F" w:rsidRPr="000C2FCC" w:rsidRDefault="0045174F" w:rsidP="003D1CC8">
      <w:pPr>
        <w:shd w:val="clear" w:color="auto" w:fill="FFFFFF"/>
        <w:tabs>
          <w:tab w:val="center" w:pos="4535"/>
        </w:tabs>
        <w:spacing w:line="240" w:lineRule="auto"/>
        <w:rPr>
          <w:szCs w:val="22"/>
        </w:rPr>
      </w:pPr>
    </w:p>
    <w:p w14:paraId="23FA635A" w14:textId="77777777" w:rsidR="61ECA2D0" w:rsidRPr="000C2FCC" w:rsidRDefault="005F11DF" w:rsidP="003D1CC8">
      <w:pPr>
        <w:spacing w:line="240" w:lineRule="auto"/>
        <w:rPr>
          <w:szCs w:val="22"/>
          <w:u w:val="single"/>
        </w:rPr>
      </w:pPr>
      <w:bookmarkStart w:id="14" w:name="_Hlk111119519"/>
      <w:r>
        <w:rPr>
          <w:u w:val="single"/>
        </w:rPr>
        <w:t>Toxicité pour la reproduction et fertilité</w:t>
      </w:r>
    </w:p>
    <w:p w14:paraId="59922DE7" w14:textId="77777777" w:rsidR="00071B4A" w:rsidRDefault="00071B4A" w:rsidP="003D1CC8">
      <w:pPr>
        <w:spacing w:line="240" w:lineRule="auto"/>
      </w:pPr>
    </w:p>
    <w:p w14:paraId="0C122CDC" w14:textId="77777777" w:rsidR="00071B4A" w:rsidRDefault="005F11DF" w:rsidP="003D1CC8">
      <w:pPr>
        <w:spacing w:line="240" w:lineRule="auto"/>
      </w:pPr>
      <w:r>
        <w:t xml:space="preserve">Aucune étude n’a été menée chez l’animal </w:t>
      </w:r>
      <w:bookmarkEnd w:id="14"/>
      <w:r>
        <w:t xml:space="preserve">pour évaluer les effets de l’elranatamab sur la fertilité, la reproduction et le développement fœtal. </w:t>
      </w:r>
    </w:p>
    <w:p w14:paraId="6EA5E078" w14:textId="77777777" w:rsidR="00071B4A" w:rsidRDefault="00071B4A" w:rsidP="003D1CC8">
      <w:pPr>
        <w:spacing w:line="240" w:lineRule="auto"/>
      </w:pPr>
    </w:p>
    <w:p w14:paraId="57C23B7A" w14:textId="7544838F" w:rsidR="00B54803" w:rsidRPr="000C2FCC" w:rsidRDefault="005F11DF" w:rsidP="003D1CC8">
      <w:pPr>
        <w:spacing w:line="240" w:lineRule="auto"/>
        <w:rPr>
          <w:szCs w:val="22"/>
        </w:rPr>
      </w:pPr>
      <w:r>
        <w:lastRenderedPageBreak/>
        <w:t xml:space="preserve">Au cours d’une étude de toxicité à doses répétées de 13 semaines chez des singes cynomolgus sexuellement matures, aucun effet </w:t>
      </w:r>
      <w:r w:rsidR="00071B4A">
        <w:t xml:space="preserve">notable </w:t>
      </w:r>
      <w:r>
        <w:t>n’a été observé sur les organes reproducteurs mâles et femelles après l’administration</w:t>
      </w:r>
      <w:r w:rsidR="006E2D50">
        <w:t xml:space="preserve"> sous-cutanée</w:t>
      </w:r>
      <w:r>
        <w:t xml:space="preserve"> de doses allant jusqu’à 6 mg/kg/semaine (environ 6,5 fois la dose maximale recommandée chez l’</w:t>
      </w:r>
      <w:r w:rsidR="006E2D50">
        <w:t>homme</w:t>
      </w:r>
      <w:r>
        <w:t xml:space="preserve">, sur la base de l’exposition </w:t>
      </w:r>
      <w:r w:rsidR="006E2D50">
        <w:t xml:space="preserve">tenant compte de </w:t>
      </w:r>
      <w:r>
        <w:t>l’ASC).</w:t>
      </w:r>
    </w:p>
    <w:p w14:paraId="5170919C" w14:textId="77777777" w:rsidR="00812D16" w:rsidRPr="00743D4B" w:rsidRDefault="00812D16" w:rsidP="00204AAB">
      <w:pPr>
        <w:spacing w:line="240" w:lineRule="auto"/>
        <w:rPr>
          <w:noProof/>
          <w:szCs w:val="22"/>
        </w:rPr>
      </w:pPr>
    </w:p>
    <w:p w14:paraId="668EE2CA" w14:textId="77777777" w:rsidR="00812D16" w:rsidRPr="00743D4B" w:rsidRDefault="00812D16" w:rsidP="00204AAB">
      <w:pPr>
        <w:spacing w:line="240" w:lineRule="auto"/>
        <w:rPr>
          <w:noProof/>
          <w:szCs w:val="22"/>
        </w:rPr>
      </w:pPr>
    </w:p>
    <w:p w14:paraId="129F466A" w14:textId="77777777" w:rsidR="00812D16" w:rsidRPr="000C2FCC" w:rsidRDefault="00812D16" w:rsidP="00204AAB">
      <w:pPr>
        <w:suppressAutoHyphens/>
        <w:spacing w:line="240" w:lineRule="auto"/>
        <w:ind w:left="567" w:hanging="567"/>
        <w:rPr>
          <w:b/>
          <w:szCs w:val="22"/>
        </w:rPr>
      </w:pPr>
      <w:r>
        <w:rPr>
          <w:b/>
        </w:rPr>
        <w:t>6.</w:t>
      </w:r>
      <w:r>
        <w:rPr>
          <w:b/>
        </w:rPr>
        <w:tab/>
        <w:t>DONNÉES PHARMACEUTIQUES</w:t>
      </w:r>
    </w:p>
    <w:p w14:paraId="035CFA9F" w14:textId="77777777" w:rsidR="00812D16" w:rsidRPr="000C2FCC" w:rsidRDefault="00812D16" w:rsidP="00204AAB">
      <w:pPr>
        <w:spacing w:line="240" w:lineRule="auto"/>
        <w:rPr>
          <w:szCs w:val="22"/>
        </w:rPr>
      </w:pPr>
    </w:p>
    <w:p w14:paraId="21075C63" w14:textId="77777777" w:rsidR="00812D16" w:rsidRPr="000C2FCC" w:rsidRDefault="00812D16" w:rsidP="00204AAB">
      <w:pPr>
        <w:spacing w:line="240" w:lineRule="auto"/>
        <w:ind w:left="567" w:hanging="567"/>
        <w:outlineLvl w:val="0"/>
        <w:rPr>
          <w:szCs w:val="22"/>
        </w:rPr>
      </w:pPr>
      <w:r>
        <w:rPr>
          <w:b/>
        </w:rPr>
        <w:t>6.1</w:t>
      </w:r>
      <w:r>
        <w:rPr>
          <w:b/>
        </w:rPr>
        <w:tab/>
        <w:t>Liste des excipients</w:t>
      </w:r>
    </w:p>
    <w:p w14:paraId="32700567" w14:textId="77777777" w:rsidR="00812D16" w:rsidRPr="000C2FCC" w:rsidRDefault="00812D16" w:rsidP="00204AAB">
      <w:pPr>
        <w:spacing w:line="240" w:lineRule="auto"/>
        <w:rPr>
          <w:i/>
          <w:szCs w:val="22"/>
        </w:rPr>
      </w:pPr>
    </w:p>
    <w:p w14:paraId="0E8C062E" w14:textId="77777777" w:rsidR="00E0199A" w:rsidRPr="000C2FCC" w:rsidRDefault="00E0199A" w:rsidP="00E0199A">
      <w:pPr>
        <w:spacing w:line="240" w:lineRule="auto"/>
        <w:rPr>
          <w:szCs w:val="22"/>
        </w:rPr>
      </w:pPr>
      <w:r>
        <w:t xml:space="preserve">Édétate disodique </w:t>
      </w:r>
    </w:p>
    <w:p w14:paraId="2CD5CA4F" w14:textId="77777777" w:rsidR="0066671E" w:rsidRPr="000C2FCC" w:rsidRDefault="0066671E" w:rsidP="00204AAB">
      <w:pPr>
        <w:spacing w:line="240" w:lineRule="auto"/>
        <w:rPr>
          <w:szCs w:val="22"/>
        </w:rPr>
      </w:pPr>
      <w:r>
        <w:t>L-histidine</w:t>
      </w:r>
    </w:p>
    <w:p w14:paraId="20BF0A00" w14:textId="77777777" w:rsidR="0066671E" w:rsidRPr="000C2FCC" w:rsidRDefault="0066671E" w:rsidP="00204AAB">
      <w:pPr>
        <w:spacing w:line="240" w:lineRule="auto"/>
        <w:rPr>
          <w:szCs w:val="22"/>
        </w:rPr>
      </w:pPr>
      <w:r>
        <w:t>Chlorhydrate de L-histidine monohydraté</w:t>
      </w:r>
    </w:p>
    <w:p w14:paraId="5BEF588C" w14:textId="77777777" w:rsidR="00E0199A" w:rsidRPr="000C2FCC" w:rsidRDefault="0066671E" w:rsidP="00204AAB">
      <w:pPr>
        <w:spacing w:line="240" w:lineRule="auto"/>
        <w:rPr>
          <w:szCs w:val="22"/>
        </w:rPr>
      </w:pPr>
      <w:r>
        <w:t xml:space="preserve">Polysorbate 80 </w:t>
      </w:r>
    </w:p>
    <w:p w14:paraId="0824D5B2" w14:textId="77777777" w:rsidR="00E0199A" w:rsidRPr="000C2FCC" w:rsidRDefault="0066671E" w:rsidP="00204AAB">
      <w:pPr>
        <w:spacing w:line="240" w:lineRule="auto"/>
        <w:rPr>
          <w:szCs w:val="22"/>
        </w:rPr>
      </w:pPr>
      <w:r>
        <w:t>Saccharose</w:t>
      </w:r>
    </w:p>
    <w:p w14:paraId="0826B12F" w14:textId="77777777" w:rsidR="00D93C77" w:rsidRPr="000C2FCC" w:rsidRDefault="0066671E" w:rsidP="00204AAB">
      <w:pPr>
        <w:spacing w:line="240" w:lineRule="auto"/>
        <w:rPr>
          <w:szCs w:val="22"/>
        </w:rPr>
      </w:pPr>
      <w:r>
        <w:t>Eau pour préparations injectables</w:t>
      </w:r>
    </w:p>
    <w:p w14:paraId="4F680F4C" w14:textId="77777777" w:rsidR="00421B87" w:rsidRPr="00743D4B" w:rsidRDefault="00421B87" w:rsidP="00204AAB">
      <w:pPr>
        <w:spacing w:line="240" w:lineRule="auto"/>
        <w:rPr>
          <w:szCs w:val="22"/>
        </w:rPr>
      </w:pPr>
    </w:p>
    <w:p w14:paraId="661FAB6D" w14:textId="77777777" w:rsidR="003533F4" w:rsidRPr="000C2FCC" w:rsidRDefault="003533F4" w:rsidP="003533F4">
      <w:pPr>
        <w:spacing w:line="240" w:lineRule="auto"/>
        <w:ind w:left="567" w:hanging="567"/>
        <w:outlineLvl w:val="0"/>
        <w:rPr>
          <w:szCs w:val="22"/>
        </w:rPr>
      </w:pPr>
      <w:r>
        <w:rPr>
          <w:b/>
        </w:rPr>
        <w:t>6.2</w:t>
      </w:r>
      <w:r>
        <w:rPr>
          <w:b/>
        </w:rPr>
        <w:tab/>
        <w:t>Incompatibilités</w:t>
      </w:r>
    </w:p>
    <w:p w14:paraId="6800661D" w14:textId="77777777" w:rsidR="003533F4" w:rsidRPr="000C2FCC" w:rsidRDefault="003533F4" w:rsidP="003533F4">
      <w:pPr>
        <w:spacing w:line="240" w:lineRule="auto"/>
        <w:rPr>
          <w:szCs w:val="22"/>
        </w:rPr>
      </w:pPr>
    </w:p>
    <w:p w14:paraId="725A477D" w14:textId="77777777" w:rsidR="003533F4" w:rsidRPr="000C2FCC" w:rsidRDefault="003533F4" w:rsidP="003533F4">
      <w:pPr>
        <w:spacing w:line="240" w:lineRule="auto"/>
        <w:rPr>
          <w:szCs w:val="22"/>
        </w:rPr>
      </w:pPr>
      <w:r>
        <w:t>En l’absence d’études de compatibilité, ce médicament ne doit pas être mélangé avec d’autres médicaments.</w:t>
      </w:r>
    </w:p>
    <w:p w14:paraId="0C758844" w14:textId="77777777" w:rsidR="003533F4" w:rsidRPr="000C2FCC" w:rsidRDefault="003533F4" w:rsidP="003533F4">
      <w:pPr>
        <w:spacing w:line="240" w:lineRule="auto"/>
        <w:rPr>
          <w:szCs w:val="22"/>
        </w:rPr>
      </w:pPr>
    </w:p>
    <w:p w14:paraId="13F943F1" w14:textId="77777777" w:rsidR="003533F4" w:rsidRPr="000C2FCC" w:rsidRDefault="003533F4" w:rsidP="0091241B">
      <w:pPr>
        <w:keepNext/>
        <w:spacing w:line="240" w:lineRule="auto"/>
        <w:ind w:left="567" w:hanging="567"/>
        <w:outlineLvl w:val="0"/>
        <w:rPr>
          <w:szCs w:val="22"/>
        </w:rPr>
      </w:pPr>
      <w:r>
        <w:rPr>
          <w:b/>
        </w:rPr>
        <w:t>6.3</w:t>
      </w:r>
      <w:r>
        <w:rPr>
          <w:b/>
        </w:rPr>
        <w:tab/>
        <w:t>Durée de conservation</w:t>
      </w:r>
    </w:p>
    <w:p w14:paraId="5CB0209B" w14:textId="77777777" w:rsidR="003533F4" w:rsidRPr="000C2FCC" w:rsidRDefault="003533F4" w:rsidP="0091241B">
      <w:pPr>
        <w:keepNext/>
        <w:spacing w:line="240" w:lineRule="auto"/>
        <w:rPr>
          <w:szCs w:val="22"/>
        </w:rPr>
      </w:pPr>
    </w:p>
    <w:p w14:paraId="6BDFD304" w14:textId="77777777" w:rsidR="003533F4" w:rsidRPr="000C2FCC" w:rsidRDefault="003533F4" w:rsidP="0091241B">
      <w:pPr>
        <w:keepNext/>
        <w:spacing w:line="240" w:lineRule="auto"/>
        <w:rPr>
          <w:szCs w:val="22"/>
          <w:u w:val="single"/>
        </w:rPr>
      </w:pPr>
      <w:r>
        <w:rPr>
          <w:u w:val="single"/>
        </w:rPr>
        <w:t>Flacon non ouvert</w:t>
      </w:r>
    </w:p>
    <w:p w14:paraId="674B3855" w14:textId="77777777" w:rsidR="009C043E" w:rsidRDefault="009C043E" w:rsidP="003533F4">
      <w:pPr>
        <w:spacing w:line="240" w:lineRule="auto"/>
      </w:pPr>
    </w:p>
    <w:p w14:paraId="04AF3233" w14:textId="321753FA" w:rsidR="003533F4" w:rsidRPr="000C2FCC" w:rsidRDefault="008E0225" w:rsidP="003533F4">
      <w:pPr>
        <w:spacing w:line="240" w:lineRule="auto"/>
        <w:rPr>
          <w:szCs w:val="22"/>
        </w:rPr>
      </w:pPr>
      <w:r>
        <w:t>3</w:t>
      </w:r>
      <w:r w:rsidR="007A5140">
        <w:t xml:space="preserve"> ans</w:t>
      </w:r>
      <w:r w:rsidR="003533F4">
        <w:t>.</w:t>
      </w:r>
    </w:p>
    <w:p w14:paraId="502577D0" w14:textId="77777777" w:rsidR="003533F4" w:rsidRPr="000C2FCC" w:rsidRDefault="003533F4" w:rsidP="003533F4">
      <w:pPr>
        <w:spacing w:line="240" w:lineRule="auto"/>
        <w:rPr>
          <w:szCs w:val="22"/>
          <w:u w:val="single"/>
        </w:rPr>
      </w:pPr>
    </w:p>
    <w:p w14:paraId="2134E93A" w14:textId="77777777" w:rsidR="00547442" w:rsidRPr="00547442" w:rsidRDefault="00547442" w:rsidP="00547442">
      <w:pPr>
        <w:spacing w:line="240" w:lineRule="auto"/>
        <w:rPr>
          <w:u w:val="single"/>
        </w:rPr>
      </w:pPr>
      <w:bookmarkStart w:id="15" w:name="OLE_LINK1"/>
      <w:bookmarkStart w:id="16" w:name="_Hlk119499938"/>
      <w:r w:rsidRPr="00547442">
        <w:rPr>
          <w:u w:val="single"/>
        </w:rPr>
        <w:t xml:space="preserve">Après ouverture </w:t>
      </w:r>
    </w:p>
    <w:p w14:paraId="05E41889" w14:textId="77777777" w:rsidR="00547442" w:rsidRPr="00547442" w:rsidRDefault="00547442" w:rsidP="00547442">
      <w:pPr>
        <w:spacing w:line="240" w:lineRule="auto"/>
        <w:rPr>
          <w:u w:val="single"/>
        </w:rPr>
      </w:pPr>
    </w:p>
    <w:p w14:paraId="1A8DF7AB" w14:textId="77777777" w:rsidR="00547442" w:rsidRPr="00547442" w:rsidRDefault="00547442" w:rsidP="00547442">
      <w:pPr>
        <w:spacing w:line="240" w:lineRule="auto"/>
      </w:pPr>
      <w:r w:rsidRPr="00547442">
        <w:t>La stabilité physico-chimique après ouverture du flacon, y compris en cas de conservation du produit dans des seringues, a été démontrée pendant 7 jours à une température comprise entre 2 °C et 8 °C, et pendant 24 heures à une température pouvant atteindre 30 °C.</w:t>
      </w:r>
    </w:p>
    <w:p w14:paraId="536321ED" w14:textId="77777777" w:rsidR="00547442" w:rsidRPr="00547442" w:rsidRDefault="00547442" w:rsidP="00547442">
      <w:pPr>
        <w:spacing w:line="240" w:lineRule="auto"/>
      </w:pPr>
    </w:p>
    <w:p w14:paraId="796F6E54" w14:textId="1FE875C5" w:rsidR="00D76CD9" w:rsidRPr="000C2FCC" w:rsidRDefault="00547442" w:rsidP="00547442">
      <w:pPr>
        <w:spacing w:line="240" w:lineRule="auto"/>
      </w:pPr>
      <w:r w:rsidRPr="00547442">
        <w:t>D’un point de vue microbiologique, le produit doit être utilisé immédiatement. En cas d’utilisation non immédiate, les durées et conditions de conservation avant utilisation relèvent de la responsabilité de l’utilisateur et ne devraient normalement pas dépasser 24 heures à une température comprise entre 2</w:t>
      </w:r>
      <w:r w:rsidR="00E55556">
        <w:t> </w:t>
      </w:r>
      <w:r w:rsidRPr="00547442">
        <w:t>°C et 8 °C, à moins que la préparation ait eu lieu dans des conditions aseptiques contrôlées et validées.</w:t>
      </w:r>
    </w:p>
    <w:p w14:paraId="42E880A8" w14:textId="77777777" w:rsidR="00D76CD9" w:rsidRPr="00743D4B" w:rsidRDefault="00D76CD9" w:rsidP="00D76CD9">
      <w:pPr>
        <w:spacing w:line="240" w:lineRule="auto"/>
        <w:rPr>
          <w:szCs w:val="22"/>
        </w:rPr>
      </w:pPr>
    </w:p>
    <w:p w14:paraId="6C9C757C" w14:textId="77777777" w:rsidR="00D76CD9" w:rsidRPr="000C2FCC" w:rsidRDefault="00D76CD9" w:rsidP="00D76CD9">
      <w:pPr>
        <w:keepNext/>
        <w:spacing w:line="240" w:lineRule="auto"/>
        <w:ind w:left="567" w:hanging="567"/>
        <w:outlineLvl w:val="0"/>
        <w:rPr>
          <w:b/>
          <w:szCs w:val="22"/>
        </w:rPr>
      </w:pPr>
      <w:r>
        <w:rPr>
          <w:b/>
        </w:rPr>
        <w:t>6.4</w:t>
      </w:r>
      <w:r>
        <w:rPr>
          <w:b/>
        </w:rPr>
        <w:tab/>
        <w:t>Précautions particulières de conservation</w:t>
      </w:r>
    </w:p>
    <w:p w14:paraId="495408B0" w14:textId="77777777" w:rsidR="00D76CD9" w:rsidRPr="000C2FCC" w:rsidRDefault="00D76CD9" w:rsidP="00D76CD9">
      <w:pPr>
        <w:keepNext/>
        <w:spacing w:line="240" w:lineRule="auto"/>
        <w:rPr>
          <w:szCs w:val="22"/>
        </w:rPr>
      </w:pPr>
    </w:p>
    <w:p w14:paraId="37DE1E7B" w14:textId="170CC911" w:rsidR="00D76CD9" w:rsidRPr="000C2FCC" w:rsidRDefault="00784563" w:rsidP="00822D84">
      <w:pPr>
        <w:spacing w:line="240" w:lineRule="auto"/>
        <w:rPr>
          <w:b/>
          <w:szCs w:val="22"/>
        </w:rPr>
      </w:pPr>
      <w:r>
        <w:t>À c</w:t>
      </w:r>
      <w:r w:rsidR="00D76CD9">
        <w:t xml:space="preserve">onserver </w:t>
      </w:r>
      <w:r>
        <w:t>au</w:t>
      </w:r>
      <w:r w:rsidR="00D76CD9">
        <w:t xml:space="preserve"> réfrigérateur (2 °C à 8 °C).</w:t>
      </w:r>
    </w:p>
    <w:p w14:paraId="5F4426A7" w14:textId="77777777" w:rsidR="00D76CD9" w:rsidRPr="000C2FCC" w:rsidRDefault="00D76CD9" w:rsidP="00D76CD9">
      <w:pPr>
        <w:spacing w:line="240" w:lineRule="auto"/>
        <w:rPr>
          <w:b/>
          <w:szCs w:val="22"/>
        </w:rPr>
      </w:pPr>
      <w:r>
        <w:t>Ne pas congeler.</w:t>
      </w:r>
    </w:p>
    <w:p w14:paraId="11CE9391" w14:textId="642DBFDC" w:rsidR="00D76CD9" w:rsidRPr="000C2FCC" w:rsidRDefault="00D76CD9" w:rsidP="00D76CD9">
      <w:pPr>
        <w:spacing w:line="240" w:lineRule="auto"/>
        <w:rPr>
          <w:szCs w:val="22"/>
        </w:rPr>
      </w:pPr>
      <w:r>
        <w:t>À conserver dans l’emballage d’origine, à l’abri de la lumière.</w:t>
      </w:r>
    </w:p>
    <w:p w14:paraId="3CFFEEED" w14:textId="77777777" w:rsidR="00D76CD9" w:rsidRDefault="00D76CD9" w:rsidP="00D76CD9">
      <w:pPr>
        <w:spacing w:line="240" w:lineRule="auto"/>
        <w:rPr>
          <w:szCs w:val="22"/>
        </w:rPr>
      </w:pPr>
      <w:r>
        <w:t>Pour les conditions de conservation du médicament après première ouverture, voir la rubrique 6.3.</w:t>
      </w:r>
    </w:p>
    <w:p w14:paraId="417DDE5A" w14:textId="77777777" w:rsidR="00D76CD9" w:rsidRPr="00743D4B" w:rsidRDefault="00D76CD9" w:rsidP="00D76CD9">
      <w:pPr>
        <w:spacing w:line="240" w:lineRule="auto"/>
        <w:rPr>
          <w:szCs w:val="22"/>
        </w:rPr>
      </w:pPr>
    </w:p>
    <w:p w14:paraId="14C7FDE3" w14:textId="77777777" w:rsidR="00D76CD9" w:rsidRPr="00743D4B" w:rsidRDefault="00D76CD9" w:rsidP="00D76CD9">
      <w:pPr>
        <w:spacing w:line="240" w:lineRule="auto"/>
        <w:ind w:left="567" w:hanging="567"/>
        <w:outlineLvl w:val="0"/>
        <w:rPr>
          <w:b/>
          <w:szCs w:val="22"/>
        </w:rPr>
      </w:pPr>
      <w:r>
        <w:rPr>
          <w:b/>
        </w:rPr>
        <w:t>6.5</w:t>
      </w:r>
      <w:r>
        <w:rPr>
          <w:b/>
        </w:rPr>
        <w:tab/>
        <w:t xml:space="preserve">Nature et contenu de l’emballage extérieur </w:t>
      </w:r>
    </w:p>
    <w:p w14:paraId="5763A31D" w14:textId="77777777" w:rsidR="00D76CD9" w:rsidRPr="00743D4B" w:rsidRDefault="00D76CD9" w:rsidP="00D76CD9">
      <w:pPr>
        <w:widowControl w:val="0"/>
        <w:spacing w:line="240" w:lineRule="auto"/>
        <w:contextualSpacing/>
        <w:rPr>
          <w:u w:val="single"/>
        </w:rPr>
      </w:pPr>
    </w:p>
    <w:p w14:paraId="01B077AA" w14:textId="4F3353D1" w:rsidR="00071B4A" w:rsidRDefault="00071B4A" w:rsidP="00071B4A">
      <w:pPr>
        <w:widowControl w:val="0"/>
        <w:spacing w:line="240" w:lineRule="auto"/>
        <w:contextualSpacing/>
        <w:rPr>
          <w:u w:val="single"/>
        </w:rPr>
      </w:pPr>
      <w:r>
        <w:rPr>
          <w:u w:val="single"/>
        </w:rPr>
        <w:t>ELREXFIO 40 mg/m</w:t>
      </w:r>
      <w:r w:rsidR="00FE7BBE">
        <w:rPr>
          <w:u w:val="single"/>
        </w:rPr>
        <w:t>L</w:t>
      </w:r>
      <w:r>
        <w:rPr>
          <w:u w:val="single"/>
        </w:rPr>
        <w:t>, solution injectable</w:t>
      </w:r>
    </w:p>
    <w:p w14:paraId="7D4ECA05" w14:textId="77777777" w:rsidR="00071B4A" w:rsidRDefault="00071B4A" w:rsidP="00D76CD9">
      <w:pPr>
        <w:spacing w:line="240" w:lineRule="auto"/>
      </w:pPr>
    </w:p>
    <w:p w14:paraId="24756B79" w14:textId="1A4CA372" w:rsidR="00D76CD9" w:rsidRPr="00743D4B" w:rsidRDefault="00D76CD9" w:rsidP="00D76CD9">
      <w:pPr>
        <w:spacing w:line="240" w:lineRule="auto"/>
        <w:rPr>
          <w:szCs w:val="22"/>
        </w:rPr>
      </w:pPr>
      <w:r>
        <w:t>1,1 </w:t>
      </w:r>
      <w:r w:rsidR="001C17CF">
        <w:t>m</w:t>
      </w:r>
      <w:r w:rsidR="00FE7BBE">
        <w:t>L</w:t>
      </w:r>
      <w:r>
        <w:t xml:space="preserve"> de solution en flacon (verre de type 1) muni d’un bouchon (caoutchouc butyle) et d’un joint en aluminium avec capuchon rabattable contenant 44 mg d’elranatamab. </w:t>
      </w:r>
    </w:p>
    <w:p w14:paraId="47A8D5ED" w14:textId="77777777" w:rsidR="00D76CD9" w:rsidRPr="00743D4B" w:rsidRDefault="00D76CD9" w:rsidP="00D76CD9">
      <w:pPr>
        <w:spacing w:line="240" w:lineRule="auto"/>
        <w:rPr>
          <w:szCs w:val="22"/>
        </w:rPr>
      </w:pPr>
      <w:r>
        <w:t>Conditionnement de 1 flacon.</w:t>
      </w:r>
    </w:p>
    <w:p w14:paraId="3323BE30" w14:textId="77777777" w:rsidR="00D76CD9" w:rsidRPr="00743D4B" w:rsidRDefault="00D76CD9" w:rsidP="00D76CD9">
      <w:pPr>
        <w:spacing w:line="240" w:lineRule="auto"/>
        <w:rPr>
          <w:szCs w:val="22"/>
        </w:rPr>
      </w:pPr>
    </w:p>
    <w:p w14:paraId="202D9FD5" w14:textId="747A7766" w:rsidR="00071B4A" w:rsidRDefault="00071B4A" w:rsidP="008C0A39">
      <w:pPr>
        <w:keepNext/>
        <w:widowControl w:val="0"/>
        <w:spacing w:line="240" w:lineRule="auto"/>
        <w:contextualSpacing/>
        <w:rPr>
          <w:u w:val="single"/>
        </w:rPr>
      </w:pPr>
      <w:r>
        <w:rPr>
          <w:u w:val="single"/>
        </w:rPr>
        <w:lastRenderedPageBreak/>
        <w:t>ELREXFIO 40 mg/m</w:t>
      </w:r>
      <w:r w:rsidR="00FE7BBE">
        <w:rPr>
          <w:u w:val="single"/>
        </w:rPr>
        <w:t>L</w:t>
      </w:r>
      <w:r>
        <w:rPr>
          <w:u w:val="single"/>
        </w:rPr>
        <w:t>, solution injectable</w:t>
      </w:r>
    </w:p>
    <w:p w14:paraId="056CC74B" w14:textId="77777777" w:rsidR="00071B4A" w:rsidRDefault="00071B4A" w:rsidP="008C0A39">
      <w:pPr>
        <w:keepNext/>
        <w:spacing w:line="240" w:lineRule="auto"/>
      </w:pPr>
    </w:p>
    <w:p w14:paraId="7D441026" w14:textId="00A6F2E4" w:rsidR="00D76CD9" w:rsidRPr="00743D4B" w:rsidRDefault="00D76CD9" w:rsidP="00D76CD9">
      <w:pPr>
        <w:spacing w:line="240" w:lineRule="auto"/>
        <w:rPr>
          <w:szCs w:val="22"/>
        </w:rPr>
      </w:pPr>
      <w:r>
        <w:t>1,9 </w:t>
      </w:r>
      <w:r w:rsidR="00FE7BBE">
        <w:t xml:space="preserve">mL </w:t>
      </w:r>
      <w:r>
        <w:t xml:space="preserve">de solution en flacon (verre de type 1) muni d’un bouchon (caoutchouc butyle) et d’un joint en aluminium avec capuchon rabattable contenant 76 mg d’elranatamab. </w:t>
      </w:r>
    </w:p>
    <w:p w14:paraId="372C8468" w14:textId="77777777" w:rsidR="00D76CD9" w:rsidRPr="00743D4B" w:rsidRDefault="00D76CD9" w:rsidP="00D76CD9">
      <w:pPr>
        <w:spacing w:line="240" w:lineRule="auto"/>
        <w:rPr>
          <w:szCs w:val="22"/>
        </w:rPr>
      </w:pPr>
      <w:r>
        <w:t>Conditionnement de 1 flacon.</w:t>
      </w:r>
    </w:p>
    <w:p w14:paraId="41E05456" w14:textId="77777777" w:rsidR="00D76CD9" w:rsidRPr="00743D4B" w:rsidRDefault="00D76CD9" w:rsidP="00D76CD9">
      <w:pPr>
        <w:spacing w:line="240" w:lineRule="auto"/>
        <w:rPr>
          <w:szCs w:val="22"/>
        </w:rPr>
      </w:pPr>
    </w:p>
    <w:p w14:paraId="561036D1" w14:textId="77777777" w:rsidR="00D76CD9" w:rsidRPr="00743D4B" w:rsidRDefault="00D76CD9" w:rsidP="00D76CD9">
      <w:pPr>
        <w:spacing w:line="240" w:lineRule="auto"/>
        <w:ind w:left="567" w:hanging="567"/>
        <w:outlineLvl w:val="0"/>
        <w:rPr>
          <w:szCs w:val="22"/>
        </w:rPr>
      </w:pPr>
      <w:r>
        <w:rPr>
          <w:b/>
        </w:rPr>
        <w:t>6.6</w:t>
      </w:r>
      <w:r>
        <w:rPr>
          <w:b/>
        </w:rPr>
        <w:tab/>
        <w:t>Précautions particulières d’élimination et manipulation</w:t>
      </w:r>
    </w:p>
    <w:p w14:paraId="4713C605" w14:textId="77777777" w:rsidR="00D76CD9" w:rsidRDefault="00D76CD9" w:rsidP="00D76CD9">
      <w:pPr>
        <w:rPr>
          <w:szCs w:val="22"/>
        </w:rPr>
      </w:pPr>
      <w:bookmarkStart w:id="17" w:name="_Hlk119499909"/>
    </w:p>
    <w:p w14:paraId="5CA07C57" w14:textId="288E1743" w:rsidR="00D76CD9" w:rsidRPr="009F5D84" w:rsidRDefault="00D76CD9" w:rsidP="00D76CD9">
      <w:pPr>
        <w:rPr>
          <w:szCs w:val="22"/>
        </w:rPr>
      </w:pPr>
      <w:r>
        <w:t>ELREXFIO 40 mg/</w:t>
      </w:r>
      <w:r w:rsidR="00FE7BBE">
        <w:t>mL</w:t>
      </w:r>
      <w:r w:rsidR="00071B4A">
        <w:t xml:space="preserve">, solution injectable </w:t>
      </w:r>
      <w:r>
        <w:t xml:space="preserve">se </w:t>
      </w:r>
      <w:r w:rsidRPr="00071B4A">
        <w:t>présente</w:t>
      </w:r>
      <w:r>
        <w:t xml:space="preserve"> sous la forme d’une solution prête à l’emploi qui ne nécessite aucune dilution avant administration. Ne pas agiter.</w:t>
      </w:r>
    </w:p>
    <w:p w14:paraId="13CEFD3C" w14:textId="77777777" w:rsidR="00D76CD9" w:rsidRPr="009F5D84" w:rsidRDefault="00D76CD9" w:rsidP="00D76CD9">
      <w:pPr>
        <w:rPr>
          <w:szCs w:val="22"/>
        </w:rPr>
      </w:pPr>
    </w:p>
    <w:p w14:paraId="06D5A24B" w14:textId="2AE5C92A" w:rsidR="00D76CD9" w:rsidRDefault="00D76CD9" w:rsidP="00D76CD9">
      <w:r>
        <w:t xml:space="preserve">ELREXFIO est une solution limpide à légèrement opalescente, et incolore à brun pâle. La solution ne doit pas être administrée si elle présente une coloration </w:t>
      </w:r>
      <w:r w:rsidR="009613C0">
        <w:t xml:space="preserve">anormale </w:t>
      </w:r>
      <w:r>
        <w:t>ou si elle contient des particules.</w:t>
      </w:r>
    </w:p>
    <w:p w14:paraId="4CBFD343" w14:textId="77777777" w:rsidR="00D76CD9" w:rsidRPr="00743D4B" w:rsidRDefault="00D76CD9" w:rsidP="00D76CD9">
      <w:pPr>
        <w:rPr>
          <w:szCs w:val="22"/>
        </w:rPr>
      </w:pPr>
    </w:p>
    <w:p w14:paraId="76189E22" w14:textId="77777777" w:rsidR="00D76CD9" w:rsidRPr="00743D4B" w:rsidRDefault="00D76CD9" w:rsidP="00D76CD9">
      <w:pPr>
        <w:rPr>
          <w:szCs w:val="22"/>
        </w:rPr>
      </w:pPr>
      <w:r>
        <w:t>Une technique aseptique doit être utilisée pour préparer et administrer ELREXFIO.</w:t>
      </w:r>
    </w:p>
    <w:p w14:paraId="297774AA" w14:textId="77777777" w:rsidR="00D76CD9" w:rsidRPr="00743D4B" w:rsidRDefault="00D76CD9" w:rsidP="00D76CD9">
      <w:pPr>
        <w:spacing w:line="240" w:lineRule="auto"/>
        <w:rPr>
          <w:i/>
          <w:szCs w:val="22"/>
        </w:rPr>
      </w:pPr>
    </w:p>
    <w:p w14:paraId="66C37067" w14:textId="77777777" w:rsidR="00D76CD9" w:rsidRPr="00743D4B" w:rsidRDefault="00D76CD9" w:rsidP="00D76CD9">
      <w:pPr>
        <w:keepNext/>
        <w:spacing w:line="240" w:lineRule="auto"/>
        <w:rPr>
          <w:szCs w:val="22"/>
          <w:u w:val="single"/>
        </w:rPr>
      </w:pPr>
      <w:r>
        <w:rPr>
          <w:u w:val="single"/>
        </w:rPr>
        <w:t>Instructions relatives à la préparation</w:t>
      </w:r>
    </w:p>
    <w:p w14:paraId="6F265676" w14:textId="77777777" w:rsidR="00071B4A" w:rsidRDefault="00071B4A" w:rsidP="00D76CD9">
      <w:pPr>
        <w:spacing w:line="240" w:lineRule="auto"/>
      </w:pPr>
    </w:p>
    <w:p w14:paraId="5725AE8F" w14:textId="7A2DE376" w:rsidR="00071B4A" w:rsidRPr="00071B4A" w:rsidRDefault="00D76CD9" w:rsidP="00071B4A">
      <w:pPr>
        <w:spacing w:line="240" w:lineRule="auto"/>
      </w:pPr>
      <w:r>
        <w:t xml:space="preserve">Les flacons d’ELREXFIO </w:t>
      </w:r>
      <w:r w:rsidR="00071B4A" w:rsidRPr="00821709">
        <w:t>40 mg/m</w:t>
      </w:r>
      <w:r w:rsidR="00FE7BBE">
        <w:t>L</w:t>
      </w:r>
      <w:r w:rsidR="00071B4A" w:rsidRPr="00821709">
        <w:t>, solution injectable</w:t>
      </w:r>
      <w:r w:rsidR="00071B4A">
        <w:t xml:space="preserve"> sont à usage unique exclusivement. </w:t>
      </w:r>
    </w:p>
    <w:p w14:paraId="3258B380" w14:textId="77777777" w:rsidR="00D76CD9" w:rsidRPr="00743D4B" w:rsidRDefault="00D76CD9" w:rsidP="00D76CD9">
      <w:pPr>
        <w:spacing w:line="240" w:lineRule="auto"/>
        <w:rPr>
          <w:szCs w:val="22"/>
        </w:rPr>
      </w:pPr>
    </w:p>
    <w:p w14:paraId="0FEB0633" w14:textId="65ABEF73" w:rsidR="00D76CD9" w:rsidRPr="00743D4B" w:rsidRDefault="00D76CD9" w:rsidP="00D76CD9">
      <w:pPr>
        <w:spacing w:line="240" w:lineRule="auto"/>
        <w:rPr>
          <w:b/>
        </w:rPr>
      </w:pPr>
      <w:r>
        <w:t>ELREXFIO doit être préparé selon les instructions mentionnées ci-dessous (voir tableau 9), en fonction de la dose requise. Il est suggéré d’utiliser un flacon unidose de 44 mg/1,1 </w:t>
      </w:r>
      <w:r w:rsidR="001C17CF">
        <w:t>m</w:t>
      </w:r>
      <w:r w:rsidR="00FE7BBE">
        <w:t>L</w:t>
      </w:r>
      <w:r>
        <w:t xml:space="preserve"> (40 mg/</w:t>
      </w:r>
      <w:r w:rsidR="001C17CF">
        <w:t>m</w:t>
      </w:r>
      <w:r w:rsidR="00FE7BBE">
        <w:t>L</w:t>
      </w:r>
      <w:r>
        <w:t xml:space="preserve">) pour </w:t>
      </w:r>
      <w:r w:rsidR="00071B4A">
        <w:t xml:space="preserve">chacune des doses </w:t>
      </w:r>
      <w:r w:rsidR="0094540C">
        <w:t>de la phase d’escalade</w:t>
      </w:r>
      <w:r w:rsidR="003E2C46">
        <w:t xml:space="preserve"> de dose</w:t>
      </w:r>
      <w:r w:rsidR="00103194">
        <w:t>s</w:t>
      </w:r>
      <w:r>
        <w:t>.</w:t>
      </w:r>
    </w:p>
    <w:bookmarkEnd w:id="17"/>
    <w:p w14:paraId="46599E0E" w14:textId="77777777" w:rsidR="00D76CD9" w:rsidRPr="00743D4B" w:rsidRDefault="00D76CD9" w:rsidP="00540F7F">
      <w:pPr>
        <w:keepNext/>
        <w:spacing w:line="240" w:lineRule="auto"/>
        <w:rPr>
          <w:b/>
          <w:szCs w:val="22"/>
        </w:rPr>
      </w:pPr>
    </w:p>
    <w:tbl>
      <w:tblPr>
        <w:tblStyle w:val="TableGrid1"/>
        <w:tblW w:w="6809" w:type="dxa"/>
        <w:tblInd w:w="-5" w:type="dxa"/>
        <w:tblLook w:val="04A0" w:firstRow="1" w:lastRow="0" w:firstColumn="1" w:lastColumn="0" w:noHBand="0" w:noVBand="1"/>
      </w:tblPr>
      <w:tblGrid>
        <w:gridCol w:w="3420"/>
        <w:gridCol w:w="3389"/>
      </w:tblGrid>
      <w:tr w:rsidR="00D76CD9" w14:paraId="7017478F" w14:textId="77777777" w:rsidTr="00103194">
        <w:tc>
          <w:tcPr>
            <w:tcW w:w="6809" w:type="dxa"/>
            <w:gridSpan w:val="2"/>
            <w:tcBorders>
              <w:top w:val="nil"/>
              <w:left w:val="nil"/>
              <w:bottom w:val="single" w:sz="4" w:space="0" w:color="auto"/>
              <w:right w:val="nil"/>
            </w:tcBorders>
          </w:tcPr>
          <w:p w14:paraId="77115C85" w14:textId="734685AE" w:rsidR="00D76CD9" w:rsidRPr="009F5D84" w:rsidRDefault="00D76CD9" w:rsidP="00AF1088">
            <w:pPr>
              <w:keepNext/>
              <w:keepLines/>
              <w:spacing w:line="240" w:lineRule="auto"/>
              <w:rPr>
                <w:b/>
                <w:szCs w:val="22"/>
              </w:rPr>
            </w:pPr>
            <w:r>
              <w:rPr>
                <w:b/>
              </w:rPr>
              <w:t>Tableau 9.</w:t>
            </w:r>
            <w:r>
              <w:rPr>
                <w:b/>
              </w:rPr>
              <w:tab/>
              <w:t>Instructions relatives à la préparation</w:t>
            </w:r>
            <w:r w:rsidR="00FE7BBE">
              <w:rPr>
                <w:b/>
              </w:rPr>
              <w:t xml:space="preserve"> </w:t>
            </w:r>
            <w:r>
              <w:rPr>
                <w:b/>
              </w:rPr>
              <w:t>d’ELREXFIO</w:t>
            </w:r>
          </w:p>
        </w:tc>
      </w:tr>
      <w:tr w:rsidR="00D76CD9" w14:paraId="371D588D" w14:textId="77777777" w:rsidTr="00103194">
        <w:tc>
          <w:tcPr>
            <w:tcW w:w="3420" w:type="dxa"/>
            <w:tcBorders>
              <w:top w:val="single" w:sz="4" w:space="0" w:color="auto"/>
            </w:tcBorders>
          </w:tcPr>
          <w:p w14:paraId="482132DB" w14:textId="77777777" w:rsidR="00D76CD9" w:rsidRPr="009F5D84" w:rsidRDefault="00D76CD9" w:rsidP="00AF1088">
            <w:pPr>
              <w:pStyle w:val="PIHeading1"/>
              <w:spacing w:before="0" w:after="0"/>
              <w:rPr>
                <w:rFonts w:ascii="Times New Roman" w:hAnsi="Times New Roman"/>
                <w:sz w:val="22"/>
                <w:szCs w:val="22"/>
              </w:rPr>
            </w:pPr>
            <w:r>
              <w:rPr>
                <w:rFonts w:ascii="Times New Roman" w:hAnsi="Times New Roman"/>
                <w:sz w:val="22"/>
              </w:rPr>
              <w:t>Dose requise</w:t>
            </w:r>
          </w:p>
        </w:tc>
        <w:tc>
          <w:tcPr>
            <w:tcW w:w="3389" w:type="dxa"/>
            <w:tcBorders>
              <w:top w:val="single" w:sz="4" w:space="0" w:color="auto"/>
            </w:tcBorders>
          </w:tcPr>
          <w:p w14:paraId="3CA8E9C7" w14:textId="77777777" w:rsidR="00D76CD9" w:rsidRPr="009F5D84" w:rsidRDefault="00D76CD9" w:rsidP="00AF1088">
            <w:pPr>
              <w:pStyle w:val="PIHeading1"/>
              <w:spacing w:before="0" w:after="0"/>
              <w:rPr>
                <w:rFonts w:ascii="Times New Roman" w:hAnsi="Times New Roman"/>
                <w:sz w:val="22"/>
                <w:szCs w:val="22"/>
              </w:rPr>
            </w:pPr>
            <w:r>
              <w:rPr>
                <w:rFonts w:ascii="Times New Roman" w:hAnsi="Times New Roman"/>
                <w:sz w:val="22"/>
              </w:rPr>
              <w:t>Volume de dose</w:t>
            </w:r>
          </w:p>
        </w:tc>
      </w:tr>
      <w:tr w:rsidR="00D76CD9" w14:paraId="0EAB6557" w14:textId="77777777" w:rsidTr="00103194">
        <w:tc>
          <w:tcPr>
            <w:tcW w:w="3420" w:type="dxa"/>
          </w:tcPr>
          <w:p w14:paraId="7BDAEA38" w14:textId="7A9B43C5" w:rsidR="00D76CD9" w:rsidRPr="009F5D84" w:rsidRDefault="00D76CD9" w:rsidP="00AF1088">
            <w:pPr>
              <w:pStyle w:val="PIHeading1"/>
              <w:spacing w:before="0" w:after="0"/>
              <w:rPr>
                <w:rFonts w:ascii="Times New Roman" w:hAnsi="Times New Roman"/>
                <w:b w:val="0"/>
                <w:sz w:val="22"/>
                <w:szCs w:val="22"/>
              </w:rPr>
            </w:pPr>
            <w:r>
              <w:rPr>
                <w:rFonts w:ascii="Times New Roman" w:hAnsi="Times New Roman"/>
                <w:b w:val="0"/>
                <w:sz w:val="22"/>
              </w:rPr>
              <w:t>12 mg (</w:t>
            </w:r>
            <w:r w:rsidR="00931717">
              <w:rPr>
                <w:rFonts w:ascii="Times New Roman" w:hAnsi="Times New Roman"/>
                <w:b w:val="0"/>
                <w:sz w:val="22"/>
              </w:rPr>
              <w:t xml:space="preserve">première </w:t>
            </w:r>
            <w:r w:rsidR="00AE0290">
              <w:rPr>
                <w:rFonts w:ascii="Times New Roman" w:hAnsi="Times New Roman"/>
                <w:b w:val="0"/>
                <w:sz w:val="22"/>
              </w:rPr>
              <w:t>escalade de dose</w:t>
            </w:r>
            <w:r>
              <w:rPr>
                <w:rFonts w:ascii="Times New Roman" w:hAnsi="Times New Roman"/>
                <w:b w:val="0"/>
                <w:sz w:val="22"/>
              </w:rPr>
              <w:t>)</w:t>
            </w:r>
          </w:p>
        </w:tc>
        <w:tc>
          <w:tcPr>
            <w:tcW w:w="3389" w:type="dxa"/>
          </w:tcPr>
          <w:p w14:paraId="18584DBF" w14:textId="4177F624" w:rsidR="00D76CD9" w:rsidRPr="009F5D84" w:rsidRDefault="00D76CD9" w:rsidP="00AF1088">
            <w:pPr>
              <w:pStyle w:val="PIHeading1"/>
              <w:spacing w:before="0" w:after="0"/>
              <w:rPr>
                <w:rFonts w:ascii="Times New Roman" w:hAnsi="Times New Roman"/>
                <w:b w:val="0"/>
                <w:sz w:val="22"/>
                <w:szCs w:val="22"/>
              </w:rPr>
            </w:pPr>
            <w:r>
              <w:rPr>
                <w:rFonts w:ascii="Times New Roman" w:hAnsi="Times New Roman"/>
                <w:b w:val="0"/>
                <w:sz w:val="22"/>
              </w:rPr>
              <w:t>0,3 </w:t>
            </w:r>
            <w:r w:rsidR="001C17CF">
              <w:rPr>
                <w:rFonts w:ascii="Times New Roman" w:hAnsi="Times New Roman"/>
                <w:b w:val="0"/>
                <w:sz w:val="22"/>
              </w:rPr>
              <w:t>m</w:t>
            </w:r>
            <w:r w:rsidR="00FE7BBE">
              <w:rPr>
                <w:rFonts w:ascii="Times New Roman" w:hAnsi="Times New Roman"/>
                <w:b w:val="0"/>
                <w:sz w:val="22"/>
              </w:rPr>
              <w:t>L</w:t>
            </w:r>
          </w:p>
        </w:tc>
      </w:tr>
      <w:tr w:rsidR="00D76CD9" w14:paraId="374BE3DC" w14:textId="77777777" w:rsidTr="00103194">
        <w:tc>
          <w:tcPr>
            <w:tcW w:w="3420" w:type="dxa"/>
          </w:tcPr>
          <w:p w14:paraId="605B82FC" w14:textId="54B71152" w:rsidR="00D76CD9" w:rsidRPr="009F5D84" w:rsidRDefault="00D76CD9" w:rsidP="00AF1088">
            <w:pPr>
              <w:pStyle w:val="PIHeading1"/>
              <w:keepNext w:val="0"/>
              <w:spacing w:before="0" w:after="0"/>
              <w:rPr>
                <w:rFonts w:ascii="Times New Roman" w:hAnsi="Times New Roman"/>
                <w:b w:val="0"/>
                <w:sz w:val="22"/>
                <w:szCs w:val="22"/>
              </w:rPr>
            </w:pPr>
            <w:r>
              <w:rPr>
                <w:rFonts w:ascii="Times New Roman" w:hAnsi="Times New Roman"/>
                <w:b w:val="0"/>
                <w:sz w:val="22"/>
              </w:rPr>
              <w:t>32 mg (</w:t>
            </w:r>
            <w:r w:rsidR="00931717">
              <w:rPr>
                <w:rFonts w:ascii="Times New Roman" w:hAnsi="Times New Roman"/>
                <w:b w:val="0"/>
                <w:sz w:val="22"/>
              </w:rPr>
              <w:t xml:space="preserve">seconde </w:t>
            </w:r>
            <w:r w:rsidR="00AE0290">
              <w:rPr>
                <w:rFonts w:ascii="Times New Roman" w:hAnsi="Times New Roman"/>
                <w:b w:val="0"/>
                <w:sz w:val="22"/>
              </w:rPr>
              <w:t>escalade de dose</w:t>
            </w:r>
            <w:r>
              <w:rPr>
                <w:rFonts w:ascii="Times New Roman" w:hAnsi="Times New Roman"/>
                <w:b w:val="0"/>
                <w:sz w:val="22"/>
              </w:rPr>
              <w:t>)</w:t>
            </w:r>
          </w:p>
        </w:tc>
        <w:tc>
          <w:tcPr>
            <w:tcW w:w="3389" w:type="dxa"/>
          </w:tcPr>
          <w:p w14:paraId="31BCE938" w14:textId="1EA23EA9" w:rsidR="00D76CD9" w:rsidRPr="009F5D84" w:rsidRDefault="00D76CD9" w:rsidP="00AF1088">
            <w:pPr>
              <w:pStyle w:val="PIHeading1"/>
              <w:keepNext w:val="0"/>
              <w:spacing w:before="0" w:after="0"/>
              <w:rPr>
                <w:rFonts w:ascii="Times New Roman" w:hAnsi="Times New Roman"/>
                <w:b w:val="0"/>
                <w:sz w:val="22"/>
                <w:szCs w:val="22"/>
              </w:rPr>
            </w:pPr>
            <w:r>
              <w:rPr>
                <w:rFonts w:ascii="Times New Roman" w:hAnsi="Times New Roman"/>
                <w:b w:val="0"/>
                <w:sz w:val="22"/>
              </w:rPr>
              <w:t>0,8 </w:t>
            </w:r>
            <w:r w:rsidR="001C17CF">
              <w:rPr>
                <w:rFonts w:ascii="Times New Roman" w:hAnsi="Times New Roman"/>
                <w:b w:val="0"/>
                <w:sz w:val="22"/>
              </w:rPr>
              <w:t>m</w:t>
            </w:r>
            <w:r w:rsidR="00FE7BBE">
              <w:rPr>
                <w:rFonts w:ascii="Times New Roman" w:hAnsi="Times New Roman"/>
                <w:b w:val="0"/>
                <w:sz w:val="22"/>
              </w:rPr>
              <w:t>L</w:t>
            </w:r>
          </w:p>
        </w:tc>
      </w:tr>
      <w:tr w:rsidR="00D76CD9" w14:paraId="4591357E" w14:textId="77777777" w:rsidTr="00103194">
        <w:tc>
          <w:tcPr>
            <w:tcW w:w="3420" w:type="dxa"/>
          </w:tcPr>
          <w:p w14:paraId="75713294" w14:textId="1CA4925D" w:rsidR="00D76CD9" w:rsidRPr="009F5D84" w:rsidRDefault="00D76CD9" w:rsidP="00AF1088">
            <w:pPr>
              <w:pStyle w:val="PIHeading1"/>
              <w:keepNext w:val="0"/>
              <w:spacing w:before="0" w:after="0"/>
              <w:rPr>
                <w:rFonts w:ascii="Times New Roman" w:hAnsi="Times New Roman"/>
                <w:b w:val="0"/>
                <w:sz w:val="22"/>
                <w:szCs w:val="22"/>
              </w:rPr>
            </w:pPr>
            <w:r>
              <w:rPr>
                <w:rFonts w:ascii="Times New Roman" w:hAnsi="Times New Roman"/>
                <w:b w:val="0"/>
                <w:sz w:val="22"/>
              </w:rPr>
              <w:t>76 mg (</w:t>
            </w:r>
            <w:r w:rsidRPr="005F3881">
              <w:rPr>
                <w:rFonts w:ascii="Times New Roman" w:hAnsi="Times New Roman"/>
                <w:b w:val="0"/>
                <w:sz w:val="22"/>
              </w:rPr>
              <w:t xml:space="preserve">dose </w:t>
            </w:r>
            <w:r w:rsidR="00832C67" w:rsidRPr="005F3881">
              <w:rPr>
                <w:rFonts w:ascii="Times New Roman" w:hAnsi="Times New Roman"/>
                <w:b w:val="0"/>
                <w:sz w:val="22"/>
              </w:rPr>
              <w:t xml:space="preserve">complète </w:t>
            </w:r>
            <w:r w:rsidRPr="005F3881">
              <w:rPr>
                <w:rFonts w:ascii="Times New Roman" w:hAnsi="Times New Roman"/>
                <w:b w:val="0"/>
                <w:sz w:val="22"/>
              </w:rPr>
              <w:t>de traitement)</w:t>
            </w:r>
          </w:p>
        </w:tc>
        <w:tc>
          <w:tcPr>
            <w:tcW w:w="3389" w:type="dxa"/>
          </w:tcPr>
          <w:p w14:paraId="12AE58CC" w14:textId="091D82D0" w:rsidR="00D76CD9" w:rsidRPr="009F5D84" w:rsidRDefault="00D76CD9" w:rsidP="00AF1088">
            <w:pPr>
              <w:pStyle w:val="PIHeading1"/>
              <w:keepNext w:val="0"/>
              <w:spacing w:before="0" w:after="0"/>
              <w:rPr>
                <w:rFonts w:ascii="Times New Roman" w:hAnsi="Times New Roman"/>
                <w:b w:val="0"/>
                <w:sz w:val="22"/>
                <w:szCs w:val="22"/>
              </w:rPr>
            </w:pPr>
            <w:r>
              <w:rPr>
                <w:rFonts w:ascii="Times New Roman" w:hAnsi="Times New Roman"/>
                <w:b w:val="0"/>
                <w:sz w:val="22"/>
              </w:rPr>
              <w:t>1,9 </w:t>
            </w:r>
            <w:r w:rsidR="001C17CF">
              <w:rPr>
                <w:rFonts w:ascii="Times New Roman" w:hAnsi="Times New Roman"/>
                <w:b w:val="0"/>
                <w:sz w:val="22"/>
              </w:rPr>
              <w:t>m</w:t>
            </w:r>
            <w:r w:rsidR="00FE7BBE">
              <w:rPr>
                <w:rFonts w:ascii="Times New Roman" w:hAnsi="Times New Roman"/>
                <w:b w:val="0"/>
                <w:sz w:val="22"/>
              </w:rPr>
              <w:t>L</w:t>
            </w:r>
          </w:p>
        </w:tc>
      </w:tr>
    </w:tbl>
    <w:p w14:paraId="1090C9B6" w14:textId="77777777" w:rsidR="00D76CD9" w:rsidRDefault="00D76CD9" w:rsidP="00D76CD9">
      <w:pPr>
        <w:spacing w:line="240" w:lineRule="auto"/>
        <w:rPr>
          <w:szCs w:val="22"/>
          <w:u w:val="single"/>
        </w:rPr>
      </w:pPr>
    </w:p>
    <w:p w14:paraId="1D96F42E" w14:textId="77777777" w:rsidR="003533F4" w:rsidRPr="009F5D84" w:rsidRDefault="003533F4" w:rsidP="00822D84">
      <w:pPr>
        <w:keepNext/>
        <w:spacing w:line="240" w:lineRule="auto"/>
        <w:rPr>
          <w:szCs w:val="22"/>
          <w:u w:val="single"/>
        </w:rPr>
      </w:pPr>
      <w:r>
        <w:rPr>
          <w:u w:val="single"/>
        </w:rPr>
        <w:t>Élimination</w:t>
      </w:r>
    </w:p>
    <w:bookmarkEnd w:id="15"/>
    <w:p w14:paraId="435DD79D" w14:textId="77777777" w:rsidR="008447FB" w:rsidRDefault="008447FB" w:rsidP="003533F4">
      <w:pPr>
        <w:spacing w:line="240" w:lineRule="auto"/>
      </w:pPr>
    </w:p>
    <w:p w14:paraId="432250DE" w14:textId="60F24521" w:rsidR="003533F4" w:rsidRPr="009F5D84" w:rsidRDefault="003533F4" w:rsidP="003533F4">
      <w:pPr>
        <w:spacing w:line="240" w:lineRule="auto"/>
        <w:rPr>
          <w:szCs w:val="22"/>
        </w:rPr>
      </w:pPr>
      <w:r>
        <w:t>Le flacon et le contenu restant doivent être éliminés</w:t>
      </w:r>
      <w:r w:rsidR="008447FB">
        <w:t xml:space="preserve"> après un usage unique</w:t>
      </w:r>
      <w:r>
        <w:t>. Tout médicament non utilisé ou déchet doit être éliminé conformément à la réglementation en vigueur.</w:t>
      </w:r>
    </w:p>
    <w:p w14:paraId="16852B6B" w14:textId="77777777" w:rsidR="003533F4" w:rsidRPr="00743D4B" w:rsidRDefault="003533F4" w:rsidP="003533F4">
      <w:pPr>
        <w:spacing w:line="240" w:lineRule="auto"/>
        <w:rPr>
          <w:szCs w:val="22"/>
        </w:rPr>
      </w:pPr>
    </w:p>
    <w:bookmarkEnd w:id="16"/>
    <w:p w14:paraId="0DDF6863" w14:textId="77777777" w:rsidR="007B7854" w:rsidRPr="00743D4B" w:rsidRDefault="007B7854" w:rsidP="00204AAB">
      <w:pPr>
        <w:spacing w:line="240" w:lineRule="auto"/>
        <w:rPr>
          <w:noProof/>
          <w:szCs w:val="22"/>
        </w:rPr>
      </w:pPr>
    </w:p>
    <w:p w14:paraId="4EB46080" w14:textId="77777777" w:rsidR="00812D16" w:rsidRPr="00897589" w:rsidRDefault="00812D16" w:rsidP="00204AAB">
      <w:pPr>
        <w:spacing w:line="240" w:lineRule="auto"/>
        <w:ind w:left="567" w:hanging="567"/>
        <w:rPr>
          <w:noProof/>
          <w:szCs w:val="22"/>
        </w:rPr>
      </w:pPr>
      <w:r>
        <w:rPr>
          <w:b/>
        </w:rPr>
        <w:t>7.</w:t>
      </w:r>
      <w:r>
        <w:rPr>
          <w:b/>
        </w:rPr>
        <w:tab/>
        <w:t>TITULAIRE DE L’AUTORISATION DE MISE SUR LE MARCHÉ</w:t>
      </w:r>
    </w:p>
    <w:p w14:paraId="78E6F3BA" w14:textId="77777777" w:rsidR="00812D16" w:rsidRPr="00897589" w:rsidRDefault="00812D16" w:rsidP="00204AAB">
      <w:pPr>
        <w:spacing w:line="240" w:lineRule="auto"/>
        <w:rPr>
          <w:noProof/>
          <w:szCs w:val="22"/>
        </w:rPr>
      </w:pPr>
    </w:p>
    <w:p w14:paraId="4F210F9F" w14:textId="77777777" w:rsidR="0078529E" w:rsidRPr="00897589" w:rsidRDefault="00FA4269" w:rsidP="00FA4269">
      <w:pPr>
        <w:spacing w:line="240" w:lineRule="auto"/>
        <w:rPr>
          <w:szCs w:val="22"/>
        </w:rPr>
      </w:pPr>
      <w:r>
        <w:t>Pfizer Europe MA EEIG</w:t>
      </w:r>
    </w:p>
    <w:p w14:paraId="426113B7" w14:textId="77777777" w:rsidR="0078529E" w:rsidRPr="00897589" w:rsidRDefault="00FA4269" w:rsidP="00FA4269">
      <w:pPr>
        <w:spacing w:line="240" w:lineRule="auto"/>
        <w:rPr>
          <w:szCs w:val="22"/>
        </w:rPr>
      </w:pPr>
      <w:r>
        <w:t>Boulevard de la Plaine 17</w:t>
      </w:r>
    </w:p>
    <w:p w14:paraId="213E1BDD" w14:textId="77777777" w:rsidR="0078529E" w:rsidRPr="009F5D84" w:rsidRDefault="0078529E" w:rsidP="00FA4269">
      <w:pPr>
        <w:spacing w:line="240" w:lineRule="auto"/>
        <w:rPr>
          <w:szCs w:val="22"/>
        </w:rPr>
      </w:pPr>
      <w:r>
        <w:t xml:space="preserve">1050 Bruxelles </w:t>
      </w:r>
    </w:p>
    <w:p w14:paraId="66BFB297" w14:textId="77777777" w:rsidR="00812D16" w:rsidRPr="009F5D84" w:rsidRDefault="00FA4269" w:rsidP="00FA4269">
      <w:pPr>
        <w:spacing w:line="240" w:lineRule="auto"/>
        <w:rPr>
          <w:szCs w:val="22"/>
        </w:rPr>
      </w:pPr>
      <w:r>
        <w:t>Belgique</w:t>
      </w:r>
    </w:p>
    <w:p w14:paraId="63334BBB" w14:textId="77777777" w:rsidR="00812D16" w:rsidRPr="00743D4B" w:rsidRDefault="00812D16" w:rsidP="00204AAB">
      <w:pPr>
        <w:spacing w:line="240" w:lineRule="auto"/>
        <w:rPr>
          <w:noProof/>
          <w:szCs w:val="22"/>
        </w:rPr>
      </w:pPr>
    </w:p>
    <w:p w14:paraId="41ED2EF5" w14:textId="77777777" w:rsidR="00812D16" w:rsidRPr="00743D4B" w:rsidRDefault="00812D16" w:rsidP="00204AAB">
      <w:pPr>
        <w:spacing w:line="240" w:lineRule="auto"/>
        <w:rPr>
          <w:noProof/>
          <w:szCs w:val="22"/>
        </w:rPr>
      </w:pPr>
    </w:p>
    <w:p w14:paraId="432F47AB" w14:textId="77777777" w:rsidR="00812D16" w:rsidRPr="00743D4B" w:rsidRDefault="00812D16" w:rsidP="00204AAB">
      <w:pPr>
        <w:spacing w:line="240" w:lineRule="auto"/>
        <w:ind w:left="567" w:hanging="567"/>
        <w:rPr>
          <w:b/>
          <w:noProof/>
          <w:szCs w:val="22"/>
        </w:rPr>
      </w:pPr>
      <w:r>
        <w:rPr>
          <w:b/>
        </w:rPr>
        <w:t>8.</w:t>
      </w:r>
      <w:r>
        <w:rPr>
          <w:b/>
        </w:rPr>
        <w:tab/>
        <w:t>NUMÉRO(S) D’AUTORISATION DE MISE SUR LE MARCHÉ</w:t>
      </w:r>
    </w:p>
    <w:p w14:paraId="07DD3CB9" w14:textId="77777777" w:rsidR="00812D16" w:rsidRPr="00743D4B" w:rsidRDefault="00812D16" w:rsidP="00204AAB">
      <w:pPr>
        <w:spacing w:line="240" w:lineRule="auto"/>
        <w:rPr>
          <w:noProof/>
          <w:szCs w:val="22"/>
        </w:rPr>
      </w:pPr>
    </w:p>
    <w:p w14:paraId="62A67BE2" w14:textId="77777777" w:rsidR="00103194" w:rsidRPr="001E7EB5" w:rsidRDefault="00103194" w:rsidP="00103194">
      <w:pPr>
        <w:spacing w:line="240" w:lineRule="auto"/>
        <w:rPr>
          <w:noProof/>
          <w:szCs w:val="22"/>
        </w:rPr>
      </w:pPr>
      <w:r w:rsidRPr="001E7EB5">
        <w:rPr>
          <w:noProof/>
          <w:szCs w:val="22"/>
        </w:rPr>
        <w:t>EU/1/23/1770/001</w:t>
      </w:r>
    </w:p>
    <w:p w14:paraId="27EB6A04" w14:textId="77777777" w:rsidR="00103194" w:rsidRPr="00743D4B" w:rsidRDefault="00103194" w:rsidP="00103194">
      <w:pPr>
        <w:spacing w:line="240" w:lineRule="auto"/>
        <w:rPr>
          <w:noProof/>
          <w:szCs w:val="22"/>
        </w:rPr>
      </w:pPr>
      <w:r w:rsidRPr="001E7EB5">
        <w:rPr>
          <w:noProof/>
          <w:szCs w:val="22"/>
        </w:rPr>
        <w:t>EU/1/23/1770/002</w:t>
      </w:r>
    </w:p>
    <w:p w14:paraId="4D6F3144" w14:textId="77777777" w:rsidR="00812D16" w:rsidRPr="00743D4B" w:rsidRDefault="00812D16" w:rsidP="00204AAB">
      <w:pPr>
        <w:spacing w:line="240" w:lineRule="auto"/>
        <w:rPr>
          <w:noProof/>
          <w:szCs w:val="22"/>
        </w:rPr>
      </w:pPr>
    </w:p>
    <w:p w14:paraId="3DC1D00D" w14:textId="77777777" w:rsidR="00812D16" w:rsidRPr="00743D4B" w:rsidRDefault="00812D16" w:rsidP="00204AAB">
      <w:pPr>
        <w:spacing w:line="240" w:lineRule="auto"/>
        <w:ind w:left="567" w:hanging="567"/>
        <w:rPr>
          <w:noProof/>
          <w:szCs w:val="22"/>
        </w:rPr>
      </w:pPr>
      <w:r>
        <w:rPr>
          <w:b/>
        </w:rPr>
        <w:t>9.</w:t>
      </w:r>
      <w:r>
        <w:rPr>
          <w:b/>
        </w:rPr>
        <w:tab/>
        <w:t>DATE DE PREMIÈRE AUTORISATION/DE RENOUVELLEMENT DE L’AUTORISATION</w:t>
      </w:r>
    </w:p>
    <w:p w14:paraId="4F574E1A" w14:textId="77777777" w:rsidR="006F5DD7" w:rsidRPr="00743D4B" w:rsidRDefault="006F5DD7" w:rsidP="006F5DD7">
      <w:pPr>
        <w:spacing w:line="240" w:lineRule="auto"/>
        <w:rPr>
          <w:i/>
          <w:noProof/>
          <w:szCs w:val="22"/>
        </w:rPr>
      </w:pPr>
    </w:p>
    <w:p w14:paraId="635C0AF1" w14:textId="5792561A" w:rsidR="006F5DD7" w:rsidRDefault="006F5DD7" w:rsidP="006F5DD7">
      <w:pPr>
        <w:spacing w:line="240" w:lineRule="auto"/>
      </w:pPr>
      <w:r>
        <w:t xml:space="preserve">Date de première autorisation : </w:t>
      </w:r>
      <w:r w:rsidR="003E5580">
        <w:t>7 décembre 2023</w:t>
      </w:r>
    </w:p>
    <w:p w14:paraId="33081CC5" w14:textId="56EF9EC1" w:rsidR="00EA5A69" w:rsidRPr="00743D4B" w:rsidRDefault="00EA5A69" w:rsidP="006F5DD7">
      <w:pPr>
        <w:spacing w:line="240" w:lineRule="auto"/>
        <w:rPr>
          <w:i/>
          <w:noProof/>
          <w:szCs w:val="22"/>
        </w:rPr>
      </w:pPr>
      <w:r>
        <w:t>Date du dernier renouvellement : 13 novembre 2024</w:t>
      </w:r>
    </w:p>
    <w:p w14:paraId="5D1CB509" w14:textId="77777777" w:rsidR="006F5DD7" w:rsidRPr="00743D4B" w:rsidRDefault="006F5DD7" w:rsidP="006F5DD7">
      <w:pPr>
        <w:spacing w:line="240" w:lineRule="auto"/>
        <w:rPr>
          <w:noProof/>
          <w:szCs w:val="22"/>
        </w:rPr>
      </w:pPr>
    </w:p>
    <w:p w14:paraId="315A1348" w14:textId="77777777" w:rsidR="00812D16" w:rsidRPr="00743D4B" w:rsidRDefault="00812D16" w:rsidP="00204AAB">
      <w:pPr>
        <w:spacing w:line="240" w:lineRule="auto"/>
        <w:rPr>
          <w:noProof/>
          <w:szCs w:val="22"/>
        </w:rPr>
      </w:pPr>
    </w:p>
    <w:p w14:paraId="67A2720B" w14:textId="77777777" w:rsidR="00812D16" w:rsidRPr="00743D4B" w:rsidRDefault="00812D16" w:rsidP="007B7854">
      <w:pPr>
        <w:keepNext/>
        <w:spacing w:line="240" w:lineRule="auto"/>
        <w:ind w:left="562" w:hanging="562"/>
        <w:rPr>
          <w:b/>
          <w:noProof/>
          <w:szCs w:val="22"/>
        </w:rPr>
      </w:pPr>
      <w:r>
        <w:rPr>
          <w:b/>
        </w:rPr>
        <w:lastRenderedPageBreak/>
        <w:t>10.</w:t>
      </w:r>
      <w:r>
        <w:rPr>
          <w:b/>
        </w:rPr>
        <w:tab/>
        <w:t>DATE DE MISE À JOUR DU TEXTE</w:t>
      </w:r>
    </w:p>
    <w:p w14:paraId="5DFDF55F" w14:textId="77777777" w:rsidR="00812D16" w:rsidRDefault="00812D16" w:rsidP="00204AAB">
      <w:pPr>
        <w:spacing w:line="240" w:lineRule="auto"/>
        <w:rPr>
          <w:noProof/>
          <w:szCs w:val="22"/>
        </w:rPr>
      </w:pPr>
    </w:p>
    <w:p w14:paraId="4A1C3C15" w14:textId="62CE7955" w:rsidR="008929AA" w:rsidRPr="00B56D2F" w:rsidRDefault="0078529E" w:rsidP="003D08BD">
      <w:pPr>
        <w:spacing w:line="240" w:lineRule="auto"/>
        <w:rPr>
          <w:noProof/>
          <w:szCs w:val="22"/>
        </w:rPr>
      </w:pPr>
      <w:r>
        <w:t xml:space="preserve">Des informations détaillées sur ce médicament sont disponibles sur le site Internet de l’Agence européenne des médicaments </w:t>
      </w:r>
      <w:hyperlink r:id="rId10" w:history="1">
        <w:r w:rsidR="00927263" w:rsidRPr="00F51484">
          <w:rPr>
            <w:rStyle w:val="Hyperlink"/>
          </w:rPr>
          <w:t>https://www.ema.europa.eu</w:t>
        </w:r>
      </w:hyperlink>
      <w:r>
        <w:t xml:space="preserve">. </w:t>
      </w:r>
    </w:p>
    <w:p w14:paraId="3839BF1B" w14:textId="77777777" w:rsidR="00812D16" w:rsidRPr="00B56D2F" w:rsidRDefault="00A26F79" w:rsidP="00204AAB">
      <w:pPr>
        <w:numPr>
          <w:ilvl w:val="12"/>
          <w:numId w:val="0"/>
        </w:numPr>
        <w:spacing w:line="240" w:lineRule="auto"/>
        <w:ind w:right="-2"/>
        <w:rPr>
          <w:noProof/>
          <w:szCs w:val="22"/>
        </w:rPr>
      </w:pPr>
      <w:r>
        <w:br w:type="page"/>
      </w:r>
    </w:p>
    <w:p w14:paraId="1A65419B" w14:textId="77777777" w:rsidR="00812D16" w:rsidRPr="00B56D2F" w:rsidRDefault="00812D16" w:rsidP="00204AAB">
      <w:pPr>
        <w:spacing w:line="240" w:lineRule="auto"/>
        <w:rPr>
          <w:noProof/>
          <w:szCs w:val="22"/>
        </w:rPr>
      </w:pPr>
    </w:p>
    <w:p w14:paraId="3992A622" w14:textId="77777777" w:rsidR="00812D16" w:rsidRPr="00B56D2F" w:rsidRDefault="00812D16" w:rsidP="00204AAB">
      <w:pPr>
        <w:spacing w:line="240" w:lineRule="auto"/>
        <w:rPr>
          <w:noProof/>
          <w:szCs w:val="22"/>
        </w:rPr>
      </w:pPr>
    </w:p>
    <w:p w14:paraId="49FC437D" w14:textId="77777777" w:rsidR="00812D16" w:rsidRPr="00B56D2F" w:rsidRDefault="00812D16" w:rsidP="00204AAB">
      <w:pPr>
        <w:spacing w:line="240" w:lineRule="auto"/>
        <w:rPr>
          <w:noProof/>
          <w:szCs w:val="22"/>
        </w:rPr>
      </w:pPr>
    </w:p>
    <w:p w14:paraId="6DB5E3C8" w14:textId="77777777" w:rsidR="00812D16" w:rsidRPr="00B56D2F" w:rsidRDefault="00812D16" w:rsidP="00204AAB">
      <w:pPr>
        <w:spacing w:line="240" w:lineRule="auto"/>
        <w:rPr>
          <w:noProof/>
          <w:szCs w:val="22"/>
        </w:rPr>
      </w:pPr>
    </w:p>
    <w:p w14:paraId="75F05388" w14:textId="77777777" w:rsidR="00812D16" w:rsidRPr="00B56D2F" w:rsidRDefault="00812D16" w:rsidP="00204AAB">
      <w:pPr>
        <w:spacing w:line="240" w:lineRule="auto"/>
        <w:rPr>
          <w:noProof/>
          <w:szCs w:val="22"/>
        </w:rPr>
      </w:pPr>
    </w:p>
    <w:p w14:paraId="1FC18D8E" w14:textId="77777777" w:rsidR="00812D16" w:rsidRPr="00B56D2F" w:rsidRDefault="00812D16" w:rsidP="00204AAB">
      <w:pPr>
        <w:spacing w:line="240" w:lineRule="auto"/>
        <w:rPr>
          <w:noProof/>
          <w:szCs w:val="22"/>
        </w:rPr>
      </w:pPr>
    </w:p>
    <w:p w14:paraId="5F6051E2" w14:textId="77777777" w:rsidR="00812D16" w:rsidRPr="00B56D2F" w:rsidRDefault="00812D16" w:rsidP="00204AAB">
      <w:pPr>
        <w:spacing w:line="240" w:lineRule="auto"/>
        <w:rPr>
          <w:noProof/>
          <w:szCs w:val="22"/>
        </w:rPr>
      </w:pPr>
    </w:p>
    <w:p w14:paraId="0D322804" w14:textId="77777777" w:rsidR="00812D16" w:rsidRPr="00B56D2F" w:rsidRDefault="00812D16" w:rsidP="00204AAB">
      <w:pPr>
        <w:spacing w:line="240" w:lineRule="auto"/>
        <w:rPr>
          <w:noProof/>
          <w:szCs w:val="22"/>
        </w:rPr>
      </w:pPr>
    </w:p>
    <w:p w14:paraId="5835DDEB" w14:textId="77777777" w:rsidR="00812D16" w:rsidRPr="00B56D2F" w:rsidRDefault="00812D16" w:rsidP="00204AAB">
      <w:pPr>
        <w:spacing w:line="240" w:lineRule="auto"/>
        <w:rPr>
          <w:noProof/>
          <w:szCs w:val="22"/>
        </w:rPr>
      </w:pPr>
    </w:p>
    <w:p w14:paraId="258F709E" w14:textId="77777777" w:rsidR="00812D16" w:rsidRPr="00B56D2F" w:rsidRDefault="00812D16" w:rsidP="00204AAB">
      <w:pPr>
        <w:spacing w:line="240" w:lineRule="auto"/>
        <w:rPr>
          <w:noProof/>
          <w:szCs w:val="22"/>
        </w:rPr>
      </w:pPr>
    </w:p>
    <w:p w14:paraId="0AE014A0" w14:textId="77777777" w:rsidR="00812D16" w:rsidRPr="00B56D2F" w:rsidRDefault="00812D16" w:rsidP="00204AAB">
      <w:pPr>
        <w:spacing w:line="240" w:lineRule="auto"/>
        <w:rPr>
          <w:noProof/>
          <w:szCs w:val="22"/>
        </w:rPr>
      </w:pPr>
    </w:p>
    <w:p w14:paraId="5183EC94" w14:textId="77777777" w:rsidR="00812D16" w:rsidRPr="00B56D2F" w:rsidRDefault="00812D16" w:rsidP="00204AAB">
      <w:pPr>
        <w:spacing w:line="240" w:lineRule="auto"/>
        <w:rPr>
          <w:noProof/>
          <w:szCs w:val="22"/>
        </w:rPr>
      </w:pPr>
    </w:p>
    <w:p w14:paraId="4D17DB48" w14:textId="77777777" w:rsidR="00812D16" w:rsidRPr="00B56D2F" w:rsidRDefault="00812D16" w:rsidP="00204AAB">
      <w:pPr>
        <w:spacing w:line="240" w:lineRule="auto"/>
        <w:rPr>
          <w:noProof/>
          <w:szCs w:val="22"/>
        </w:rPr>
      </w:pPr>
    </w:p>
    <w:p w14:paraId="27443A1E" w14:textId="77777777" w:rsidR="00812D16" w:rsidRPr="00B56D2F" w:rsidRDefault="00812D16" w:rsidP="00204AAB">
      <w:pPr>
        <w:spacing w:line="240" w:lineRule="auto"/>
        <w:rPr>
          <w:noProof/>
          <w:szCs w:val="22"/>
        </w:rPr>
      </w:pPr>
    </w:p>
    <w:p w14:paraId="7F764605" w14:textId="77777777" w:rsidR="00812D16" w:rsidRPr="00B56D2F" w:rsidRDefault="00812D16" w:rsidP="00204AAB">
      <w:pPr>
        <w:spacing w:line="240" w:lineRule="auto"/>
        <w:rPr>
          <w:noProof/>
          <w:szCs w:val="22"/>
        </w:rPr>
      </w:pPr>
    </w:p>
    <w:p w14:paraId="776925B3" w14:textId="77777777" w:rsidR="00812D16" w:rsidRPr="00B56D2F" w:rsidRDefault="00812D16" w:rsidP="00204AAB">
      <w:pPr>
        <w:spacing w:line="240" w:lineRule="auto"/>
        <w:rPr>
          <w:noProof/>
          <w:szCs w:val="22"/>
        </w:rPr>
      </w:pPr>
    </w:p>
    <w:p w14:paraId="17D835D9" w14:textId="77777777" w:rsidR="00812D16" w:rsidRPr="00B56D2F" w:rsidRDefault="00812D16" w:rsidP="00204AAB">
      <w:pPr>
        <w:spacing w:line="240" w:lineRule="auto"/>
        <w:rPr>
          <w:noProof/>
          <w:szCs w:val="22"/>
        </w:rPr>
      </w:pPr>
    </w:p>
    <w:p w14:paraId="5C967602" w14:textId="77777777" w:rsidR="00812D16" w:rsidRPr="00B56D2F" w:rsidRDefault="00812D16" w:rsidP="00204AAB">
      <w:pPr>
        <w:spacing w:line="240" w:lineRule="auto"/>
        <w:rPr>
          <w:noProof/>
          <w:szCs w:val="22"/>
        </w:rPr>
      </w:pPr>
    </w:p>
    <w:p w14:paraId="133A2311" w14:textId="77777777" w:rsidR="00812D16" w:rsidRPr="00B56D2F" w:rsidRDefault="00812D16" w:rsidP="00204AAB">
      <w:pPr>
        <w:spacing w:line="240" w:lineRule="auto"/>
        <w:rPr>
          <w:noProof/>
          <w:szCs w:val="22"/>
        </w:rPr>
      </w:pPr>
    </w:p>
    <w:p w14:paraId="385FEBB6" w14:textId="77777777" w:rsidR="00812D16" w:rsidRPr="00B56D2F" w:rsidRDefault="00812D16" w:rsidP="00204AAB">
      <w:pPr>
        <w:spacing w:line="240" w:lineRule="auto"/>
        <w:rPr>
          <w:noProof/>
          <w:szCs w:val="22"/>
        </w:rPr>
      </w:pPr>
    </w:p>
    <w:p w14:paraId="52E28938" w14:textId="77777777" w:rsidR="00812D16" w:rsidRPr="00B56D2F" w:rsidRDefault="00812D16" w:rsidP="00204AAB">
      <w:pPr>
        <w:spacing w:line="240" w:lineRule="auto"/>
        <w:rPr>
          <w:noProof/>
          <w:szCs w:val="22"/>
        </w:rPr>
      </w:pPr>
    </w:p>
    <w:p w14:paraId="57B71CF5" w14:textId="77777777" w:rsidR="00812D16" w:rsidRPr="00B56D2F" w:rsidRDefault="00812D16" w:rsidP="00204AAB">
      <w:pPr>
        <w:spacing w:line="240" w:lineRule="auto"/>
        <w:rPr>
          <w:noProof/>
          <w:szCs w:val="22"/>
        </w:rPr>
      </w:pPr>
    </w:p>
    <w:p w14:paraId="26DEC743" w14:textId="77777777" w:rsidR="00DD28F4" w:rsidRDefault="00DD28F4" w:rsidP="00204AAB">
      <w:pPr>
        <w:spacing w:line="240" w:lineRule="auto"/>
        <w:jc w:val="center"/>
        <w:rPr>
          <w:b/>
          <w:noProof/>
          <w:szCs w:val="22"/>
        </w:rPr>
      </w:pPr>
    </w:p>
    <w:p w14:paraId="4B8F0A2A" w14:textId="77777777" w:rsidR="00812D16" w:rsidRPr="00B56D2F" w:rsidRDefault="00812D16" w:rsidP="00204AAB">
      <w:pPr>
        <w:spacing w:line="240" w:lineRule="auto"/>
        <w:jc w:val="center"/>
        <w:rPr>
          <w:noProof/>
          <w:szCs w:val="22"/>
        </w:rPr>
      </w:pPr>
      <w:r>
        <w:rPr>
          <w:b/>
        </w:rPr>
        <w:t>ANNEXE II</w:t>
      </w:r>
    </w:p>
    <w:p w14:paraId="4985C945" w14:textId="77777777" w:rsidR="00812D16" w:rsidRPr="00B56D2F" w:rsidRDefault="00812D16" w:rsidP="00204AAB">
      <w:pPr>
        <w:spacing w:line="240" w:lineRule="auto"/>
        <w:ind w:right="1416"/>
        <w:rPr>
          <w:noProof/>
          <w:szCs w:val="22"/>
        </w:rPr>
      </w:pPr>
    </w:p>
    <w:p w14:paraId="2C873801" w14:textId="77777777" w:rsidR="00812D16" w:rsidRPr="00B56D2F" w:rsidRDefault="00812D16" w:rsidP="00204AAB">
      <w:pPr>
        <w:spacing w:line="240" w:lineRule="auto"/>
        <w:ind w:left="1701" w:right="1416" w:hanging="708"/>
        <w:rPr>
          <w:b/>
          <w:noProof/>
          <w:szCs w:val="22"/>
        </w:rPr>
      </w:pPr>
      <w:r>
        <w:rPr>
          <w:b/>
        </w:rPr>
        <w:t>A.</w:t>
      </w:r>
      <w:r>
        <w:rPr>
          <w:b/>
        </w:rPr>
        <w:tab/>
        <w:t>FABRICANT DE LA SUBSTANCE ACTIVE D’ORIGINE BIOLOGIQUE ET FABRICANT RESPONSABLE DE LA LIBÉRATION DES LOTS</w:t>
      </w:r>
    </w:p>
    <w:p w14:paraId="5A7C5355" w14:textId="77777777" w:rsidR="00812D16" w:rsidRPr="00B56D2F" w:rsidRDefault="00812D16" w:rsidP="00204AAB">
      <w:pPr>
        <w:spacing w:line="240" w:lineRule="auto"/>
        <w:ind w:left="567" w:hanging="567"/>
        <w:rPr>
          <w:noProof/>
          <w:szCs w:val="22"/>
        </w:rPr>
      </w:pPr>
    </w:p>
    <w:p w14:paraId="6E95BCF7" w14:textId="77777777" w:rsidR="00812D16" w:rsidRPr="00B56D2F" w:rsidRDefault="00812D16" w:rsidP="00204AAB">
      <w:pPr>
        <w:spacing w:line="240" w:lineRule="auto"/>
        <w:ind w:left="1701" w:right="1418" w:hanging="709"/>
        <w:rPr>
          <w:b/>
          <w:noProof/>
          <w:szCs w:val="22"/>
        </w:rPr>
      </w:pPr>
      <w:r>
        <w:rPr>
          <w:b/>
        </w:rPr>
        <w:t>B.</w:t>
      </w:r>
      <w:r>
        <w:rPr>
          <w:b/>
        </w:rPr>
        <w:tab/>
        <w:t>CONDITIONS OU RESTRICTIONS DE DÉLIVRANCE ET D’UTILISATION</w:t>
      </w:r>
    </w:p>
    <w:p w14:paraId="017F4ED0" w14:textId="77777777" w:rsidR="00812D16" w:rsidRPr="00B56D2F" w:rsidRDefault="00812D16" w:rsidP="00204AAB">
      <w:pPr>
        <w:spacing w:line="240" w:lineRule="auto"/>
        <w:ind w:left="567" w:hanging="567"/>
        <w:rPr>
          <w:noProof/>
          <w:szCs w:val="22"/>
        </w:rPr>
      </w:pPr>
    </w:p>
    <w:p w14:paraId="0BFF3770" w14:textId="77777777" w:rsidR="00812D16" w:rsidRPr="00B56D2F" w:rsidRDefault="00812D16" w:rsidP="00204AAB">
      <w:pPr>
        <w:spacing w:line="240" w:lineRule="auto"/>
        <w:ind w:left="1701" w:right="1559" w:hanging="709"/>
        <w:rPr>
          <w:b/>
          <w:noProof/>
          <w:szCs w:val="22"/>
        </w:rPr>
      </w:pPr>
      <w:r>
        <w:rPr>
          <w:b/>
        </w:rPr>
        <w:t>C.</w:t>
      </w:r>
      <w:r>
        <w:rPr>
          <w:b/>
        </w:rPr>
        <w:tab/>
        <w:t>AUTRES CONDITIONS ET OBLIGATIONS DE L’AUTORISATION DE MISE SUR LE MARCHÉ</w:t>
      </w:r>
    </w:p>
    <w:p w14:paraId="58FE8E2B" w14:textId="77777777" w:rsidR="009B5C19" w:rsidRPr="00B56D2F" w:rsidRDefault="009B5C19" w:rsidP="00204AAB">
      <w:pPr>
        <w:spacing w:line="240" w:lineRule="auto"/>
        <w:ind w:right="1558"/>
        <w:rPr>
          <w:b/>
          <w:szCs w:val="22"/>
        </w:rPr>
      </w:pPr>
    </w:p>
    <w:p w14:paraId="38A0DBBB" w14:textId="77777777" w:rsidR="009B5C19" w:rsidRPr="00B56D2F" w:rsidRDefault="009B5C19" w:rsidP="00204AAB">
      <w:pPr>
        <w:spacing w:line="240" w:lineRule="auto"/>
        <w:ind w:left="1701" w:right="1416" w:hanging="708"/>
        <w:rPr>
          <w:b/>
          <w:szCs w:val="22"/>
        </w:rPr>
      </w:pPr>
      <w:r>
        <w:rPr>
          <w:b/>
        </w:rPr>
        <w:t>D.</w:t>
      </w:r>
      <w:r>
        <w:rPr>
          <w:b/>
        </w:rPr>
        <w:tab/>
      </w:r>
      <w:r>
        <w:rPr>
          <w:b/>
          <w:caps/>
        </w:rPr>
        <w:t>CONDITIONS OU RESTRICTIONS EN VUE D’UNE UTILISATION SÛRE ET EFFICACE DU MÉDICAMENT</w:t>
      </w:r>
    </w:p>
    <w:p w14:paraId="0E1A5779" w14:textId="77777777" w:rsidR="009B5C19" w:rsidRPr="00B56D2F" w:rsidRDefault="009B5C19" w:rsidP="00204AAB">
      <w:pPr>
        <w:spacing w:line="240" w:lineRule="auto"/>
        <w:ind w:right="1416"/>
        <w:rPr>
          <w:b/>
          <w:szCs w:val="22"/>
        </w:rPr>
      </w:pPr>
    </w:p>
    <w:p w14:paraId="239A7BD3" w14:textId="77777777" w:rsidR="009B5C19" w:rsidRPr="00B56D2F" w:rsidRDefault="009B5C19" w:rsidP="00204AAB">
      <w:pPr>
        <w:spacing w:line="240" w:lineRule="auto"/>
        <w:ind w:left="1701" w:right="1416" w:hanging="708"/>
        <w:rPr>
          <w:b/>
          <w:szCs w:val="22"/>
        </w:rPr>
      </w:pPr>
      <w:r>
        <w:rPr>
          <w:b/>
        </w:rPr>
        <w:t>E.</w:t>
      </w:r>
      <w:r>
        <w:rPr>
          <w:b/>
        </w:rPr>
        <w:tab/>
        <w:t>OBLIGATION SPÉCIFIQUE RELATIVE AUX MESURES POST-AUTORISATION CONCERNANT L’AUTORISATION DE MISE SUR LE MARCHÉ CONDITIONNELLE</w:t>
      </w:r>
    </w:p>
    <w:p w14:paraId="788D1056" w14:textId="77777777" w:rsidR="00812D16" w:rsidRPr="00B56D2F" w:rsidRDefault="00812D16" w:rsidP="00BB6674">
      <w:pPr>
        <w:pStyle w:val="Heading1"/>
        <w:ind w:left="567" w:hanging="567"/>
        <w:rPr>
          <w:noProof/>
          <w:szCs w:val="22"/>
        </w:rPr>
      </w:pPr>
      <w:r>
        <w:br w:type="page"/>
      </w:r>
      <w:r>
        <w:lastRenderedPageBreak/>
        <w:t>A.</w:t>
      </w:r>
      <w:r>
        <w:tab/>
        <w:t>FABRICANT DE LA SUBSTANCE ACTIVE D’ORIGINE BIOLOGIQUE ET FABRICANT RESPONSABLE DE LA LIBÉRATION DES LOTS</w:t>
      </w:r>
    </w:p>
    <w:p w14:paraId="56B8A668" w14:textId="77777777" w:rsidR="00812D16" w:rsidRPr="00B56D2F" w:rsidRDefault="00812D16" w:rsidP="00204AAB">
      <w:pPr>
        <w:spacing w:line="240" w:lineRule="auto"/>
        <w:ind w:right="1416"/>
        <w:rPr>
          <w:noProof/>
          <w:szCs w:val="22"/>
        </w:rPr>
      </w:pPr>
    </w:p>
    <w:p w14:paraId="04D4C4AB" w14:textId="77777777" w:rsidR="00812D16" w:rsidRPr="00B56D2F" w:rsidRDefault="00812D16" w:rsidP="002564E9">
      <w:pPr>
        <w:spacing w:line="240" w:lineRule="auto"/>
        <w:rPr>
          <w:noProof/>
          <w:szCs w:val="22"/>
          <w:u w:val="single"/>
        </w:rPr>
      </w:pPr>
      <w:r>
        <w:rPr>
          <w:u w:val="single"/>
        </w:rPr>
        <w:t>Nom et adresse du fabricant de la substance active d’origine biologique</w:t>
      </w:r>
    </w:p>
    <w:p w14:paraId="71898246" w14:textId="77777777" w:rsidR="001735A3" w:rsidRPr="00B56D2F" w:rsidRDefault="001735A3" w:rsidP="002564E9">
      <w:pPr>
        <w:spacing w:line="240" w:lineRule="auto"/>
        <w:rPr>
          <w:noProof/>
          <w:szCs w:val="22"/>
        </w:rPr>
      </w:pPr>
    </w:p>
    <w:p w14:paraId="4357B370" w14:textId="77777777" w:rsidR="00250AB3" w:rsidRPr="009B5551" w:rsidRDefault="00250AB3" w:rsidP="00250AB3">
      <w:pPr>
        <w:keepNext/>
        <w:rPr>
          <w:szCs w:val="22"/>
          <w:lang w:val="en-GB"/>
        </w:rPr>
      </w:pPr>
      <w:r w:rsidRPr="009B5551">
        <w:rPr>
          <w:lang w:val="en-GB"/>
        </w:rPr>
        <w:t xml:space="preserve">Wyeth BioPharma </w:t>
      </w:r>
    </w:p>
    <w:p w14:paraId="168B9AD8" w14:textId="77777777" w:rsidR="00250AB3" w:rsidRPr="009B5551" w:rsidRDefault="00250AB3" w:rsidP="00250AB3">
      <w:pPr>
        <w:keepNext/>
        <w:rPr>
          <w:lang w:val="en-GB"/>
        </w:rPr>
      </w:pPr>
      <w:r w:rsidRPr="009B5551">
        <w:rPr>
          <w:lang w:val="en-GB"/>
        </w:rPr>
        <w:t>Division of Wyeth Pharmaceuticals LLC</w:t>
      </w:r>
      <w:r w:rsidRPr="009B5551">
        <w:rPr>
          <w:lang w:val="en-GB"/>
        </w:rPr>
        <w:br/>
        <w:t>One Burtt Road</w:t>
      </w:r>
      <w:r w:rsidRPr="009B5551">
        <w:rPr>
          <w:lang w:val="en-GB"/>
        </w:rPr>
        <w:br/>
        <w:t xml:space="preserve">Andover, MA 01810  </w:t>
      </w:r>
    </w:p>
    <w:p w14:paraId="04C00B11" w14:textId="59C8BE1B" w:rsidR="00041057" w:rsidRPr="00B56D2F" w:rsidRDefault="00250AB3" w:rsidP="00250AB3">
      <w:pPr>
        <w:spacing w:line="240" w:lineRule="auto"/>
        <w:rPr>
          <w:szCs w:val="22"/>
        </w:rPr>
      </w:pPr>
      <w:r>
        <w:t>É</w:t>
      </w:r>
      <w:r w:rsidR="00B31A79">
        <w:t>tats-Unis</w:t>
      </w:r>
    </w:p>
    <w:p w14:paraId="5675404D" w14:textId="77777777" w:rsidR="00250AB3" w:rsidRPr="00B56D2F" w:rsidRDefault="00250AB3" w:rsidP="00250AB3">
      <w:pPr>
        <w:spacing w:line="240" w:lineRule="auto"/>
        <w:rPr>
          <w:noProof/>
          <w:szCs w:val="22"/>
        </w:rPr>
      </w:pPr>
    </w:p>
    <w:p w14:paraId="6B309B7E" w14:textId="77777777" w:rsidR="00812D16" w:rsidRPr="002564E9" w:rsidRDefault="00812D16" w:rsidP="002564E9">
      <w:pPr>
        <w:spacing w:line="240" w:lineRule="auto"/>
        <w:rPr>
          <w:u w:val="single"/>
        </w:rPr>
      </w:pPr>
      <w:r>
        <w:rPr>
          <w:u w:val="single"/>
        </w:rPr>
        <w:t>Nom et adresse du fabricant responsable de la libération des lots</w:t>
      </w:r>
    </w:p>
    <w:p w14:paraId="42CA2297" w14:textId="77777777" w:rsidR="00ED3C6E" w:rsidRPr="00B56D2F" w:rsidRDefault="00ED3C6E" w:rsidP="00ED3C6E">
      <w:pPr>
        <w:spacing w:line="240" w:lineRule="auto"/>
        <w:rPr>
          <w:noProof/>
          <w:szCs w:val="22"/>
        </w:rPr>
      </w:pPr>
    </w:p>
    <w:p w14:paraId="5F9DD165" w14:textId="77777777" w:rsidR="00ED3C6E" w:rsidRPr="00A10D5D" w:rsidRDefault="00ED3C6E" w:rsidP="00ED3C6E">
      <w:pPr>
        <w:pStyle w:val="BodytextAgency"/>
        <w:spacing w:after="0" w:line="240" w:lineRule="auto"/>
        <w:rPr>
          <w:rFonts w:ascii="Times New Roman" w:hAnsi="Times New Roman" w:cs="Times New Roman"/>
          <w:sz w:val="22"/>
          <w:szCs w:val="22"/>
          <w:lang w:val="en-GB"/>
        </w:rPr>
      </w:pPr>
      <w:r w:rsidRPr="00A10D5D">
        <w:rPr>
          <w:rFonts w:ascii="Times New Roman" w:hAnsi="Times New Roman"/>
          <w:sz w:val="22"/>
          <w:lang w:val="en-GB"/>
        </w:rPr>
        <w:t xml:space="preserve">Pfizer Service Company BV </w:t>
      </w:r>
    </w:p>
    <w:p w14:paraId="7B8F6ADD" w14:textId="77777777" w:rsidR="00E65B53" w:rsidRPr="00B56D2F" w:rsidRDefault="00E65B53" w:rsidP="00E65B53">
      <w:pPr>
        <w:pStyle w:val="BodytextAgency"/>
        <w:spacing w:after="0" w:line="240" w:lineRule="auto"/>
        <w:rPr>
          <w:ins w:id="18" w:author="Pfizer-MR" w:date="2025-07-28T13:21:00Z" w16du:dateUtc="2025-07-28T09:21:00Z"/>
          <w:rFonts w:ascii="Times New Roman" w:hAnsi="Times New Roman" w:cs="Times New Roman"/>
          <w:sz w:val="22"/>
          <w:szCs w:val="22"/>
        </w:rPr>
      </w:pPr>
      <w:bookmarkStart w:id="19" w:name="_Hlk204598217"/>
      <w:ins w:id="20" w:author="Pfizer-MR" w:date="2025-07-28T13:21:00Z" w16du:dateUtc="2025-07-28T09:21:00Z">
        <w:r w:rsidRPr="00821514">
          <w:rPr>
            <w:rFonts w:ascii="Times New Roman" w:hAnsi="Times New Roman" w:cs="Times New Roman"/>
            <w:sz w:val="22"/>
            <w:szCs w:val="22"/>
          </w:rPr>
          <w:t>Hermeslaan 11</w:t>
        </w:r>
      </w:ins>
    </w:p>
    <w:bookmarkEnd w:id="19"/>
    <w:p w14:paraId="44770807" w14:textId="6AE202B9" w:rsidR="00ED3C6E" w:rsidRPr="00A10D5D" w:rsidDel="00E65B53" w:rsidRDefault="00ED3C6E" w:rsidP="00ED3C6E">
      <w:pPr>
        <w:pStyle w:val="BodytextAgency"/>
        <w:spacing w:after="0" w:line="240" w:lineRule="auto"/>
        <w:rPr>
          <w:del w:id="21" w:author="Pfizer-MR" w:date="2025-07-28T13:21:00Z" w16du:dateUtc="2025-07-28T09:21:00Z"/>
          <w:rFonts w:ascii="Times New Roman" w:hAnsi="Times New Roman" w:cs="Times New Roman"/>
          <w:sz w:val="22"/>
          <w:szCs w:val="22"/>
          <w:lang w:val="en-GB"/>
        </w:rPr>
      </w:pPr>
      <w:del w:id="22" w:author="Pfizer-MR" w:date="2025-07-28T13:21:00Z" w16du:dateUtc="2025-07-28T09:21:00Z">
        <w:r w:rsidRPr="00A10D5D" w:rsidDel="00E65B53">
          <w:rPr>
            <w:rFonts w:ascii="Times New Roman" w:hAnsi="Times New Roman"/>
            <w:sz w:val="22"/>
            <w:lang w:val="en-GB"/>
          </w:rPr>
          <w:delText xml:space="preserve">10 Hoge Wei </w:delText>
        </w:r>
      </w:del>
    </w:p>
    <w:p w14:paraId="257BC372" w14:textId="0013CA87"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193</w:t>
      </w:r>
      <w:del w:id="23" w:author="Pfizer-MR" w:date="2025-07-28T13:21:00Z" w16du:dateUtc="2025-07-28T09:21:00Z">
        <w:r w:rsidDel="00E65B53">
          <w:rPr>
            <w:rFonts w:ascii="Times New Roman" w:hAnsi="Times New Roman"/>
            <w:sz w:val="22"/>
          </w:rPr>
          <w:delText>0</w:delText>
        </w:r>
      </w:del>
      <w:ins w:id="24" w:author="Pfizer-MR" w:date="2025-07-28T13:21:00Z" w16du:dateUtc="2025-07-28T09:21:00Z">
        <w:r w:rsidR="00E65B53">
          <w:rPr>
            <w:rFonts w:ascii="Times New Roman" w:hAnsi="Times New Roman"/>
            <w:sz w:val="22"/>
          </w:rPr>
          <w:t>2</w:t>
        </w:r>
      </w:ins>
      <w:r>
        <w:rPr>
          <w:rFonts w:ascii="Times New Roman" w:hAnsi="Times New Roman"/>
          <w:sz w:val="22"/>
        </w:rPr>
        <w:t xml:space="preserve"> Zaventem </w:t>
      </w:r>
    </w:p>
    <w:p w14:paraId="1805AA28" w14:textId="77777777" w:rsidR="00ED3C6E" w:rsidRPr="00B56D2F" w:rsidRDefault="00ED3C6E" w:rsidP="00ED3C6E">
      <w:pPr>
        <w:spacing w:line="240" w:lineRule="auto"/>
        <w:rPr>
          <w:noProof/>
          <w:szCs w:val="22"/>
        </w:rPr>
      </w:pPr>
      <w:r>
        <w:t>Belgique</w:t>
      </w:r>
    </w:p>
    <w:p w14:paraId="2C5D8DC9" w14:textId="77777777" w:rsidR="00812D16" w:rsidRPr="00B56D2F" w:rsidRDefault="00812D16" w:rsidP="00204AAB">
      <w:pPr>
        <w:spacing w:line="240" w:lineRule="auto"/>
      </w:pPr>
    </w:p>
    <w:p w14:paraId="1C1515EA" w14:textId="77777777" w:rsidR="28790843" w:rsidRDefault="28790843" w:rsidP="28790843">
      <w:pPr>
        <w:spacing w:line="240" w:lineRule="auto"/>
        <w:rPr>
          <w:noProof/>
        </w:rPr>
      </w:pPr>
    </w:p>
    <w:p w14:paraId="6FF666D4" w14:textId="77777777" w:rsidR="00A73A74" w:rsidRPr="00BB6674" w:rsidRDefault="00812D16" w:rsidP="00BB6674">
      <w:pPr>
        <w:pStyle w:val="Heading1"/>
        <w:ind w:left="567" w:hanging="567"/>
      </w:pPr>
      <w:bookmarkStart w:id="25" w:name="OLE_LINK2"/>
      <w:r>
        <w:t>B.</w:t>
      </w:r>
      <w:bookmarkEnd w:id="25"/>
      <w:r>
        <w:tab/>
        <w:t xml:space="preserve">CONDITIONS OU RESTRICTIONS DE DÉLIVRANCE ET D’UTILISATION </w:t>
      </w:r>
    </w:p>
    <w:p w14:paraId="5AD3D564" w14:textId="77777777" w:rsidR="00812D16" w:rsidRPr="00B56D2F" w:rsidRDefault="00812D16" w:rsidP="00204AAB">
      <w:pPr>
        <w:spacing w:line="240" w:lineRule="auto"/>
        <w:rPr>
          <w:noProof/>
          <w:szCs w:val="22"/>
        </w:rPr>
      </w:pPr>
    </w:p>
    <w:p w14:paraId="0BAE3945" w14:textId="77777777" w:rsidR="00812D16" w:rsidRPr="00B56D2F" w:rsidRDefault="00812D16" w:rsidP="00204AAB">
      <w:pPr>
        <w:numPr>
          <w:ilvl w:val="12"/>
          <w:numId w:val="0"/>
        </w:numPr>
        <w:spacing w:line="240" w:lineRule="auto"/>
        <w:rPr>
          <w:noProof/>
          <w:szCs w:val="22"/>
        </w:rPr>
      </w:pPr>
      <w:r>
        <w:t>Médicament soumis à prescription médicale restreinte (voir annexe I : Résumé des Caractéristiques du Produit, rubrique 4.2).</w:t>
      </w:r>
    </w:p>
    <w:p w14:paraId="35D7BAAC" w14:textId="77777777" w:rsidR="00812D16" w:rsidRPr="00B56D2F" w:rsidRDefault="00812D16" w:rsidP="00204AAB">
      <w:pPr>
        <w:numPr>
          <w:ilvl w:val="12"/>
          <w:numId w:val="0"/>
        </w:numPr>
        <w:spacing w:line="240" w:lineRule="auto"/>
        <w:rPr>
          <w:noProof/>
          <w:szCs w:val="22"/>
        </w:rPr>
      </w:pPr>
    </w:p>
    <w:p w14:paraId="30213193" w14:textId="77777777" w:rsidR="00C97C7F" w:rsidRPr="00B56D2F" w:rsidRDefault="00C97C7F" w:rsidP="00204AAB">
      <w:pPr>
        <w:numPr>
          <w:ilvl w:val="12"/>
          <w:numId w:val="0"/>
        </w:numPr>
        <w:spacing w:line="240" w:lineRule="auto"/>
        <w:rPr>
          <w:noProof/>
          <w:szCs w:val="22"/>
        </w:rPr>
      </w:pPr>
    </w:p>
    <w:p w14:paraId="0477AD1F" w14:textId="77777777" w:rsidR="00812D16" w:rsidRPr="00BB6674" w:rsidRDefault="00A73A74" w:rsidP="00BB6674">
      <w:pPr>
        <w:pStyle w:val="Heading1"/>
        <w:ind w:left="567" w:hanging="567"/>
      </w:pPr>
      <w:r>
        <w:t>C.</w:t>
      </w:r>
      <w:r>
        <w:tab/>
        <w:t>AUTRES CONDITIONS ET OBLIGATIONS DE L’AUTORISATION DE MISE SUR LE MARCHÉ</w:t>
      </w:r>
    </w:p>
    <w:p w14:paraId="7E393422" w14:textId="77777777" w:rsidR="009B5C19" w:rsidRPr="00761EB7" w:rsidRDefault="009B5C19" w:rsidP="00204AAB">
      <w:pPr>
        <w:spacing w:line="240" w:lineRule="auto"/>
        <w:ind w:right="-1"/>
        <w:rPr>
          <w:iCs/>
          <w:noProof/>
          <w:szCs w:val="22"/>
          <w:u w:val="single"/>
        </w:rPr>
      </w:pPr>
    </w:p>
    <w:p w14:paraId="7391ED31" w14:textId="77777777" w:rsidR="00E72D8A" w:rsidRPr="008929AA" w:rsidRDefault="00E72D8A" w:rsidP="00E72D8A">
      <w:pPr>
        <w:numPr>
          <w:ilvl w:val="0"/>
          <w:numId w:val="2"/>
        </w:numPr>
        <w:spacing w:line="240" w:lineRule="auto"/>
        <w:ind w:right="-1" w:hanging="720"/>
        <w:rPr>
          <w:b/>
          <w:szCs w:val="22"/>
        </w:rPr>
      </w:pPr>
      <w:r>
        <w:rPr>
          <w:b/>
        </w:rPr>
        <w:t>Rapports périodiques actualisés de sécurité (PSURs)</w:t>
      </w:r>
    </w:p>
    <w:p w14:paraId="40455FEB" w14:textId="77777777" w:rsidR="00E72D8A" w:rsidRDefault="00E72D8A" w:rsidP="00E72D8A">
      <w:pPr>
        <w:tabs>
          <w:tab w:val="left" w:pos="0"/>
        </w:tabs>
        <w:spacing w:line="240" w:lineRule="auto"/>
        <w:ind w:right="567"/>
        <w:rPr>
          <w:iCs/>
          <w:szCs w:val="22"/>
        </w:rPr>
      </w:pPr>
    </w:p>
    <w:p w14:paraId="407DA299" w14:textId="77777777" w:rsidR="00E72D8A" w:rsidRPr="003626AF" w:rsidRDefault="00E72D8A" w:rsidP="00E72D8A">
      <w:pPr>
        <w:tabs>
          <w:tab w:val="left" w:pos="0"/>
        </w:tabs>
        <w:spacing w:line="240" w:lineRule="auto"/>
        <w:ind w:right="567"/>
        <w:rPr>
          <w:iCs/>
          <w:szCs w:val="22"/>
        </w:rPr>
      </w:pPr>
      <w: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2ED39476" w14:textId="77777777" w:rsidR="00E72D8A" w:rsidRPr="003626AF" w:rsidRDefault="00E72D8A" w:rsidP="00E72D8A">
      <w:pPr>
        <w:tabs>
          <w:tab w:val="left" w:pos="0"/>
        </w:tabs>
        <w:spacing w:line="240" w:lineRule="auto"/>
        <w:ind w:right="567"/>
        <w:rPr>
          <w:iCs/>
          <w:szCs w:val="22"/>
        </w:rPr>
      </w:pPr>
    </w:p>
    <w:p w14:paraId="05F33449" w14:textId="77777777" w:rsidR="00E72D8A" w:rsidRPr="008225EB" w:rsidRDefault="00E72D8A" w:rsidP="00E72D8A">
      <w:pPr>
        <w:spacing w:line="240" w:lineRule="auto"/>
        <w:rPr>
          <w:iCs/>
          <w:szCs w:val="22"/>
        </w:rPr>
      </w:pPr>
      <w:r>
        <w:t xml:space="preserve">Le titulaire soumet le premier PSUR pour ce médicament dans un délai de 6 mois suivant l’autorisation. </w:t>
      </w:r>
    </w:p>
    <w:p w14:paraId="5E297796" w14:textId="77777777" w:rsidR="00910624" w:rsidRPr="00761EB7" w:rsidRDefault="00910624" w:rsidP="00204AAB">
      <w:pPr>
        <w:spacing w:line="240" w:lineRule="auto"/>
        <w:ind w:right="-1"/>
        <w:rPr>
          <w:iCs/>
          <w:noProof/>
          <w:szCs w:val="22"/>
          <w:u w:val="single"/>
        </w:rPr>
      </w:pPr>
    </w:p>
    <w:p w14:paraId="77DD8FA1" w14:textId="77777777" w:rsidR="00910624" w:rsidRPr="00761EB7" w:rsidRDefault="00910624" w:rsidP="00204AAB">
      <w:pPr>
        <w:spacing w:line="240" w:lineRule="auto"/>
        <w:ind w:right="-1"/>
        <w:rPr>
          <w:szCs w:val="22"/>
          <w:u w:val="single"/>
        </w:rPr>
      </w:pPr>
    </w:p>
    <w:p w14:paraId="09DC0109" w14:textId="77777777" w:rsidR="00910624" w:rsidRPr="00BB6674" w:rsidRDefault="00910624" w:rsidP="00BB6674">
      <w:pPr>
        <w:pStyle w:val="Heading1"/>
        <w:ind w:left="567" w:hanging="567"/>
      </w:pPr>
      <w:r>
        <w:t>D.</w:t>
      </w:r>
      <w:r>
        <w:tab/>
        <w:t xml:space="preserve">CONDITIONS OU RESTRICTIONS EN VUE D’UNE UTILISATION SÛRE ET EFFICACE DU MÉDICAMENT  </w:t>
      </w:r>
    </w:p>
    <w:p w14:paraId="58207F53" w14:textId="77777777" w:rsidR="00812D16" w:rsidRPr="00761EB7" w:rsidRDefault="00812D16" w:rsidP="00204AAB">
      <w:pPr>
        <w:spacing w:line="240" w:lineRule="auto"/>
        <w:ind w:right="-1"/>
        <w:rPr>
          <w:szCs w:val="22"/>
          <w:u w:val="single"/>
        </w:rPr>
      </w:pPr>
    </w:p>
    <w:p w14:paraId="71C170CF" w14:textId="77777777" w:rsidR="00812D16" w:rsidRPr="00761EB7" w:rsidRDefault="00812D16" w:rsidP="008E252D">
      <w:pPr>
        <w:numPr>
          <w:ilvl w:val="0"/>
          <w:numId w:val="2"/>
        </w:numPr>
        <w:spacing w:line="240" w:lineRule="auto"/>
        <w:ind w:right="-1" w:hanging="720"/>
        <w:rPr>
          <w:b/>
          <w:szCs w:val="22"/>
        </w:rPr>
      </w:pPr>
      <w:r>
        <w:rPr>
          <w:b/>
        </w:rPr>
        <w:t>Plan de gestion des risques (PGR)</w:t>
      </w:r>
    </w:p>
    <w:p w14:paraId="2511B75A" w14:textId="77777777" w:rsidR="00CB31DA" w:rsidRPr="00761EB7" w:rsidRDefault="00CB31DA" w:rsidP="00204AAB">
      <w:pPr>
        <w:spacing w:line="240" w:lineRule="auto"/>
        <w:ind w:left="720" w:right="-1"/>
        <w:rPr>
          <w:b/>
          <w:szCs w:val="22"/>
        </w:rPr>
      </w:pPr>
    </w:p>
    <w:p w14:paraId="33B3BECE" w14:textId="77777777" w:rsidR="00812D16" w:rsidRPr="00761EB7" w:rsidRDefault="00812D16" w:rsidP="00204AAB">
      <w:pPr>
        <w:tabs>
          <w:tab w:val="left" w:pos="0"/>
        </w:tabs>
        <w:spacing w:line="240" w:lineRule="auto"/>
        <w:ind w:right="567"/>
        <w:rPr>
          <w:noProof/>
          <w:szCs w:val="22"/>
        </w:rPr>
      </w:pPr>
      <w: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1ABA6C7" w14:textId="77777777" w:rsidR="00812D16" w:rsidRPr="00761EB7" w:rsidRDefault="00812D16" w:rsidP="00204AAB">
      <w:pPr>
        <w:spacing w:line="240" w:lineRule="auto"/>
        <w:ind w:right="-1"/>
        <w:rPr>
          <w:iCs/>
          <w:noProof/>
          <w:szCs w:val="22"/>
        </w:rPr>
      </w:pPr>
    </w:p>
    <w:p w14:paraId="0129CDC7" w14:textId="77777777" w:rsidR="00812D16" w:rsidRPr="00761EB7" w:rsidRDefault="007B31AB" w:rsidP="00204AAB">
      <w:pPr>
        <w:spacing w:line="240" w:lineRule="auto"/>
        <w:ind w:right="-1"/>
        <w:rPr>
          <w:iCs/>
          <w:noProof/>
          <w:szCs w:val="22"/>
        </w:rPr>
      </w:pPr>
      <w:r>
        <w:t>De plus, un PGR actualisé doit être soumis :</w:t>
      </w:r>
    </w:p>
    <w:p w14:paraId="3BC80896" w14:textId="77777777" w:rsidR="00660403" w:rsidRPr="00761EB7" w:rsidRDefault="00660403" w:rsidP="008E252D">
      <w:pPr>
        <w:numPr>
          <w:ilvl w:val="0"/>
          <w:numId w:val="1"/>
        </w:numPr>
        <w:spacing w:line="240" w:lineRule="auto"/>
        <w:ind w:right="-1"/>
        <w:rPr>
          <w:iCs/>
          <w:noProof/>
          <w:szCs w:val="22"/>
        </w:rPr>
      </w:pPr>
      <w:r>
        <w:t>à la demande de l’Agence européenne des médicaments ;</w:t>
      </w:r>
    </w:p>
    <w:p w14:paraId="03FE2C4D" w14:textId="77777777" w:rsidR="00812D16" w:rsidRPr="00761EB7" w:rsidRDefault="00812D16" w:rsidP="008E252D">
      <w:pPr>
        <w:numPr>
          <w:ilvl w:val="0"/>
          <w:numId w:val="1"/>
        </w:numPr>
        <w:tabs>
          <w:tab w:val="clear" w:pos="567"/>
          <w:tab w:val="clear" w:pos="720"/>
        </w:tabs>
        <w:spacing w:line="240" w:lineRule="auto"/>
        <w:ind w:left="567" w:right="-1" w:hanging="207"/>
        <w:rPr>
          <w:szCs w:val="22"/>
        </w:rPr>
      </w:pPr>
      <w: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8F641B1" w14:textId="77777777" w:rsidR="006B5B3A" w:rsidRPr="00761EB7" w:rsidRDefault="006B5B3A" w:rsidP="006B5B3A">
      <w:pPr>
        <w:spacing w:line="240" w:lineRule="auto"/>
        <w:ind w:right="-1"/>
        <w:rPr>
          <w:iCs/>
          <w:noProof/>
          <w:szCs w:val="22"/>
        </w:rPr>
      </w:pPr>
    </w:p>
    <w:p w14:paraId="2A42F43A" w14:textId="77777777" w:rsidR="006B5B3A" w:rsidRPr="00C9600D" w:rsidRDefault="006B5B3A" w:rsidP="006B5B3A">
      <w:pPr>
        <w:keepNext/>
        <w:numPr>
          <w:ilvl w:val="0"/>
          <w:numId w:val="2"/>
        </w:numPr>
        <w:spacing w:line="240" w:lineRule="auto"/>
        <w:ind w:hanging="720"/>
        <w:rPr>
          <w:iCs/>
          <w:noProof/>
          <w:szCs w:val="22"/>
        </w:rPr>
      </w:pPr>
      <w:r>
        <w:rPr>
          <w:b/>
        </w:rPr>
        <w:lastRenderedPageBreak/>
        <w:t xml:space="preserve">Mesures additionnelles de réduction du risque </w:t>
      </w:r>
    </w:p>
    <w:p w14:paraId="65A00F23" w14:textId="77777777" w:rsidR="006B5B3A" w:rsidRPr="00761EB7" w:rsidRDefault="006B5B3A" w:rsidP="006B5B3A">
      <w:pPr>
        <w:keepNext/>
        <w:spacing w:line="240" w:lineRule="auto"/>
        <w:rPr>
          <w:iCs/>
          <w:noProof/>
          <w:szCs w:val="22"/>
        </w:rPr>
      </w:pPr>
    </w:p>
    <w:p w14:paraId="4B73052C" w14:textId="10BECABC" w:rsidR="006B5B3A" w:rsidRPr="00C960E5" w:rsidRDefault="006B5B3A" w:rsidP="006B5B3A">
      <w:pPr>
        <w:rPr>
          <w:rFonts w:eastAsia="TimesNewRoman"/>
          <w:szCs w:val="22"/>
        </w:rPr>
      </w:pPr>
      <w:r>
        <w:t>Le titulaire de l’AMM veille à ce que, dans chaque État membre où ELREXFIO est commercialisé, tous les patients/soignants</w:t>
      </w:r>
      <w:r w:rsidR="002410BA">
        <w:t xml:space="preserve"> </w:t>
      </w:r>
      <w:r>
        <w:t xml:space="preserve">susceptibles d’utiliser l’elranatamab aient accès à la carte de surveillance du patient ou qu’ils la reçoivent. Cette carte informe les patients et leur explique les risques de </w:t>
      </w:r>
      <w:r w:rsidR="00DA4E59">
        <w:t>S</w:t>
      </w:r>
      <w:r w:rsidR="00CC6D99">
        <w:t>R</w:t>
      </w:r>
      <w:r w:rsidR="00DA4E59">
        <w:t>C</w:t>
      </w:r>
      <w:r>
        <w:t xml:space="preserve"> et de toxicités neurologiques, notamment l’ICANS. La carte de surveillance du patient comprend également un message d’avertissement destiné au professionnel de santé qui traite le patient, l’informant que ce dernier reçoit de l’elranatamab.</w:t>
      </w:r>
    </w:p>
    <w:p w14:paraId="169A582E" w14:textId="77777777" w:rsidR="006B5B3A" w:rsidRDefault="006B5B3A" w:rsidP="006B5B3A">
      <w:pPr>
        <w:rPr>
          <w:rFonts w:eastAsia="TimesNewRoman"/>
          <w:szCs w:val="22"/>
        </w:rPr>
      </w:pPr>
    </w:p>
    <w:p w14:paraId="3A35A578" w14:textId="77777777" w:rsidR="006B5B3A" w:rsidRPr="00927E79" w:rsidRDefault="006B5B3A" w:rsidP="006B5B3A">
      <w:pPr>
        <w:rPr>
          <w:rFonts w:eastAsia="TimesNewRoman"/>
          <w:szCs w:val="22"/>
        </w:rPr>
      </w:pPr>
      <w:r>
        <w:t>La carte de surveillance du patient contiendra les messages clés suivants :</w:t>
      </w:r>
    </w:p>
    <w:p w14:paraId="3719AE62" w14:textId="5D6C1A3A" w:rsidR="006B5B3A" w:rsidRPr="00C960E5" w:rsidRDefault="00595E50" w:rsidP="006B5B3A">
      <w:pPr>
        <w:pStyle w:val="ListParagraph"/>
        <w:numPr>
          <w:ilvl w:val="0"/>
          <w:numId w:val="2"/>
        </w:numPr>
        <w:rPr>
          <w:rFonts w:eastAsia="TimesNewRoman"/>
          <w:sz w:val="22"/>
          <w:szCs w:val="20"/>
        </w:rPr>
      </w:pPr>
      <w:r>
        <w:rPr>
          <w:sz w:val="22"/>
        </w:rPr>
        <w:t>u</w:t>
      </w:r>
      <w:r w:rsidR="006B5B3A">
        <w:rPr>
          <w:sz w:val="22"/>
        </w:rPr>
        <w:t xml:space="preserve">ne description des principaux signes et symptômes du </w:t>
      </w:r>
      <w:r w:rsidR="00DA4E59">
        <w:rPr>
          <w:sz w:val="22"/>
        </w:rPr>
        <w:t>S</w:t>
      </w:r>
      <w:r w:rsidR="00CC6D99">
        <w:rPr>
          <w:sz w:val="22"/>
        </w:rPr>
        <w:t>R</w:t>
      </w:r>
      <w:r w:rsidR="00DA4E59">
        <w:rPr>
          <w:sz w:val="22"/>
        </w:rPr>
        <w:t>C</w:t>
      </w:r>
      <w:r w:rsidR="006B5B3A">
        <w:rPr>
          <w:sz w:val="22"/>
        </w:rPr>
        <w:t xml:space="preserve"> et de l’ICANS</w:t>
      </w:r>
      <w:r>
        <w:rPr>
          <w:sz w:val="22"/>
        </w:rPr>
        <w:t> ;</w:t>
      </w:r>
    </w:p>
    <w:p w14:paraId="6F43AB82" w14:textId="6CC2BC3B" w:rsidR="006B5B3A" w:rsidRPr="00C960E5" w:rsidRDefault="00595E50" w:rsidP="006B5B3A">
      <w:pPr>
        <w:pStyle w:val="ListParagraph"/>
        <w:numPr>
          <w:ilvl w:val="0"/>
          <w:numId w:val="2"/>
        </w:numPr>
        <w:rPr>
          <w:rFonts w:eastAsia="TimesNewRoman"/>
          <w:sz w:val="22"/>
          <w:szCs w:val="20"/>
        </w:rPr>
      </w:pPr>
      <w:r>
        <w:rPr>
          <w:sz w:val="22"/>
        </w:rPr>
        <w:t>l</w:t>
      </w:r>
      <w:r w:rsidR="006B5B3A">
        <w:rPr>
          <w:sz w:val="22"/>
        </w:rPr>
        <w:t xml:space="preserve">e rappel qu’ils doivent rester à proximité d’un établissement de </w:t>
      </w:r>
      <w:r w:rsidR="000B1BED">
        <w:rPr>
          <w:sz w:val="22"/>
        </w:rPr>
        <w:t xml:space="preserve">santé </w:t>
      </w:r>
      <w:r w:rsidR="006B5B3A">
        <w:rPr>
          <w:sz w:val="22"/>
        </w:rPr>
        <w:t>et faire l’objet d’une surveillance quotidienne en vue de détecter tout signe et symptôme pendant 48 heures après l’administration des deux premières</w:t>
      </w:r>
      <w:r w:rsidR="0072684B">
        <w:rPr>
          <w:sz w:val="22"/>
        </w:rPr>
        <w:t xml:space="preserve"> escalade de dose</w:t>
      </w:r>
      <w:r>
        <w:rPr>
          <w:sz w:val="22"/>
        </w:rPr>
        <w:t> ;</w:t>
      </w:r>
    </w:p>
    <w:p w14:paraId="12178620" w14:textId="366C798C" w:rsidR="006B5B3A" w:rsidRPr="00C960E5" w:rsidRDefault="00595E50" w:rsidP="006B5B3A">
      <w:pPr>
        <w:pStyle w:val="ListParagraph"/>
        <w:numPr>
          <w:ilvl w:val="0"/>
          <w:numId w:val="2"/>
        </w:numPr>
        <w:tabs>
          <w:tab w:val="clear" w:pos="720"/>
        </w:tabs>
        <w:rPr>
          <w:rFonts w:eastAsia="TimesNewRoman"/>
          <w:sz w:val="22"/>
          <w:szCs w:val="22"/>
        </w:rPr>
      </w:pPr>
      <w:r>
        <w:rPr>
          <w:sz w:val="22"/>
        </w:rPr>
        <w:t>u</w:t>
      </w:r>
      <w:r w:rsidR="006B5B3A">
        <w:rPr>
          <w:sz w:val="22"/>
        </w:rPr>
        <w:t xml:space="preserve">ne description du moment où il convient de consulter d’urgence le professionnel de santé ou demander une aide d’urgence, si des signes et symptômes de </w:t>
      </w:r>
      <w:r w:rsidR="00DA4E59">
        <w:rPr>
          <w:sz w:val="22"/>
        </w:rPr>
        <w:t>S</w:t>
      </w:r>
      <w:r w:rsidR="00CC6D99">
        <w:rPr>
          <w:sz w:val="22"/>
        </w:rPr>
        <w:t>R</w:t>
      </w:r>
      <w:r w:rsidR="00DA4E59">
        <w:rPr>
          <w:sz w:val="22"/>
        </w:rPr>
        <w:t>C</w:t>
      </w:r>
      <w:r w:rsidR="006B5B3A">
        <w:rPr>
          <w:sz w:val="22"/>
        </w:rPr>
        <w:t xml:space="preserve"> ou d’ICANS surviennent</w:t>
      </w:r>
      <w:r>
        <w:rPr>
          <w:sz w:val="22"/>
        </w:rPr>
        <w:t> ;</w:t>
      </w:r>
    </w:p>
    <w:p w14:paraId="2B8142AF" w14:textId="0DFB1FA0" w:rsidR="006B5B3A" w:rsidRPr="00C960E5" w:rsidRDefault="00595E50" w:rsidP="006B5B3A">
      <w:pPr>
        <w:pStyle w:val="ListParagraph"/>
        <w:numPr>
          <w:ilvl w:val="0"/>
          <w:numId w:val="2"/>
        </w:numPr>
        <w:ind w:right="-1"/>
        <w:rPr>
          <w:iCs/>
          <w:noProof/>
          <w:sz w:val="22"/>
          <w:szCs w:val="20"/>
        </w:rPr>
      </w:pPr>
      <w:r>
        <w:rPr>
          <w:sz w:val="22"/>
        </w:rPr>
        <w:t xml:space="preserve">les </w:t>
      </w:r>
      <w:r w:rsidR="006B5B3A">
        <w:rPr>
          <w:sz w:val="22"/>
        </w:rPr>
        <w:t>coordonnées du médecin prescripteur</w:t>
      </w:r>
      <w:r>
        <w:rPr>
          <w:sz w:val="22"/>
        </w:rPr>
        <w:t>.</w:t>
      </w:r>
    </w:p>
    <w:p w14:paraId="18E7EAE0" w14:textId="77777777" w:rsidR="0021781F" w:rsidRPr="00761EB7" w:rsidRDefault="0021781F" w:rsidP="0021781F">
      <w:pPr>
        <w:spacing w:line="240" w:lineRule="auto"/>
        <w:ind w:right="-1"/>
        <w:rPr>
          <w:iCs/>
          <w:noProof/>
          <w:szCs w:val="22"/>
        </w:rPr>
      </w:pPr>
    </w:p>
    <w:p w14:paraId="142A48CD" w14:textId="77777777" w:rsidR="00C179B0" w:rsidRPr="00761EB7" w:rsidRDefault="00C179B0" w:rsidP="00204AAB">
      <w:pPr>
        <w:pStyle w:val="NormalAgency"/>
        <w:rPr>
          <w:rFonts w:ascii="Times New Roman" w:hAnsi="Times New Roman" w:cs="Times New Roman"/>
          <w:noProof/>
          <w:sz w:val="22"/>
          <w:szCs w:val="22"/>
        </w:rPr>
      </w:pPr>
    </w:p>
    <w:p w14:paraId="3537A781" w14:textId="77777777" w:rsidR="00C179B0" w:rsidRPr="00BB6674" w:rsidRDefault="00CB31DA" w:rsidP="00BB6674">
      <w:pPr>
        <w:pStyle w:val="Heading1"/>
        <w:ind w:left="567" w:hanging="567"/>
      </w:pPr>
      <w:r>
        <w:t>E.</w:t>
      </w:r>
      <w:r>
        <w:tab/>
        <w:t>OBLIGATION SPÉCIFIQUE RELATIVE AUX MESURES POST-AUTORISATION CONCERNANT L’AUTORISATION DE MISE SUR LE MARCHÉ CONDITIONNELLE</w:t>
      </w:r>
    </w:p>
    <w:p w14:paraId="3321E132" w14:textId="77777777" w:rsidR="00C179B0" w:rsidRPr="00761EB7" w:rsidRDefault="00C179B0" w:rsidP="00204AAB">
      <w:pPr>
        <w:spacing w:line="240" w:lineRule="auto"/>
        <w:ind w:right="-1"/>
        <w:rPr>
          <w:b/>
          <w:noProof/>
          <w:szCs w:val="22"/>
        </w:rPr>
      </w:pPr>
    </w:p>
    <w:p w14:paraId="35C91321" w14:textId="61AED0FE" w:rsidR="00C179B0" w:rsidRPr="00761EB7" w:rsidRDefault="00C179B0" w:rsidP="00204AAB">
      <w:pPr>
        <w:spacing w:line="240" w:lineRule="auto"/>
        <w:ind w:right="-1"/>
        <w:rPr>
          <w:iCs/>
          <w:noProof/>
          <w:szCs w:val="22"/>
        </w:rPr>
      </w:pPr>
      <w:r>
        <w:t>Une autorisation de mise sur le marché « conditionnelle » ayant été accordée, et conformément à l’article 14-</w:t>
      </w:r>
      <w:r w:rsidR="005A4259">
        <w:t>a</w:t>
      </w:r>
      <w:r w:rsidR="008447FB">
        <w:t xml:space="preserve"> </w:t>
      </w:r>
      <w:r>
        <w:t>du règlement (CE) n° 726/2004, le titulaire de l’autorisation de mise sur le marché doit mener à son terme, selon le calendrier indiqué, les mesures suivantes :</w:t>
      </w:r>
    </w:p>
    <w:p w14:paraId="7DEFBC44" w14:textId="77777777" w:rsidR="00C179B0" w:rsidRPr="00761EB7"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61EB7" w14:paraId="03DCD35E"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1167064" w14:textId="77777777" w:rsidR="00C179B0" w:rsidRPr="00761EB7" w:rsidRDefault="00C179B0" w:rsidP="00204AAB">
            <w:pPr>
              <w:spacing w:line="240" w:lineRule="auto"/>
              <w:ind w:right="-1"/>
              <w:rPr>
                <w:b/>
                <w:noProof/>
                <w:szCs w:val="22"/>
              </w:rPr>
            </w:pPr>
            <w:r>
              <w:rPr>
                <w:b/>
              </w:rPr>
              <w:t>Description</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04E2978E" w14:textId="77777777" w:rsidR="00C179B0" w:rsidRPr="00761EB7" w:rsidRDefault="00C179B0" w:rsidP="00204AAB">
            <w:pPr>
              <w:spacing w:line="240" w:lineRule="auto"/>
              <w:ind w:right="-1"/>
              <w:rPr>
                <w:b/>
                <w:noProof/>
                <w:szCs w:val="22"/>
              </w:rPr>
            </w:pPr>
            <w:r>
              <w:rPr>
                <w:b/>
              </w:rPr>
              <w:t>Date</w:t>
            </w:r>
          </w:p>
        </w:tc>
      </w:tr>
      <w:tr w:rsidR="006F460B" w:rsidRPr="00761EB7" w14:paraId="7D213879" w14:textId="77777777" w:rsidTr="00BA121C">
        <w:tc>
          <w:tcPr>
            <w:tcW w:w="4042" w:type="pct"/>
            <w:shd w:val="clear" w:color="auto" w:fill="auto"/>
          </w:tcPr>
          <w:p w14:paraId="6C4B8B5F" w14:textId="3C16BA71" w:rsidR="001A0A5D" w:rsidRPr="00761EB7" w:rsidRDefault="00F7688B" w:rsidP="00485CBF">
            <w:pPr>
              <w:pStyle w:val="TabletextrowsAgency"/>
              <w:spacing w:line="240" w:lineRule="auto"/>
              <w:rPr>
                <w:rFonts w:ascii="Times New Roman" w:hAnsi="Times New Roman" w:cs="Times New Roman"/>
                <w:sz w:val="22"/>
                <w:szCs w:val="22"/>
              </w:rPr>
            </w:pPr>
            <w:r>
              <w:rPr>
                <w:rFonts w:ascii="Times New Roman" w:hAnsi="Times New Roman"/>
                <w:sz w:val="22"/>
              </w:rPr>
              <w:t xml:space="preserve">Afin de confirmer l’efficacité et la sécurité de l’elranatamab en monothérapie </w:t>
            </w:r>
            <w:r w:rsidR="00906440">
              <w:rPr>
                <w:rFonts w:ascii="Times New Roman" w:hAnsi="Times New Roman"/>
                <w:sz w:val="22"/>
              </w:rPr>
              <w:t xml:space="preserve">indiqué </w:t>
            </w:r>
            <w:r>
              <w:rPr>
                <w:rFonts w:ascii="Times New Roman" w:hAnsi="Times New Roman"/>
                <w:sz w:val="22"/>
              </w:rPr>
              <w:t>pour le traitement des patients adultes atteints de myélome multiple en rechute et réfractaire, ayant reçu au moins trois traitements antérieurs, notamment un agent immunomodulateur, un inhibiteur du protéasome et un anticorps anti-CD38, et dont la maladie a progressé après le dernier</w:t>
            </w:r>
            <w:r w:rsidR="00485CBF">
              <w:rPr>
                <w:rFonts w:ascii="Times New Roman" w:hAnsi="Times New Roman"/>
                <w:sz w:val="22"/>
              </w:rPr>
              <w:t xml:space="preserve"> </w:t>
            </w:r>
            <w:r>
              <w:rPr>
                <w:rFonts w:ascii="Times New Roman" w:hAnsi="Times New Roman"/>
                <w:sz w:val="22"/>
              </w:rPr>
              <w:t xml:space="preserve">traitement, le titulaire de l’AMM soumettra les résultats de l’étude C1071005, une étude randomisée de phase III portant sur l’elranatamab en monothérapie et l’elranatamab + daratumumab par rapport au daratumumab + pomalidomide + dexaméthasone chez des participants atteints d’un myélome multiple en rechute/réfractaire ayant reçu au moins une ligne de traitement antérieure comprenant </w:t>
            </w:r>
            <w:r w:rsidRPr="008447FB">
              <w:rPr>
                <w:rFonts w:ascii="Times New Roman" w:hAnsi="Times New Roman"/>
                <w:sz w:val="22"/>
              </w:rPr>
              <w:t>le lénali</w:t>
            </w:r>
            <w:r w:rsidR="003B26DD" w:rsidRPr="008447FB">
              <w:rPr>
                <w:rFonts w:ascii="Times New Roman" w:hAnsi="Times New Roman"/>
                <w:sz w:val="22"/>
              </w:rPr>
              <w:t>d</w:t>
            </w:r>
            <w:r w:rsidRPr="008447FB">
              <w:rPr>
                <w:rFonts w:ascii="Times New Roman" w:hAnsi="Times New Roman"/>
                <w:sz w:val="22"/>
              </w:rPr>
              <w:t>omide</w:t>
            </w:r>
            <w:r>
              <w:rPr>
                <w:rFonts w:ascii="Times New Roman" w:hAnsi="Times New Roman"/>
                <w:sz w:val="22"/>
              </w:rPr>
              <w:t xml:space="preserve"> et un IP.</w:t>
            </w:r>
          </w:p>
        </w:tc>
        <w:tc>
          <w:tcPr>
            <w:tcW w:w="958" w:type="pct"/>
            <w:shd w:val="clear" w:color="auto" w:fill="auto"/>
          </w:tcPr>
          <w:p w14:paraId="292EA29D" w14:textId="77777777" w:rsidR="001A0A5D" w:rsidRPr="00761EB7" w:rsidRDefault="00EB7C5E" w:rsidP="00204AAB">
            <w:pPr>
              <w:pStyle w:val="TabletextrowsAgency"/>
              <w:spacing w:line="240" w:lineRule="auto"/>
              <w:rPr>
                <w:rFonts w:ascii="Times New Roman" w:hAnsi="Times New Roman" w:cs="Times New Roman"/>
                <w:sz w:val="22"/>
                <w:szCs w:val="22"/>
              </w:rPr>
            </w:pPr>
            <w:r>
              <w:rPr>
                <w:rFonts w:ascii="Times New Roman" w:hAnsi="Times New Roman"/>
                <w:sz w:val="22"/>
              </w:rPr>
              <w:t>Juin 2027</w:t>
            </w:r>
          </w:p>
        </w:tc>
      </w:tr>
    </w:tbl>
    <w:p w14:paraId="7B9A476A" w14:textId="77777777" w:rsidR="00812D16" w:rsidRPr="00761EB7" w:rsidRDefault="00812D16" w:rsidP="00204AAB">
      <w:pPr>
        <w:spacing w:line="240" w:lineRule="auto"/>
        <w:ind w:right="566"/>
        <w:rPr>
          <w:noProof/>
          <w:szCs w:val="22"/>
        </w:rPr>
      </w:pPr>
      <w:r>
        <w:br w:type="page"/>
      </w:r>
    </w:p>
    <w:p w14:paraId="68B2A3AB" w14:textId="77777777" w:rsidR="0021781F" w:rsidRPr="0068685C" w:rsidRDefault="0021781F" w:rsidP="00C167C7">
      <w:pPr>
        <w:spacing w:line="240" w:lineRule="auto"/>
        <w:ind w:right="566"/>
        <w:rPr>
          <w:iCs/>
          <w:noProof/>
          <w:szCs w:val="22"/>
        </w:rPr>
      </w:pPr>
    </w:p>
    <w:p w14:paraId="283DC232" w14:textId="77777777" w:rsidR="00812D16" w:rsidRPr="00761EB7" w:rsidRDefault="00812D16" w:rsidP="00204AAB">
      <w:pPr>
        <w:spacing w:line="240" w:lineRule="auto"/>
        <w:rPr>
          <w:noProof/>
          <w:szCs w:val="22"/>
        </w:rPr>
      </w:pPr>
    </w:p>
    <w:p w14:paraId="644FC14B" w14:textId="77777777" w:rsidR="00812D16" w:rsidRPr="00761EB7" w:rsidRDefault="00812D16" w:rsidP="00204AAB">
      <w:pPr>
        <w:spacing w:line="240" w:lineRule="auto"/>
        <w:rPr>
          <w:noProof/>
          <w:szCs w:val="22"/>
        </w:rPr>
      </w:pPr>
    </w:p>
    <w:p w14:paraId="62B73EDF" w14:textId="77777777" w:rsidR="00812D16" w:rsidRPr="00761EB7" w:rsidRDefault="00812D16" w:rsidP="00204AAB">
      <w:pPr>
        <w:spacing w:line="240" w:lineRule="auto"/>
        <w:rPr>
          <w:szCs w:val="22"/>
        </w:rPr>
      </w:pPr>
    </w:p>
    <w:p w14:paraId="2AF3EF0B" w14:textId="77777777" w:rsidR="00812D16" w:rsidRPr="00761EB7" w:rsidRDefault="00812D16" w:rsidP="00204AAB">
      <w:pPr>
        <w:spacing w:line="240" w:lineRule="auto"/>
        <w:rPr>
          <w:szCs w:val="22"/>
        </w:rPr>
      </w:pPr>
    </w:p>
    <w:p w14:paraId="6B264067" w14:textId="77777777" w:rsidR="00812D16" w:rsidRPr="00761EB7" w:rsidRDefault="00812D16" w:rsidP="00204AAB">
      <w:pPr>
        <w:spacing w:line="240" w:lineRule="auto"/>
        <w:rPr>
          <w:szCs w:val="22"/>
        </w:rPr>
      </w:pPr>
    </w:p>
    <w:p w14:paraId="35818D3B" w14:textId="77777777" w:rsidR="00812D16" w:rsidRPr="00761EB7" w:rsidRDefault="00812D16" w:rsidP="00B267A0">
      <w:pPr>
        <w:spacing w:line="240" w:lineRule="auto"/>
        <w:rPr>
          <w:szCs w:val="22"/>
        </w:rPr>
      </w:pPr>
    </w:p>
    <w:p w14:paraId="4613D3CB" w14:textId="77777777" w:rsidR="00812D16" w:rsidRPr="00761EB7" w:rsidRDefault="00812D16" w:rsidP="00B267A0">
      <w:pPr>
        <w:spacing w:line="240" w:lineRule="auto"/>
        <w:rPr>
          <w:szCs w:val="22"/>
        </w:rPr>
      </w:pPr>
    </w:p>
    <w:p w14:paraId="01B0F7E7" w14:textId="77777777" w:rsidR="00812D16" w:rsidRPr="00761EB7" w:rsidRDefault="00812D16" w:rsidP="00B267A0">
      <w:pPr>
        <w:spacing w:line="240" w:lineRule="auto"/>
        <w:rPr>
          <w:noProof/>
          <w:szCs w:val="22"/>
        </w:rPr>
      </w:pPr>
    </w:p>
    <w:p w14:paraId="7D2314A2" w14:textId="77777777" w:rsidR="00812D16" w:rsidRPr="00761EB7" w:rsidRDefault="00812D16" w:rsidP="00B267A0">
      <w:pPr>
        <w:spacing w:line="240" w:lineRule="auto"/>
        <w:rPr>
          <w:noProof/>
          <w:szCs w:val="22"/>
        </w:rPr>
      </w:pPr>
    </w:p>
    <w:p w14:paraId="45DB8224" w14:textId="77777777" w:rsidR="00812D16" w:rsidRPr="00761EB7" w:rsidRDefault="00812D16" w:rsidP="00B267A0">
      <w:pPr>
        <w:spacing w:line="240" w:lineRule="auto"/>
        <w:rPr>
          <w:noProof/>
          <w:szCs w:val="22"/>
        </w:rPr>
      </w:pPr>
    </w:p>
    <w:p w14:paraId="111C703B" w14:textId="77777777" w:rsidR="00812D16" w:rsidRPr="00761EB7" w:rsidRDefault="00812D16" w:rsidP="00B267A0">
      <w:pPr>
        <w:spacing w:line="240" w:lineRule="auto"/>
        <w:rPr>
          <w:noProof/>
          <w:szCs w:val="22"/>
        </w:rPr>
      </w:pPr>
    </w:p>
    <w:p w14:paraId="0B0A300C" w14:textId="77777777" w:rsidR="00812D16" w:rsidRPr="00761EB7" w:rsidRDefault="00812D16" w:rsidP="00B267A0">
      <w:pPr>
        <w:spacing w:line="240" w:lineRule="auto"/>
        <w:rPr>
          <w:noProof/>
          <w:szCs w:val="22"/>
        </w:rPr>
      </w:pPr>
    </w:p>
    <w:p w14:paraId="20E20112" w14:textId="77777777" w:rsidR="00812D16" w:rsidRPr="00761EB7" w:rsidRDefault="00812D16" w:rsidP="00B267A0">
      <w:pPr>
        <w:spacing w:line="240" w:lineRule="auto"/>
        <w:rPr>
          <w:noProof/>
          <w:szCs w:val="22"/>
        </w:rPr>
      </w:pPr>
    </w:p>
    <w:p w14:paraId="194FD8AC" w14:textId="77777777" w:rsidR="00812D16" w:rsidRPr="00761EB7" w:rsidRDefault="00812D16" w:rsidP="00B267A0">
      <w:pPr>
        <w:spacing w:line="240" w:lineRule="auto"/>
        <w:rPr>
          <w:noProof/>
          <w:szCs w:val="22"/>
        </w:rPr>
      </w:pPr>
    </w:p>
    <w:p w14:paraId="2737FCC0" w14:textId="77777777" w:rsidR="00812D16" w:rsidRPr="00761EB7" w:rsidRDefault="00812D16" w:rsidP="00B267A0">
      <w:pPr>
        <w:spacing w:line="240" w:lineRule="auto"/>
        <w:rPr>
          <w:b/>
          <w:noProof/>
          <w:szCs w:val="22"/>
        </w:rPr>
      </w:pPr>
    </w:p>
    <w:p w14:paraId="29E8296B" w14:textId="77777777" w:rsidR="00812D16" w:rsidRPr="00761EB7" w:rsidRDefault="00812D16" w:rsidP="00B267A0">
      <w:pPr>
        <w:spacing w:line="240" w:lineRule="auto"/>
        <w:rPr>
          <w:b/>
          <w:noProof/>
          <w:szCs w:val="22"/>
        </w:rPr>
      </w:pPr>
    </w:p>
    <w:p w14:paraId="4A89B547" w14:textId="77777777" w:rsidR="00812D16" w:rsidRPr="00761EB7" w:rsidRDefault="00812D16" w:rsidP="00B267A0">
      <w:pPr>
        <w:spacing w:line="240" w:lineRule="auto"/>
        <w:rPr>
          <w:b/>
          <w:noProof/>
          <w:szCs w:val="22"/>
        </w:rPr>
      </w:pPr>
    </w:p>
    <w:p w14:paraId="1FFC429B" w14:textId="77777777" w:rsidR="00812D16" w:rsidRPr="00761EB7" w:rsidRDefault="00812D16" w:rsidP="00B267A0">
      <w:pPr>
        <w:spacing w:line="240" w:lineRule="auto"/>
        <w:rPr>
          <w:b/>
          <w:noProof/>
          <w:szCs w:val="22"/>
        </w:rPr>
      </w:pPr>
    </w:p>
    <w:p w14:paraId="2B93F7AC" w14:textId="77777777" w:rsidR="00812D16" w:rsidRPr="00761EB7" w:rsidRDefault="00812D16" w:rsidP="00B267A0">
      <w:pPr>
        <w:spacing w:line="240" w:lineRule="auto"/>
        <w:rPr>
          <w:b/>
          <w:noProof/>
          <w:szCs w:val="22"/>
        </w:rPr>
      </w:pPr>
    </w:p>
    <w:p w14:paraId="66914046" w14:textId="77777777" w:rsidR="00812D16" w:rsidRPr="00761EB7" w:rsidRDefault="00812D16" w:rsidP="00B267A0">
      <w:pPr>
        <w:spacing w:line="240" w:lineRule="auto"/>
        <w:rPr>
          <w:b/>
          <w:noProof/>
          <w:szCs w:val="22"/>
        </w:rPr>
      </w:pPr>
    </w:p>
    <w:p w14:paraId="6D5B9F82" w14:textId="77777777" w:rsidR="00BB1826" w:rsidRDefault="00BB1826" w:rsidP="00B267A0">
      <w:pPr>
        <w:spacing w:line="240" w:lineRule="auto"/>
        <w:outlineLvl w:val="0"/>
        <w:rPr>
          <w:b/>
          <w:noProof/>
          <w:szCs w:val="22"/>
        </w:rPr>
      </w:pPr>
    </w:p>
    <w:p w14:paraId="6F033583" w14:textId="77777777" w:rsidR="00BB1826" w:rsidRDefault="00BB1826" w:rsidP="00B267A0">
      <w:pPr>
        <w:spacing w:line="240" w:lineRule="auto"/>
        <w:jc w:val="center"/>
        <w:outlineLvl w:val="0"/>
        <w:rPr>
          <w:b/>
          <w:noProof/>
          <w:szCs w:val="22"/>
        </w:rPr>
      </w:pPr>
    </w:p>
    <w:p w14:paraId="6928C305" w14:textId="77777777" w:rsidR="00812D16" w:rsidRPr="00761EB7" w:rsidRDefault="00812D16" w:rsidP="00204AAB">
      <w:pPr>
        <w:spacing w:line="240" w:lineRule="auto"/>
        <w:jc w:val="center"/>
        <w:outlineLvl w:val="0"/>
        <w:rPr>
          <w:b/>
          <w:noProof/>
          <w:szCs w:val="22"/>
        </w:rPr>
      </w:pPr>
      <w:r>
        <w:rPr>
          <w:b/>
        </w:rPr>
        <w:t>ANNEXE III</w:t>
      </w:r>
    </w:p>
    <w:p w14:paraId="5BCE8E53" w14:textId="77777777" w:rsidR="00812D16" w:rsidRPr="00761EB7" w:rsidRDefault="00812D16" w:rsidP="00204AAB">
      <w:pPr>
        <w:spacing w:line="240" w:lineRule="auto"/>
        <w:jc w:val="center"/>
        <w:rPr>
          <w:b/>
          <w:noProof/>
          <w:szCs w:val="22"/>
        </w:rPr>
      </w:pPr>
    </w:p>
    <w:p w14:paraId="1E36FB7E" w14:textId="77777777" w:rsidR="00812D16" w:rsidRPr="00761EB7" w:rsidRDefault="00812D16" w:rsidP="00204AAB">
      <w:pPr>
        <w:spacing w:line="240" w:lineRule="auto"/>
        <w:jc w:val="center"/>
        <w:outlineLvl w:val="0"/>
        <w:rPr>
          <w:b/>
          <w:noProof/>
          <w:szCs w:val="22"/>
        </w:rPr>
      </w:pPr>
      <w:r>
        <w:rPr>
          <w:b/>
        </w:rPr>
        <w:t>ÉTIQUETAGE ET NOTICE</w:t>
      </w:r>
    </w:p>
    <w:p w14:paraId="3E5AD57C" w14:textId="77777777" w:rsidR="000166C1" w:rsidRPr="00761EB7" w:rsidRDefault="00B674D6" w:rsidP="00A64757">
      <w:pPr>
        <w:spacing w:line="240" w:lineRule="auto"/>
        <w:rPr>
          <w:b/>
          <w:noProof/>
          <w:szCs w:val="22"/>
        </w:rPr>
      </w:pPr>
      <w:r>
        <w:br w:type="page"/>
      </w:r>
    </w:p>
    <w:p w14:paraId="3DBCBF2D" w14:textId="77777777" w:rsidR="000166C1" w:rsidRPr="00761EB7" w:rsidRDefault="000166C1" w:rsidP="00866841">
      <w:pPr>
        <w:spacing w:line="240" w:lineRule="auto"/>
        <w:jc w:val="center"/>
      </w:pPr>
    </w:p>
    <w:p w14:paraId="0CFF05FB" w14:textId="77777777" w:rsidR="000166C1" w:rsidRPr="00761EB7" w:rsidRDefault="000166C1" w:rsidP="00866841">
      <w:pPr>
        <w:spacing w:line="240" w:lineRule="auto"/>
        <w:jc w:val="center"/>
      </w:pPr>
    </w:p>
    <w:p w14:paraId="2E951F7D" w14:textId="77777777" w:rsidR="000166C1" w:rsidRPr="00761EB7" w:rsidRDefault="000166C1" w:rsidP="00866841">
      <w:pPr>
        <w:spacing w:line="240" w:lineRule="auto"/>
        <w:jc w:val="center"/>
      </w:pPr>
    </w:p>
    <w:p w14:paraId="29E5C5D2" w14:textId="77777777" w:rsidR="000166C1" w:rsidRPr="00761EB7" w:rsidRDefault="000166C1" w:rsidP="00866841">
      <w:pPr>
        <w:spacing w:line="240" w:lineRule="auto"/>
        <w:jc w:val="center"/>
      </w:pPr>
    </w:p>
    <w:p w14:paraId="6EE2C0BC" w14:textId="77777777" w:rsidR="000166C1" w:rsidRPr="00761EB7" w:rsidRDefault="000166C1" w:rsidP="00866841">
      <w:pPr>
        <w:spacing w:line="240" w:lineRule="auto"/>
        <w:jc w:val="center"/>
      </w:pPr>
    </w:p>
    <w:p w14:paraId="0C08D606" w14:textId="77777777" w:rsidR="000166C1" w:rsidRPr="00761EB7" w:rsidRDefault="000166C1" w:rsidP="00866841">
      <w:pPr>
        <w:spacing w:line="240" w:lineRule="auto"/>
        <w:jc w:val="center"/>
      </w:pPr>
    </w:p>
    <w:p w14:paraId="4A07630B" w14:textId="77777777" w:rsidR="000166C1" w:rsidRPr="00761EB7" w:rsidRDefault="000166C1" w:rsidP="00866841">
      <w:pPr>
        <w:spacing w:line="240" w:lineRule="auto"/>
        <w:jc w:val="center"/>
      </w:pPr>
    </w:p>
    <w:p w14:paraId="186F860C" w14:textId="77777777" w:rsidR="000166C1" w:rsidRPr="00761EB7" w:rsidRDefault="000166C1" w:rsidP="00866841">
      <w:pPr>
        <w:spacing w:line="240" w:lineRule="auto"/>
        <w:jc w:val="center"/>
      </w:pPr>
    </w:p>
    <w:p w14:paraId="0976472A" w14:textId="77777777" w:rsidR="000166C1" w:rsidRPr="00761EB7" w:rsidRDefault="000166C1" w:rsidP="00866841">
      <w:pPr>
        <w:spacing w:line="240" w:lineRule="auto"/>
        <w:jc w:val="center"/>
      </w:pPr>
    </w:p>
    <w:p w14:paraId="1994D0B4" w14:textId="77777777" w:rsidR="000166C1" w:rsidRPr="00761EB7" w:rsidRDefault="000166C1" w:rsidP="00866841">
      <w:pPr>
        <w:spacing w:line="240" w:lineRule="auto"/>
        <w:jc w:val="center"/>
      </w:pPr>
    </w:p>
    <w:p w14:paraId="7D1756F0" w14:textId="77777777" w:rsidR="000166C1" w:rsidRPr="00761EB7" w:rsidRDefault="000166C1" w:rsidP="00866841">
      <w:pPr>
        <w:spacing w:line="240" w:lineRule="auto"/>
        <w:jc w:val="center"/>
      </w:pPr>
    </w:p>
    <w:p w14:paraId="036F3552" w14:textId="77777777" w:rsidR="000166C1" w:rsidRPr="00761EB7" w:rsidRDefault="000166C1" w:rsidP="00866841">
      <w:pPr>
        <w:spacing w:line="240" w:lineRule="auto"/>
        <w:jc w:val="center"/>
      </w:pPr>
    </w:p>
    <w:p w14:paraId="5C5D2F47" w14:textId="77777777" w:rsidR="000166C1" w:rsidRPr="00761EB7" w:rsidRDefault="000166C1" w:rsidP="00866841">
      <w:pPr>
        <w:spacing w:line="240" w:lineRule="auto"/>
        <w:jc w:val="center"/>
      </w:pPr>
    </w:p>
    <w:p w14:paraId="7DEBA23D" w14:textId="77777777" w:rsidR="000166C1" w:rsidRPr="00761EB7" w:rsidRDefault="000166C1" w:rsidP="00866841">
      <w:pPr>
        <w:spacing w:line="240" w:lineRule="auto"/>
        <w:jc w:val="center"/>
      </w:pPr>
    </w:p>
    <w:p w14:paraId="53BBEA22" w14:textId="77777777" w:rsidR="000166C1" w:rsidRPr="00761EB7" w:rsidRDefault="000166C1" w:rsidP="00866841">
      <w:pPr>
        <w:spacing w:line="240" w:lineRule="auto"/>
        <w:jc w:val="center"/>
      </w:pPr>
    </w:p>
    <w:p w14:paraId="6B11EA73" w14:textId="77777777" w:rsidR="000166C1" w:rsidRPr="00761EB7" w:rsidRDefault="000166C1" w:rsidP="00866841">
      <w:pPr>
        <w:spacing w:line="240" w:lineRule="auto"/>
        <w:jc w:val="center"/>
      </w:pPr>
    </w:p>
    <w:p w14:paraId="295C1E49" w14:textId="77777777" w:rsidR="000166C1" w:rsidRPr="00761EB7" w:rsidRDefault="000166C1" w:rsidP="00866841">
      <w:pPr>
        <w:spacing w:line="240" w:lineRule="auto"/>
        <w:jc w:val="center"/>
      </w:pPr>
    </w:p>
    <w:p w14:paraId="4E02AE8F" w14:textId="77777777" w:rsidR="000166C1" w:rsidRPr="00761EB7" w:rsidRDefault="000166C1" w:rsidP="00866841">
      <w:pPr>
        <w:spacing w:line="240" w:lineRule="auto"/>
        <w:jc w:val="center"/>
      </w:pPr>
    </w:p>
    <w:p w14:paraId="57EF8E32" w14:textId="77777777" w:rsidR="00B64B2F" w:rsidRPr="00761EB7" w:rsidRDefault="00B64B2F" w:rsidP="00866841">
      <w:pPr>
        <w:spacing w:line="240" w:lineRule="auto"/>
        <w:jc w:val="center"/>
      </w:pPr>
    </w:p>
    <w:p w14:paraId="1C2F03BC" w14:textId="77777777" w:rsidR="00B64B2F" w:rsidRPr="00761EB7" w:rsidRDefault="00B64B2F" w:rsidP="00866841">
      <w:pPr>
        <w:spacing w:line="240" w:lineRule="auto"/>
        <w:jc w:val="center"/>
      </w:pPr>
    </w:p>
    <w:p w14:paraId="52AF0888" w14:textId="77777777" w:rsidR="00B64B2F" w:rsidRPr="00761EB7" w:rsidRDefault="00B64B2F" w:rsidP="00866841">
      <w:pPr>
        <w:spacing w:line="240" w:lineRule="auto"/>
        <w:jc w:val="center"/>
      </w:pPr>
    </w:p>
    <w:p w14:paraId="1FE71CF4" w14:textId="77777777" w:rsidR="00B64B2F" w:rsidRPr="00761EB7" w:rsidRDefault="00B64B2F" w:rsidP="00D5345C">
      <w:pPr>
        <w:spacing w:line="240" w:lineRule="auto"/>
        <w:jc w:val="center"/>
      </w:pPr>
    </w:p>
    <w:p w14:paraId="004E846D" w14:textId="77777777" w:rsidR="00DD28F4" w:rsidRDefault="00DD28F4" w:rsidP="00204AAB">
      <w:pPr>
        <w:spacing w:line="240" w:lineRule="auto"/>
        <w:jc w:val="center"/>
        <w:outlineLvl w:val="0"/>
        <w:rPr>
          <w:b/>
          <w:noProof/>
          <w:szCs w:val="22"/>
        </w:rPr>
      </w:pPr>
    </w:p>
    <w:p w14:paraId="5F3AFD85" w14:textId="77777777" w:rsidR="00812D16" w:rsidRPr="00761EB7" w:rsidRDefault="00812D16" w:rsidP="00BB6674">
      <w:pPr>
        <w:pStyle w:val="Heading1"/>
        <w:jc w:val="center"/>
        <w:rPr>
          <w:noProof/>
          <w:szCs w:val="22"/>
        </w:rPr>
      </w:pPr>
      <w:r>
        <w:t>A. ÉTIQUETAGE</w:t>
      </w:r>
    </w:p>
    <w:p w14:paraId="751CD2CC" w14:textId="77777777" w:rsidR="00812D16" w:rsidRDefault="00812D16" w:rsidP="00A64757">
      <w:pPr>
        <w:spacing w:line="240" w:lineRule="auto"/>
        <w:rPr>
          <w:noProof/>
          <w:szCs w:val="22"/>
        </w:rPr>
      </w:pPr>
      <w:r>
        <w:br w:type="page"/>
      </w:r>
    </w:p>
    <w:p w14:paraId="6DCFD185" w14:textId="77777777" w:rsidR="008E098D" w:rsidRDefault="008E098D" w:rsidP="00204AAB">
      <w:pPr>
        <w:shd w:val="clear" w:color="auto" w:fill="FFFFFF"/>
        <w:spacing w:line="240" w:lineRule="auto"/>
        <w:rPr>
          <w:noProof/>
          <w:szCs w:val="22"/>
        </w:rPr>
      </w:pPr>
    </w:p>
    <w:p w14:paraId="58A5CD6E"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MENTIONS DEVANT FIGURER SUR L’EMBALLAGE EXTÉRIEUR</w:t>
      </w:r>
    </w:p>
    <w:p w14:paraId="6BC6E76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8A735BA" w14:textId="3E2C89E2"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Pr>
          <w:b/>
        </w:rPr>
        <w:t>EMBALLAGE EXTÉRIEUR (44 mg/1,1 </w:t>
      </w:r>
      <w:r w:rsidR="001C17CF">
        <w:rPr>
          <w:b/>
        </w:rPr>
        <w:t>m</w:t>
      </w:r>
      <w:r w:rsidR="00FE7BBE">
        <w:rPr>
          <w:b/>
        </w:rPr>
        <w:t>L</w:t>
      </w:r>
      <w:r>
        <w:rPr>
          <w:b/>
        </w:rPr>
        <w:t>)</w:t>
      </w:r>
    </w:p>
    <w:p w14:paraId="51C4F11E" w14:textId="77777777" w:rsidR="008E098D" w:rsidRPr="00743D4B" w:rsidRDefault="008E098D" w:rsidP="008E098D">
      <w:pPr>
        <w:spacing w:line="240" w:lineRule="auto"/>
        <w:rPr>
          <w:szCs w:val="22"/>
        </w:rPr>
      </w:pPr>
    </w:p>
    <w:p w14:paraId="0B62EFDB" w14:textId="77777777" w:rsidR="008E098D" w:rsidRPr="00743D4B" w:rsidRDefault="008E098D" w:rsidP="008E098D">
      <w:pPr>
        <w:spacing w:line="240" w:lineRule="auto"/>
        <w:rPr>
          <w:szCs w:val="22"/>
        </w:rPr>
      </w:pPr>
    </w:p>
    <w:p w14:paraId="6D9863D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DÉNOMINATION DU MÉDICAMENT</w:t>
      </w:r>
    </w:p>
    <w:p w14:paraId="0A3C4E83" w14:textId="77777777" w:rsidR="008E098D" w:rsidRPr="00743D4B" w:rsidRDefault="008E098D" w:rsidP="008E098D">
      <w:pPr>
        <w:spacing w:line="240" w:lineRule="auto"/>
        <w:rPr>
          <w:szCs w:val="22"/>
        </w:rPr>
      </w:pPr>
    </w:p>
    <w:p w14:paraId="469CABAA" w14:textId="76259F62" w:rsidR="008E098D" w:rsidRPr="00743D4B" w:rsidRDefault="008E098D" w:rsidP="008E098D">
      <w:pPr>
        <w:widowControl w:val="0"/>
        <w:spacing w:line="240" w:lineRule="auto"/>
        <w:rPr>
          <w:szCs w:val="22"/>
        </w:rPr>
      </w:pPr>
      <w:r>
        <w:t>ELREXFIO 40 mg/m</w:t>
      </w:r>
      <w:r w:rsidR="00FE7BBE">
        <w:t>L</w:t>
      </w:r>
      <w:r>
        <w:t>, solution injectable</w:t>
      </w:r>
    </w:p>
    <w:p w14:paraId="03727BD1" w14:textId="77777777" w:rsidR="008E098D" w:rsidRPr="00743D4B" w:rsidRDefault="008E098D" w:rsidP="008E098D">
      <w:pPr>
        <w:spacing w:line="240" w:lineRule="auto"/>
        <w:rPr>
          <w:b/>
          <w:szCs w:val="22"/>
        </w:rPr>
      </w:pPr>
      <w:r>
        <w:t>elranatamab</w:t>
      </w:r>
    </w:p>
    <w:p w14:paraId="5A04B958" w14:textId="77777777" w:rsidR="008E098D" w:rsidRPr="00743D4B" w:rsidRDefault="008E098D" w:rsidP="008E098D">
      <w:pPr>
        <w:spacing w:line="240" w:lineRule="auto"/>
        <w:rPr>
          <w:szCs w:val="22"/>
        </w:rPr>
      </w:pPr>
    </w:p>
    <w:p w14:paraId="02475C8F" w14:textId="77777777" w:rsidR="008E098D" w:rsidRPr="00743D4B" w:rsidRDefault="008E098D" w:rsidP="008E098D">
      <w:pPr>
        <w:spacing w:line="240" w:lineRule="auto"/>
        <w:rPr>
          <w:szCs w:val="22"/>
        </w:rPr>
      </w:pPr>
    </w:p>
    <w:p w14:paraId="06B6898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COMPOSITION EN SUBSTANCE(S) ACTIVE(S)</w:t>
      </w:r>
    </w:p>
    <w:p w14:paraId="23C6E700" w14:textId="77777777" w:rsidR="008E098D" w:rsidRPr="00743D4B" w:rsidRDefault="008E098D" w:rsidP="008E098D">
      <w:pPr>
        <w:spacing w:line="240" w:lineRule="auto"/>
        <w:rPr>
          <w:szCs w:val="22"/>
        </w:rPr>
      </w:pPr>
    </w:p>
    <w:p w14:paraId="2098A523" w14:textId="6DDD41AD" w:rsidR="00DC40F4" w:rsidRPr="00743D4B" w:rsidRDefault="00DC40F4" w:rsidP="00DC40F4">
      <w:pPr>
        <w:pStyle w:val="Paragraph"/>
        <w:spacing w:after="0"/>
        <w:rPr>
          <w:rStyle w:val="Instructions"/>
          <w:i w:val="0"/>
          <w:color w:val="auto"/>
          <w:sz w:val="22"/>
          <w:szCs w:val="22"/>
        </w:rPr>
      </w:pPr>
      <w:r>
        <w:rPr>
          <w:rStyle w:val="Instructions"/>
          <w:i w:val="0"/>
          <w:color w:val="auto"/>
          <w:sz w:val="22"/>
        </w:rPr>
        <w:t>Un flacon de 1,1 </w:t>
      </w:r>
      <w:r w:rsidR="001C17CF">
        <w:rPr>
          <w:rStyle w:val="Instructions"/>
          <w:i w:val="0"/>
          <w:color w:val="auto"/>
          <w:sz w:val="22"/>
        </w:rPr>
        <w:t>m</w:t>
      </w:r>
      <w:r w:rsidR="00FE7BBE">
        <w:rPr>
          <w:rStyle w:val="Instructions"/>
          <w:i w:val="0"/>
          <w:color w:val="auto"/>
          <w:sz w:val="22"/>
        </w:rPr>
        <w:t>L</w:t>
      </w:r>
      <w:r>
        <w:rPr>
          <w:rStyle w:val="Instructions"/>
          <w:i w:val="0"/>
          <w:color w:val="auto"/>
          <w:sz w:val="22"/>
        </w:rPr>
        <w:t xml:space="preserve"> contient 44 mg d’elranatamab </w:t>
      </w:r>
      <w:r w:rsidRPr="00103194">
        <w:rPr>
          <w:rStyle w:val="Instructions"/>
          <w:i w:val="0"/>
          <w:color w:val="auto"/>
          <w:sz w:val="22"/>
          <w:highlight w:val="lightGray"/>
        </w:rPr>
        <w:t>(40 mg/</w:t>
      </w:r>
      <w:r w:rsidR="001C17CF" w:rsidRPr="00103194">
        <w:rPr>
          <w:rStyle w:val="Instructions"/>
          <w:i w:val="0"/>
          <w:color w:val="auto"/>
          <w:sz w:val="22"/>
          <w:highlight w:val="lightGray"/>
        </w:rPr>
        <w:t>m</w:t>
      </w:r>
      <w:r w:rsidR="00FE7BBE">
        <w:rPr>
          <w:rStyle w:val="Instructions"/>
          <w:i w:val="0"/>
          <w:color w:val="auto"/>
          <w:sz w:val="22"/>
          <w:highlight w:val="lightGray"/>
        </w:rPr>
        <w:t>L</w:t>
      </w:r>
      <w:r w:rsidRPr="00103194">
        <w:rPr>
          <w:rStyle w:val="Instructions"/>
          <w:i w:val="0"/>
          <w:color w:val="auto"/>
          <w:sz w:val="22"/>
          <w:highlight w:val="lightGray"/>
        </w:rPr>
        <w:t>)</w:t>
      </w:r>
      <w:r>
        <w:rPr>
          <w:rStyle w:val="Instructions"/>
          <w:i w:val="0"/>
          <w:color w:val="auto"/>
          <w:sz w:val="22"/>
        </w:rPr>
        <w:t>.</w:t>
      </w:r>
    </w:p>
    <w:p w14:paraId="1B03F883" w14:textId="77777777" w:rsidR="008E098D" w:rsidRPr="00743D4B" w:rsidRDefault="008E098D" w:rsidP="008E098D">
      <w:pPr>
        <w:spacing w:line="240" w:lineRule="auto"/>
        <w:rPr>
          <w:szCs w:val="22"/>
        </w:rPr>
      </w:pPr>
    </w:p>
    <w:p w14:paraId="02616BAF" w14:textId="77777777" w:rsidR="008E098D" w:rsidRPr="00743D4B" w:rsidRDefault="008E098D" w:rsidP="008E098D">
      <w:pPr>
        <w:spacing w:line="240" w:lineRule="auto"/>
        <w:rPr>
          <w:szCs w:val="22"/>
        </w:rPr>
      </w:pPr>
    </w:p>
    <w:p w14:paraId="6E6CC93D"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LISTE DES EXCIPIENTS</w:t>
      </w:r>
    </w:p>
    <w:p w14:paraId="5E71153F" w14:textId="77777777" w:rsidR="008E098D" w:rsidRPr="00743D4B" w:rsidRDefault="008E098D" w:rsidP="008E098D">
      <w:pPr>
        <w:spacing w:line="240" w:lineRule="auto"/>
        <w:rPr>
          <w:szCs w:val="22"/>
        </w:rPr>
      </w:pPr>
    </w:p>
    <w:p w14:paraId="3348F039" w14:textId="3E0C99E0" w:rsidR="008E098D" w:rsidRPr="00743D4B" w:rsidRDefault="008E098D" w:rsidP="008E098D">
      <w:pPr>
        <w:spacing w:line="240" w:lineRule="auto"/>
        <w:rPr>
          <w:szCs w:val="22"/>
        </w:rPr>
      </w:pPr>
      <w:r>
        <w:t xml:space="preserve">Excipients : </w:t>
      </w:r>
      <w:r w:rsidR="008447FB">
        <w:t xml:space="preserve">édétate disodique, </w:t>
      </w:r>
      <w:r>
        <w:t>L-histidine, chlorhydrate de L-histidine monohydraté, polysorbate 80, saccharose, eau pour préparations injectables.</w:t>
      </w:r>
    </w:p>
    <w:p w14:paraId="1034887C" w14:textId="77777777" w:rsidR="008E098D" w:rsidRDefault="008E098D" w:rsidP="008E098D">
      <w:pPr>
        <w:spacing w:line="240" w:lineRule="auto"/>
        <w:rPr>
          <w:szCs w:val="22"/>
        </w:rPr>
      </w:pPr>
    </w:p>
    <w:p w14:paraId="4A64C55A" w14:textId="77777777" w:rsidR="00840852" w:rsidRPr="00743D4B" w:rsidRDefault="00840852" w:rsidP="008E098D">
      <w:pPr>
        <w:spacing w:line="240" w:lineRule="auto"/>
        <w:rPr>
          <w:szCs w:val="22"/>
        </w:rPr>
      </w:pPr>
    </w:p>
    <w:p w14:paraId="16F3F26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FORME PHARMACEUTIQUE ET CONTENU</w:t>
      </w:r>
    </w:p>
    <w:p w14:paraId="27A711B1" w14:textId="77777777" w:rsidR="008E098D" w:rsidRPr="00743D4B" w:rsidRDefault="008E098D" w:rsidP="008E098D">
      <w:pPr>
        <w:spacing w:line="240" w:lineRule="auto"/>
      </w:pPr>
    </w:p>
    <w:p w14:paraId="4F5E7696" w14:textId="77777777" w:rsidR="008E098D" w:rsidRPr="00743D4B" w:rsidRDefault="008E098D" w:rsidP="008E098D">
      <w:pPr>
        <w:spacing w:line="240" w:lineRule="auto"/>
      </w:pPr>
      <w:r w:rsidRPr="00103194">
        <w:rPr>
          <w:highlight w:val="lightGray"/>
        </w:rPr>
        <w:t>Solution injectable</w:t>
      </w:r>
    </w:p>
    <w:p w14:paraId="75F836AD" w14:textId="0D31C54D" w:rsidR="008E098D" w:rsidRPr="00743D4B" w:rsidRDefault="008E098D" w:rsidP="008E098D">
      <w:pPr>
        <w:spacing w:line="240" w:lineRule="auto"/>
        <w:rPr>
          <w:szCs w:val="22"/>
        </w:rPr>
      </w:pPr>
      <w:r>
        <w:t>1 flacon (44 mg/1,1 </w:t>
      </w:r>
      <w:r w:rsidR="001C17CF">
        <w:t>m</w:t>
      </w:r>
      <w:r w:rsidR="00FE7BBE">
        <w:t>L</w:t>
      </w:r>
      <w:r>
        <w:t>)</w:t>
      </w:r>
    </w:p>
    <w:p w14:paraId="4E56710D" w14:textId="77777777" w:rsidR="008E098D" w:rsidRDefault="008E098D" w:rsidP="008E098D">
      <w:pPr>
        <w:spacing w:line="240" w:lineRule="auto"/>
        <w:rPr>
          <w:szCs w:val="22"/>
        </w:rPr>
      </w:pPr>
    </w:p>
    <w:p w14:paraId="653BD045" w14:textId="77777777" w:rsidR="00840852" w:rsidRPr="00743D4B" w:rsidRDefault="00840852" w:rsidP="008E098D">
      <w:pPr>
        <w:spacing w:line="240" w:lineRule="auto"/>
        <w:rPr>
          <w:szCs w:val="22"/>
        </w:rPr>
      </w:pPr>
    </w:p>
    <w:p w14:paraId="42B1CB05"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MODE ET VOIE(S) D’ADMINISTRATION</w:t>
      </w:r>
    </w:p>
    <w:p w14:paraId="39C6647F" w14:textId="77777777" w:rsidR="008E098D" w:rsidRPr="00743D4B" w:rsidRDefault="008E098D" w:rsidP="008E098D">
      <w:pPr>
        <w:spacing w:line="240" w:lineRule="auto"/>
        <w:rPr>
          <w:szCs w:val="22"/>
        </w:rPr>
      </w:pPr>
    </w:p>
    <w:p w14:paraId="0B0A2246" w14:textId="77777777" w:rsidR="008E098D" w:rsidRPr="00743D4B" w:rsidRDefault="008E098D" w:rsidP="008E098D">
      <w:pPr>
        <w:spacing w:line="240" w:lineRule="auto"/>
        <w:rPr>
          <w:szCs w:val="22"/>
        </w:rPr>
      </w:pPr>
      <w:r>
        <w:t>Lire la notice avant utilisation.</w:t>
      </w:r>
    </w:p>
    <w:p w14:paraId="1ED18B82" w14:textId="77777777" w:rsidR="008E098D" w:rsidRPr="00743D4B" w:rsidRDefault="008E098D" w:rsidP="008E098D">
      <w:pPr>
        <w:spacing w:line="240" w:lineRule="auto"/>
        <w:rPr>
          <w:szCs w:val="22"/>
        </w:rPr>
      </w:pPr>
      <w:r>
        <w:t>Voie sous-cutanée uniquement.</w:t>
      </w:r>
    </w:p>
    <w:p w14:paraId="67E1B6EB" w14:textId="77777777" w:rsidR="008E098D" w:rsidRDefault="008E098D" w:rsidP="008E098D">
      <w:pPr>
        <w:spacing w:line="240" w:lineRule="auto"/>
        <w:rPr>
          <w:b/>
          <w:szCs w:val="22"/>
        </w:rPr>
      </w:pPr>
    </w:p>
    <w:p w14:paraId="59333427" w14:textId="77777777" w:rsidR="00840852" w:rsidRPr="00743D4B" w:rsidRDefault="00840852" w:rsidP="008E098D">
      <w:pPr>
        <w:spacing w:line="240" w:lineRule="auto"/>
        <w:rPr>
          <w:b/>
          <w:szCs w:val="22"/>
        </w:rPr>
      </w:pPr>
    </w:p>
    <w:p w14:paraId="1C64B3C2"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MISE EN GARDE SPÉCIALE INDIQUANT QUE LE MÉDICAMENT DOIT ÊTRE CONSERVÉ HORS DE VUE ET DE PORTÉE DES ENFANTS</w:t>
      </w:r>
    </w:p>
    <w:p w14:paraId="5E50C90E" w14:textId="77777777" w:rsidR="008E098D" w:rsidRPr="00743D4B" w:rsidRDefault="008E098D" w:rsidP="008E098D">
      <w:pPr>
        <w:spacing w:line="240" w:lineRule="auto"/>
        <w:rPr>
          <w:szCs w:val="22"/>
        </w:rPr>
      </w:pPr>
    </w:p>
    <w:p w14:paraId="5C3E0509" w14:textId="77777777" w:rsidR="008E098D" w:rsidRPr="00743D4B" w:rsidRDefault="008E098D" w:rsidP="00CD7C38">
      <w:pPr>
        <w:spacing w:line="240" w:lineRule="auto"/>
        <w:rPr>
          <w:szCs w:val="22"/>
        </w:rPr>
      </w:pPr>
      <w:r>
        <w:t>Tenir hors de la vue et de la portée des enfants.</w:t>
      </w:r>
    </w:p>
    <w:p w14:paraId="52541A23" w14:textId="77777777" w:rsidR="008E098D" w:rsidRDefault="008E098D" w:rsidP="008E098D">
      <w:pPr>
        <w:spacing w:line="240" w:lineRule="auto"/>
        <w:rPr>
          <w:szCs w:val="22"/>
        </w:rPr>
      </w:pPr>
    </w:p>
    <w:p w14:paraId="7F7B91D2" w14:textId="77777777" w:rsidR="00840852" w:rsidRPr="00743D4B" w:rsidRDefault="00840852" w:rsidP="008E098D">
      <w:pPr>
        <w:spacing w:line="240" w:lineRule="auto"/>
        <w:rPr>
          <w:szCs w:val="22"/>
        </w:rPr>
      </w:pPr>
    </w:p>
    <w:p w14:paraId="42960EB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AUTRE(S) MISE(S) EN GARDE SPÉCIALE(S), SI NÉCESSAIRE</w:t>
      </w:r>
    </w:p>
    <w:p w14:paraId="11BF4BD7" w14:textId="77777777" w:rsidR="008E098D" w:rsidRPr="00743D4B" w:rsidRDefault="008E098D" w:rsidP="008E098D">
      <w:pPr>
        <w:spacing w:line="240" w:lineRule="auto"/>
        <w:rPr>
          <w:szCs w:val="22"/>
        </w:rPr>
      </w:pPr>
    </w:p>
    <w:p w14:paraId="72CD23E9" w14:textId="77777777" w:rsidR="008E098D" w:rsidRPr="00743D4B" w:rsidRDefault="008E098D" w:rsidP="008E098D">
      <w:pPr>
        <w:spacing w:line="240" w:lineRule="auto"/>
        <w:rPr>
          <w:szCs w:val="22"/>
        </w:rPr>
      </w:pPr>
      <w:r>
        <w:t>Ne pas agiter.</w:t>
      </w:r>
    </w:p>
    <w:p w14:paraId="42E79350" w14:textId="77777777" w:rsidR="008E098D" w:rsidRDefault="008E098D" w:rsidP="008E098D">
      <w:pPr>
        <w:tabs>
          <w:tab w:val="left" w:pos="749"/>
        </w:tabs>
        <w:spacing w:line="240" w:lineRule="auto"/>
        <w:rPr>
          <w:szCs w:val="22"/>
        </w:rPr>
      </w:pPr>
    </w:p>
    <w:p w14:paraId="490B2CAB" w14:textId="77777777" w:rsidR="00840852" w:rsidRPr="00743D4B" w:rsidRDefault="00840852" w:rsidP="008E098D">
      <w:pPr>
        <w:tabs>
          <w:tab w:val="left" w:pos="749"/>
        </w:tabs>
        <w:spacing w:line="240" w:lineRule="auto"/>
        <w:rPr>
          <w:szCs w:val="22"/>
        </w:rPr>
      </w:pPr>
    </w:p>
    <w:p w14:paraId="4CBD765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DATE DE PÉREMPTION</w:t>
      </w:r>
    </w:p>
    <w:p w14:paraId="1B718F65" w14:textId="77777777" w:rsidR="008E098D" w:rsidRPr="00743D4B" w:rsidRDefault="008E098D" w:rsidP="008E098D">
      <w:pPr>
        <w:spacing w:line="240" w:lineRule="auto"/>
        <w:rPr>
          <w:szCs w:val="22"/>
        </w:rPr>
      </w:pPr>
    </w:p>
    <w:p w14:paraId="6E96DA79" w14:textId="77777777" w:rsidR="008E098D" w:rsidRPr="00743D4B" w:rsidRDefault="008E098D" w:rsidP="008E098D">
      <w:pPr>
        <w:spacing w:line="240" w:lineRule="auto"/>
        <w:rPr>
          <w:szCs w:val="22"/>
        </w:rPr>
      </w:pPr>
      <w:r>
        <w:t>EXP</w:t>
      </w:r>
    </w:p>
    <w:p w14:paraId="2C484A6C" w14:textId="77777777" w:rsidR="008E098D" w:rsidRDefault="008E098D" w:rsidP="008E098D">
      <w:pPr>
        <w:spacing w:line="240" w:lineRule="auto"/>
        <w:rPr>
          <w:szCs w:val="22"/>
        </w:rPr>
      </w:pPr>
    </w:p>
    <w:p w14:paraId="6C5BCB74" w14:textId="77777777" w:rsidR="00840852" w:rsidRPr="00743D4B" w:rsidRDefault="00840852" w:rsidP="008E098D">
      <w:pPr>
        <w:spacing w:line="240" w:lineRule="auto"/>
        <w:rPr>
          <w:szCs w:val="22"/>
        </w:rPr>
      </w:pPr>
    </w:p>
    <w:p w14:paraId="18990027" w14:textId="77777777" w:rsidR="008E098D" w:rsidRPr="00743D4B" w:rsidRDefault="008E098D" w:rsidP="008E0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PRÉCAUTIONS PARTICULIÈRES DE CONSERVATION</w:t>
      </w:r>
    </w:p>
    <w:p w14:paraId="40A797EF" w14:textId="77777777" w:rsidR="008E098D" w:rsidRPr="00743D4B" w:rsidRDefault="008E098D" w:rsidP="008E098D">
      <w:pPr>
        <w:spacing w:line="240" w:lineRule="auto"/>
      </w:pPr>
    </w:p>
    <w:p w14:paraId="787C7567" w14:textId="77777777" w:rsidR="008E098D" w:rsidRPr="00743D4B" w:rsidRDefault="008E098D" w:rsidP="008E098D">
      <w:pPr>
        <w:spacing w:line="240" w:lineRule="auto"/>
      </w:pPr>
      <w:r>
        <w:t>À conserver au réfrigérateur.</w:t>
      </w:r>
    </w:p>
    <w:p w14:paraId="59B0D87E" w14:textId="77777777" w:rsidR="008E098D" w:rsidRPr="00743D4B" w:rsidRDefault="008E098D" w:rsidP="008E098D">
      <w:pPr>
        <w:spacing w:line="240" w:lineRule="auto"/>
      </w:pPr>
      <w:r>
        <w:t>Ne pas congeler.</w:t>
      </w:r>
    </w:p>
    <w:p w14:paraId="706E3F26" w14:textId="77777777" w:rsidR="008E098D" w:rsidRPr="00743D4B" w:rsidRDefault="008E098D" w:rsidP="008E098D">
      <w:pPr>
        <w:spacing w:line="240" w:lineRule="auto"/>
      </w:pPr>
      <w:r>
        <w:lastRenderedPageBreak/>
        <w:t>À conserver dans l’emballage d’origine, à l’abri de la lumière.</w:t>
      </w:r>
    </w:p>
    <w:p w14:paraId="50798BCA" w14:textId="77777777" w:rsidR="008E098D" w:rsidRDefault="008E098D" w:rsidP="008E098D">
      <w:pPr>
        <w:spacing w:line="240" w:lineRule="auto"/>
        <w:rPr>
          <w:szCs w:val="22"/>
        </w:rPr>
      </w:pPr>
    </w:p>
    <w:p w14:paraId="61F4AF4E" w14:textId="77777777" w:rsidR="00840852" w:rsidRPr="00743D4B" w:rsidRDefault="00840852" w:rsidP="008E098D">
      <w:pPr>
        <w:spacing w:line="240" w:lineRule="auto"/>
        <w:rPr>
          <w:szCs w:val="22"/>
        </w:rPr>
      </w:pPr>
    </w:p>
    <w:p w14:paraId="02F624E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PRÉCAUTIONS PARTICULIÈRES D’ÉLIMINATION DES MÉDICAMENTS NON UTILISÉS OU DES DÉCHETS PROVENANT DE CES MÉDICAMENTS S’IL Y A LIEU</w:t>
      </w:r>
    </w:p>
    <w:p w14:paraId="37F22BB3" w14:textId="77777777" w:rsidR="008E098D" w:rsidRPr="00743D4B" w:rsidRDefault="008E098D" w:rsidP="008E098D">
      <w:pPr>
        <w:spacing w:line="240" w:lineRule="auto"/>
        <w:rPr>
          <w:szCs w:val="22"/>
        </w:rPr>
      </w:pPr>
    </w:p>
    <w:p w14:paraId="608348F2" w14:textId="77777777" w:rsidR="008E098D" w:rsidRPr="00743D4B" w:rsidRDefault="008E098D" w:rsidP="008E098D">
      <w:pPr>
        <w:spacing w:line="240" w:lineRule="auto"/>
        <w:rPr>
          <w:szCs w:val="22"/>
        </w:rPr>
      </w:pPr>
    </w:p>
    <w:p w14:paraId="2792515E" w14:textId="77777777" w:rsidR="008E098D" w:rsidRPr="00743D4B" w:rsidRDefault="008E098D" w:rsidP="00A10D5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NOM ET ADRESSE DU TITULAIRE DE L’AUTORISATION DE MISE SUR LE MARCHÉ</w:t>
      </w:r>
    </w:p>
    <w:p w14:paraId="33485ABE" w14:textId="77777777" w:rsidR="008E098D" w:rsidRPr="00743D4B" w:rsidRDefault="008E098D" w:rsidP="008E098D">
      <w:pPr>
        <w:spacing w:line="240" w:lineRule="auto"/>
        <w:rPr>
          <w:szCs w:val="22"/>
        </w:rPr>
      </w:pPr>
    </w:p>
    <w:p w14:paraId="79CDEB75" w14:textId="77777777" w:rsidR="008E098D" w:rsidRPr="00743D4B" w:rsidRDefault="008E098D" w:rsidP="008E098D">
      <w:pPr>
        <w:spacing w:line="240" w:lineRule="auto"/>
        <w:rPr>
          <w:szCs w:val="22"/>
        </w:rPr>
      </w:pPr>
      <w:r>
        <w:t>Pfizer Europe MA EEIG</w:t>
      </w:r>
    </w:p>
    <w:p w14:paraId="6BCEEFCC" w14:textId="77777777" w:rsidR="008E098D" w:rsidRPr="00743D4B" w:rsidRDefault="008E098D" w:rsidP="008E098D">
      <w:pPr>
        <w:spacing w:line="240" w:lineRule="auto"/>
        <w:rPr>
          <w:szCs w:val="22"/>
        </w:rPr>
      </w:pPr>
      <w:r>
        <w:t>Boulevard de la Plaine 17</w:t>
      </w:r>
    </w:p>
    <w:p w14:paraId="7CD24E88" w14:textId="77777777" w:rsidR="008E098D" w:rsidRPr="00743D4B" w:rsidRDefault="008E098D" w:rsidP="008E098D">
      <w:pPr>
        <w:spacing w:line="240" w:lineRule="auto"/>
        <w:rPr>
          <w:szCs w:val="22"/>
        </w:rPr>
      </w:pPr>
      <w:r>
        <w:t>1050 Bruxelles</w:t>
      </w:r>
    </w:p>
    <w:p w14:paraId="2B1BA720" w14:textId="77777777" w:rsidR="008E098D" w:rsidRPr="00743D4B" w:rsidRDefault="008E098D" w:rsidP="008E098D">
      <w:pPr>
        <w:spacing w:line="240" w:lineRule="auto"/>
        <w:rPr>
          <w:szCs w:val="22"/>
        </w:rPr>
      </w:pPr>
      <w:r>
        <w:t>Belgique</w:t>
      </w:r>
    </w:p>
    <w:p w14:paraId="5EE749DE" w14:textId="77777777" w:rsidR="008E098D" w:rsidRDefault="008E098D" w:rsidP="008E098D">
      <w:pPr>
        <w:spacing w:line="240" w:lineRule="auto"/>
        <w:rPr>
          <w:szCs w:val="22"/>
        </w:rPr>
      </w:pPr>
    </w:p>
    <w:p w14:paraId="6A09C248" w14:textId="77777777" w:rsidR="00840852" w:rsidRPr="00743D4B" w:rsidRDefault="00840852" w:rsidP="008E098D">
      <w:pPr>
        <w:spacing w:line="240" w:lineRule="auto"/>
        <w:rPr>
          <w:szCs w:val="22"/>
        </w:rPr>
      </w:pPr>
    </w:p>
    <w:p w14:paraId="136F2EE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NUMÉRO(S) D’AUTORISATION DE MISE SUR LE MARCHÉ </w:t>
      </w:r>
    </w:p>
    <w:p w14:paraId="2B683415" w14:textId="77777777" w:rsidR="008E098D" w:rsidRPr="00743D4B" w:rsidRDefault="008E098D" w:rsidP="008E098D">
      <w:pPr>
        <w:spacing w:line="240" w:lineRule="auto"/>
        <w:rPr>
          <w:szCs w:val="22"/>
        </w:rPr>
      </w:pPr>
    </w:p>
    <w:p w14:paraId="57A2D861" w14:textId="7B09F0B9" w:rsidR="008E098D" w:rsidRPr="00743D4B" w:rsidRDefault="008E098D" w:rsidP="002564E9">
      <w:pPr>
        <w:spacing w:line="240" w:lineRule="auto"/>
        <w:rPr>
          <w:szCs w:val="22"/>
        </w:rPr>
      </w:pPr>
      <w:r>
        <w:t>EU/</w:t>
      </w:r>
      <w:r w:rsidR="00103194" w:rsidRPr="001E7EB5">
        <w:rPr>
          <w:noProof/>
          <w:szCs w:val="22"/>
        </w:rPr>
        <w:t>1/23/1770/001</w:t>
      </w:r>
    </w:p>
    <w:p w14:paraId="1D53D769" w14:textId="77777777" w:rsidR="008E098D" w:rsidRPr="00743D4B" w:rsidRDefault="008E098D" w:rsidP="008E098D">
      <w:pPr>
        <w:spacing w:line="240" w:lineRule="auto"/>
        <w:rPr>
          <w:szCs w:val="22"/>
        </w:rPr>
      </w:pPr>
    </w:p>
    <w:p w14:paraId="347B8647" w14:textId="77777777" w:rsidR="008E098D" w:rsidRPr="00743D4B" w:rsidRDefault="008E098D" w:rsidP="008E098D">
      <w:pPr>
        <w:spacing w:line="240" w:lineRule="auto"/>
        <w:rPr>
          <w:szCs w:val="22"/>
        </w:rPr>
      </w:pPr>
    </w:p>
    <w:p w14:paraId="01DB0E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NUMÉRO DU LOT</w:t>
      </w:r>
    </w:p>
    <w:p w14:paraId="4BD8C90E" w14:textId="77777777" w:rsidR="008E098D" w:rsidRPr="00743D4B" w:rsidRDefault="008E098D" w:rsidP="008E098D">
      <w:pPr>
        <w:spacing w:line="240" w:lineRule="auto"/>
        <w:rPr>
          <w:i/>
          <w:szCs w:val="22"/>
        </w:rPr>
      </w:pPr>
    </w:p>
    <w:p w14:paraId="56A5FCF2" w14:textId="77777777" w:rsidR="008E098D" w:rsidRPr="00743D4B" w:rsidRDefault="008E098D" w:rsidP="008E098D">
      <w:pPr>
        <w:spacing w:line="240" w:lineRule="auto"/>
        <w:rPr>
          <w:szCs w:val="22"/>
        </w:rPr>
      </w:pPr>
      <w:r>
        <w:t>Lot</w:t>
      </w:r>
    </w:p>
    <w:p w14:paraId="38E5BF1C" w14:textId="77777777" w:rsidR="008E098D" w:rsidRDefault="008E098D" w:rsidP="008E098D">
      <w:pPr>
        <w:spacing w:line="240" w:lineRule="auto"/>
        <w:rPr>
          <w:szCs w:val="22"/>
        </w:rPr>
      </w:pPr>
    </w:p>
    <w:p w14:paraId="60E15DED" w14:textId="77777777" w:rsidR="00840852" w:rsidRPr="00743D4B" w:rsidRDefault="00840852" w:rsidP="008E098D">
      <w:pPr>
        <w:spacing w:line="240" w:lineRule="auto"/>
        <w:rPr>
          <w:szCs w:val="22"/>
        </w:rPr>
      </w:pPr>
    </w:p>
    <w:p w14:paraId="40DD354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CONDITIONS DE PRESCRIPTION ET DE DÉLIVRANCE</w:t>
      </w:r>
    </w:p>
    <w:p w14:paraId="01509E2A" w14:textId="77777777" w:rsidR="008E098D" w:rsidRPr="00743D4B" w:rsidRDefault="008E098D" w:rsidP="008E098D">
      <w:pPr>
        <w:spacing w:line="240" w:lineRule="auto"/>
        <w:rPr>
          <w:i/>
          <w:szCs w:val="22"/>
        </w:rPr>
      </w:pPr>
    </w:p>
    <w:p w14:paraId="0CD0506E" w14:textId="77777777" w:rsidR="008E098D" w:rsidRPr="00743D4B" w:rsidRDefault="008E098D" w:rsidP="008E098D">
      <w:pPr>
        <w:spacing w:line="240" w:lineRule="auto"/>
        <w:rPr>
          <w:szCs w:val="22"/>
        </w:rPr>
      </w:pPr>
    </w:p>
    <w:p w14:paraId="2EAA5505" w14:textId="77777777" w:rsidR="008E098D" w:rsidRPr="00743D4B"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INDICATIONS D’UTILISATION</w:t>
      </w:r>
    </w:p>
    <w:p w14:paraId="578C639D" w14:textId="77777777" w:rsidR="008E098D" w:rsidRPr="00743D4B" w:rsidRDefault="008E098D" w:rsidP="008E098D">
      <w:pPr>
        <w:spacing w:line="240" w:lineRule="auto"/>
        <w:rPr>
          <w:szCs w:val="22"/>
        </w:rPr>
      </w:pPr>
    </w:p>
    <w:p w14:paraId="3FD66879" w14:textId="77777777" w:rsidR="008E098D" w:rsidRPr="00743D4B" w:rsidRDefault="008E098D" w:rsidP="008E098D">
      <w:pPr>
        <w:spacing w:line="240" w:lineRule="auto"/>
        <w:rPr>
          <w:szCs w:val="22"/>
        </w:rPr>
      </w:pPr>
    </w:p>
    <w:p w14:paraId="1F72B171" w14:textId="77777777" w:rsidR="008E098D" w:rsidRPr="00743D4B"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INFORMATIONS EN BRAILLE</w:t>
      </w:r>
    </w:p>
    <w:p w14:paraId="0E0DFA78" w14:textId="77777777" w:rsidR="008E098D" w:rsidRPr="00743D4B" w:rsidRDefault="008E098D" w:rsidP="008E098D">
      <w:pPr>
        <w:spacing w:line="240" w:lineRule="auto"/>
        <w:rPr>
          <w:szCs w:val="22"/>
        </w:rPr>
      </w:pPr>
    </w:p>
    <w:p w14:paraId="494E8CD5" w14:textId="77777777" w:rsidR="00B12C1C" w:rsidRPr="00743D4B" w:rsidRDefault="00B12C1C" w:rsidP="00B12C1C">
      <w:pPr>
        <w:spacing w:line="240" w:lineRule="auto"/>
        <w:rPr>
          <w:szCs w:val="22"/>
          <w:shd w:val="clear" w:color="auto" w:fill="CCCCCC"/>
        </w:rPr>
      </w:pPr>
      <w:r>
        <w:rPr>
          <w:shd w:val="clear" w:color="auto" w:fill="CCCCCC"/>
        </w:rPr>
        <w:t>Justification de ne pas inclure l’information en Braille acceptée.</w:t>
      </w:r>
    </w:p>
    <w:p w14:paraId="657DACE8" w14:textId="77777777" w:rsidR="00B12C1C" w:rsidRPr="00743D4B" w:rsidRDefault="00B12C1C" w:rsidP="00B12C1C">
      <w:pPr>
        <w:spacing w:line="240" w:lineRule="auto"/>
        <w:rPr>
          <w:szCs w:val="22"/>
          <w:shd w:val="clear" w:color="auto" w:fill="CCCCCC"/>
        </w:rPr>
      </w:pPr>
    </w:p>
    <w:p w14:paraId="215F1ED8" w14:textId="77777777" w:rsidR="00B12C1C" w:rsidRPr="00743D4B" w:rsidRDefault="00B12C1C" w:rsidP="00B12C1C">
      <w:pPr>
        <w:spacing w:line="240" w:lineRule="auto"/>
        <w:rPr>
          <w:szCs w:val="22"/>
          <w:shd w:val="clear" w:color="auto" w:fill="CCCCCC"/>
        </w:rPr>
      </w:pPr>
    </w:p>
    <w:p w14:paraId="592F00C9" w14:textId="77777777" w:rsidR="00B12C1C" w:rsidRPr="00743D4B" w:rsidRDefault="00B12C1C" w:rsidP="00B12C1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17.</w:t>
      </w:r>
      <w:r>
        <w:rPr>
          <w:b/>
        </w:rPr>
        <w:tab/>
        <w:t>IDENTIFIANT UNIQUE - CODE-BARRES 2D</w:t>
      </w:r>
    </w:p>
    <w:p w14:paraId="7B3E0152" w14:textId="77777777" w:rsidR="00B12C1C" w:rsidRPr="00743D4B" w:rsidRDefault="00B12C1C" w:rsidP="00B12C1C">
      <w:pPr>
        <w:tabs>
          <w:tab w:val="clear" w:pos="567"/>
        </w:tabs>
        <w:spacing w:line="240" w:lineRule="auto"/>
        <w:rPr>
          <w:szCs w:val="22"/>
        </w:rPr>
      </w:pPr>
    </w:p>
    <w:p w14:paraId="14C5B2FC" w14:textId="77777777" w:rsidR="00B12C1C" w:rsidRPr="00743D4B" w:rsidRDefault="00B12C1C" w:rsidP="00B12C1C">
      <w:pPr>
        <w:spacing w:line="240" w:lineRule="auto"/>
        <w:rPr>
          <w:szCs w:val="22"/>
          <w:shd w:val="clear" w:color="auto" w:fill="CCCCCC"/>
        </w:rPr>
      </w:pPr>
      <w:r>
        <w:rPr>
          <w:highlight w:val="darkGray"/>
        </w:rPr>
        <w:t>Code-barres 2D portant l’identifiant unique inclus.</w:t>
      </w:r>
    </w:p>
    <w:p w14:paraId="7F701B53" w14:textId="77777777" w:rsidR="008E098D" w:rsidRPr="00743D4B" w:rsidRDefault="008E098D" w:rsidP="008E098D">
      <w:pPr>
        <w:tabs>
          <w:tab w:val="clear" w:pos="567"/>
        </w:tabs>
        <w:spacing w:line="240" w:lineRule="auto"/>
        <w:rPr>
          <w:szCs w:val="22"/>
        </w:rPr>
      </w:pPr>
    </w:p>
    <w:p w14:paraId="0AD53EAF" w14:textId="77777777" w:rsidR="008E098D" w:rsidRPr="00743D4B" w:rsidRDefault="008E098D" w:rsidP="008E098D">
      <w:pPr>
        <w:tabs>
          <w:tab w:val="clear" w:pos="567"/>
        </w:tabs>
        <w:spacing w:line="240" w:lineRule="auto"/>
        <w:rPr>
          <w:szCs w:val="22"/>
        </w:rPr>
      </w:pPr>
    </w:p>
    <w:p w14:paraId="31D2790C" w14:textId="77777777" w:rsidR="008E098D" w:rsidRPr="00743D4B" w:rsidRDefault="008E098D" w:rsidP="008E098D">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18.</w:t>
      </w:r>
      <w:r>
        <w:rPr>
          <w:b/>
        </w:rPr>
        <w:tab/>
        <w:t>IDENTIFIANT UNIQUE - DONNÉES LISIBLES PAR LES HUMAINS</w:t>
      </w:r>
    </w:p>
    <w:p w14:paraId="727A810C" w14:textId="77777777" w:rsidR="008E098D" w:rsidRPr="00743D4B" w:rsidRDefault="008E098D" w:rsidP="008E098D">
      <w:pPr>
        <w:tabs>
          <w:tab w:val="clear" w:pos="567"/>
        </w:tabs>
        <w:spacing w:line="240" w:lineRule="auto"/>
        <w:rPr>
          <w:szCs w:val="22"/>
        </w:rPr>
      </w:pPr>
    </w:p>
    <w:p w14:paraId="60B59255" w14:textId="77777777" w:rsidR="008E098D" w:rsidRPr="00CE5102" w:rsidRDefault="008E098D" w:rsidP="008E098D">
      <w:pPr>
        <w:rPr>
          <w:szCs w:val="22"/>
        </w:rPr>
      </w:pPr>
      <w:r>
        <w:t>PC</w:t>
      </w:r>
    </w:p>
    <w:p w14:paraId="30BBB327" w14:textId="77777777" w:rsidR="008E098D" w:rsidRPr="00743D4B" w:rsidRDefault="008E098D" w:rsidP="008E098D">
      <w:pPr>
        <w:rPr>
          <w:szCs w:val="22"/>
        </w:rPr>
      </w:pPr>
      <w:r>
        <w:t>SN</w:t>
      </w:r>
    </w:p>
    <w:p w14:paraId="22643114" w14:textId="65021185" w:rsidR="008E098D" w:rsidRPr="00897589" w:rsidRDefault="008E098D" w:rsidP="003D08BD">
      <w:pPr>
        <w:rPr>
          <w:szCs w:val="22"/>
        </w:rPr>
      </w:pPr>
      <w:r>
        <w:t>NN</w:t>
      </w:r>
    </w:p>
    <w:p w14:paraId="78BB81B0" w14:textId="77777777" w:rsidR="008E098D" w:rsidRPr="00743D4B" w:rsidRDefault="008E098D" w:rsidP="008E098D">
      <w:pPr>
        <w:spacing w:line="240" w:lineRule="auto"/>
        <w:rPr>
          <w:b/>
          <w:szCs w:val="22"/>
        </w:rPr>
      </w:pPr>
      <w:r>
        <w:br w:type="page"/>
      </w:r>
    </w:p>
    <w:p w14:paraId="4C6B2A55"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MENTIONS MINIMALES DEVANT FIGURER SUR LES PETITS CONDITIONNEMENTS PRIMAIRES</w:t>
      </w:r>
    </w:p>
    <w:p w14:paraId="4643E03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34FD4F96" w14:textId="43CECD56"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ÉTIQUETTE DU FLACON (44 mg/1,1 </w:t>
      </w:r>
      <w:r w:rsidR="001C17CF">
        <w:rPr>
          <w:b/>
        </w:rPr>
        <w:t>m</w:t>
      </w:r>
      <w:r w:rsidR="00FE7BBE">
        <w:rPr>
          <w:b/>
        </w:rPr>
        <w:t>L</w:t>
      </w:r>
      <w:r>
        <w:rPr>
          <w:b/>
        </w:rPr>
        <w:t>)</w:t>
      </w:r>
    </w:p>
    <w:p w14:paraId="74E2EA68" w14:textId="77777777" w:rsidR="008E098D" w:rsidRPr="00743D4B" w:rsidRDefault="008E098D" w:rsidP="008E098D">
      <w:pPr>
        <w:spacing w:line="240" w:lineRule="auto"/>
        <w:rPr>
          <w:szCs w:val="22"/>
        </w:rPr>
      </w:pPr>
    </w:p>
    <w:p w14:paraId="40478B79" w14:textId="77777777" w:rsidR="008E098D" w:rsidRPr="00743D4B" w:rsidRDefault="008E098D" w:rsidP="008E098D">
      <w:pPr>
        <w:spacing w:line="240" w:lineRule="auto"/>
        <w:rPr>
          <w:szCs w:val="22"/>
        </w:rPr>
      </w:pPr>
    </w:p>
    <w:p w14:paraId="13BE65D2"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DÉNOMINATION DU MÉDICAMENT ET VOIE(S) D’ADMINISTRATION</w:t>
      </w:r>
    </w:p>
    <w:p w14:paraId="0A54D9FF" w14:textId="77777777" w:rsidR="008E098D" w:rsidRPr="00743D4B" w:rsidRDefault="008E098D" w:rsidP="008E098D">
      <w:pPr>
        <w:spacing w:line="240" w:lineRule="auto"/>
        <w:ind w:left="567" w:hanging="567"/>
        <w:rPr>
          <w:szCs w:val="22"/>
        </w:rPr>
      </w:pPr>
    </w:p>
    <w:p w14:paraId="743BC1A8" w14:textId="6CB732F5" w:rsidR="008E098D" w:rsidRPr="00743D4B" w:rsidRDefault="008E098D" w:rsidP="008E098D">
      <w:pPr>
        <w:widowControl w:val="0"/>
        <w:spacing w:line="240" w:lineRule="auto"/>
        <w:rPr>
          <w:szCs w:val="22"/>
        </w:rPr>
      </w:pPr>
      <w:r>
        <w:t>ELREXFIO 40 mg/m</w:t>
      </w:r>
      <w:r w:rsidR="00FE7BBE">
        <w:t>L</w:t>
      </w:r>
      <w:r>
        <w:t>, injection</w:t>
      </w:r>
    </w:p>
    <w:p w14:paraId="338148D0" w14:textId="77777777" w:rsidR="008E098D" w:rsidRPr="00743D4B" w:rsidRDefault="008E098D" w:rsidP="008E098D">
      <w:pPr>
        <w:spacing w:line="240" w:lineRule="auto"/>
        <w:rPr>
          <w:b/>
          <w:szCs w:val="22"/>
        </w:rPr>
      </w:pPr>
      <w:r>
        <w:t>elranatamab</w:t>
      </w:r>
    </w:p>
    <w:p w14:paraId="01D313EE" w14:textId="77777777" w:rsidR="008E098D" w:rsidRPr="00743D4B" w:rsidRDefault="008E098D" w:rsidP="008E098D">
      <w:pPr>
        <w:spacing w:line="240" w:lineRule="auto"/>
        <w:rPr>
          <w:szCs w:val="22"/>
        </w:rPr>
      </w:pPr>
      <w:r>
        <w:t>SC</w:t>
      </w:r>
    </w:p>
    <w:p w14:paraId="19B04610" w14:textId="77777777" w:rsidR="008E098D" w:rsidRDefault="008E098D" w:rsidP="008E098D">
      <w:pPr>
        <w:spacing w:line="240" w:lineRule="auto"/>
        <w:rPr>
          <w:szCs w:val="22"/>
        </w:rPr>
      </w:pPr>
    </w:p>
    <w:p w14:paraId="1A7C9AED" w14:textId="77777777" w:rsidR="00840852" w:rsidRPr="00743D4B" w:rsidRDefault="00840852" w:rsidP="008E098D">
      <w:pPr>
        <w:spacing w:line="240" w:lineRule="auto"/>
        <w:rPr>
          <w:szCs w:val="22"/>
        </w:rPr>
      </w:pPr>
    </w:p>
    <w:p w14:paraId="395028AD"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MODE D’ADMINISTRATION</w:t>
      </w:r>
    </w:p>
    <w:p w14:paraId="53353FA0" w14:textId="77777777" w:rsidR="008E098D" w:rsidRPr="00743D4B" w:rsidRDefault="008E098D" w:rsidP="008E098D">
      <w:pPr>
        <w:spacing w:line="240" w:lineRule="auto"/>
        <w:rPr>
          <w:szCs w:val="22"/>
        </w:rPr>
      </w:pPr>
    </w:p>
    <w:p w14:paraId="3CD6C19B" w14:textId="77777777" w:rsidR="008E098D" w:rsidRPr="00743D4B" w:rsidRDefault="008E098D" w:rsidP="008E098D">
      <w:pPr>
        <w:spacing w:line="240" w:lineRule="auto"/>
        <w:rPr>
          <w:szCs w:val="22"/>
        </w:rPr>
      </w:pPr>
    </w:p>
    <w:p w14:paraId="15CE210A"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DATE DE PÉREMPTION</w:t>
      </w:r>
    </w:p>
    <w:p w14:paraId="1FD64C49" w14:textId="77777777" w:rsidR="008E098D" w:rsidRPr="00743D4B" w:rsidRDefault="008E098D" w:rsidP="008E098D">
      <w:pPr>
        <w:spacing w:line="240" w:lineRule="auto"/>
        <w:rPr>
          <w:szCs w:val="22"/>
        </w:rPr>
      </w:pPr>
    </w:p>
    <w:p w14:paraId="7B394337" w14:textId="77777777" w:rsidR="008E098D" w:rsidRPr="00743D4B" w:rsidRDefault="008E098D" w:rsidP="008E098D">
      <w:pPr>
        <w:spacing w:line="240" w:lineRule="auto"/>
        <w:rPr>
          <w:szCs w:val="22"/>
        </w:rPr>
      </w:pPr>
      <w:r>
        <w:t>EXP</w:t>
      </w:r>
    </w:p>
    <w:p w14:paraId="5ED485BF" w14:textId="77777777" w:rsidR="008E098D" w:rsidRDefault="008E098D" w:rsidP="008E098D">
      <w:pPr>
        <w:spacing w:line="240" w:lineRule="auto"/>
        <w:rPr>
          <w:szCs w:val="22"/>
        </w:rPr>
      </w:pPr>
    </w:p>
    <w:p w14:paraId="1A1BD877" w14:textId="77777777" w:rsidR="00840852" w:rsidRPr="00743D4B" w:rsidRDefault="00840852" w:rsidP="008E098D">
      <w:pPr>
        <w:spacing w:line="240" w:lineRule="auto"/>
        <w:rPr>
          <w:szCs w:val="22"/>
        </w:rPr>
      </w:pPr>
    </w:p>
    <w:p w14:paraId="394C0C2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NUMÉRO DU LOT</w:t>
      </w:r>
    </w:p>
    <w:p w14:paraId="357BBDA4" w14:textId="77777777" w:rsidR="008E098D" w:rsidRPr="00743D4B" w:rsidRDefault="008E098D" w:rsidP="008E098D">
      <w:pPr>
        <w:spacing w:line="240" w:lineRule="auto"/>
        <w:ind w:right="113"/>
        <w:rPr>
          <w:szCs w:val="22"/>
        </w:rPr>
      </w:pPr>
    </w:p>
    <w:p w14:paraId="67270542" w14:textId="77777777" w:rsidR="008E098D" w:rsidRPr="00743D4B" w:rsidRDefault="008E098D" w:rsidP="008E098D">
      <w:pPr>
        <w:spacing w:line="240" w:lineRule="auto"/>
        <w:ind w:right="113"/>
        <w:rPr>
          <w:szCs w:val="22"/>
        </w:rPr>
      </w:pPr>
      <w:r>
        <w:t>Lot</w:t>
      </w:r>
    </w:p>
    <w:p w14:paraId="5F019628" w14:textId="77777777" w:rsidR="008E098D" w:rsidRDefault="008E098D" w:rsidP="008E098D">
      <w:pPr>
        <w:spacing w:line="240" w:lineRule="auto"/>
        <w:ind w:right="113"/>
        <w:rPr>
          <w:szCs w:val="22"/>
        </w:rPr>
      </w:pPr>
    </w:p>
    <w:p w14:paraId="5AEA6CEC" w14:textId="77777777" w:rsidR="00840852" w:rsidRPr="00743D4B" w:rsidRDefault="00840852" w:rsidP="008E098D">
      <w:pPr>
        <w:spacing w:line="240" w:lineRule="auto"/>
        <w:ind w:right="113"/>
        <w:rPr>
          <w:szCs w:val="22"/>
        </w:rPr>
      </w:pPr>
    </w:p>
    <w:p w14:paraId="6E618541"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CONTENU EN POIDS, VOLUME OU UNITÉ</w:t>
      </w:r>
    </w:p>
    <w:p w14:paraId="2E42018E" w14:textId="77777777" w:rsidR="008E098D" w:rsidRPr="00743D4B" w:rsidRDefault="008E098D" w:rsidP="008E098D">
      <w:pPr>
        <w:spacing w:line="240" w:lineRule="auto"/>
        <w:ind w:right="113"/>
        <w:rPr>
          <w:szCs w:val="22"/>
        </w:rPr>
      </w:pPr>
    </w:p>
    <w:p w14:paraId="354270A4" w14:textId="731B9250" w:rsidR="008E098D" w:rsidRPr="00743D4B" w:rsidRDefault="008E098D" w:rsidP="008E098D">
      <w:pPr>
        <w:spacing w:line="240" w:lineRule="auto"/>
        <w:ind w:right="113"/>
        <w:rPr>
          <w:szCs w:val="22"/>
        </w:rPr>
      </w:pPr>
      <w:r>
        <w:t>44 mg/1,1 </w:t>
      </w:r>
      <w:r w:rsidR="001C17CF">
        <w:t>m</w:t>
      </w:r>
      <w:r w:rsidR="00FE7BBE">
        <w:t>L</w:t>
      </w:r>
    </w:p>
    <w:p w14:paraId="50E80511" w14:textId="77777777" w:rsidR="008E098D" w:rsidRDefault="008E098D" w:rsidP="008E098D">
      <w:pPr>
        <w:spacing w:line="240" w:lineRule="auto"/>
        <w:ind w:right="113"/>
        <w:rPr>
          <w:szCs w:val="22"/>
        </w:rPr>
      </w:pPr>
    </w:p>
    <w:p w14:paraId="70172D92" w14:textId="77777777" w:rsidR="00840852" w:rsidRPr="00743D4B" w:rsidRDefault="00840852" w:rsidP="008E098D">
      <w:pPr>
        <w:spacing w:line="240" w:lineRule="auto"/>
        <w:ind w:right="113"/>
        <w:rPr>
          <w:szCs w:val="22"/>
        </w:rPr>
      </w:pPr>
    </w:p>
    <w:p w14:paraId="443C366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6.</w:t>
      </w:r>
      <w:r>
        <w:rPr>
          <w:b/>
        </w:rPr>
        <w:tab/>
        <w:t>AUTRE</w:t>
      </w:r>
    </w:p>
    <w:p w14:paraId="79C0D477" w14:textId="77777777" w:rsidR="00443930" w:rsidRPr="00743D4B" w:rsidRDefault="00443930" w:rsidP="00204AAB">
      <w:pPr>
        <w:shd w:val="clear" w:color="auto" w:fill="FFFFFF"/>
        <w:spacing w:line="240" w:lineRule="auto"/>
        <w:rPr>
          <w:szCs w:val="22"/>
        </w:rPr>
      </w:pPr>
    </w:p>
    <w:p w14:paraId="75A3E57E" w14:textId="77777777" w:rsidR="008E098D" w:rsidRPr="00743D4B" w:rsidRDefault="00DF5F08">
      <w:pPr>
        <w:tabs>
          <w:tab w:val="clear" w:pos="567"/>
        </w:tabs>
        <w:spacing w:line="240" w:lineRule="auto"/>
        <w:rPr>
          <w:szCs w:val="22"/>
        </w:rPr>
      </w:pPr>
      <w:r>
        <w:br w:type="page"/>
      </w:r>
    </w:p>
    <w:p w14:paraId="2BA8142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MENTIONS DEVANT FIGURER SUR L’EMBALLAGE EXTÉRIEUR</w:t>
      </w:r>
    </w:p>
    <w:p w14:paraId="6A1AD07F"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21BD8349" w14:textId="1898FD4F" w:rsidR="00812D16" w:rsidRPr="00743D4B"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Pr>
          <w:b/>
        </w:rPr>
        <w:t>EMBALLAGE EXTÉRIEUR (76 mg/1,9 </w:t>
      </w:r>
      <w:r w:rsidR="001C17CF">
        <w:rPr>
          <w:b/>
        </w:rPr>
        <w:t>m</w:t>
      </w:r>
      <w:r w:rsidR="00FE7BBE">
        <w:rPr>
          <w:b/>
        </w:rPr>
        <w:t>L</w:t>
      </w:r>
      <w:r>
        <w:rPr>
          <w:b/>
        </w:rPr>
        <w:t>)</w:t>
      </w:r>
    </w:p>
    <w:p w14:paraId="7E62579D" w14:textId="77777777" w:rsidR="00812D16" w:rsidRPr="00743D4B" w:rsidRDefault="00812D16" w:rsidP="00204AAB">
      <w:pPr>
        <w:spacing w:line="240" w:lineRule="auto"/>
        <w:rPr>
          <w:szCs w:val="22"/>
        </w:rPr>
      </w:pPr>
    </w:p>
    <w:p w14:paraId="1DC828E9" w14:textId="77777777" w:rsidR="006C6114" w:rsidRPr="00743D4B" w:rsidRDefault="006C6114" w:rsidP="00204AAB">
      <w:pPr>
        <w:spacing w:line="240" w:lineRule="auto"/>
        <w:rPr>
          <w:szCs w:val="22"/>
        </w:rPr>
      </w:pPr>
    </w:p>
    <w:p w14:paraId="22D62453"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DÉNOMINATION DU MÉDICAMENT</w:t>
      </w:r>
    </w:p>
    <w:p w14:paraId="0C3C480A" w14:textId="77777777" w:rsidR="00812D16" w:rsidRPr="00743D4B" w:rsidRDefault="00812D16" w:rsidP="00204AAB">
      <w:pPr>
        <w:spacing w:line="240" w:lineRule="auto"/>
        <w:rPr>
          <w:szCs w:val="22"/>
        </w:rPr>
      </w:pPr>
    </w:p>
    <w:p w14:paraId="7FA470D6" w14:textId="5A5C2729" w:rsidR="00345218" w:rsidRPr="00743D4B" w:rsidRDefault="00A23713" w:rsidP="00345218">
      <w:pPr>
        <w:widowControl w:val="0"/>
        <w:spacing w:line="240" w:lineRule="auto"/>
        <w:rPr>
          <w:szCs w:val="22"/>
        </w:rPr>
      </w:pPr>
      <w:r>
        <w:t>ELREXFIO 40 mg/m</w:t>
      </w:r>
      <w:r w:rsidR="00FE7BBE">
        <w:t>L</w:t>
      </w:r>
      <w:r>
        <w:t>, solution injectable</w:t>
      </w:r>
    </w:p>
    <w:p w14:paraId="6289AD56" w14:textId="77777777" w:rsidR="00812D16" w:rsidRPr="00743D4B" w:rsidRDefault="00345218" w:rsidP="00204AAB">
      <w:pPr>
        <w:spacing w:line="240" w:lineRule="auto"/>
        <w:rPr>
          <w:b/>
          <w:szCs w:val="22"/>
        </w:rPr>
      </w:pPr>
      <w:r>
        <w:t>elranatamab</w:t>
      </w:r>
    </w:p>
    <w:p w14:paraId="56CBB626" w14:textId="77777777" w:rsidR="00812D16" w:rsidRPr="00743D4B" w:rsidRDefault="00812D16" w:rsidP="00204AAB">
      <w:pPr>
        <w:spacing w:line="240" w:lineRule="auto"/>
        <w:rPr>
          <w:szCs w:val="22"/>
        </w:rPr>
      </w:pPr>
    </w:p>
    <w:p w14:paraId="6017BDF3" w14:textId="77777777" w:rsidR="00812D16" w:rsidRPr="00743D4B" w:rsidRDefault="00812D16" w:rsidP="00204AAB">
      <w:pPr>
        <w:spacing w:line="240" w:lineRule="auto"/>
        <w:rPr>
          <w:szCs w:val="22"/>
        </w:rPr>
      </w:pPr>
    </w:p>
    <w:p w14:paraId="09DEED9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COMPOSITION EN SUBSTANCE(S) ACTIVE(S)</w:t>
      </w:r>
    </w:p>
    <w:p w14:paraId="484CA8CB" w14:textId="77777777" w:rsidR="00812D16" w:rsidRPr="00743D4B" w:rsidRDefault="00812D16" w:rsidP="00204AAB">
      <w:pPr>
        <w:spacing w:line="240" w:lineRule="auto"/>
        <w:rPr>
          <w:szCs w:val="22"/>
        </w:rPr>
      </w:pPr>
    </w:p>
    <w:p w14:paraId="3FF45AC6" w14:textId="726A1453" w:rsidR="00F84771" w:rsidRPr="00743D4B" w:rsidRDefault="00F84771" w:rsidP="00F84771">
      <w:pPr>
        <w:pStyle w:val="Paragraph"/>
        <w:spacing w:after="0"/>
        <w:rPr>
          <w:rStyle w:val="Instructions"/>
          <w:i w:val="0"/>
          <w:color w:val="auto"/>
          <w:sz w:val="22"/>
          <w:szCs w:val="22"/>
        </w:rPr>
      </w:pPr>
      <w:r>
        <w:rPr>
          <w:rStyle w:val="Instructions"/>
          <w:i w:val="0"/>
          <w:color w:val="auto"/>
          <w:sz w:val="22"/>
        </w:rPr>
        <w:t>Un flacon de 1,9 </w:t>
      </w:r>
      <w:r w:rsidR="001C17CF">
        <w:rPr>
          <w:rStyle w:val="Instructions"/>
          <w:i w:val="0"/>
          <w:color w:val="auto"/>
          <w:sz w:val="22"/>
        </w:rPr>
        <w:t>m</w:t>
      </w:r>
      <w:r w:rsidR="00FE7BBE">
        <w:rPr>
          <w:rStyle w:val="Instructions"/>
          <w:i w:val="0"/>
          <w:color w:val="auto"/>
          <w:sz w:val="22"/>
        </w:rPr>
        <w:t>L</w:t>
      </w:r>
      <w:r>
        <w:rPr>
          <w:rStyle w:val="Instructions"/>
          <w:i w:val="0"/>
          <w:color w:val="auto"/>
          <w:sz w:val="22"/>
        </w:rPr>
        <w:t xml:space="preserve"> contient 76 mg d’elranatamab </w:t>
      </w:r>
      <w:r w:rsidRPr="00103194">
        <w:rPr>
          <w:rStyle w:val="Instructions"/>
          <w:i w:val="0"/>
          <w:color w:val="auto"/>
          <w:sz w:val="22"/>
          <w:highlight w:val="lightGray"/>
        </w:rPr>
        <w:t>(40 mg/</w:t>
      </w:r>
      <w:r w:rsidR="001C17CF" w:rsidRPr="00103194">
        <w:rPr>
          <w:rStyle w:val="Instructions"/>
          <w:i w:val="0"/>
          <w:color w:val="auto"/>
          <w:sz w:val="22"/>
          <w:highlight w:val="lightGray"/>
        </w:rPr>
        <w:t>m</w:t>
      </w:r>
      <w:r w:rsidR="00FE7BBE">
        <w:rPr>
          <w:rStyle w:val="Instructions"/>
          <w:i w:val="0"/>
          <w:color w:val="auto"/>
          <w:sz w:val="22"/>
          <w:highlight w:val="lightGray"/>
        </w:rPr>
        <w:t>L</w:t>
      </w:r>
      <w:r w:rsidRPr="00103194">
        <w:rPr>
          <w:rStyle w:val="Instructions"/>
          <w:i w:val="0"/>
          <w:color w:val="auto"/>
          <w:sz w:val="22"/>
          <w:highlight w:val="lightGray"/>
        </w:rPr>
        <w:t>)</w:t>
      </w:r>
      <w:r>
        <w:rPr>
          <w:rStyle w:val="Instructions"/>
          <w:i w:val="0"/>
          <w:color w:val="auto"/>
          <w:sz w:val="22"/>
        </w:rPr>
        <w:t>.</w:t>
      </w:r>
    </w:p>
    <w:p w14:paraId="1C4B2E68" w14:textId="77777777" w:rsidR="00812D16" w:rsidRPr="00743D4B" w:rsidRDefault="00812D16" w:rsidP="00204AAB">
      <w:pPr>
        <w:spacing w:line="240" w:lineRule="auto"/>
        <w:rPr>
          <w:szCs w:val="22"/>
        </w:rPr>
      </w:pPr>
    </w:p>
    <w:p w14:paraId="0B400268" w14:textId="77777777" w:rsidR="00812D16" w:rsidRPr="00743D4B" w:rsidRDefault="00812D16" w:rsidP="00204AAB">
      <w:pPr>
        <w:spacing w:line="240" w:lineRule="auto"/>
        <w:rPr>
          <w:szCs w:val="22"/>
        </w:rPr>
      </w:pPr>
    </w:p>
    <w:p w14:paraId="31A9133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LISTE DES EXCIPIENTS</w:t>
      </w:r>
    </w:p>
    <w:p w14:paraId="3E53111A" w14:textId="77777777" w:rsidR="00812D16" w:rsidRPr="00743D4B" w:rsidRDefault="00812D16" w:rsidP="00204AAB">
      <w:pPr>
        <w:spacing w:line="240" w:lineRule="auto"/>
        <w:rPr>
          <w:szCs w:val="22"/>
        </w:rPr>
      </w:pPr>
    </w:p>
    <w:p w14:paraId="13C3F069" w14:textId="15B9F083" w:rsidR="00812D16" w:rsidRPr="00743D4B" w:rsidRDefault="00BB3907" w:rsidP="00204AAB">
      <w:pPr>
        <w:spacing w:line="240" w:lineRule="auto"/>
      </w:pPr>
      <w:r>
        <w:t xml:space="preserve">Excipients : </w:t>
      </w:r>
      <w:r w:rsidR="008447FB">
        <w:t xml:space="preserve">édétate disodique, </w:t>
      </w:r>
      <w:r>
        <w:t>L-histidine, chlorhydrate de L-histidine monohydraté, polysorbate 80, saccharose, eau pour préparations injectables.</w:t>
      </w:r>
    </w:p>
    <w:p w14:paraId="5EEA9714" w14:textId="77777777" w:rsidR="005244A9" w:rsidRPr="00743D4B" w:rsidRDefault="005244A9" w:rsidP="00204AAB">
      <w:pPr>
        <w:spacing w:line="240" w:lineRule="auto"/>
        <w:rPr>
          <w:szCs w:val="22"/>
        </w:rPr>
      </w:pPr>
    </w:p>
    <w:p w14:paraId="68B2B72D" w14:textId="77777777" w:rsidR="00901A0F" w:rsidRPr="00743D4B" w:rsidRDefault="00901A0F" w:rsidP="00204AAB">
      <w:pPr>
        <w:spacing w:line="240" w:lineRule="auto"/>
        <w:rPr>
          <w:szCs w:val="22"/>
        </w:rPr>
      </w:pPr>
    </w:p>
    <w:p w14:paraId="2B2A1C2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FORME PHARMACEUTIQUE ET CONTENU</w:t>
      </w:r>
    </w:p>
    <w:p w14:paraId="0987DA98" w14:textId="77777777" w:rsidR="005244A9" w:rsidRPr="00743D4B" w:rsidRDefault="005244A9" w:rsidP="00204AAB">
      <w:pPr>
        <w:spacing w:line="240" w:lineRule="auto"/>
      </w:pPr>
    </w:p>
    <w:p w14:paraId="3BD9B071" w14:textId="77777777" w:rsidR="00812D16" w:rsidRPr="00743D4B" w:rsidRDefault="005244A9" w:rsidP="00204AAB">
      <w:pPr>
        <w:spacing w:line="240" w:lineRule="auto"/>
      </w:pPr>
      <w:r w:rsidRPr="00103194">
        <w:rPr>
          <w:highlight w:val="lightGray"/>
        </w:rPr>
        <w:t>Solution injectable</w:t>
      </w:r>
    </w:p>
    <w:p w14:paraId="2952B3DF" w14:textId="5D07FD22" w:rsidR="002C2791" w:rsidRPr="00743D4B" w:rsidRDefault="002C2791" w:rsidP="00204AAB">
      <w:pPr>
        <w:spacing w:line="240" w:lineRule="auto"/>
        <w:rPr>
          <w:szCs w:val="22"/>
        </w:rPr>
      </w:pPr>
      <w:r>
        <w:t>1 flacon (76 mg/1,9 </w:t>
      </w:r>
      <w:r w:rsidR="001C17CF">
        <w:t>m</w:t>
      </w:r>
      <w:r w:rsidR="00FE7BBE">
        <w:t>L</w:t>
      </w:r>
      <w:r>
        <w:t>)</w:t>
      </w:r>
    </w:p>
    <w:p w14:paraId="64CB3D2A" w14:textId="77777777" w:rsidR="00812D16" w:rsidRPr="00743D4B" w:rsidRDefault="00812D16" w:rsidP="00204AAB">
      <w:pPr>
        <w:spacing w:line="240" w:lineRule="auto"/>
        <w:rPr>
          <w:szCs w:val="22"/>
        </w:rPr>
      </w:pPr>
    </w:p>
    <w:p w14:paraId="63F65537" w14:textId="77777777" w:rsidR="00901A0F" w:rsidRPr="00743D4B" w:rsidRDefault="00901A0F" w:rsidP="00204AAB">
      <w:pPr>
        <w:spacing w:line="240" w:lineRule="auto"/>
        <w:rPr>
          <w:szCs w:val="22"/>
        </w:rPr>
      </w:pPr>
    </w:p>
    <w:p w14:paraId="7C2FFA7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MODE ET VOIE(S) D’ADMINISTRATION</w:t>
      </w:r>
    </w:p>
    <w:p w14:paraId="57A89F1D" w14:textId="77777777" w:rsidR="00812D16" w:rsidRPr="00743D4B" w:rsidRDefault="00812D16" w:rsidP="00204AAB">
      <w:pPr>
        <w:spacing w:line="240" w:lineRule="auto"/>
        <w:rPr>
          <w:szCs w:val="22"/>
        </w:rPr>
      </w:pPr>
    </w:p>
    <w:p w14:paraId="7AED0D59" w14:textId="77777777" w:rsidR="00AB48E9" w:rsidRPr="00743D4B" w:rsidRDefault="00AB48E9" w:rsidP="00AB48E9">
      <w:pPr>
        <w:spacing w:line="240" w:lineRule="auto"/>
        <w:rPr>
          <w:szCs w:val="22"/>
        </w:rPr>
      </w:pPr>
      <w:r>
        <w:t>Lire la notice avant utilisation.</w:t>
      </w:r>
    </w:p>
    <w:p w14:paraId="73260C29" w14:textId="77777777" w:rsidR="00491532" w:rsidRPr="00743D4B" w:rsidRDefault="004B5166" w:rsidP="00491532">
      <w:pPr>
        <w:spacing w:line="240" w:lineRule="auto"/>
      </w:pPr>
      <w:r>
        <w:t>Voie sous-cutanée uniquement.</w:t>
      </w:r>
    </w:p>
    <w:p w14:paraId="15AD726A" w14:textId="77777777" w:rsidR="00812D16" w:rsidRPr="00743D4B" w:rsidRDefault="00812D16" w:rsidP="00204AAB">
      <w:pPr>
        <w:spacing w:line="240" w:lineRule="auto"/>
        <w:rPr>
          <w:szCs w:val="22"/>
        </w:rPr>
      </w:pPr>
    </w:p>
    <w:p w14:paraId="3A0B072D" w14:textId="77777777" w:rsidR="00901A0F" w:rsidRPr="00743D4B" w:rsidRDefault="00901A0F" w:rsidP="00204AAB">
      <w:pPr>
        <w:spacing w:line="240" w:lineRule="auto"/>
        <w:rPr>
          <w:szCs w:val="22"/>
        </w:rPr>
      </w:pPr>
    </w:p>
    <w:p w14:paraId="541F2BC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MISE EN GARDE SPÉCIALE INDIQUANT QUE LE MÉDICAMENT DOIT ÊTRE CONSERVÉ HORS DE VUE ET DE PORTÉE DES ENFANTS</w:t>
      </w:r>
    </w:p>
    <w:p w14:paraId="4AE04B3D" w14:textId="77777777" w:rsidR="00812D16" w:rsidRPr="00743D4B" w:rsidRDefault="00812D16" w:rsidP="00204AAB">
      <w:pPr>
        <w:spacing w:line="240" w:lineRule="auto"/>
        <w:rPr>
          <w:szCs w:val="22"/>
        </w:rPr>
      </w:pPr>
    </w:p>
    <w:p w14:paraId="19B32EFE" w14:textId="77777777" w:rsidR="00812D16" w:rsidRPr="00743D4B" w:rsidRDefault="00812D16" w:rsidP="002564E9">
      <w:pPr>
        <w:spacing w:line="240" w:lineRule="auto"/>
        <w:rPr>
          <w:szCs w:val="22"/>
        </w:rPr>
      </w:pPr>
      <w:r>
        <w:t>Tenir hors de la vue et de la portée des enfants.</w:t>
      </w:r>
    </w:p>
    <w:p w14:paraId="0A1E72DC" w14:textId="77777777" w:rsidR="00812D16" w:rsidRPr="00743D4B" w:rsidRDefault="00812D16" w:rsidP="00204AAB">
      <w:pPr>
        <w:spacing w:line="240" w:lineRule="auto"/>
        <w:rPr>
          <w:szCs w:val="22"/>
        </w:rPr>
      </w:pPr>
    </w:p>
    <w:p w14:paraId="4D291852" w14:textId="77777777" w:rsidR="00812D16" w:rsidRPr="00743D4B" w:rsidRDefault="00812D16" w:rsidP="00204AAB">
      <w:pPr>
        <w:spacing w:line="240" w:lineRule="auto"/>
        <w:rPr>
          <w:szCs w:val="22"/>
        </w:rPr>
      </w:pPr>
    </w:p>
    <w:p w14:paraId="3C96D6AF" w14:textId="77777777" w:rsidR="00812D16" w:rsidRPr="00743D4B"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AUTRE(S) MISE(S) EN GARDE SPÉCIALE(S), SI NÉCESSAIRE</w:t>
      </w:r>
    </w:p>
    <w:p w14:paraId="01B6C9B3" w14:textId="77777777" w:rsidR="00AB48E9" w:rsidRPr="00743D4B" w:rsidRDefault="00AB48E9" w:rsidP="00AB48E9">
      <w:pPr>
        <w:spacing w:line="240" w:lineRule="auto"/>
        <w:rPr>
          <w:szCs w:val="22"/>
        </w:rPr>
      </w:pPr>
    </w:p>
    <w:p w14:paraId="5C648E80" w14:textId="77777777" w:rsidR="00AB48E9" w:rsidRPr="00743D4B" w:rsidRDefault="00AB48E9" w:rsidP="00AB48E9">
      <w:pPr>
        <w:spacing w:line="240" w:lineRule="auto"/>
        <w:rPr>
          <w:szCs w:val="22"/>
        </w:rPr>
      </w:pPr>
      <w:r>
        <w:t>Ne pas agiter.</w:t>
      </w:r>
    </w:p>
    <w:p w14:paraId="18BBA05E" w14:textId="77777777" w:rsidR="00812D16" w:rsidRPr="00743D4B" w:rsidRDefault="00812D16" w:rsidP="00204AAB">
      <w:pPr>
        <w:tabs>
          <w:tab w:val="left" w:pos="749"/>
        </w:tabs>
        <w:spacing w:line="240" w:lineRule="auto"/>
        <w:rPr>
          <w:szCs w:val="22"/>
        </w:rPr>
      </w:pPr>
    </w:p>
    <w:p w14:paraId="7103F4C9" w14:textId="77777777" w:rsidR="00901A0F" w:rsidRPr="00743D4B" w:rsidRDefault="00901A0F" w:rsidP="00204AAB">
      <w:pPr>
        <w:tabs>
          <w:tab w:val="left" w:pos="749"/>
        </w:tabs>
        <w:spacing w:line="240" w:lineRule="auto"/>
        <w:rPr>
          <w:szCs w:val="22"/>
        </w:rPr>
      </w:pPr>
    </w:p>
    <w:p w14:paraId="3FD2BD8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DATE DE PÉREMPTION</w:t>
      </w:r>
    </w:p>
    <w:p w14:paraId="12BDBD49" w14:textId="77777777" w:rsidR="00812D16" w:rsidRPr="00743D4B" w:rsidRDefault="00812D16" w:rsidP="00204AAB">
      <w:pPr>
        <w:spacing w:line="240" w:lineRule="auto"/>
        <w:rPr>
          <w:szCs w:val="22"/>
        </w:rPr>
      </w:pPr>
    </w:p>
    <w:p w14:paraId="141359D0" w14:textId="77777777" w:rsidR="00812D16" w:rsidRPr="00743D4B" w:rsidRDefault="00491532" w:rsidP="00204AAB">
      <w:pPr>
        <w:spacing w:line="240" w:lineRule="auto"/>
        <w:rPr>
          <w:szCs w:val="22"/>
        </w:rPr>
      </w:pPr>
      <w:r>
        <w:t>EXP</w:t>
      </w:r>
    </w:p>
    <w:p w14:paraId="45692E32" w14:textId="77777777" w:rsidR="00491532" w:rsidRPr="00743D4B" w:rsidRDefault="00491532" w:rsidP="00204AAB">
      <w:pPr>
        <w:spacing w:line="240" w:lineRule="auto"/>
        <w:rPr>
          <w:szCs w:val="22"/>
        </w:rPr>
      </w:pPr>
    </w:p>
    <w:p w14:paraId="6F1DFF64" w14:textId="77777777" w:rsidR="00901A0F" w:rsidRPr="00743D4B" w:rsidRDefault="00901A0F" w:rsidP="00204AAB">
      <w:pPr>
        <w:spacing w:line="240" w:lineRule="auto"/>
        <w:rPr>
          <w:szCs w:val="22"/>
        </w:rPr>
      </w:pPr>
    </w:p>
    <w:p w14:paraId="6CDB8740" w14:textId="77777777" w:rsidR="00812D16" w:rsidRPr="00743D4B"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PRÉCAUTIONS PARTICULIÈRES DE CONSERVATION</w:t>
      </w:r>
    </w:p>
    <w:p w14:paraId="3CE0A00E" w14:textId="77777777" w:rsidR="00103265" w:rsidRPr="00743D4B" w:rsidRDefault="00103265" w:rsidP="00204AAB">
      <w:pPr>
        <w:spacing w:line="240" w:lineRule="auto"/>
      </w:pPr>
    </w:p>
    <w:p w14:paraId="10691207" w14:textId="77777777" w:rsidR="00103265" w:rsidRPr="00743D4B" w:rsidRDefault="00103265" w:rsidP="00204AAB">
      <w:pPr>
        <w:spacing w:line="240" w:lineRule="auto"/>
      </w:pPr>
      <w:r>
        <w:t>À conserver au réfrigérateur.</w:t>
      </w:r>
    </w:p>
    <w:p w14:paraId="29E56153" w14:textId="77777777" w:rsidR="00AB48E9" w:rsidRPr="00743D4B" w:rsidRDefault="00103265" w:rsidP="00AB48E9">
      <w:pPr>
        <w:spacing w:line="240" w:lineRule="auto"/>
      </w:pPr>
      <w:r>
        <w:t>Ne pas congeler.</w:t>
      </w:r>
    </w:p>
    <w:p w14:paraId="5FD36B44" w14:textId="77777777" w:rsidR="00812D16" w:rsidRPr="00743D4B" w:rsidRDefault="00103265" w:rsidP="00AB48E9">
      <w:pPr>
        <w:spacing w:line="240" w:lineRule="auto"/>
      </w:pPr>
      <w:r>
        <w:t>À conserver dans l’emballage d’origine, à l’abri de la lumière.</w:t>
      </w:r>
    </w:p>
    <w:p w14:paraId="4CC6FFCC" w14:textId="77777777" w:rsidR="4A357507" w:rsidRPr="00672C18" w:rsidRDefault="4A357507" w:rsidP="4A357507">
      <w:pPr>
        <w:spacing w:line="240" w:lineRule="auto"/>
        <w:rPr>
          <w:bCs/>
        </w:rPr>
      </w:pPr>
    </w:p>
    <w:p w14:paraId="095004C3" w14:textId="77777777" w:rsidR="4A357507" w:rsidRPr="00672C18" w:rsidRDefault="4A357507" w:rsidP="4A357507">
      <w:pPr>
        <w:spacing w:line="240" w:lineRule="auto"/>
        <w:rPr>
          <w:bCs/>
        </w:rPr>
      </w:pPr>
    </w:p>
    <w:p w14:paraId="5DD36389" w14:textId="77777777" w:rsidR="00812D16" w:rsidRPr="00743D4B"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PRÉCAUTIONS PARTICULIÈRES D’ÉLIMINATION DES MÉDICAMENTS NON UTILISÉS OU DES DÉCHETS PROVENANT DE CES MÉDICAMENTS S’IL Y A LIEU</w:t>
      </w:r>
    </w:p>
    <w:p w14:paraId="119E6F8A" w14:textId="77777777" w:rsidR="00812D16" w:rsidRPr="00743D4B" w:rsidRDefault="00812D16" w:rsidP="00204AAB">
      <w:pPr>
        <w:spacing w:line="240" w:lineRule="auto"/>
        <w:rPr>
          <w:szCs w:val="22"/>
        </w:rPr>
      </w:pPr>
    </w:p>
    <w:p w14:paraId="0629C2C6" w14:textId="77777777" w:rsidR="00812D16" w:rsidRPr="00743D4B" w:rsidRDefault="00812D16" w:rsidP="00204AAB">
      <w:pPr>
        <w:spacing w:line="240" w:lineRule="auto"/>
        <w:rPr>
          <w:szCs w:val="22"/>
        </w:rPr>
      </w:pPr>
    </w:p>
    <w:p w14:paraId="0B21DDE8" w14:textId="77777777" w:rsidR="00812D16" w:rsidRPr="00743D4B" w:rsidRDefault="00812D16" w:rsidP="00A10D5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NOM ET ADRESSE DU TITULAIRE DE L’AUTORISATION DE MISE SUR LE MARCHÉ</w:t>
      </w:r>
    </w:p>
    <w:p w14:paraId="2D4AB4B2" w14:textId="77777777" w:rsidR="00812D16" w:rsidRPr="00743D4B" w:rsidRDefault="00812D16" w:rsidP="00204AAB">
      <w:pPr>
        <w:spacing w:line="240" w:lineRule="auto"/>
        <w:rPr>
          <w:szCs w:val="22"/>
        </w:rPr>
      </w:pPr>
    </w:p>
    <w:p w14:paraId="2602D8F9" w14:textId="77777777" w:rsidR="00B05808" w:rsidRPr="00743D4B" w:rsidRDefault="00B05808" w:rsidP="00B05808">
      <w:pPr>
        <w:spacing w:line="240" w:lineRule="auto"/>
        <w:rPr>
          <w:szCs w:val="22"/>
        </w:rPr>
      </w:pPr>
      <w:r>
        <w:t>Pfizer Europe MA EEIG</w:t>
      </w:r>
    </w:p>
    <w:p w14:paraId="564A86CC" w14:textId="77777777" w:rsidR="00B05808" w:rsidRPr="00743D4B" w:rsidRDefault="00B05808" w:rsidP="00B05808">
      <w:pPr>
        <w:spacing w:line="240" w:lineRule="auto"/>
        <w:rPr>
          <w:szCs w:val="22"/>
        </w:rPr>
      </w:pPr>
      <w:r>
        <w:t>Boulevard de la Plaine 17</w:t>
      </w:r>
    </w:p>
    <w:p w14:paraId="04221EBF" w14:textId="77777777" w:rsidR="00B05808" w:rsidRPr="00743D4B" w:rsidRDefault="00B05808" w:rsidP="00B05808">
      <w:pPr>
        <w:spacing w:line="240" w:lineRule="auto"/>
        <w:rPr>
          <w:szCs w:val="22"/>
        </w:rPr>
      </w:pPr>
      <w:r>
        <w:t>1050 Bruxelles</w:t>
      </w:r>
    </w:p>
    <w:p w14:paraId="2C0248AD" w14:textId="77777777" w:rsidR="00812D16" w:rsidRPr="00743D4B" w:rsidRDefault="00B05808" w:rsidP="00B05808">
      <w:pPr>
        <w:spacing w:line="240" w:lineRule="auto"/>
        <w:rPr>
          <w:szCs w:val="22"/>
        </w:rPr>
      </w:pPr>
      <w:r>
        <w:t>Belgique</w:t>
      </w:r>
    </w:p>
    <w:p w14:paraId="6EAACCAB" w14:textId="77777777" w:rsidR="00812D16" w:rsidRPr="00743D4B" w:rsidRDefault="00812D16" w:rsidP="00204AAB">
      <w:pPr>
        <w:spacing w:line="240" w:lineRule="auto"/>
        <w:rPr>
          <w:szCs w:val="22"/>
        </w:rPr>
      </w:pPr>
    </w:p>
    <w:p w14:paraId="297AA253" w14:textId="77777777" w:rsidR="00901A0F" w:rsidRPr="00743D4B" w:rsidRDefault="00901A0F" w:rsidP="00204AAB">
      <w:pPr>
        <w:spacing w:line="240" w:lineRule="auto"/>
        <w:rPr>
          <w:szCs w:val="22"/>
        </w:rPr>
      </w:pPr>
    </w:p>
    <w:p w14:paraId="60B21AB3"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NUMÉRO(S) D’AUTORISATION DE MISE SUR LE MARCHÉ </w:t>
      </w:r>
    </w:p>
    <w:p w14:paraId="2BB728FC" w14:textId="77777777" w:rsidR="00812D16" w:rsidRPr="00743D4B" w:rsidRDefault="00812D16" w:rsidP="00204AAB">
      <w:pPr>
        <w:spacing w:line="240" w:lineRule="auto"/>
        <w:rPr>
          <w:szCs w:val="22"/>
        </w:rPr>
      </w:pPr>
    </w:p>
    <w:p w14:paraId="2CAC0ADD" w14:textId="29FB5469" w:rsidR="00812D16" w:rsidRPr="00743D4B" w:rsidRDefault="00812D16" w:rsidP="002564E9">
      <w:pPr>
        <w:spacing w:line="240" w:lineRule="auto"/>
        <w:rPr>
          <w:szCs w:val="22"/>
        </w:rPr>
      </w:pPr>
      <w:r>
        <w:t>EU/</w:t>
      </w:r>
      <w:r w:rsidR="00103194" w:rsidRPr="001E7EB5">
        <w:rPr>
          <w:noProof/>
          <w:szCs w:val="22"/>
        </w:rPr>
        <w:t>1/23/1770/00</w:t>
      </w:r>
      <w:r w:rsidR="00103194">
        <w:rPr>
          <w:noProof/>
          <w:szCs w:val="22"/>
        </w:rPr>
        <w:t>2</w:t>
      </w:r>
    </w:p>
    <w:p w14:paraId="5F29866B" w14:textId="77777777" w:rsidR="00812D16" w:rsidRPr="00743D4B" w:rsidRDefault="00812D16" w:rsidP="00204AAB">
      <w:pPr>
        <w:spacing w:line="240" w:lineRule="auto"/>
        <w:rPr>
          <w:szCs w:val="22"/>
        </w:rPr>
      </w:pPr>
    </w:p>
    <w:p w14:paraId="5716914F" w14:textId="77777777" w:rsidR="00812D16" w:rsidRPr="00743D4B" w:rsidRDefault="00812D16" w:rsidP="00204AAB">
      <w:pPr>
        <w:spacing w:line="240" w:lineRule="auto"/>
        <w:rPr>
          <w:szCs w:val="22"/>
        </w:rPr>
      </w:pPr>
    </w:p>
    <w:p w14:paraId="17D166C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NUMÉRO DU LOT</w:t>
      </w:r>
    </w:p>
    <w:p w14:paraId="575FD8E5" w14:textId="77777777" w:rsidR="00812D16" w:rsidRPr="00743D4B" w:rsidRDefault="00812D16" w:rsidP="00204AAB">
      <w:pPr>
        <w:spacing w:line="240" w:lineRule="auto"/>
        <w:rPr>
          <w:i/>
          <w:szCs w:val="22"/>
        </w:rPr>
      </w:pPr>
    </w:p>
    <w:p w14:paraId="1310C0C8" w14:textId="77777777" w:rsidR="00B05808" w:rsidRPr="00743D4B" w:rsidRDefault="00B05808" w:rsidP="00204AAB">
      <w:pPr>
        <w:spacing w:line="240" w:lineRule="auto"/>
        <w:rPr>
          <w:szCs w:val="22"/>
        </w:rPr>
      </w:pPr>
      <w:r>
        <w:t>Lot</w:t>
      </w:r>
    </w:p>
    <w:p w14:paraId="04C0683D" w14:textId="77777777" w:rsidR="00812D16" w:rsidRPr="00743D4B" w:rsidRDefault="00812D16" w:rsidP="00204AAB">
      <w:pPr>
        <w:spacing w:line="240" w:lineRule="auto"/>
        <w:rPr>
          <w:szCs w:val="22"/>
        </w:rPr>
      </w:pPr>
    </w:p>
    <w:p w14:paraId="646BACBF" w14:textId="77777777" w:rsidR="00901A0F" w:rsidRPr="00743D4B" w:rsidRDefault="00901A0F" w:rsidP="00204AAB">
      <w:pPr>
        <w:spacing w:line="240" w:lineRule="auto"/>
        <w:rPr>
          <w:szCs w:val="22"/>
        </w:rPr>
      </w:pPr>
    </w:p>
    <w:p w14:paraId="11CF0B4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CONDITIONS DE PRESCRIPTION ET DE DÉLIVRANCE</w:t>
      </w:r>
    </w:p>
    <w:p w14:paraId="4EEF9DB8" w14:textId="77777777" w:rsidR="00812D16" w:rsidRPr="00743D4B" w:rsidRDefault="00812D16" w:rsidP="00204AAB">
      <w:pPr>
        <w:spacing w:line="240" w:lineRule="auto"/>
        <w:rPr>
          <w:i/>
          <w:szCs w:val="22"/>
        </w:rPr>
      </w:pPr>
    </w:p>
    <w:p w14:paraId="59828544" w14:textId="77777777" w:rsidR="00812D16" w:rsidRPr="00743D4B" w:rsidRDefault="00812D16" w:rsidP="00204AAB">
      <w:pPr>
        <w:spacing w:line="240" w:lineRule="auto"/>
        <w:rPr>
          <w:szCs w:val="22"/>
        </w:rPr>
      </w:pPr>
    </w:p>
    <w:p w14:paraId="7F3F7158" w14:textId="77777777" w:rsidR="00812D16" w:rsidRPr="00743D4B"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INDICATIONS D’UTILISATION</w:t>
      </w:r>
    </w:p>
    <w:p w14:paraId="3FEC2F89" w14:textId="77777777" w:rsidR="00812D16" w:rsidRPr="00743D4B" w:rsidRDefault="00812D16" w:rsidP="00204AAB">
      <w:pPr>
        <w:spacing w:line="240" w:lineRule="auto"/>
        <w:rPr>
          <w:szCs w:val="22"/>
        </w:rPr>
      </w:pPr>
    </w:p>
    <w:p w14:paraId="62E86A44" w14:textId="77777777" w:rsidR="00812D16" w:rsidRPr="00743D4B" w:rsidRDefault="00812D16" w:rsidP="00204AAB">
      <w:pPr>
        <w:spacing w:line="240" w:lineRule="auto"/>
        <w:rPr>
          <w:szCs w:val="22"/>
        </w:rPr>
      </w:pPr>
    </w:p>
    <w:p w14:paraId="0941A832" w14:textId="77777777" w:rsidR="00812D16" w:rsidRPr="00743D4B"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INFORMATIONS EN BRAILLE</w:t>
      </w:r>
    </w:p>
    <w:p w14:paraId="36DE3273" w14:textId="77777777" w:rsidR="00812D16" w:rsidRPr="00743D4B" w:rsidRDefault="00812D16" w:rsidP="00204AAB">
      <w:pPr>
        <w:spacing w:line="240" w:lineRule="auto"/>
        <w:rPr>
          <w:szCs w:val="22"/>
        </w:rPr>
      </w:pPr>
    </w:p>
    <w:p w14:paraId="054226AB" w14:textId="77777777" w:rsidR="000A7BAE" w:rsidRPr="00743D4B" w:rsidRDefault="000A7BAE" w:rsidP="000A7BAE">
      <w:pPr>
        <w:spacing w:line="240" w:lineRule="auto"/>
        <w:rPr>
          <w:szCs w:val="22"/>
          <w:shd w:val="clear" w:color="auto" w:fill="CCCCCC"/>
        </w:rPr>
      </w:pPr>
      <w:r>
        <w:rPr>
          <w:shd w:val="clear" w:color="auto" w:fill="CCCCCC"/>
        </w:rPr>
        <w:t>Justification de ne pas inclure l’information en Braille acceptée.</w:t>
      </w:r>
    </w:p>
    <w:p w14:paraId="55D22D23" w14:textId="77777777" w:rsidR="000A7BAE" w:rsidRPr="00743D4B" w:rsidRDefault="000A7BAE" w:rsidP="000A7BAE">
      <w:pPr>
        <w:spacing w:line="240" w:lineRule="auto"/>
        <w:rPr>
          <w:szCs w:val="22"/>
          <w:shd w:val="clear" w:color="auto" w:fill="CCCCCC"/>
        </w:rPr>
      </w:pPr>
    </w:p>
    <w:p w14:paraId="7B1A6856" w14:textId="77777777" w:rsidR="000A7BAE" w:rsidRPr="00743D4B" w:rsidRDefault="000A7BAE" w:rsidP="000A7BAE">
      <w:pPr>
        <w:spacing w:line="240" w:lineRule="auto"/>
        <w:rPr>
          <w:szCs w:val="22"/>
          <w:shd w:val="clear" w:color="auto" w:fill="CCCCCC"/>
        </w:rPr>
      </w:pPr>
    </w:p>
    <w:p w14:paraId="3F21962A" w14:textId="77777777" w:rsidR="000A7BAE" w:rsidRPr="00743D4B" w:rsidRDefault="000A7BAE" w:rsidP="000A7BAE">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17.</w:t>
      </w:r>
      <w:r>
        <w:rPr>
          <w:b/>
        </w:rPr>
        <w:tab/>
        <w:t>IDENTIFIANT UNIQUE - CODE-BARRES 2D</w:t>
      </w:r>
    </w:p>
    <w:p w14:paraId="068AAAE5" w14:textId="77777777" w:rsidR="000A7BAE" w:rsidRPr="00743D4B" w:rsidRDefault="000A7BAE" w:rsidP="000A7BAE">
      <w:pPr>
        <w:tabs>
          <w:tab w:val="clear" w:pos="567"/>
        </w:tabs>
        <w:spacing w:line="240" w:lineRule="auto"/>
        <w:rPr>
          <w:szCs w:val="22"/>
        </w:rPr>
      </w:pPr>
    </w:p>
    <w:p w14:paraId="10CABA4F" w14:textId="77777777" w:rsidR="000A7BAE" w:rsidRPr="00743D4B" w:rsidRDefault="000A7BAE" w:rsidP="000A7BAE">
      <w:pPr>
        <w:spacing w:line="240" w:lineRule="auto"/>
        <w:rPr>
          <w:szCs w:val="22"/>
          <w:shd w:val="clear" w:color="auto" w:fill="CCCCCC"/>
        </w:rPr>
      </w:pPr>
      <w:r>
        <w:rPr>
          <w:highlight w:val="darkGray"/>
        </w:rPr>
        <w:t>Code-barres 2D portant l’identifiant unique inclus.</w:t>
      </w:r>
    </w:p>
    <w:p w14:paraId="4C5A1522" w14:textId="77777777" w:rsidR="005C71E4" w:rsidRPr="00897589" w:rsidRDefault="005C71E4" w:rsidP="005C71E4">
      <w:pPr>
        <w:tabs>
          <w:tab w:val="clear" w:pos="567"/>
        </w:tabs>
        <w:spacing w:line="240" w:lineRule="auto"/>
        <w:rPr>
          <w:szCs w:val="22"/>
        </w:rPr>
      </w:pPr>
    </w:p>
    <w:p w14:paraId="36E9882D" w14:textId="77777777" w:rsidR="005C71E4" w:rsidRPr="00743D4B" w:rsidRDefault="005C71E4" w:rsidP="005C71E4">
      <w:pPr>
        <w:tabs>
          <w:tab w:val="clear" w:pos="567"/>
        </w:tabs>
        <w:spacing w:line="240" w:lineRule="auto"/>
        <w:rPr>
          <w:szCs w:val="22"/>
        </w:rPr>
      </w:pPr>
    </w:p>
    <w:p w14:paraId="381A037C" w14:textId="77777777" w:rsidR="005C71E4" w:rsidRPr="00743D4B"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18.</w:t>
      </w:r>
      <w:r>
        <w:rPr>
          <w:b/>
        </w:rPr>
        <w:tab/>
        <w:t>IDENTIFIANT UNIQUE - DONNÉES LISIBLES PAR LES HUMAINS</w:t>
      </w:r>
    </w:p>
    <w:p w14:paraId="59047D6B" w14:textId="77777777" w:rsidR="005C71E4" w:rsidRPr="00743D4B" w:rsidRDefault="005C71E4" w:rsidP="005C71E4">
      <w:pPr>
        <w:tabs>
          <w:tab w:val="clear" w:pos="567"/>
        </w:tabs>
        <w:spacing w:line="240" w:lineRule="auto"/>
        <w:rPr>
          <w:szCs w:val="22"/>
        </w:rPr>
      </w:pPr>
    </w:p>
    <w:p w14:paraId="1C4C55C1" w14:textId="77777777" w:rsidR="005C71E4" w:rsidRPr="00CE5102" w:rsidRDefault="005C71E4" w:rsidP="005C71E4">
      <w:pPr>
        <w:rPr>
          <w:szCs w:val="22"/>
        </w:rPr>
      </w:pPr>
      <w:r>
        <w:t>PC</w:t>
      </w:r>
    </w:p>
    <w:p w14:paraId="37828576" w14:textId="77777777" w:rsidR="005C71E4" w:rsidRPr="00743D4B" w:rsidRDefault="005C71E4" w:rsidP="005C71E4">
      <w:pPr>
        <w:rPr>
          <w:szCs w:val="22"/>
        </w:rPr>
      </w:pPr>
      <w:r>
        <w:t>SN</w:t>
      </w:r>
    </w:p>
    <w:p w14:paraId="470513BB" w14:textId="28D34443" w:rsidR="00D2757B" w:rsidRPr="00D400F3" w:rsidRDefault="005C71E4" w:rsidP="003D08BD">
      <w:pPr>
        <w:rPr>
          <w:szCs w:val="22"/>
        </w:rPr>
      </w:pPr>
      <w:r>
        <w:t>NN</w:t>
      </w:r>
    </w:p>
    <w:p w14:paraId="28D2B9F6" w14:textId="77777777" w:rsidR="003A2407" w:rsidRPr="00743D4B" w:rsidRDefault="00D2757B" w:rsidP="00D2757B">
      <w:pPr>
        <w:spacing w:line="240" w:lineRule="auto"/>
        <w:rPr>
          <w:b/>
          <w:szCs w:val="22"/>
        </w:rPr>
      </w:pPr>
      <w:r>
        <w:br w:type="page"/>
      </w:r>
    </w:p>
    <w:p w14:paraId="3734E1B8" w14:textId="77777777" w:rsidR="00812D16" w:rsidRPr="00743D4B"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MENTIONS MINIMALES DEVANT FIGURER SUR LES PETITS CONDITIONNEMENTS PRIMAIRES</w:t>
      </w:r>
    </w:p>
    <w:p w14:paraId="02C4110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36CE3ACC" w14:textId="1B42C4E7" w:rsidR="00812D16" w:rsidRPr="00743D4B"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Pr>
          <w:b/>
        </w:rPr>
        <w:t>ÉTIQUETTE DU FLACON (76 mg/1,9 </w:t>
      </w:r>
      <w:r w:rsidR="001C17CF">
        <w:rPr>
          <w:b/>
        </w:rPr>
        <w:t>m</w:t>
      </w:r>
      <w:r w:rsidR="00FE7BBE">
        <w:rPr>
          <w:b/>
        </w:rPr>
        <w:t>L</w:t>
      </w:r>
      <w:r>
        <w:rPr>
          <w:b/>
        </w:rPr>
        <w:t>)</w:t>
      </w:r>
    </w:p>
    <w:p w14:paraId="20B26441" w14:textId="77777777" w:rsidR="00812D16" w:rsidRPr="00743D4B" w:rsidRDefault="00812D16" w:rsidP="00204AAB">
      <w:pPr>
        <w:spacing w:line="240" w:lineRule="auto"/>
        <w:rPr>
          <w:szCs w:val="22"/>
        </w:rPr>
      </w:pPr>
    </w:p>
    <w:p w14:paraId="76BCC84F" w14:textId="77777777" w:rsidR="00812D16" w:rsidRPr="00743D4B" w:rsidRDefault="00812D16" w:rsidP="00204AAB">
      <w:pPr>
        <w:spacing w:line="240" w:lineRule="auto"/>
        <w:rPr>
          <w:szCs w:val="22"/>
        </w:rPr>
      </w:pPr>
    </w:p>
    <w:p w14:paraId="435D6F7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DÉNOMINATION DU MÉDICAMENT ET VOIE(S) D’ADMINISTRATION</w:t>
      </w:r>
    </w:p>
    <w:p w14:paraId="728A104E" w14:textId="77777777" w:rsidR="00812D16" w:rsidRPr="00743D4B" w:rsidRDefault="00812D16" w:rsidP="00204AAB">
      <w:pPr>
        <w:spacing w:line="240" w:lineRule="auto"/>
        <w:ind w:left="567" w:hanging="567"/>
        <w:rPr>
          <w:szCs w:val="22"/>
        </w:rPr>
      </w:pPr>
    </w:p>
    <w:p w14:paraId="35A065A4" w14:textId="1345BD0F" w:rsidR="0050353B" w:rsidRPr="00743D4B" w:rsidRDefault="00A23713" w:rsidP="0050353B">
      <w:pPr>
        <w:widowControl w:val="0"/>
        <w:spacing w:line="240" w:lineRule="auto"/>
        <w:rPr>
          <w:szCs w:val="22"/>
        </w:rPr>
      </w:pPr>
      <w:r>
        <w:t>ELREXFIO 40 mg/m</w:t>
      </w:r>
      <w:r w:rsidR="00FE7BBE">
        <w:t>L</w:t>
      </w:r>
      <w:r>
        <w:t>, injection</w:t>
      </w:r>
    </w:p>
    <w:p w14:paraId="65680E3B" w14:textId="77777777" w:rsidR="0050353B" w:rsidRPr="00743D4B" w:rsidRDefault="0050353B" w:rsidP="0050353B">
      <w:pPr>
        <w:spacing w:line="240" w:lineRule="auto"/>
        <w:rPr>
          <w:b/>
          <w:szCs w:val="22"/>
        </w:rPr>
      </w:pPr>
      <w:r>
        <w:t>elranatamab</w:t>
      </w:r>
    </w:p>
    <w:p w14:paraId="63F6DC7A" w14:textId="77777777" w:rsidR="00812D16" w:rsidRPr="00743D4B" w:rsidRDefault="00190ACA" w:rsidP="00204AAB">
      <w:pPr>
        <w:spacing w:line="240" w:lineRule="auto"/>
        <w:rPr>
          <w:szCs w:val="22"/>
        </w:rPr>
      </w:pPr>
      <w:r>
        <w:t>SC</w:t>
      </w:r>
    </w:p>
    <w:p w14:paraId="10751581" w14:textId="77777777" w:rsidR="00812D16" w:rsidRPr="00743D4B" w:rsidRDefault="00812D16" w:rsidP="00204AAB">
      <w:pPr>
        <w:spacing w:line="240" w:lineRule="auto"/>
        <w:rPr>
          <w:szCs w:val="22"/>
        </w:rPr>
      </w:pPr>
    </w:p>
    <w:p w14:paraId="76C6BFE4" w14:textId="77777777" w:rsidR="00812D16" w:rsidRPr="00743D4B" w:rsidRDefault="00812D16" w:rsidP="00204AAB">
      <w:pPr>
        <w:spacing w:line="240" w:lineRule="auto"/>
        <w:rPr>
          <w:szCs w:val="22"/>
        </w:rPr>
      </w:pPr>
    </w:p>
    <w:p w14:paraId="41BC795A"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MODE D’ADMINISTRATION</w:t>
      </w:r>
    </w:p>
    <w:p w14:paraId="76883E58" w14:textId="77777777" w:rsidR="00812D16" w:rsidRPr="00743D4B" w:rsidRDefault="00812D16" w:rsidP="00204AAB">
      <w:pPr>
        <w:spacing w:line="240" w:lineRule="auto"/>
        <w:rPr>
          <w:szCs w:val="22"/>
        </w:rPr>
      </w:pPr>
    </w:p>
    <w:p w14:paraId="63CCAF33" w14:textId="77777777" w:rsidR="00812D16" w:rsidRPr="00743D4B" w:rsidRDefault="00812D16" w:rsidP="00204AAB">
      <w:pPr>
        <w:spacing w:line="240" w:lineRule="auto"/>
        <w:rPr>
          <w:szCs w:val="22"/>
        </w:rPr>
      </w:pPr>
    </w:p>
    <w:p w14:paraId="3E6A33D5"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DATE DE PÉREMPTION</w:t>
      </w:r>
    </w:p>
    <w:p w14:paraId="0B535955" w14:textId="77777777" w:rsidR="00812D16" w:rsidRPr="00743D4B" w:rsidRDefault="00812D16" w:rsidP="00204AAB">
      <w:pPr>
        <w:spacing w:line="240" w:lineRule="auto"/>
        <w:rPr>
          <w:szCs w:val="22"/>
        </w:rPr>
      </w:pPr>
    </w:p>
    <w:p w14:paraId="1796DB63" w14:textId="77777777" w:rsidR="0050353B" w:rsidRPr="00743D4B" w:rsidRDefault="0050353B" w:rsidP="00204AAB">
      <w:pPr>
        <w:spacing w:line="240" w:lineRule="auto"/>
        <w:rPr>
          <w:szCs w:val="22"/>
        </w:rPr>
      </w:pPr>
      <w:r>
        <w:t>EXP</w:t>
      </w:r>
    </w:p>
    <w:p w14:paraId="116B1FB6" w14:textId="77777777" w:rsidR="00812D16" w:rsidRPr="00743D4B" w:rsidRDefault="00812D16" w:rsidP="00204AAB">
      <w:pPr>
        <w:spacing w:line="240" w:lineRule="auto"/>
        <w:rPr>
          <w:szCs w:val="22"/>
        </w:rPr>
      </w:pPr>
    </w:p>
    <w:p w14:paraId="55AC4C2D" w14:textId="77777777" w:rsidR="00901A0F" w:rsidRPr="00743D4B" w:rsidRDefault="00901A0F" w:rsidP="00204AAB">
      <w:pPr>
        <w:spacing w:line="240" w:lineRule="auto"/>
        <w:rPr>
          <w:szCs w:val="22"/>
        </w:rPr>
      </w:pPr>
    </w:p>
    <w:p w14:paraId="4DF349F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NUMÉRO DU LOT</w:t>
      </w:r>
    </w:p>
    <w:p w14:paraId="096A617B" w14:textId="77777777" w:rsidR="00812D16" w:rsidRPr="00743D4B" w:rsidRDefault="00812D16" w:rsidP="00204AAB">
      <w:pPr>
        <w:spacing w:line="240" w:lineRule="auto"/>
        <w:ind w:right="113"/>
        <w:rPr>
          <w:szCs w:val="22"/>
        </w:rPr>
      </w:pPr>
    </w:p>
    <w:p w14:paraId="512A54BE" w14:textId="77777777" w:rsidR="0050353B" w:rsidRPr="00743D4B" w:rsidRDefault="00190ACA" w:rsidP="00204AAB">
      <w:pPr>
        <w:spacing w:line="240" w:lineRule="auto"/>
        <w:ind w:right="113"/>
        <w:rPr>
          <w:szCs w:val="22"/>
        </w:rPr>
      </w:pPr>
      <w:r>
        <w:t>Lot</w:t>
      </w:r>
    </w:p>
    <w:p w14:paraId="6001EB8B" w14:textId="77777777" w:rsidR="00812D16" w:rsidRDefault="00812D16" w:rsidP="00204AAB">
      <w:pPr>
        <w:spacing w:line="240" w:lineRule="auto"/>
        <w:ind w:right="113"/>
        <w:rPr>
          <w:szCs w:val="22"/>
        </w:rPr>
      </w:pPr>
    </w:p>
    <w:p w14:paraId="44B60A43" w14:textId="77777777" w:rsidR="00840852" w:rsidRPr="00743D4B" w:rsidRDefault="00840852" w:rsidP="00204AAB">
      <w:pPr>
        <w:spacing w:line="240" w:lineRule="auto"/>
        <w:ind w:right="113"/>
        <w:rPr>
          <w:szCs w:val="22"/>
        </w:rPr>
      </w:pPr>
    </w:p>
    <w:p w14:paraId="16B4933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CONTENU EN POIDS, VOLUME OU UNITÉ</w:t>
      </w:r>
    </w:p>
    <w:p w14:paraId="28808DE2" w14:textId="77777777" w:rsidR="0050353B" w:rsidRPr="00743D4B" w:rsidRDefault="0050353B" w:rsidP="00204AAB">
      <w:pPr>
        <w:spacing w:line="240" w:lineRule="auto"/>
        <w:ind w:right="113"/>
        <w:rPr>
          <w:szCs w:val="22"/>
        </w:rPr>
      </w:pPr>
    </w:p>
    <w:p w14:paraId="66CFD5F7" w14:textId="3DD2F8B0" w:rsidR="00812D16" w:rsidRPr="00743D4B" w:rsidRDefault="0050353B" w:rsidP="00204AAB">
      <w:pPr>
        <w:spacing w:line="240" w:lineRule="auto"/>
        <w:ind w:right="113"/>
        <w:rPr>
          <w:szCs w:val="22"/>
        </w:rPr>
      </w:pPr>
      <w:r>
        <w:t>76 mg/1,9 </w:t>
      </w:r>
      <w:r w:rsidR="001C17CF">
        <w:t>m</w:t>
      </w:r>
      <w:r w:rsidR="00FE7BBE">
        <w:t>L</w:t>
      </w:r>
    </w:p>
    <w:p w14:paraId="4E504DC8" w14:textId="77777777" w:rsidR="00812D16" w:rsidRPr="00743D4B" w:rsidRDefault="00812D16" w:rsidP="00204AAB">
      <w:pPr>
        <w:spacing w:line="240" w:lineRule="auto"/>
        <w:ind w:right="113"/>
        <w:rPr>
          <w:szCs w:val="22"/>
        </w:rPr>
      </w:pPr>
    </w:p>
    <w:p w14:paraId="79C4BE74" w14:textId="77777777" w:rsidR="00901A0F" w:rsidRPr="00743D4B" w:rsidRDefault="00901A0F" w:rsidP="00204AAB">
      <w:pPr>
        <w:spacing w:line="240" w:lineRule="auto"/>
        <w:ind w:right="113"/>
        <w:rPr>
          <w:szCs w:val="22"/>
        </w:rPr>
      </w:pPr>
    </w:p>
    <w:p w14:paraId="0BCB6F51"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AUTRE</w:t>
      </w:r>
    </w:p>
    <w:p w14:paraId="4DEC282D" w14:textId="77777777" w:rsidR="00812D16" w:rsidRPr="00743D4B" w:rsidRDefault="00812D16" w:rsidP="00204AAB">
      <w:pPr>
        <w:spacing w:line="240" w:lineRule="auto"/>
        <w:ind w:right="113"/>
        <w:rPr>
          <w:szCs w:val="22"/>
        </w:rPr>
      </w:pPr>
    </w:p>
    <w:p w14:paraId="77CE23DB" w14:textId="77777777" w:rsidR="00532C23" w:rsidRPr="00743D4B" w:rsidRDefault="00A25442" w:rsidP="00532C23">
      <w:pPr>
        <w:shd w:val="clear" w:color="auto" w:fill="FFFFFF"/>
        <w:spacing w:line="240" w:lineRule="auto"/>
        <w:rPr>
          <w:noProof/>
          <w:szCs w:val="22"/>
        </w:rPr>
      </w:pPr>
      <w:r>
        <w:br w:type="page"/>
      </w:r>
    </w:p>
    <w:p w14:paraId="3A427CC6" w14:textId="77777777" w:rsidR="00532C23" w:rsidRPr="00743D4B" w:rsidRDefault="00532C23" w:rsidP="00672C18">
      <w:pPr>
        <w:spacing w:line="240" w:lineRule="auto"/>
        <w:jc w:val="center"/>
        <w:rPr>
          <w:noProof/>
          <w:szCs w:val="22"/>
        </w:rPr>
      </w:pPr>
    </w:p>
    <w:p w14:paraId="23B98748" w14:textId="77777777" w:rsidR="00532C23" w:rsidRPr="00743D4B" w:rsidRDefault="00532C23" w:rsidP="00672C18">
      <w:pPr>
        <w:spacing w:line="240" w:lineRule="auto"/>
        <w:jc w:val="center"/>
        <w:rPr>
          <w:szCs w:val="22"/>
        </w:rPr>
      </w:pPr>
    </w:p>
    <w:p w14:paraId="1F879659" w14:textId="77777777" w:rsidR="00532C23" w:rsidRPr="00743D4B" w:rsidRDefault="00532C23" w:rsidP="00672C18">
      <w:pPr>
        <w:spacing w:line="240" w:lineRule="auto"/>
        <w:jc w:val="center"/>
        <w:rPr>
          <w:szCs w:val="22"/>
        </w:rPr>
      </w:pPr>
    </w:p>
    <w:p w14:paraId="2F9F88DC" w14:textId="77777777" w:rsidR="00FE401B" w:rsidRPr="00743D4B" w:rsidRDefault="00FE401B" w:rsidP="00672C18">
      <w:pPr>
        <w:spacing w:line="240" w:lineRule="auto"/>
        <w:jc w:val="center"/>
        <w:rPr>
          <w:b/>
          <w:szCs w:val="22"/>
        </w:rPr>
      </w:pPr>
    </w:p>
    <w:p w14:paraId="16522010" w14:textId="77777777" w:rsidR="00FE401B" w:rsidRPr="00743D4B" w:rsidRDefault="00FE401B" w:rsidP="00672C18">
      <w:pPr>
        <w:spacing w:line="240" w:lineRule="auto"/>
        <w:jc w:val="center"/>
        <w:rPr>
          <w:b/>
          <w:noProof/>
          <w:szCs w:val="22"/>
        </w:rPr>
      </w:pPr>
    </w:p>
    <w:p w14:paraId="67A4CBDE" w14:textId="77777777" w:rsidR="00FE401B" w:rsidRPr="00743D4B" w:rsidRDefault="00FE401B" w:rsidP="00672C18">
      <w:pPr>
        <w:spacing w:line="240" w:lineRule="auto"/>
        <w:jc w:val="center"/>
        <w:rPr>
          <w:b/>
          <w:noProof/>
          <w:szCs w:val="22"/>
        </w:rPr>
      </w:pPr>
    </w:p>
    <w:p w14:paraId="382DFD7C" w14:textId="77777777" w:rsidR="00FE401B" w:rsidRPr="00743D4B" w:rsidRDefault="00FE401B" w:rsidP="00672C18">
      <w:pPr>
        <w:spacing w:line="240" w:lineRule="auto"/>
        <w:jc w:val="center"/>
        <w:rPr>
          <w:b/>
          <w:noProof/>
          <w:szCs w:val="22"/>
        </w:rPr>
      </w:pPr>
    </w:p>
    <w:p w14:paraId="57623EDC" w14:textId="77777777" w:rsidR="00FE401B" w:rsidRPr="00743D4B" w:rsidRDefault="00FE401B" w:rsidP="00672C18">
      <w:pPr>
        <w:spacing w:line="240" w:lineRule="auto"/>
        <w:jc w:val="center"/>
        <w:rPr>
          <w:b/>
          <w:noProof/>
          <w:szCs w:val="22"/>
        </w:rPr>
      </w:pPr>
    </w:p>
    <w:p w14:paraId="6F125C54" w14:textId="77777777" w:rsidR="00FE401B" w:rsidRPr="00743D4B" w:rsidRDefault="00FE401B" w:rsidP="00672C18">
      <w:pPr>
        <w:spacing w:line="240" w:lineRule="auto"/>
        <w:jc w:val="center"/>
        <w:rPr>
          <w:b/>
          <w:noProof/>
          <w:szCs w:val="22"/>
        </w:rPr>
      </w:pPr>
    </w:p>
    <w:p w14:paraId="2E6CFDA0" w14:textId="77777777" w:rsidR="00FE401B" w:rsidRPr="00743D4B" w:rsidRDefault="00FE401B" w:rsidP="00672C18">
      <w:pPr>
        <w:spacing w:line="240" w:lineRule="auto"/>
        <w:jc w:val="center"/>
        <w:rPr>
          <w:b/>
          <w:noProof/>
          <w:szCs w:val="22"/>
        </w:rPr>
      </w:pPr>
    </w:p>
    <w:p w14:paraId="264AA763" w14:textId="77777777" w:rsidR="00FE401B" w:rsidRPr="00743D4B" w:rsidRDefault="00FE401B" w:rsidP="00672C18">
      <w:pPr>
        <w:spacing w:line="240" w:lineRule="auto"/>
        <w:jc w:val="center"/>
        <w:rPr>
          <w:b/>
          <w:noProof/>
          <w:szCs w:val="22"/>
        </w:rPr>
      </w:pPr>
    </w:p>
    <w:p w14:paraId="190446A7" w14:textId="77777777" w:rsidR="00FE401B" w:rsidRPr="00743D4B" w:rsidRDefault="00FE401B" w:rsidP="00672C18">
      <w:pPr>
        <w:spacing w:line="240" w:lineRule="auto"/>
        <w:jc w:val="center"/>
        <w:rPr>
          <w:b/>
          <w:noProof/>
          <w:szCs w:val="22"/>
        </w:rPr>
      </w:pPr>
    </w:p>
    <w:p w14:paraId="5417254C" w14:textId="77777777" w:rsidR="00FE401B" w:rsidRPr="00743D4B" w:rsidRDefault="00FE401B" w:rsidP="00672C18">
      <w:pPr>
        <w:spacing w:line="240" w:lineRule="auto"/>
        <w:jc w:val="center"/>
        <w:rPr>
          <w:b/>
          <w:noProof/>
          <w:szCs w:val="22"/>
        </w:rPr>
      </w:pPr>
    </w:p>
    <w:p w14:paraId="16FEAA08" w14:textId="77777777" w:rsidR="00FE401B" w:rsidRPr="00743D4B" w:rsidRDefault="00FE401B" w:rsidP="00672C18">
      <w:pPr>
        <w:spacing w:line="240" w:lineRule="auto"/>
        <w:jc w:val="center"/>
        <w:rPr>
          <w:b/>
          <w:noProof/>
          <w:szCs w:val="22"/>
        </w:rPr>
      </w:pPr>
    </w:p>
    <w:p w14:paraId="42CDAB14" w14:textId="77777777" w:rsidR="00FE401B" w:rsidRPr="00743D4B" w:rsidRDefault="00FE401B" w:rsidP="00672C18">
      <w:pPr>
        <w:spacing w:line="240" w:lineRule="auto"/>
        <w:jc w:val="center"/>
        <w:rPr>
          <w:b/>
          <w:noProof/>
          <w:szCs w:val="22"/>
        </w:rPr>
      </w:pPr>
    </w:p>
    <w:p w14:paraId="6729049E" w14:textId="77777777" w:rsidR="00FE401B" w:rsidRPr="00743D4B" w:rsidRDefault="00FE401B" w:rsidP="00672C18">
      <w:pPr>
        <w:spacing w:line="240" w:lineRule="auto"/>
        <w:jc w:val="center"/>
        <w:rPr>
          <w:b/>
          <w:noProof/>
          <w:szCs w:val="22"/>
        </w:rPr>
      </w:pPr>
    </w:p>
    <w:p w14:paraId="2BA2FFE2" w14:textId="77777777" w:rsidR="00FE401B" w:rsidRPr="00743D4B" w:rsidRDefault="00FE401B" w:rsidP="00672C18">
      <w:pPr>
        <w:spacing w:line="240" w:lineRule="auto"/>
        <w:jc w:val="center"/>
        <w:rPr>
          <w:b/>
          <w:noProof/>
          <w:szCs w:val="22"/>
        </w:rPr>
      </w:pPr>
    </w:p>
    <w:p w14:paraId="273F5CD1" w14:textId="77777777" w:rsidR="00FE401B" w:rsidRPr="00743D4B" w:rsidRDefault="00FE401B" w:rsidP="00672C18">
      <w:pPr>
        <w:spacing w:line="240" w:lineRule="auto"/>
        <w:jc w:val="center"/>
        <w:rPr>
          <w:b/>
          <w:noProof/>
          <w:szCs w:val="22"/>
        </w:rPr>
      </w:pPr>
    </w:p>
    <w:p w14:paraId="44D87DFD" w14:textId="77777777" w:rsidR="00FE401B" w:rsidRPr="00743D4B" w:rsidRDefault="00FE401B" w:rsidP="00672C18">
      <w:pPr>
        <w:spacing w:line="240" w:lineRule="auto"/>
        <w:jc w:val="center"/>
        <w:rPr>
          <w:b/>
          <w:noProof/>
          <w:szCs w:val="22"/>
        </w:rPr>
      </w:pPr>
    </w:p>
    <w:p w14:paraId="4066385D" w14:textId="77777777" w:rsidR="00DB509C" w:rsidRPr="00743D4B" w:rsidRDefault="00DB509C" w:rsidP="00672C18">
      <w:pPr>
        <w:spacing w:line="240" w:lineRule="auto"/>
        <w:jc w:val="center"/>
        <w:rPr>
          <w:b/>
          <w:noProof/>
          <w:szCs w:val="22"/>
        </w:rPr>
      </w:pPr>
    </w:p>
    <w:p w14:paraId="2C8D1F61" w14:textId="77777777" w:rsidR="00DB509C" w:rsidRPr="00743D4B" w:rsidRDefault="00DB509C" w:rsidP="00672C18">
      <w:pPr>
        <w:spacing w:line="240" w:lineRule="auto"/>
        <w:jc w:val="center"/>
        <w:rPr>
          <w:b/>
          <w:noProof/>
          <w:szCs w:val="22"/>
        </w:rPr>
      </w:pPr>
    </w:p>
    <w:p w14:paraId="3CF98CAD" w14:textId="77777777" w:rsidR="00DB509C" w:rsidRPr="00743D4B" w:rsidRDefault="00DB509C" w:rsidP="00672C18">
      <w:pPr>
        <w:spacing w:line="240" w:lineRule="auto"/>
        <w:jc w:val="center"/>
        <w:rPr>
          <w:b/>
          <w:noProof/>
          <w:szCs w:val="22"/>
        </w:rPr>
      </w:pPr>
    </w:p>
    <w:p w14:paraId="4C96AAC7" w14:textId="77777777" w:rsidR="003A0378" w:rsidRPr="00743D4B" w:rsidRDefault="003A0378" w:rsidP="00672C18">
      <w:pPr>
        <w:spacing w:line="240" w:lineRule="auto"/>
        <w:jc w:val="center"/>
        <w:rPr>
          <w:b/>
          <w:noProof/>
          <w:szCs w:val="22"/>
        </w:rPr>
      </w:pPr>
    </w:p>
    <w:p w14:paraId="4B227DA4" w14:textId="77777777" w:rsidR="00812D16" w:rsidRPr="00BB6674" w:rsidRDefault="00812D16" w:rsidP="00BB6674">
      <w:pPr>
        <w:pStyle w:val="Heading1"/>
        <w:jc w:val="center"/>
      </w:pPr>
      <w:r>
        <w:t>B. NOTICE</w:t>
      </w:r>
    </w:p>
    <w:p w14:paraId="053AE542" w14:textId="77777777" w:rsidR="00812D16" w:rsidRPr="00743D4B" w:rsidRDefault="00A25442" w:rsidP="002564E9">
      <w:pPr>
        <w:spacing w:line="240" w:lineRule="auto"/>
        <w:jc w:val="center"/>
        <w:rPr>
          <w:b/>
        </w:rPr>
      </w:pPr>
      <w:r>
        <w:br w:type="page"/>
      </w:r>
      <w:r>
        <w:rPr>
          <w:b/>
        </w:rPr>
        <w:lastRenderedPageBreak/>
        <w:t>Notice : Information de l’utilisateur</w:t>
      </w:r>
    </w:p>
    <w:p w14:paraId="3F79BEF0" w14:textId="77777777" w:rsidR="00812D16" w:rsidRPr="00743D4B" w:rsidRDefault="00812D16" w:rsidP="00204AAB">
      <w:pPr>
        <w:numPr>
          <w:ilvl w:val="12"/>
          <w:numId w:val="0"/>
        </w:numPr>
        <w:shd w:val="clear" w:color="auto" w:fill="FFFFFF"/>
        <w:tabs>
          <w:tab w:val="clear" w:pos="567"/>
        </w:tabs>
        <w:spacing w:line="240" w:lineRule="auto"/>
        <w:jc w:val="center"/>
        <w:rPr>
          <w:noProof/>
          <w:szCs w:val="22"/>
        </w:rPr>
      </w:pPr>
    </w:p>
    <w:p w14:paraId="3C9ECC3D" w14:textId="7872AC4A" w:rsidR="00C449A8" w:rsidRPr="00743D4B" w:rsidRDefault="00A23713" w:rsidP="00C449A8">
      <w:pPr>
        <w:widowControl w:val="0"/>
        <w:spacing w:line="240" w:lineRule="auto"/>
        <w:jc w:val="center"/>
        <w:rPr>
          <w:b/>
          <w:bCs/>
          <w:noProof/>
          <w:szCs w:val="22"/>
        </w:rPr>
      </w:pPr>
      <w:r>
        <w:rPr>
          <w:b/>
        </w:rPr>
        <w:t>ELREXFIO 40 mg/m</w:t>
      </w:r>
      <w:r w:rsidR="00FE7BBE">
        <w:rPr>
          <w:b/>
        </w:rPr>
        <w:t>L</w:t>
      </w:r>
      <w:r>
        <w:rPr>
          <w:b/>
        </w:rPr>
        <w:t>, solution injectable</w:t>
      </w:r>
    </w:p>
    <w:p w14:paraId="330E0BD7" w14:textId="77777777" w:rsidR="00812D16" w:rsidRPr="00743D4B" w:rsidRDefault="00DD72D6" w:rsidP="00204AAB">
      <w:pPr>
        <w:numPr>
          <w:ilvl w:val="12"/>
          <w:numId w:val="0"/>
        </w:numPr>
        <w:tabs>
          <w:tab w:val="clear" w:pos="567"/>
        </w:tabs>
        <w:spacing w:line="240" w:lineRule="auto"/>
        <w:jc w:val="center"/>
        <w:rPr>
          <w:noProof/>
          <w:szCs w:val="22"/>
        </w:rPr>
      </w:pPr>
      <w:r>
        <w:t>elranatamab</w:t>
      </w:r>
    </w:p>
    <w:p w14:paraId="3CE8FC1D" w14:textId="77777777" w:rsidR="00812D16" w:rsidRPr="00743D4B" w:rsidRDefault="00812D16" w:rsidP="00204AAB">
      <w:pPr>
        <w:tabs>
          <w:tab w:val="clear" w:pos="567"/>
        </w:tabs>
        <w:spacing w:line="240" w:lineRule="auto"/>
        <w:rPr>
          <w:noProof/>
          <w:szCs w:val="22"/>
        </w:rPr>
      </w:pPr>
    </w:p>
    <w:p w14:paraId="511CC98A" w14:textId="77777777" w:rsidR="00033D26" w:rsidRPr="00743D4B" w:rsidRDefault="00070860" w:rsidP="00204AAB">
      <w:pPr>
        <w:spacing w:line="240" w:lineRule="auto"/>
        <w:rPr>
          <w:szCs w:val="22"/>
        </w:rPr>
      </w:pPr>
      <w:r>
        <w:rPr>
          <w:noProof/>
        </w:rPr>
        <w:drawing>
          <wp:inline distT="0" distB="0" distL="0" distR="0" wp14:anchorId="28E40413" wp14:editId="4E7D1D26">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586C8747" w14:textId="77777777" w:rsidR="00812D16" w:rsidRPr="00743D4B" w:rsidRDefault="00812D16" w:rsidP="00204AAB">
      <w:pPr>
        <w:tabs>
          <w:tab w:val="clear" w:pos="567"/>
        </w:tabs>
        <w:spacing w:line="240" w:lineRule="auto"/>
        <w:rPr>
          <w:noProof/>
          <w:szCs w:val="22"/>
        </w:rPr>
      </w:pPr>
    </w:p>
    <w:p w14:paraId="568E87F5" w14:textId="77777777" w:rsidR="00812D16" w:rsidRPr="00743D4B" w:rsidRDefault="00812D16" w:rsidP="00C15B96">
      <w:pPr>
        <w:tabs>
          <w:tab w:val="clear" w:pos="567"/>
        </w:tabs>
        <w:suppressAutoHyphens/>
        <w:spacing w:line="240" w:lineRule="auto"/>
        <w:rPr>
          <w:noProof/>
          <w:szCs w:val="22"/>
        </w:rPr>
      </w:pPr>
      <w:r>
        <w:rPr>
          <w:b/>
        </w:rPr>
        <w:t>Veuillez lire attentivement cette notice avant de recevoir ce médicament car elle contient des informations importantes pour vous.</w:t>
      </w:r>
    </w:p>
    <w:p w14:paraId="3502A1B0" w14:textId="77777777" w:rsidR="00812D16" w:rsidRPr="00743D4B" w:rsidRDefault="00812D16" w:rsidP="008B0ACC">
      <w:pPr>
        <w:numPr>
          <w:ilvl w:val="0"/>
          <w:numId w:val="5"/>
        </w:numPr>
        <w:tabs>
          <w:tab w:val="clear" w:pos="567"/>
        </w:tabs>
        <w:spacing w:line="240" w:lineRule="auto"/>
        <w:ind w:right="-2"/>
      </w:pPr>
      <w:r>
        <w:t>Gardez cette notice. Vous pourriez avoir besoin de la relire.</w:t>
      </w:r>
    </w:p>
    <w:p w14:paraId="4101B50E" w14:textId="77777777" w:rsidR="00812D16" w:rsidRPr="00743D4B" w:rsidRDefault="00812D16" w:rsidP="008B0ACC">
      <w:pPr>
        <w:numPr>
          <w:ilvl w:val="0"/>
          <w:numId w:val="5"/>
        </w:numPr>
        <w:tabs>
          <w:tab w:val="clear" w:pos="567"/>
        </w:tabs>
        <w:spacing w:line="240" w:lineRule="auto"/>
        <w:ind w:right="-2"/>
      </w:pPr>
      <w:r>
        <w:t>Si vous avez d’autres questions, interrogez votre médecin ou votre infirmier/ère.</w:t>
      </w:r>
    </w:p>
    <w:p w14:paraId="798BA4F0" w14:textId="77777777" w:rsidR="00812D16" w:rsidRPr="00743D4B" w:rsidRDefault="00812D16" w:rsidP="008B0ACC">
      <w:pPr>
        <w:numPr>
          <w:ilvl w:val="0"/>
          <w:numId w:val="5"/>
        </w:numPr>
        <w:tabs>
          <w:tab w:val="clear" w:pos="567"/>
          <w:tab w:val="left" w:pos="720"/>
        </w:tabs>
        <w:spacing w:line="240" w:lineRule="auto"/>
      </w:pPr>
      <w:r>
        <w:t>Si vous ressentez un quelconque effet indésirable, parlez-en à votre médecin ou à votre infirmier/ère. Ceci s’applique aussi à tout effet indésirable qui ne serait pas mentionné dans cette notice. Voir rubrique 4.</w:t>
      </w:r>
    </w:p>
    <w:p w14:paraId="7D4376A2" w14:textId="77777777" w:rsidR="00812D16" w:rsidRPr="00743D4B" w:rsidRDefault="00812D16" w:rsidP="00204AAB">
      <w:pPr>
        <w:tabs>
          <w:tab w:val="clear" w:pos="567"/>
        </w:tabs>
        <w:spacing w:line="240" w:lineRule="auto"/>
        <w:ind w:right="-2"/>
        <w:rPr>
          <w:noProof/>
          <w:szCs w:val="22"/>
        </w:rPr>
      </w:pPr>
    </w:p>
    <w:p w14:paraId="202B10FA" w14:textId="77777777" w:rsidR="00812D16" w:rsidRPr="00743D4B" w:rsidRDefault="00812D16" w:rsidP="007A7377">
      <w:pPr>
        <w:numPr>
          <w:ilvl w:val="12"/>
          <w:numId w:val="0"/>
        </w:numPr>
        <w:tabs>
          <w:tab w:val="clear" w:pos="567"/>
        </w:tabs>
        <w:spacing w:line="240" w:lineRule="auto"/>
        <w:ind w:right="-2"/>
        <w:rPr>
          <w:b/>
          <w:noProof/>
          <w:szCs w:val="22"/>
        </w:rPr>
      </w:pPr>
      <w:r>
        <w:rPr>
          <w:b/>
        </w:rPr>
        <w:t>Que contient cette notice ?</w:t>
      </w:r>
    </w:p>
    <w:p w14:paraId="2F36FE7E" w14:textId="77777777" w:rsidR="00812D16" w:rsidRPr="00743D4B" w:rsidRDefault="00812D16" w:rsidP="002564E9">
      <w:pPr>
        <w:spacing w:line="240" w:lineRule="auto"/>
        <w:rPr>
          <w:noProof/>
          <w:szCs w:val="22"/>
        </w:rPr>
      </w:pPr>
    </w:p>
    <w:p w14:paraId="6BCE0009" w14:textId="77777777" w:rsidR="00F9016F" w:rsidRPr="00743D4B" w:rsidRDefault="00812D16" w:rsidP="00204AAB">
      <w:pPr>
        <w:numPr>
          <w:ilvl w:val="12"/>
          <w:numId w:val="0"/>
        </w:numPr>
        <w:tabs>
          <w:tab w:val="clear" w:pos="567"/>
          <w:tab w:val="left" w:pos="426"/>
        </w:tabs>
        <w:spacing w:line="240" w:lineRule="auto"/>
        <w:ind w:right="-29"/>
        <w:rPr>
          <w:noProof/>
          <w:szCs w:val="22"/>
        </w:rPr>
      </w:pPr>
      <w:r>
        <w:t>1.</w:t>
      </w:r>
      <w:r>
        <w:tab/>
        <w:t>Qu’est-ce qu’ELREXFIO et dans quels cas est-il utilisé ?</w:t>
      </w:r>
    </w:p>
    <w:p w14:paraId="58E4586C" w14:textId="77777777" w:rsidR="00812D16" w:rsidRPr="00743D4B" w:rsidRDefault="00812D16" w:rsidP="00204AAB">
      <w:pPr>
        <w:numPr>
          <w:ilvl w:val="12"/>
          <w:numId w:val="0"/>
        </w:numPr>
        <w:tabs>
          <w:tab w:val="clear" w:pos="567"/>
          <w:tab w:val="left" w:pos="426"/>
        </w:tabs>
        <w:spacing w:line="240" w:lineRule="auto"/>
        <w:ind w:right="-29"/>
        <w:rPr>
          <w:noProof/>
          <w:szCs w:val="22"/>
        </w:rPr>
      </w:pPr>
      <w:r>
        <w:t>2.</w:t>
      </w:r>
      <w:r>
        <w:tab/>
        <w:t>Quelles sont les informations à connaître avant de recevoir ELREXFIO ?</w:t>
      </w:r>
    </w:p>
    <w:p w14:paraId="4B210A84" w14:textId="77777777" w:rsidR="00812D16" w:rsidRPr="00743D4B" w:rsidRDefault="00812D16" w:rsidP="00204AAB">
      <w:pPr>
        <w:numPr>
          <w:ilvl w:val="12"/>
          <w:numId w:val="0"/>
        </w:numPr>
        <w:tabs>
          <w:tab w:val="clear" w:pos="567"/>
          <w:tab w:val="left" w:pos="426"/>
        </w:tabs>
        <w:spacing w:line="240" w:lineRule="auto"/>
        <w:ind w:right="-29"/>
        <w:rPr>
          <w:noProof/>
          <w:szCs w:val="22"/>
        </w:rPr>
      </w:pPr>
      <w:r>
        <w:t>3.</w:t>
      </w:r>
      <w:r>
        <w:tab/>
        <w:t>Comment ELREXFIO est-il administré ?</w:t>
      </w:r>
    </w:p>
    <w:p w14:paraId="4D9D3747" w14:textId="77777777" w:rsidR="00812D16" w:rsidRPr="00743D4B" w:rsidRDefault="00812D16" w:rsidP="00204AAB">
      <w:pPr>
        <w:numPr>
          <w:ilvl w:val="12"/>
          <w:numId w:val="0"/>
        </w:numPr>
        <w:tabs>
          <w:tab w:val="clear" w:pos="567"/>
          <w:tab w:val="left" w:pos="426"/>
        </w:tabs>
        <w:spacing w:line="240" w:lineRule="auto"/>
        <w:ind w:right="-29"/>
        <w:rPr>
          <w:noProof/>
          <w:szCs w:val="22"/>
        </w:rPr>
      </w:pPr>
      <w:r>
        <w:t>4.</w:t>
      </w:r>
      <w:r>
        <w:tab/>
        <w:t>Quels sont les effets indésirables éventuels ?</w:t>
      </w:r>
    </w:p>
    <w:p w14:paraId="235E8A04" w14:textId="77777777" w:rsidR="00F9016F" w:rsidRPr="00743D4B" w:rsidRDefault="00F9016F" w:rsidP="00204AAB">
      <w:pPr>
        <w:tabs>
          <w:tab w:val="clear" w:pos="567"/>
          <w:tab w:val="left" w:pos="426"/>
        </w:tabs>
        <w:spacing w:line="240" w:lineRule="auto"/>
        <w:ind w:right="-29"/>
        <w:rPr>
          <w:noProof/>
          <w:szCs w:val="22"/>
        </w:rPr>
      </w:pPr>
      <w:r>
        <w:t>5.</w:t>
      </w:r>
      <w:r>
        <w:tab/>
        <w:t>Comment conserver ELREXFIO</w:t>
      </w:r>
    </w:p>
    <w:p w14:paraId="7CE19284" w14:textId="77777777" w:rsidR="00812D16" w:rsidRPr="00743D4B" w:rsidRDefault="00812D16" w:rsidP="00204AAB">
      <w:pPr>
        <w:tabs>
          <w:tab w:val="clear" w:pos="567"/>
          <w:tab w:val="left" w:pos="426"/>
        </w:tabs>
        <w:spacing w:line="240" w:lineRule="auto"/>
        <w:ind w:right="-29"/>
        <w:rPr>
          <w:noProof/>
          <w:szCs w:val="22"/>
        </w:rPr>
      </w:pPr>
      <w:r>
        <w:t>6.</w:t>
      </w:r>
      <w:r>
        <w:tab/>
        <w:t>Contenu de l’emballage et autres informations</w:t>
      </w:r>
    </w:p>
    <w:p w14:paraId="74BED4B3" w14:textId="77777777" w:rsidR="00812D16" w:rsidRPr="00743D4B" w:rsidRDefault="00812D16" w:rsidP="00204AAB">
      <w:pPr>
        <w:numPr>
          <w:ilvl w:val="12"/>
          <w:numId w:val="0"/>
        </w:numPr>
        <w:tabs>
          <w:tab w:val="clear" w:pos="567"/>
        </w:tabs>
        <w:spacing w:line="240" w:lineRule="auto"/>
        <w:ind w:right="-2"/>
        <w:rPr>
          <w:noProof/>
          <w:szCs w:val="22"/>
        </w:rPr>
      </w:pPr>
    </w:p>
    <w:p w14:paraId="57F2D5E1" w14:textId="77777777" w:rsidR="009B6496" w:rsidRPr="00743D4B" w:rsidRDefault="009B6496" w:rsidP="00204AAB">
      <w:pPr>
        <w:numPr>
          <w:ilvl w:val="12"/>
          <w:numId w:val="0"/>
        </w:numPr>
        <w:tabs>
          <w:tab w:val="clear" w:pos="567"/>
        </w:tabs>
        <w:spacing w:line="240" w:lineRule="auto"/>
        <w:rPr>
          <w:noProof/>
          <w:szCs w:val="22"/>
        </w:rPr>
      </w:pPr>
    </w:p>
    <w:p w14:paraId="1A040683" w14:textId="77777777" w:rsidR="009B6496" w:rsidRPr="00743D4B" w:rsidRDefault="00F9016F" w:rsidP="00204AAB">
      <w:pPr>
        <w:spacing w:line="240" w:lineRule="auto"/>
        <w:ind w:right="-2"/>
        <w:rPr>
          <w:b/>
          <w:noProof/>
          <w:szCs w:val="22"/>
        </w:rPr>
      </w:pPr>
      <w:r>
        <w:rPr>
          <w:b/>
        </w:rPr>
        <w:t>1.</w:t>
      </w:r>
      <w:r>
        <w:rPr>
          <w:b/>
        </w:rPr>
        <w:tab/>
        <w:t>Qu’est-ce qu’ELREXFIO</w:t>
      </w:r>
      <w:r>
        <w:t xml:space="preserve"> </w:t>
      </w:r>
      <w:r>
        <w:rPr>
          <w:b/>
        </w:rPr>
        <w:t>et dans quels cas est-il utilisé ?</w:t>
      </w:r>
    </w:p>
    <w:p w14:paraId="277A870A" w14:textId="77777777" w:rsidR="009B6496" w:rsidRPr="00743D4B" w:rsidRDefault="009B6496" w:rsidP="00204AAB">
      <w:pPr>
        <w:numPr>
          <w:ilvl w:val="12"/>
          <w:numId w:val="0"/>
        </w:numPr>
        <w:tabs>
          <w:tab w:val="clear" w:pos="567"/>
        </w:tabs>
        <w:spacing w:line="240" w:lineRule="auto"/>
        <w:rPr>
          <w:noProof/>
          <w:szCs w:val="22"/>
        </w:rPr>
      </w:pPr>
    </w:p>
    <w:p w14:paraId="229B4DFF" w14:textId="16F9B507" w:rsidR="00B53A99" w:rsidRPr="00743D4B" w:rsidRDefault="00B53A99" w:rsidP="00B53A99">
      <w:pPr>
        <w:numPr>
          <w:ilvl w:val="12"/>
          <w:numId w:val="0"/>
        </w:numPr>
        <w:tabs>
          <w:tab w:val="clear" w:pos="567"/>
        </w:tabs>
        <w:spacing w:line="240" w:lineRule="auto"/>
        <w:rPr>
          <w:noProof/>
          <w:szCs w:val="22"/>
        </w:rPr>
      </w:pPr>
      <w:r>
        <w:t>ELREXFIO est un médicament anticancéreux contenant comme substance active l’elranatamab. Il est utilisé pour traiter les adultes atteints d’un type de cancer de la moelle osseuse appelé myélome multiple.</w:t>
      </w:r>
    </w:p>
    <w:p w14:paraId="3B0BEE6D" w14:textId="7DCDB6B4" w:rsidR="00B53A99" w:rsidRPr="00743D4B" w:rsidRDefault="00B53A99" w:rsidP="00B53A99">
      <w:pPr>
        <w:numPr>
          <w:ilvl w:val="12"/>
          <w:numId w:val="0"/>
        </w:numPr>
        <w:tabs>
          <w:tab w:val="clear" w:pos="567"/>
        </w:tabs>
        <w:spacing w:line="240" w:lineRule="auto"/>
        <w:rPr>
          <w:noProof/>
          <w:szCs w:val="22"/>
        </w:rPr>
      </w:pPr>
      <w:r>
        <w:t xml:space="preserve">Il est utilisé </w:t>
      </w:r>
      <w:r w:rsidR="008447FB">
        <w:t xml:space="preserve">seul </w:t>
      </w:r>
      <w:r>
        <w:t xml:space="preserve">pour les patients </w:t>
      </w:r>
      <w:r w:rsidR="008447FB">
        <w:t xml:space="preserve">dont le cancer est revenu (récidivant) et qui ne répondent plus aux traitements précédents (réfractaires), </w:t>
      </w:r>
      <w:r>
        <w:t xml:space="preserve">ayant reçu au moins trois autres types de traitement </w:t>
      </w:r>
      <w:r w:rsidR="008447FB">
        <w:t>et dont le cancer s’est aggravé depuis l’administration du dernier traitement.</w:t>
      </w:r>
    </w:p>
    <w:p w14:paraId="53C6ADAE" w14:textId="77777777" w:rsidR="00B53A99" w:rsidRPr="00743D4B" w:rsidRDefault="00B53A99" w:rsidP="00B53A99">
      <w:pPr>
        <w:numPr>
          <w:ilvl w:val="12"/>
          <w:numId w:val="0"/>
        </w:numPr>
        <w:tabs>
          <w:tab w:val="clear" w:pos="567"/>
        </w:tabs>
        <w:spacing w:line="240" w:lineRule="auto"/>
        <w:rPr>
          <w:noProof/>
          <w:szCs w:val="22"/>
        </w:rPr>
      </w:pPr>
    </w:p>
    <w:p w14:paraId="0801BD23" w14:textId="77777777" w:rsidR="00B53A99" w:rsidRPr="00743D4B" w:rsidRDefault="00B53A99" w:rsidP="00B53A99">
      <w:pPr>
        <w:numPr>
          <w:ilvl w:val="12"/>
          <w:numId w:val="0"/>
        </w:numPr>
        <w:tabs>
          <w:tab w:val="clear" w:pos="567"/>
        </w:tabs>
        <w:spacing w:line="240" w:lineRule="auto"/>
        <w:rPr>
          <w:b/>
          <w:szCs w:val="22"/>
        </w:rPr>
      </w:pPr>
      <w:r>
        <w:rPr>
          <w:b/>
        </w:rPr>
        <w:t>Comment agit ELREXFIO</w:t>
      </w:r>
    </w:p>
    <w:p w14:paraId="45C1A1C9" w14:textId="3236E01C" w:rsidR="00B53A99" w:rsidRPr="00743D4B" w:rsidRDefault="00B53A99" w:rsidP="00B53A99">
      <w:pPr>
        <w:tabs>
          <w:tab w:val="clear" w:pos="567"/>
        </w:tabs>
        <w:spacing w:line="240" w:lineRule="auto"/>
        <w:ind w:right="-2"/>
      </w:pPr>
      <w:r>
        <w:t xml:space="preserve">ELREXFIO est un anticorps, un type de protéine qui a été conçu pour reconnaître et se fixer sur des cibles spécifiques dans votre organisme. ELREXFIO cible l’antigène de maturation des lymphocytes B (BCMA), qui se trouve sur les cellules cancéreuses du myélome multiple, et le </w:t>
      </w:r>
      <w:r w:rsidR="00DA58D9" w:rsidRPr="001B6624">
        <w:t xml:space="preserve">cluster </w:t>
      </w:r>
      <w:r w:rsidRPr="001B6624">
        <w:t>de</w:t>
      </w:r>
      <w:r>
        <w:t xml:space="preserve"> différenciation</w:t>
      </w:r>
      <w:r w:rsidR="00081CE2">
        <w:t> </w:t>
      </w:r>
      <w:r>
        <w:t>3 (CD3), qui se trouve sur</w:t>
      </w:r>
      <w:r w:rsidR="008447FB">
        <w:t xml:space="preserve"> les lymphocytes T,</w:t>
      </w:r>
      <w:r>
        <w:t xml:space="preserve"> un type particulier de globules blancs dans votre système immunitaire. Ce médicament agit en s’attachant à ces </w:t>
      </w:r>
      <w:r w:rsidR="008447FB">
        <w:t xml:space="preserve">cibles et, ainsi, il rassemble les </w:t>
      </w:r>
      <w:r>
        <w:t>cellules</w:t>
      </w:r>
      <w:r w:rsidR="008447FB">
        <w:t xml:space="preserve"> cancéreuses</w:t>
      </w:r>
      <w:r>
        <w:t xml:space="preserve"> et</w:t>
      </w:r>
      <w:r w:rsidR="008447FB">
        <w:t xml:space="preserve"> les lymphocytes T. Ceci permet à</w:t>
      </w:r>
      <w:r>
        <w:t xml:space="preserve"> votre système immunitaire </w:t>
      </w:r>
      <w:r w:rsidR="008447FB">
        <w:t xml:space="preserve">de </w:t>
      </w:r>
      <w:r>
        <w:t>détruire les cellules cancéreuses du myélome multiple.</w:t>
      </w:r>
    </w:p>
    <w:p w14:paraId="30686D18" w14:textId="77777777" w:rsidR="00932CB6" w:rsidRPr="00761EB7" w:rsidRDefault="00932CB6" w:rsidP="00932CB6">
      <w:pPr>
        <w:numPr>
          <w:ilvl w:val="12"/>
          <w:numId w:val="0"/>
        </w:numPr>
        <w:tabs>
          <w:tab w:val="clear" w:pos="567"/>
        </w:tabs>
        <w:spacing w:line="240" w:lineRule="auto"/>
        <w:ind w:right="-2"/>
        <w:rPr>
          <w:noProof/>
          <w:szCs w:val="22"/>
        </w:rPr>
      </w:pPr>
    </w:p>
    <w:p w14:paraId="312DF9BA" w14:textId="77777777" w:rsidR="008A3EDA" w:rsidRPr="00743D4B" w:rsidRDefault="008A3EDA" w:rsidP="00503180">
      <w:pPr>
        <w:tabs>
          <w:tab w:val="clear" w:pos="567"/>
        </w:tabs>
        <w:spacing w:line="240" w:lineRule="auto"/>
        <w:ind w:right="-2"/>
        <w:rPr>
          <w:noProof/>
          <w:szCs w:val="22"/>
        </w:rPr>
      </w:pPr>
    </w:p>
    <w:p w14:paraId="4BD21D66" w14:textId="77777777" w:rsidR="009B6496" w:rsidRPr="00761EB7" w:rsidRDefault="00F9016F" w:rsidP="00204AAB">
      <w:pPr>
        <w:spacing w:line="240" w:lineRule="auto"/>
        <w:ind w:right="-2"/>
        <w:rPr>
          <w:b/>
          <w:noProof/>
          <w:szCs w:val="22"/>
        </w:rPr>
      </w:pPr>
      <w:r>
        <w:rPr>
          <w:b/>
        </w:rPr>
        <w:t>2.</w:t>
      </w:r>
      <w:r>
        <w:rPr>
          <w:b/>
        </w:rPr>
        <w:tab/>
        <w:t>Quelles sont les informations à connaître avant de recevoir ELREXFIO ?</w:t>
      </w:r>
    </w:p>
    <w:p w14:paraId="56BEC12C" w14:textId="77777777" w:rsidR="009B6496" w:rsidRPr="00761EB7" w:rsidRDefault="009B6496" w:rsidP="002564E9">
      <w:pPr>
        <w:spacing w:line="240" w:lineRule="auto"/>
      </w:pPr>
    </w:p>
    <w:p w14:paraId="6E76C1A3" w14:textId="77777777" w:rsidR="007A5140" w:rsidRDefault="00EB6AE5" w:rsidP="002564E9">
      <w:pPr>
        <w:spacing w:line="240" w:lineRule="auto"/>
      </w:pPr>
      <w:r>
        <w:rPr>
          <w:b/>
        </w:rPr>
        <w:t>ELREXFIO ne doit pas vous être administré</w:t>
      </w:r>
      <w:r>
        <w:t xml:space="preserve"> </w:t>
      </w:r>
    </w:p>
    <w:p w14:paraId="6F059D22" w14:textId="0B29706C" w:rsidR="009B6496" w:rsidRPr="00761EB7" w:rsidRDefault="007A5140" w:rsidP="002564E9">
      <w:pPr>
        <w:spacing w:line="240" w:lineRule="auto"/>
        <w:rPr>
          <w:noProof/>
          <w:szCs w:val="22"/>
        </w:rPr>
      </w:pPr>
      <w:r>
        <w:t>S</w:t>
      </w:r>
      <w:r w:rsidR="00EB6AE5">
        <w:t>i vous êtes allergique à l’elranatamab ou à l’un des autres composants contenus dans ce médicament (mentionnés dans la rubrique 6).</w:t>
      </w:r>
    </w:p>
    <w:p w14:paraId="456A0D9F" w14:textId="77777777" w:rsidR="009B6496" w:rsidRDefault="00A707C1" w:rsidP="002564E9">
      <w:pPr>
        <w:spacing w:line="240" w:lineRule="auto"/>
      </w:pPr>
      <w:r>
        <w:t>Si vous n’êtes pas sûr(e) d’être allergique, adressez-vous à votre médecin ou à votre infirmier/ère avant de recevoir ELREXFIO.</w:t>
      </w:r>
    </w:p>
    <w:p w14:paraId="109978BD" w14:textId="77777777" w:rsidR="00A707C1" w:rsidRPr="00761EB7" w:rsidRDefault="00A707C1" w:rsidP="002564E9">
      <w:pPr>
        <w:spacing w:line="240" w:lineRule="auto"/>
        <w:rPr>
          <w:noProof/>
          <w:szCs w:val="22"/>
        </w:rPr>
      </w:pPr>
    </w:p>
    <w:p w14:paraId="6AB99451" w14:textId="77777777" w:rsidR="009B6496" w:rsidRPr="00761EB7" w:rsidRDefault="009B6496" w:rsidP="002564E9">
      <w:pPr>
        <w:spacing w:line="240" w:lineRule="auto"/>
        <w:rPr>
          <w:b/>
          <w:noProof/>
          <w:szCs w:val="22"/>
        </w:rPr>
      </w:pPr>
      <w:r>
        <w:rPr>
          <w:b/>
        </w:rPr>
        <w:t xml:space="preserve">Avertissements et précautions </w:t>
      </w:r>
    </w:p>
    <w:p w14:paraId="6C7BE753" w14:textId="77777777" w:rsidR="003C1CA5" w:rsidRPr="00761EB7" w:rsidRDefault="003C1CA5" w:rsidP="002564E9">
      <w:pPr>
        <w:spacing w:line="240" w:lineRule="auto"/>
        <w:rPr>
          <w:noProof/>
          <w:szCs w:val="22"/>
        </w:rPr>
      </w:pPr>
      <w:r>
        <w:t>Informez votre médecin ou votre infirmier/ère de tous vos problèmes de santé avant de recevoir ELREXFIO, notamment si vous avez eu des infections récentes.</w:t>
      </w:r>
    </w:p>
    <w:p w14:paraId="6CD846A9" w14:textId="77777777" w:rsidR="00525EFA" w:rsidRDefault="00525EFA" w:rsidP="001C2FDC">
      <w:pPr>
        <w:tabs>
          <w:tab w:val="left" w:pos="270"/>
          <w:tab w:val="left" w:pos="720"/>
        </w:tabs>
        <w:rPr>
          <w:noProof/>
          <w:szCs w:val="22"/>
        </w:rPr>
      </w:pPr>
    </w:p>
    <w:p w14:paraId="401BB336" w14:textId="77777777" w:rsidR="00BC1A26" w:rsidRPr="00A005A6" w:rsidRDefault="00BC1A26" w:rsidP="00BC1A26">
      <w:pPr>
        <w:tabs>
          <w:tab w:val="left" w:pos="270"/>
          <w:tab w:val="left" w:pos="720"/>
        </w:tabs>
        <w:rPr>
          <w:b/>
          <w:szCs w:val="22"/>
        </w:rPr>
      </w:pPr>
      <w:r>
        <w:rPr>
          <w:b/>
        </w:rPr>
        <w:t>Attention aux effets indésirables graves.</w:t>
      </w:r>
    </w:p>
    <w:p w14:paraId="01B6F52A" w14:textId="77777777" w:rsidR="00BC1A26" w:rsidRPr="007A22E2" w:rsidRDefault="00BC1A26" w:rsidP="00BC1A26">
      <w:pPr>
        <w:tabs>
          <w:tab w:val="left" w:pos="270"/>
          <w:tab w:val="left" w:pos="720"/>
        </w:tabs>
        <w:rPr>
          <w:b/>
          <w:szCs w:val="22"/>
        </w:rPr>
      </w:pPr>
      <w:r>
        <w:rPr>
          <w:b/>
        </w:rPr>
        <w:t>Informez immédiatement votre médecin ou votre infirmier/ère si vous présentez l’un des effets suivants :</w:t>
      </w:r>
    </w:p>
    <w:p w14:paraId="62E7F7DD" w14:textId="651EC524" w:rsidR="00BC1A26" w:rsidRPr="008447FB" w:rsidRDefault="00BC1A26" w:rsidP="00BC1A26">
      <w:pPr>
        <w:pStyle w:val="ListParagraph"/>
        <w:numPr>
          <w:ilvl w:val="0"/>
          <w:numId w:val="16"/>
        </w:numPr>
        <w:tabs>
          <w:tab w:val="left" w:pos="270"/>
          <w:tab w:val="left" w:pos="720"/>
        </w:tabs>
        <w:rPr>
          <w:sz w:val="22"/>
          <w:szCs w:val="22"/>
        </w:rPr>
      </w:pPr>
      <w:r>
        <w:rPr>
          <w:sz w:val="22"/>
        </w:rPr>
        <w:t>Signes d’une affection connue sous le nom de « syndrome de</w:t>
      </w:r>
      <w:r w:rsidR="00CC6D99">
        <w:rPr>
          <w:sz w:val="22"/>
        </w:rPr>
        <w:t xml:space="preserve"> relargage</w:t>
      </w:r>
      <w:r>
        <w:rPr>
          <w:sz w:val="22"/>
        </w:rPr>
        <w:t xml:space="preserve"> des cytokines » (</w:t>
      </w:r>
      <w:r w:rsidR="00DA4E59">
        <w:rPr>
          <w:sz w:val="22"/>
        </w:rPr>
        <w:t>S</w:t>
      </w:r>
      <w:r w:rsidR="00CC6D99">
        <w:rPr>
          <w:sz w:val="22"/>
        </w:rPr>
        <w:t>R</w:t>
      </w:r>
      <w:r w:rsidR="00DA4E59">
        <w:rPr>
          <w:sz w:val="22"/>
        </w:rPr>
        <w:t>C</w:t>
      </w:r>
      <w:r>
        <w:rPr>
          <w:sz w:val="22"/>
        </w:rPr>
        <w:t xml:space="preserve">). Le </w:t>
      </w:r>
      <w:r w:rsidR="00DA4E59">
        <w:rPr>
          <w:sz w:val="22"/>
        </w:rPr>
        <w:t>S</w:t>
      </w:r>
      <w:r w:rsidR="00CC6D99">
        <w:rPr>
          <w:sz w:val="22"/>
        </w:rPr>
        <w:t>R</w:t>
      </w:r>
      <w:r w:rsidR="00DA4E59">
        <w:rPr>
          <w:sz w:val="22"/>
        </w:rPr>
        <w:t>C</w:t>
      </w:r>
      <w:r>
        <w:rPr>
          <w:sz w:val="22"/>
        </w:rPr>
        <w:t xml:space="preserve"> est une réaction immunitaire grave qui se manifeste par des symptômes tels que fièvre,</w:t>
      </w:r>
      <w:r w:rsidR="008447FB">
        <w:rPr>
          <w:sz w:val="22"/>
        </w:rPr>
        <w:t xml:space="preserve"> difficultés à respirer,</w:t>
      </w:r>
      <w:r>
        <w:rPr>
          <w:sz w:val="22"/>
        </w:rPr>
        <w:t xml:space="preserve"> frissons, </w:t>
      </w:r>
      <w:r w:rsidR="008447FB">
        <w:rPr>
          <w:sz w:val="22"/>
        </w:rPr>
        <w:t>maux de tête, faible pression artérielle,</w:t>
      </w:r>
      <w:r>
        <w:rPr>
          <w:sz w:val="22"/>
        </w:rPr>
        <w:t xml:space="preserve"> rythme cardiaque rapide, </w:t>
      </w:r>
      <w:r w:rsidRPr="008447FB">
        <w:rPr>
          <w:sz w:val="22"/>
        </w:rPr>
        <w:t xml:space="preserve">sensations </w:t>
      </w:r>
      <w:r w:rsidR="00E02805" w:rsidRPr="008447FB">
        <w:rPr>
          <w:sz w:val="22"/>
        </w:rPr>
        <w:t xml:space="preserve">de vertige </w:t>
      </w:r>
      <w:r w:rsidRPr="008447FB">
        <w:rPr>
          <w:sz w:val="22"/>
        </w:rPr>
        <w:t xml:space="preserve">et </w:t>
      </w:r>
      <w:r w:rsidR="002C3CAC">
        <w:rPr>
          <w:sz w:val="22"/>
        </w:rPr>
        <w:t>taux élevés d’enzymes hépatiques dans le sang</w:t>
      </w:r>
      <w:r w:rsidRPr="008447FB">
        <w:rPr>
          <w:sz w:val="22"/>
        </w:rPr>
        <w:t>.</w:t>
      </w:r>
    </w:p>
    <w:p w14:paraId="781CCE8C" w14:textId="0E38BF72" w:rsidR="00BC1A26" w:rsidRPr="00A64757" w:rsidRDefault="00BC1A26" w:rsidP="00BC1A26">
      <w:pPr>
        <w:pStyle w:val="ListParagraph"/>
        <w:numPr>
          <w:ilvl w:val="0"/>
          <w:numId w:val="16"/>
        </w:numPr>
        <w:tabs>
          <w:tab w:val="left" w:pos="270"/>
          <w:tab w:val="left" w:pos="720"/>
        </w:tabs>
      </w:pPr>
      <w:r>
        <w:rPr>
          <w:sz w:val="22"/>
        </w:rPr>
        <w:t xml:space="preserve">Effets sur le système nerveux. Les symptômes comprennent une sensation de confusion, une </w:t>
      </w:r>
      <w:r w:rsidR="00E02805">
        <w:rPr>
          <w:sz w:val="22"/>
        </w:rPr>
        <w:t xml:space="preserve">sensation de </w:t>
      </w:r>
      <w:r>
        <w:rPr>
          <w:sz w:val="22"/>
        </w:rPr>
        <w:t xml:space="preserve">baisse de la vigilance ou des difficultés </w:t>
      </w:r>
      <w:r w:rsidR="00E02805" w:rsidRPr="008447FB">
        <w:rPr>
          <w:sz w:val="22"/>
        </w:rPr>
        <w:t>à</w:t>
      </w:r>
      <w:r w:rsidR="00E02805">
        <w:rPr>
          <w:sz w:val="22"/>
        </w:rPr>
        <w:t xml:space="preserve"> </w:t>
      </w:r>
      <w:r>
        <w:rPr>
          <w:sz w:val="22"/>
        </w:rPr>
        <w:t>parler ou écrire. Certains de ces symptômes peuvent être les signes d’une réaction immunitaire grave appelée « syndrome de neurotoxicité associée aux cellules effectrices immunitaires » (ICANS).</w:t>
      </w:r>
    </w:p>
    <w:p w14:paraId="042CCBF8" w14:textId="259A9078" w:rsidR="00BC1A26" w:rsidRPr="00C82963" w:rsidRDefault="00BC1A26" w:rsidP="00BC1A26">
      <w:pPr>
        <w:pStyle w:val="ListParagraph"/>
        <w:numPr>
          <w:ilvl w:val="0"/>
          <w:numId w:val="16"/>
        </w:numPr>
        <w:tabs>
          <w:tab w:val="left" w:pos="270"/>
          <w:tab w:val="left" w:pos="720"/>
        </w:tabs>
        <w:rPr>
          <w:sz w:val="22"/>
          <w:szCs w:val="22"/>
        </w:rPr>
      </w:pPr>
      <w:r>
        <w:rPr>
          <w:sz w:val="22"/>
        </w:rPr>
        <w:t xml:space="preserve">Signes et symptômes d’une infection tels que fièvre, frissons, fatigue ou difficultés </w:t>
      </w:r>
      <w:r w:rsidR="00E02805">
        <w:rPr>
          <w:sz w:val="22"/>
        </w:rPr>
        <w:t>à respirer</w:t>
      </w:r>
      <w:r>
        <w:rPr>
          <w:sz w:val="22"/>
        </w:rPr>
        <w:t>.</w:t>
      </w:r>
    </w:p>
    <w:p w14:paraId="4599AD5A" w14:textId="77777777" w:rsidR="0098753C" w:rsidRPr="00C82963" w:rsidRDefault="0098753C" w:rsidP="0098753C">
      <w:pPr>
        <w:pStyle w:val="ListParagraph"/>
        <w:tabs>
          <w:tab w:val="left" w:pos="270"/>
          <w:tab w:val="left" w:pos="720"/>
        </w:tabs>
        <w:rPr>
          <w:sz w:val="22"/>
          <w:szCs w:val="22"/>
        </w:rPr>
      </w:pPr>
    </w:p>
    <w:p w14:paraId="339C41BE" w14:textId="77777777" w:rsidR="00622921" w:rsidRDefault="00013FE6" w:rsidP="00013FE6">
      <w:pPr>
        <w:tabs>
          <w:tab w:val="left" w:pos="270"/>
          <w:tab w:val="left" w:pos="720"/>
        </w:tabs>
        <w:rPr>
          <w:noProof/>
          <w:szCs w:val="22"/>
        </w:rPr>
      </w:pPr>
      <w:r>
        <w:t>Informez votre médecin ou votre infirmier/ère si vous remarquez l’un des signes ci-dessus.</w:t>
      </w:r>
    </w:p>
    <w:p w14:paraId="0C92ED05" w14:textId="77777777" w:rsidR="00F62CFA" w:rsidRPr="00761EB7" w:rsidRDefault="00F62CFA" w:rsidP="00F62CFA">
      <w:pPr>
        <w:numPr>
          <w:ilvl w:val="12"/>
          <w:numId w:val="0"/>
        </w:numPr>
        <w:tabs>
          <w:tab w:val="clear" w:pos="567"/>
        </w:tabs>
        <w:spacing w:line="240" w:lineRule="auto"/>
        <w:ind w:right="-2"/>
        <w:rPr>
          <w:noProof/>
          <w:szCs w:val="22"/>
        </w:rPr>
      </w:pPr>
    </w:p>
    <w:p w14:paraId="487A88FD" w14:textId="77777777" w:rsidR="008447FB" w:rsidRPr="005A4140" w:rsidRDefault="008447FB" w:rsidP="008447FB">
      <w:pPr>
        <w:keepNext/>
        <w:numPr>
          <w:ilvl w:val="12"/>
          <w:numId w:val="0"/>
        </w:numPr>
        <w:tabs>
          <w:tab w:val="clear" w:pos="567"/>
        </w:tabs>
        <w:spacing w:line="240" w:lineRule="auto"/>
        <w:rPr>
          <w:b/>
          <w:bCs/>
          <w:noProof/>
          <w:szCs w:val="22"/>
        </w:rPr>
      </w:pPr>
      <w:r>
        <w:rPr>
          <w:b/>
        </w:rPr>
        <w:t>ELREXFIO et les vaccins</w:t>
      </w:r>
    </w:p>
    <w:p w14:paraId="1FE61ECA" w14:textId="77777777" w:rsidR="008447FB" w:rsidRDefault="008447FB" w:rsidP="008447FB">
      <w:pPr>
        <w:tabs>
          <w:tab w:val="left" w:pos="270"/>
          <w:tab w:val="left" w:pos="720"/>
        </w:tabs>
        <w:rPr>
          <w:noProof/>
          <w:szCs w:val="22"/>
        </w:rPr>
      </w:pPr>
      <w:r>
        <w:t>Adressez-vous à votre médecin ou à votre infirmier/ère avant de recevoir ELREXFIO si vous avez récemment reçu ou prévoyez de recevoir une vaccination.</w:t>
      </w:r>
    </w:p>
    <w:p w14:paraId="5A37ECCB" w14:textId="77777777" w:rsidR="008447FB" w:rsidRDefault="008447FB" w:rsidP="008447FB">
      <w:pPr>
        <w:tabs>
          <w:tab w:val="left" w:pos="270"/>
          <w:tab w:val="left" w:pos="720"/>
        </w:tabs>
        <w:rPr>
          <w:noProof/>
          <w:szCs w:val="22"/>
        </w:rPr>
      </w:pPr>
    </w:p>
    <w:p w14:paraId="2E84178A" w14:textId="77777777" w:rsidR="008447FB" w:rsidRDefault="008447FB" w:rsidP="008447FB">
      <w:pPr>
        <w:tabs>
          <w:tab w:val="left" w:pos="270"/>
          <w:tab w:val="left" w:pos="720"/>
        </w:tabs>
      </w:pPr>
      <w:r>
        <w:t>Vous ne devez pas recevoir de vaccins vivants dans les quatre semaines précédant l’administration de votre première dose d’ELREXFIO et pendant votre traitement par ELREXFIO.</w:t>
      </w:r>
    </w:p>
    <w:p w14:paraId="1C87E346" w14:textId="77777777" w:rsidR="008447FB" w:rsidRDefault="008447FB" w:rsidP="008447FB">
      <w:pPr>
        <w:tabs>
          <w:tab w:val="left" w:pos="270"/>
          <w:tab w:val="left" w:pos="720"/>
        </w:tabs>
        <w:rPr>
          <w:noProof/>
          <w:szCs w:val="22"/>
        </w:rPr>
      </w:pPr>
    </w:p>
    <w:p w14:paraId="2426BB9D" w14:textId="77777777" w:rsidR="008447FB" w:rsidRPr="00525EFA" w:rsidRDefault="008447FB" w:rsidP="008447FB">
      <w:pPr>
        <w:tabs>
          <w:tab w:val="left" w:pos="270"/>
          <w:tab w:val="left" w:pos="720"/>
        </w:tabs>
        <w:rPr>
          <w:b/>
          <w:bCs/>
          <w:noProof/>
          <w:szCs w:val="22"/>
        </w:rPr>
      </w:pPr>
      <w:r>
        <w:rPr>
          <w:b/>
        </w:rPr>
        <w:t>Examens et contrôles</w:t>
      </w:r>
    </w:p>
    <w:p w14:paraId="7CF83EF0" w14:textId="77777777" w:rsidR="008447FB" w:rsidRDefault="008447FB" w:rsidP="008447FB">
      <w:pPr>
        <w:tabs>
          <w:tab w:val="left" w:pos="270"/>
          <w:tab w:val="left" w:pos="720"/>
        </w:tabs>
        <w:rPr>
          <w:noProof/>
          <w:szCs w:val="22"/>
        </w:rPr>
      </w:pPr>
      <w:r>
        <w:rPr>
          <w:b/>
        </w:rPr>
        <w:t>Avant de recevoir ELREXFIO</w:t>
      </w:r>
      <w:r>
        <w:t>, votre médecin vérifiera votre numération sanguine pour détecter tout signe d’infection. Si vous avez une infection, elle sera traitée avant le début du traitement par ELREXFIO. Votre médecin vérifiera également si vous êtes enceinte ou si vous allaitez.</w:t>
      </w:r>
    </w:p>
    <w:p w14:paraId="5A937346" w14:textId="77777777" w:rsidR="008447FB" w:rsidRDefault="008447FB" w:rsidP="008447FB">
      <w:pPr>
        <w:tabs>
          <w:tab w:val="left" w:pos="270"/>
          <w:tab w:val="left" w:pos="720"/>
        </w:tabs>
        <w:rPr>
          <w:noProof/>
          <w:szCs w:val="22"/>
        </w:rPr>
      </w:pPr>
    </w:p>
    <w:p w14:paraId="65BA2875" w14:textId="6D73AA81" w:rsidR="008447FB" w:rsidRDefault="008447FB" w:rsidP="008447FB">
      <w:pPr>
        <w:tabs>
          <w:tab w:val="left" w:pos="270"/>
          <w:tab w:val="left" w:pos="720"/>
        </w:tabs>
      </w:pPr>
      <w:r>
        <w:rPr>
          <w:b/>
        </w:rPr>
        <w:t>Pendant le traitement par ELREXFIO</w:t>
      </w:r>
      <w:r>
        <w:t xml:space="preserve">, votre médecin surveillera l’apparition d’effets indésirables. Votre médecin </w:t>
      </w:r>
      <w:r w:rsidR="00F10892">
        <w:t xml:space="preserve">surveillera les singes et les symptômes du SRC et de l’ICANS pendant 48 heures après chacune des 2 escalades de doses d’ELREXFIO. Votre médecin </w:t>
      </w:r>
      <w:r>
        <w:t>vérifiera</w:t>
      </w:r>
      <w:r w:rsidR="00F10892">
        <w:t xml:space="preserve"> également</w:t>
      </w:r>
      <w:r>
        <w:t xml:space="preserve"> régulièrement votre numération sanguine, car le nombre de cellules sanguines et d’autres composants du sang peut diminuer.</w:t>
      </w:r>
    </w:p>
    <w:p w14:paraId="19E1F331" w14:textId="77777777" w:rsidR="008447FB" w:rsidRDefault="008447FB" w:rsidP="008447FB">
      <w:pPr>
        <w:tabs>
          <w:tab w:val="left" w:pos="270"/>
          <w:tab w:val="left" w:pos="720"/>
        </w:tabs>
        <w:rPr>
          <w:noProof/>
          <w:szCs w:val="22"/>
        </w:rPr>
      </w:pPr>
    </w:p>
    <w:p w14:paraId="7B9B87DE" w14:textId="77777777" w:rsidR="00F62CFA" w:rsidRPr="00761EB7" w:rsidRDefault="00F62CFA" w:rsidP="00F62CFA">
      <w:pPr>
        <w:tabs>
          <w:tab w:val="clear" w:pos="567"/>
        </w:tabs>
        <w:spacing w:line="240" w:lineRule="auto"/>
        <w:rPr>
          <w:b/>
        </w:rPr>
      </w:pPr>
      <w:r>
        <w:rPr>
          <w:b/>
        </w:rPr>
        <w:t>Enfants et adolescents</w:t>
      </w:r>
    </w:p>
    <w:p w14:paraId="18B8528D" w14:textId="715847FC" w:rsidR="00F62CFA" w:rsidRPr="00C0718B" w:rsidRDefault="00F62CFA" w:rsidP="00F62CFA">
      <w:pPr>
        <w:tabs>
          <w:tab w:val="clear" w:pos="567"/>
        </w:tabs>
        <w:spacing w:line="240" w:lineRule="auto"/>
      </w:pPr>
      <w:r>
        <w:t xml:space="preserve">ELREXFIO </w:t>
      </w:r>
      <w:r w:rsidR="002C3CAC">
        <w:t xml:space="preserve">n’est pas destiné </w:t>
      </w:r>
      <w:r>
        <w:t>aux enfants ou aux adolescents âgés de moins de 18 ans. En effet, on ne sait pas comment le médicament les affectera.</w:t>
      </w:r>
      <w:r>
        <w:cr/>
      </w:r>
    </w:p>
    <w:p w14:paraId="7243AB49" w14:textId="77777777" w:rsidR="00F62CFA" w:rsidRPr="00761EB7" w:rsidRDefault="00F62CFA" w:rsidP="00F62CFA">
      <w:pPr>
        <w:tabs>
          <w:tab w:val="clear" w:pos="567"/>
        </w:tabs>
        <w:spacing w:line="240" w:lineRule="auto"/>
      </w:pPr>
      <w:r>
        <w:rPr>
          <w:b/>
        </w:rPr>
        <w:t>Autres médicaments et ELREXFIO</w:t>
      </w:r>
    </w:p>
    <w:p w14:paraId="290EF4F9" w14:textId="4268A523" w:rsidR="00F62CFA" w:rsidRDefault="00F62CFA" w:rsidP="00F62CFA">
      <w:pPr>
        <w:tabs>
          <w:tab w:val="clear" w:pos="567"/>
        </w:tabs>
        <w:spacing w:line="240" w:lineRule="auto"/>
        <w:ind w:right="-2"/>
      </w:pPr>
      <w:r>
        <w:t>Informez votre médecin ou infirmier/ère si vous prenez, avez récemment pris ou pourriez prendre tout autre médicament</w:t>
      </w:r>
      <w:r w:rsidR="00F10892">
        <w:t xml:space="preserve"> (par exemple, la cyclosporine, la phénytoïne, le sirolimus ou la warfarin)</w:t>
      </w:r>
      <w:r>
        <w:t>. Cela inclut les médicaments que vous pouvez obtenir sans ordonnance et les médicaments à base de plantes.</w:t>
      </w:r>
    </w:p>
    <w:p w14:paraId="3DD8CC33" w14:textId="77777777" w:rsidR="00F62CFA" w:rsidRPr="00761EB7" w:rsidRDefault="00F62CFA" w:rsidP="00F62CFA">
      <w:pPr>
        <w:tabs>
          <w:tab w:val="clear" w:pos="567"/>
          <w:tab w:val="left" w:pos="1290"/>
        </w:tabs>
        <w:spacing w:line="240" w:lineRule="auto"/>
        <w:ind w:right="-2"/>
      </w:pPr>
    </w:p>
    <w:p w14:paraId="411E8EE7" w14:textId="77777777" w:rsidR="00F62CFA" w:rsidRPr="00761EB7" w:rsidRDefault="00F62CFA" w:rsidP="00F62CFA">
      <w:pPr>
        <w:spacing w:line="240" w:lineRule="auto"/>
        <w:rPr>
          <w:b/>
        </w:rPr>
      </w:pPr>
      <w:r>
        <w:rPr>
          <w:b/>
        </w:rPr>
        <w:t>Grossesse et allaitement</w:t>
      </w:r>
    </w:p>
    <w:p w14:paraId="4C5D0D9B" w14:textId="77777777" w:rsidR="00F62CFA" w:rsidRDefault="00F62CFA" w:rsidP="00F62CFA">
      <w:pPr>
        <w:spacing w:line="240" w:lineRule="auto"/>
        <w:rPr>
          <w:noProof/>
          <w:szCs w:val="22"/>
        </w:rPr>
      </w:pPr>
      <w:r>
        <w:t>On ne sait pas si ELREXFIO affecte l’enfant à naître ou s’il passe dans le lait maternel.</w:t>
      </w:r>
    </w:p>
    <w:p w14:paraId="28DFDD69" w14:textId="77777777" w:rsidR="00F62CFA" w:rsidRDefault="00F62CFA" w:rsidP="00F62CFA">
      <w:pPr>
        <w:spacing w:line="240" w:lineRule="auto"/>
        <w:rPr>
          <w:noProof/>
          <w:szCs w:val="22"/>
        </w:rPr>
      </w:pPr>
    </w:p>
    <w:p w14:paraId="2F3DC06A" w14:textId="77777777" w:rsidR="00F62CFA" w:rsidRPr="00BF0E39" w:rsidRDefault="00F62CFA" w:rsidP="00F62CFA">
      <w:pPr>
        <w:numPr>
          <w:ilvl w:val="12"/>
          <w:numId w:val="0"/>
        </w:numPr>
        <w:tabs>
          <w:tab w:val="clear" w:pos="567"/>
        </w:tabs>
        <w:spacing w:line="240" w:lineRule="auto"/>
        <w:rPr>
          <w:noProof/>
          <w:szCs w:val="22"/>
          <w:u w:val="single"/>
        </w:rPr>
      </w:pPr>
      <w:r>
        <w:rPr>
          <w:u w:val="single"/>
        </w:rPr>
        <w:t>Grossesse — Informations destinées aux femmes</w:t>
      </w:r>
    </w:p>
    <w:p w14:paraId="2D59285D" w14:textId="77777777" w:rsidR="002C3CAC" w:rsidRDefault="002C3CAC" w:rsidP="00F62CFA">
      <w:pPr>
        <w:numPr>
          <w:ilvl w:val="12"/>
          <w:numId w:val="0"/>
        </w:numPr>
        <w:tabs>
          <w:tab w:val="clear" w:pos="567"/>
        </w:tabs>
        <w:spacing w:line="240" w:lineRule="auto"/>
      </w:pPr>
    </w:p>
    <w:p w14:paraId="6F0B6FFB" w14:textId="43584B9A" w:rsidR="00F62CFA" w:rsidRDefault="00F62CFA" w:rsidP="00F62CFA">
      <w:pPr>
        <w:numPr>
          <w:ilvl w:val="12"/>
          <w:numId w:val="0"/>
        </w:numPr>
        <w:tabs>
          <w:tab w:val="clear" w:pos="567"/>
        </w:tabs>
        <w:spacing w:line="240" w:lineRule="auto"/>
        <w:rPr>
          <w:noProof/>
          <w:szCs w:val="22"/>
        </w:rPr>
      </w:pPr>
      <w:r>
        <w:t>ELREXFIO n’est pas recommandé pendant la grossesse.</w:t>
      </w:r>
    </w:p>
    <w:p w14:paraId="24D3E958" w14:textId="77777777" w:rsidR="00F62CFA" w:rsidRDefault="00F62CFA" w:rsidP="00F62CFA">
      <w:pPr>
        <w:numPr>
          <w:ilvl w:val="12"/>
          <w:numId w:val="0"/>
        </w:numPr>
        <w:tabs>
          <w:tab w:val="clear" w:pos="567"/>
        </w:tabs>
        <w:spacing w:line="240" w:lineRule="auto"/>
        <w:rPr>
          <w:noProof/>
          <w:szCs w:val="22"/>
        </w:rPr>
      </w:pPr>
    </w:p>
    <w:p w14:paraId="70ABA3DE" w14:textId="77777777" w:rsidR="00F62CFA" w:rsidRDefault="00F62CFA" w:rsidP="00F62CFA">
      <w:pPr>
        <w:numPr>
          <w:ilvl w:val="12"/>
          <w:numId w:val="0"/>
        </w:numPr>
        <w:tabs>
          <w:tab w:val="clear" w:pos="567"/>
        </w:tabs>
        <w:spacing w:line="240" w:lineRule="auto"/>
        <w:rPr>
          <w:noProof/>
          <w:szCs w:val="22"/>
        </w:rPr>
      </w:pPr>
      <w:r>
        <w:t>Informez votre médecin ou votre infirmier/ère avant de recevoir ELREXFIO si vous êtes enceinte, si vous pensez l’être ou si vous envisagez d’avoir un enfant.</w:t>
      </w:r>
    </w:p>
    <w:p w14:paraId="03BA5FC2" w14:textId="77777777" w:rsidR="00F62CFA" w:rsidRDefault="00F62CFA" w:rsidP="00F62CFA">
      <w:pPr>
        <w:numPr>
          <w:ilvl w:val="12"/>
          <w:numId w:val="0"/>
        </w:numPr>
        <w:tabs>
          <w:tab w:val="clear" w:pos="567"/>
        </w:tabs>
        <w:spacing w:line="240" w:lineRule="auto"/>
        <w:rPr>
          <w:noProof/>
          <w:szCs w:val="22"/>
        </w:rPr>
      </w:pPr>
    </w:p>
    <w:p w14:paraId="1FF83C5E" w14:textId="77777777" w:rsidR="00F62CFA" w:rsidRDefault="00F62CFA" w:rsidP="00F62CFA">
      <w:pPr>
        <w:numPr>
          <w:ilvl w:val="12"/>
          <w:numId w:val="0"/>
        </w:numPr>
        <w:tabs>
          <w:tab w:val="clear" w:pos="567"/>
        </w:tabs>
        <w:spacing w:line="240" w:lineRule="auto"/>
        <w:rPr>
          <w:noProof/>
          <w:szCs w:val="22"/>
        </w:rPr>
      </w:pPr>
      <w:r>
        <w:t>Si vous êtes en âge de procréer, votre médecin devra effectuer un test de grossesse avant le début du traitement.</w:t>
      </w:r>
    </w:p>
    <w:p w14:paraId="1130A00B" w14:textId="77777777" w:rsidR="00F62CFA" w:rsidRPr="003004E4" w:rsidRDefault="00F62CFA" w:rsidP="00F62CFA">
      <w:pPr>
        <w:numPr>
          <w:ilvl w:val="12"/>
          <w:numId w:val="0"/>
        </w:numPr>
        <w:tabs>
          <w:tab w:val="clear" w:pos="567"/>
        </w:tabs>
        <w:spacing w:line="240" w:lineRule="auto"/>
        <w:rPr>
          <w:noProof/>
          <w:szCs w:val="22"/>
        </w:rPr>
      </w:pPr>
    </w:p>
    <w:p w14:paraId="11787AD3" w14:textId="77777777" w:rsidR="00F62CFA" w:rsidRDefault="00F62CFA" w:rsidP="00F62CFA">
      <w:pPr>
        <w:numPr>
          <w:ilvl w:val="12"/>
          <w:numId w:val="0"/>
        </w:numPr>
        <w:tabs>
          <w:tab w:val="clear" w:pos="567"/>
        </w:tabs>
        <w:spacing w:line="240" w:lineRule="auto"/>
        <w:rPr>
          <w:noProof/>
          <w:szCs w:val="22"/>
        </w:rPr>
      </w:pPr>
      <w:r>
        <w:lastRenderedPageBreak/>
        <w:t>Si vous débutez une grossesse pendant votre traitement par ce médicament, informez-en immédiatement votre médecin ou votre infirmier/ère.</w:t>
      </w:r>
    </w:p>
    <w:p w14:paraId="560CA64D" w14:textId="77777777" w:rsidR="00F62CFA" w:rsidRDefault="00F62CFA" w:rsidP="00F62CFA">
      <w:pPr>
        <w:spacing w:line="240" w:lineRule="auto"/>
      </w:pPr>
    </w:p>
    <w:p w14:paraId="3E54B3E9" w14:textId="77777777" w:rsidR="00F62CFA" w:rsidRPr="00BF0E39" w:rsidRDefault="00F62CFA" w:rsidP="00F62CFA">
      <w:pPr>
        <w:numPr>
          <w:ilvl w:val="12"/>
          <w:numId w:val="0"/>
        </w:numPr>
        <w:tabs>
          <w:tab w:val="clear" w:pos="567"/>
        </w:tabs>
        <w:spacing w:line="240" w:lineRule="auto"/>
        <w:rPr>
          <w:u w:val="single"/>
        </w:rPr>
      </w:pPr>
      <w:r>
        <w:rPr>
          <w:u w:val="single"/>
        </w:rPr>
        <w:t>Contraception</w:t>
      </w:r>
    </w:p>
    <w:p w14:paraId="488B715A" w14:textId="77777777" w:rsidR="002C3CAC" w:rsidRDefault="002C3CAC" w:rsidP="00F62CFA">
      <w:pPr>
        <w:tabs>
          <w:tab w:val="clear" w:pos="567"/>
        </w:tabs>
        <w:spacing w:line="240" w:lineRule="auto"/>
      </w:pPr>
    </w:p>
    <w:p w14:paraId="5286C69D" w14:textId="1FEE97BA" w:rsidR="00F62CFA" w:rsidRPr="006D5460" w:rsidRDefault="00F62CFA" w:rsidP="00F62CFA">
      <w:pPr>
        <w:tabs>
          <w:tab w:val="clear" w:pos="567"/>
        </w:tabs>
        <w:spacing w:line="240" w:lineRule="auto"/>
      </w:pPr>
      <w:r>
        <w:t xml:space="preserve">Si vous </w:t>
      </w:r>
      <w:r w:rsidR="00FE52DD">
        <w:t>êtes en âge de procréer</w:t>
      </w:r>
      <w:r>
        <w:t xml:space="preserve">, vous devez utiliser une contraception efficace pendant le traitement et pendant les </w:t>
      </w:r>
      <w:r w:rsidR="002C3CAC">
        <w:t>6</w:t>
      </w:r>
      <w:r>
        <w:t> mois suivant l’arrêt du traitement par ELREXFIO.</w:t>
      </w:r>
    </w:p>
    <w:p w14:paraId="177E4E21" w14:textId="77777777" w:rsidR="00F62CFA" w:rsidRPr="00BC4107" w:rsidRDefault="00F62CFA" w:rsidP="00F62CFA">
      <w:pPr>
        <w:numPr>
          <w:ilvl w:val="12"/>
          <w:numId w:val="0"/>
        </w:numPr>
        <w:tabs>
          <w:tab w:val="clear" w:pos="567"/>
        </w:tabs>
        <w:spacing w:line="240" w:lineRule="auto"/>
        <w:rPr>
          <w:b/>
          <w:szCs w:val="22"/>
        </w:rPr>
      </w:pPr>
    </w:p>
    <w:p w14:paraId="6387FA57" w14:textId="77777777" w:rsidR="00F62CFA" w:rsidRPr="00BC4107" w:rsidRDefault="00F62CFA" w:rsidP="00F62CFA">
      <w:pPr>
        <w:numPr>
          <w:ilvl w:val="12"/>
          <w:numId w:val="0"/>
        </w:numPr>
        <w:tabs>
          <w:tab w:val="clear" w:pos="567"/>
        </w:tabs>
        <w:spacing w:line="240" w:lineRule="auto"/>
        <w:rPr>
          <w:noProof/>
          <w:szCs w:val="22"/>
          <w:u w:val="single"/>
        </w:rPr>
      </w:pPr>
      <w:r>
        <w:rPr>
          <w:u w:val="single"/>
        </w:rPr>
        <w:t>Allaitement</w:t>
      </w:r>
    </w:p>
    <w:p w14:paraId="7D70A13F" w14:textId="77777777" w:rsidR="00F10892" w:rsidRDefault="00F10892" w:rsidP="00F62CFA">
      <w:pPr>
        <w:numPr>
          <w:ilvl w:val="12"/>
          <w:numId w:val="0"/>
        </w:numPr>
        <w:tabs>
          <w:tab w:val="clear" w:pos="567"/>
        </w:tabs>
        <w:spacing w:line="240" w:lineRule="auto"/>
      </w:pPr>
    </w:p>
    <w:p w14:paraId="729BB7D7" w14:textId="09E12C1D" w:rsidR="00F62CFA" w:rsidRPr="000E6E35" w:rsidRDefault="00F62CFA" w:rsidP="00F62CFA">
      <w:pPr>
        <w:numPr>
          <w:ilvl w:val="12"/>
          <w:numId w:val="0"/>
        </w:numPr>
        <w:tabs>
          <w:tab w:val="clear" w:pos="567"/>
        </w:tabs>
        <w:spacing w:line="240" w:lineRule="auto"/>
      </w:pPr>
      <w:r>
        <w:t>Vous ne dev</w:t>
      </w:r>
      <w:r w:rsidR="00F10892">
        <w:t>ri</w:t>
      </w:r>
      <w:r>
        <w:t xml:space="preserve">ez pas allaiter pendant le traitement et pendant les </w:t>
      </w:r>
      <w:r w:rsidR="002C3CAC">
        <w:t>6</w:t>
      </w:r>
      <w:r>
        <w:t> mois suivant l’arrêt du traitement par ELREXFIO.</w:t>
      </w:r>
    </w:p>
    <w:p w14:paraId="5AE8A3F2" w14:textId="77777777" w:rsidR="000E6E35" w:rsidRPr="00B3642C" w:rsidRDefault="000E6E35" w:rsidP="00204AAB">
      <w:pPr>
        <w:numPr>
          <w:ilvl w:val="12"/>
          <w:numId w:val="0"/>
        </w:numPr>
        <w:tabs>
          <w:tab w:val="clear" w:pos="567"/>
        </w:tabs>
        <w:spacing w:line="240" w:lineRule="auto"/>
        <w:rPr>
          <w:b/>
          <w:bCs/>
          <w:noProof/>
          <w:szCs w:val="22"/>
        </w:rPr>
      </w:pPr>
    </w:p>
    <w:p w14:paraId="29E66A09" w14:textId="77777777" w:rsidR="009B6496" w:rsidRPr="002564E9" w:rsidRDefault="009B6496" w:rsidP="00B267A0">
      <w:pPr>
        <w:keepNext/>
        <w:spacing w:line="240" w:lineRule="auto"/>
        <w:rPr>
          <w:b/>
        </w:rPr>
      </w:pPr>
      <w:r>
        <w:rPr>
          <w:b/>
        </w:rPr>
        <w:t>Conduite de véhicules et utilisation de machines</w:t>
      </w:r>
    </w:p>
    <w:p w14:paraId="077E9D0F" w14:textId="2DF45172" w:rsidR="006C2EF5" w:rsidRPr="00806728" w:rsidRDefault="006C2EF5" w:rsidP="006C2EF5">
      <w:pPr>
        <w:tabs>
          <w:tab w:val="clear" w:pos="567"/>
        </w:tabs>
        <w:spacing w:line="240" w:lineRule="auto"/>
        <w:ind w:right="-2"/>
      </w:pPr>
      <w:r>
        <w:t>Certaines personnes peuvent se sentir fatiguées, étourdies ou confuses pendant le traitement par ELREXFIO. Ne conduisez pas et n’utilisez ni outils ni machines pendant</w:t>
      </w:r>
      <w:r w:rsidR="00E67B20">
        <w:t xml:space="preserve"> au moins </w:t>
      </w:r>
      <w:r>
        <w:t xml:space="preserve">48 heures </w:t>
      </w:r>
      <w:r w:rsidR="00777A29">
        <w:t xml:space="preserve">après chacune de vos 2 </w:t>
      </w:r>
      <w:r w:rsidR="00E940C6">
        <w:t>dose</w:t>
      </w:r>
      <w:r w:rsidR="00103194">
        <w:t>s</w:t>
      </w:r>
      <w:r w:rsidR="00E940C6">
        <w:t xml:space="preserve"> de la phase d’escalade de dose</w:t>
      </w:r>
      <w:r w:rsidR="00103194">
        <w:t>s</w:t>
      </w:r>
      <w:r w:rsidR="00E940C6">
        <w:t xml:space="preserve"> </w:t>
      </w:r>
      <w:r w:rsidR="002C3CAC">
        <w:t>et jusqu’à ce que vos symptômes s’améliorent,</w:t>
      </w:r>
      <w:r>
        <w:t xml:space="preserve"> ou selon les instructions de votre professionnel de santé.</w:t>
      </w:r>
    </w:p>
    <w:p w14:paraId="1F5C0E5C" w14:textId="77777777" w:rsidR="6B39FA4C" w:rsidRDefault="6B39FA4C" w:rsidP="6B39FA4C">
      <w:pPr>
        <w:tabs>
          <w:tab w:val="clear" w:pos="567"/>
        </w:tabs>
        <w:spacing w:line="240" w:lineRule="auto"/>
        <w:ind w:right="-2"/>
        <w:rPr>
          <w:szCs w:val="22"/>
        </w:rPr>
      </w:pPr>
    </w:p>
    <w:p w14:paraId="299FA4F5" w14:textId="77777777" w:rsidR="30F4BE87" w:rsidRDefault="30F4BE87" w:rsidP="008A3EDA">
      <w:pPr>
        <w:keepNext/>
        <w:tabs>
          <w:tab w:val="clear" w:pos="567"/>
        </w:tabs>
        <w:spacing w:line="240" w:lineRule="auto"/>
        <w:rPr>
          <w:b/>
          <w:szCs w:val="22"/>
        </w:rPr>
      </w:pPr>
      <w:r>
        <w:rPr>
          <w:b/>
        </w:rPr>
        <w:t>ELREXFIO contient du sodium</w:t>
      </w:r>
    </w:p>
    <w:p w14:paraId="6C88140E" w14:textId="77777777" w:rsidR="009B6496" w:rsidRPr="00806728" w:rsidRDefault="00955FFA" w:rsidP="00204AAB">
      <w:pPr>
        <w:numPr>
          <w:ilvl w:val="12"/>
          <w:numId w:val="0"/>
        </w:numPr>
        <w:tabs>
          <w:tab w:val="clear" w:pos="567"/>
        </w:tabs>
        <w:spacing w:line="240" w:lineRule="auto"/>
        <w:ind w:right="-2"/>
        <w:rPr>
          <w:szCs w:val="22"/>
        </w:rPr>
      </w:pPr>
      <w:r>
        <w:t>ELREXFIO contient moins de 1 mmol (23 mg) de sodium par dose, c.-à-d. qu’il est essentiellement « sans sodium ».</w:t>
      </w:r>
    </w:p>
    <w:p w14:paraId="3B76611C" w14:textId="77777777" w:rsidR="008A3EDA" w:rsidRDefault="008A3EDA" w:rsidP="00204AAB">
      <w:pPr>
        <w:numPr>
          <w:ilvl w:val="12"/>
          <w:numId w:val="0"/>
        </w:numPr>
        <w:tabs>
          <w:tab w:val="clear" w:pos="567"/>
        </w:tabs>
        <w:spacing w:line="240" w:lineRule="auto"/>
        <w:ind w:right="-2"/>
        <w:rPr>
          <w:noProof/>
          <w:szCs w:val="22"/>
        </w:rPr>
      </w:pPr>
    </w:p>
    <w:p w14:paraId="47784B1C" w14:textId="77777777" w:rsidR="00BB3F97" w:rsidRPr="00761EB7" w:rsidRDefault="00BB3F97" w:rsidP="00204AAB">
      <w:pPr>
        <w:numPr>
          <w:ilvl w:val="12"/>
          <w:numId w:val="0"/>
        </w:numPr>
        <w:tabs>
          <w:tab w:val="clear" w:pos="567"/>
        </w:tabs>
        <w:spacing w:line="240" w:lineRule="auto"/>
        <w:ind w:right="-2"/>
        <w:rPr>
          <w:noProof/>
          <w:szCs w:val="22"/>
        </w:rPr>
      </w:pPr>
    </w:p>
    <w:p w14:paraId="6CE64623" w14:textId="77777777" w:rsidR="009B6496" w:rsidRPr="00761EB7" w:rsidRDefault="00F9016F" w:rsidP="00204AAB">
      <w:pPr>
        <w:spacing w:line="240" w:lineRule="auto"/>
        <w:ind w:right="-2"/>
        <w:rPr>
          <w:b/>
          <w:noProof/>
          <w:szCs w:val="22"/>
        </w:rPr>
      </w:pPr>
      <w:r>
        <w:rPr>
          <w:b/>
        </w:rPr>
        <w:t>3.</w:t>
      </w:r>
      <w:r>
        <w:rPr>
          <w:b/>
        </w:rPr>
        <w:tab/>
        <w:t>Comment ELREXFIO est-il administré ?</w:t>
      </w:r>
    </w:p>
    <w:p w14:paraId="591DAC2B" w14:textId="77777777" w:rsidR="009B6496" w:rsidRPr="00761EB7" w:rsidRDefault="009B6496" w:rsidP="00204AAB">
      <w:pPr>
        <w:numPr>
          <w:ilvl w:val="12"/>
          <w:numId w:val="0"/>
        </w:numPr>
        <w:tabs>
          <w:tab w:val="clear" w:pos="567"/>
        </w:tabs>
        <w:spacing w:line="240" w:lineRule="auto"/>
        <w:ind w:right="-2"/>
        <w:rPr>
          <w:noProof/>
          <w:szCs w:val="22"/>
        </w:rPr>
      </w:pPr>
    </w:p>
    <w:p w14:paraId="6262C669" w14:textId="114C7D78" w:rsidR="00353F9D" w:rsidRPr="00353F9D" w:rsidRDefault="00353F9D" w:rsidP="25D013D2">
      <w:pPr>
        <w:tabs>
          <w:tab w:val="clear" w:pos="567"/>
        </w:tabs>
        <w:spacing w:line="240" w:lineRule="auto"/>
        <w:ind w:right="-2"/>
        <w:rPr>
          <w:b/>
          <w:bCs/>
          <w:noProof/>
          <w:szCs w:val="22"/>
        </w:rPr>
      </w:pPr>
      <w:r>
        <w:rPr>
          <w:b/>
        </w:rPr>
        <w:t>Quelle est la dose administrée</w:t>
      </w:r>
      <w:r w:rsidR="00A50CCA">
        <w:rPr>
          <w:b/>
        </w:rPr>
        <w:t> ?</w:t>
      </w:r>
    </w:p>
    <w:p w14:paraId="02628D5B" w14:textId="5D0619B5" w:rsidR="00EB3C54" w:rsidRDefault="009E61FC" w:rsidP="00204AAB">
      <w:pPr>
        <w:numPr>
          <w:ilvl w:val="12"/>
          <w:numId w:val="0"/>
        </w:numPr>
        <w:tabs>
          <w:tab w:val="clear" w:pos="567"/>
        </w:tabs>
        <w:spacing w:line="240" w:lineRule="auto"/>
        <w:ind w:right="-2"/>
      </w:pPr>
      <w:r>
        <w:t>Vous recevrez ELREXFIO sous la surveillance d’un professionnel de santé expérimenté</w:t>
      </w:r>
      <w:r w:rsidR="002C3CAC">
        <w:t xml:space="preserve"> dans le traitement du cancer</w:t>
      </w:r>
      <w:r>
        <w:t>. La dose</w:t>
      </w:r>
      <w:r w:rsidR="002C3CAC">
        <w:t xml:space="preserve"> recommandée</w:t>
      </w:r>
      <w:r>
        <w:t xml:space="preserve"> d’ELREXFIO</w:t>
      </w:r>
      <w:r w:rsidR="002C3CAC">
        <w:t xml:space="preserve"> </w:t>
      </w:r>
      <w:r>
        <w:t>sera de 76 mg, mais les deux premières doses seront plus faibles.</w:t>
      </w:r>
    </w:p>
    <w:p w14:paraId="19D57C0E" w14:textId="77777777" w:rsidR="00CC05FF" w:rsidRDefault="00CC05FF" w:rsidP="00204AAB">
      <w:pPr>
        <w:numPr>
          <w:ilvl w:val="12"/>
          <w:numId w:val="0"/>
        </w:numPr>
        <w:tabs>
          <w:tab w:val="clear" w:pos="567"/>
        </w:tabs>
        <w:spacing w:line="240" w:lineRule="auto"/>
        <w:ind w:right="-2"/>
      </w:pPr>
    </w:p>
    <w:p w14:paraId="2E04EE12" w14:textId="77777777" w:rsidR="00CC05FF" w:rsidRDefault="00A23713" w:rsidP="00204AAB">
      <w:pPr>
        <w:numPr>
          <w:ilvl w:val="12"/>
          <w:numId w:val="0"/>
        </w:numPr>
        <w:tabs>
          <w:tab w:val="clear" w:pos="567"/>
        </w:tabs>
        <w:spacing w:line="240" w:lineRule="auto"/>
        <w:ind w:right="-2"/>
      </w:pPr>
      <w:r>
        <w:t>ELREXFIO est administré comme suit :</w:t>
      </w:r>
    </w:p>
    <w:p w14:paraId="0E2DEFE0" w14:textId="40AAA68D" w:rsidR="004274C6" w:rsidRDefault="004274C6" w:rsidP="004274C6">
      <w:pPr>
        <w:numPr>
          <w:ilvl w:val="0"/>
          <w:numId w:val="6"/>
        </w:numPr>
        <w:tabs>
          <w:tab w:val="clear" w:pos="567"/>
        </w:tabs>
        <w:spacing w:line="240" w:lineRule="auto"/>
        <w:ind w:right="-2"/>
      </w:pPr>
      <w:r>
        <w:t>Vous recevrez une </w:t>
      </w:r>
      <w:r w:rsidR="007B03ED">
        <w:t xml:space="preserve">première </w:t>
      </w:r>
      <w:r w:rsidR="002C3CAC">
        <w:t>e</w:t>
      </w:r>
      <w:r w:rsidR="00AE0290">
        <w:t>scalade de dose</w:t>
      </w:r>
      <w:r>
        <w:t xml:space="preserve"> de 12 mg le Jour 1 de la Semaine 1.</w:t>
      </w:r>
    </w:p>
    <w:p w14:paraId="135814DB" w14:textId="3720C8AA" w:rsidR="004274C6" w:rsidRDefault="004274C6" w:rsidP="004274C6">
      <w:pPr>
        <w:numPr>
          <w:ilvl w:val="0"/>
          <w:numId w:val="6"/>
        </w:numPr>
        <w:tabs>
          <w:tab w:val="clear" w:pos="567"/>
        </w:tabs>
        <w:spacing w:line="240" w:lineRule="auto"/>
        <w:ind w:right="-2"/>
      </w:pPr>
      <w:r>
        <w:t xml:space="preserve">Vous recevrez ensuite une </w:t>
      </w:r>
      <w:r w:rsidR="007B03ED">
        <w:t xml:space="preserve">seconde </w:t>
      </w:r>
      <w:r w:rsidR="00AE0290">
        <w:t>escalade de dose</w:t>
      </w:r>
      <w:r>
        <w:t xml:space="preserve"> de 32 mg le Jour 4 de la Semaine 1.</w:t>
      </w:r>
    </w:p>
    <w:p w14:paraId="6240AD69" w14:textId="7CC00739" w:rsidR="004274C6" w:rsidRDefault="002C3CAC" w:rsidP="0076130D">
      <w:pPr>
        <w:numPr>
          <w:ilvl w:val="0"/>
          <w:numId w:val="6"/>
        </w:numPr>
        <w:tabs>
          <w:tab w:val="clear" w:pos="567"/>
        </w:tabs>
        <w:spacing w:line="240" w:lineRule="auto"/>
        <w:ind w:right="-2"/>
      </w:pPr>
      <w:r>
        <w:t>De la Semaine 2 à la Semaine 24 (Jour 1), v</w:t>
      </w:r>
      <w:r w:rsidR="004274C6">
        <w:t xml:space="preserve">ous recevrez une dose </w:t>
      </w:r>
      <w:r w:rsidR="006332A0" w:rsidRPr="002C3CAC">
        <w:t xml:space="preserve">complète </w:t>
      </w:r>
      <w:r w:rsidR="004274C6" w:rsidRPr="002C3CAC">
        <w:t>de traitement</w:t>
      </w:r>
      <w:r w:rsidR="004274C6">
        <w:t xml:space="preserve"> de 76 mg</w:t>
      </w:r>
      <w:r w:rsidR="0076130D">
        <w:t xml:space="preserve"> u</w:t>
      </w:r>
      <w:r w:rsidR="004274C6" w:rsidRPr="002C3CAC">
        <w:t>ne fois</w:t>
      </w:r>
      <w:r w:rsidR="009709FD" w:rsidRPr="002C3CAC">
        <w:t xml:space="preserve"> par semaine</w:t>
      </w:r>
      <w:r w:rsidR="004274C6" w:rsidRPr="002C3CAC">
        <w:t>, tant que vous tirerez un bénéfice du traitem</w:t>
      </w:r>
      <w:r w:rsidR="004274C6">
        <w:t>ent par ELREXFIO.</w:t>
      </w:r>
    </w:p>
    <w:p w14:paraId="66497ABF" w14:textId="571C9D46" w:rsidR="004274C6" w:rsidRDefault="00EA5A69" w:rsidP="004274C6">
      <w:pPr>
        <w:numPr>
          <w:ilvl w:val="0"/>
          <w:numId w:val="6"/>
        </w:numPr>
        <w:tabs>
          <w:tab w:val="clear" w:pos="567"/>
        </w:tabs>
        <w:spacing w:line="240" w:lineRule="auto"/>
        <w:ind w:right="-2"/>
      </w:pPr>
      <w:r>
        <w:t>D</w:t>
      </w:r>
      <w:r w:rsidR="004274C6">
        <w:t>e la Semaine 25</w:t>
      </w:r>
      <w:r>
        <w:t xml:space="preserve"> à la Semaine 48 (Jour 1)</w:t>
      </w:r>
      <w:r w:rsidR="004274C6">
        <w:t xml:space="preserve">, </w:t>
      </w:r>
      <w:r w:rsidR="00F10892">
        <w:t xml:space="preserve">votre médecin pourrait modifier votre traitement </w:t>
      </w:r>
      <w:r w:rsidR="00405D4C">
        <w:t xml:space="preserve">de une fois </w:t>
      </w:r>
      <w:r w:rsidR="00F10892">
        <w:t xml:space="preserve">par semaine à </w:t>
      </w:r>
      <w:r w:rsidR="004274C6" w:rsidRPr="002C3CAC">
        <w:t xml:space="preserve">une fois toutes les deux semaines, tant que </w:t>
      </w:r>
      <w:r w:rsidR="002C3CAC">
        <w:t>votre cancer répond au</w:t>
      </w:r>
      <w:r w:rsidR="004274C6">
        <w:t xml:space="preserve"> traitement par ELREXFIO.</w:t>
      </w:r>
    </w:p>
    <w:p w14:paraId="2E4D5CCC" w14:textId="28E6FABB" w:rsidR="00EA5A69" w:rsidRPr="00EB6812" w:rsidRDefault="00EA5A69" w:rsidP="00EB6812">
      <w:pPr>
        <w:pStyle w:val="ListParagraph"/>
        <w:numPr>
          <w:ilvl w:val="0"/>
          <w:numId w:val="6"/>
        </w:numPr>
        <w:rPr>
          <w:sz w:val="22"/>
          <w:szCs w:val="20"/>
        </w:rPr>
      </w:pPr>
      <w:r w:rsidRPr="00EA5A69">
        <w:rPr>
          <w:sz w:val="22"/>
          <w:szCs w:val="20"/>
        </w:rPr>
        <w:t>À partir de la Semaine</w:t>
      </w:r>
      <w:r>
        <w:rPr>
          <w:sz w:val="22"/>
          <w:szCs w:val="20"/>
        </w:rPr>
        <w:t> 49 (Jour 1)</w:t>
      </w:r>
      <w:r w:rsidRPr="00EA5A69">
        <w:rPr>
          <w:sz w:val="22"/>
          <w:szCs w:val="20"/>
        </w:rPr>
        <w:t xml:space="preserve">, votre médecin pourrait modifier votre traitement de une fois </w:t>
      </w:r>
      <w:r>
        <w:rPr>
          <w:sz w:val="22"/>
          <w:szCs w:val="20"/>
        </w:rPr>
        <w:t xml:space="preserve">toutes les deux </w:t>
      </w:r>
      <w:r w:rsidRPr="00EA5A69">
        <w:rPr>
          <w:sz w:val="22"/>
          <w:szCs w:val="20"/>
        </w:rPr>
        <w:t>semaine</w:t>
      </w:r>
      <w:r>
        <w:rPr>
          <w:sz w:val="22"/>
          <w:szCs w:val="20"/>
        </w:rPr>
        <w:t>s</w:t>
      </w:r>
      <w:r w:rsidRPr="00EA5A69">
        <w:rPr>
          <w:sz w:val="22"/>
          <w:szCs w:val="20"/>
        </w:rPr>
        <w:t xml:space="preserve"> à une fois toutes les </w:t>
      </w:r>
      <w:r>
        <w:rPr>
          <w:sz w:val="22"/>
          <w:szCs w:val="20"/>
        </w:rPr>
        <w:t>quatre</w:t>
      </w:r>
      <w:r w:rsidRPr="00EA5A69">
        <w:rPr>
          <w:sz w:val="22"/>
          <w:szCs w:val="20"/>
        </w:rPr>
        <w:t xml:space="preserve"> semaines, tant que votre cancer </w:t>
      </w:r>
      <w:r>
        <w:rPr>
          <w:sz w:val="22"/>
          <w:szCs w:val="20"/>
        </w:rPr>
        <w:t xml:space="preserve">continue de </w:t>
      </w:r>
      <w:r w:rsidRPr="00EA5A69">
        <w:rPr>
          <w:sz w:val="22"/>
          <w:szCs w:val="20"/>
        </w:rPr>
        <w:t>répond</w:t>
      </w:r>
      <w:r>
        <w:rPr>
          <w:sz w:val="22"/>
          <w:szCs w:val="20"/>
        </w:rPr>
        <w:t>re</w:t>
      </w:r>
      <w:r w:rsidRPr="00EA5A69">
        <w:rPr>
          <w:sz w:val="22"/>
          <w:szCs w:val="20"/>
        </w:rPr>
        <w:t xml:space="preserve"> au traitement par ELREXFIO.</w:t>
      </w:r>
    </w:p>
    <w:p w14:paraId="2BF6D6EB" w14:textId="77777777" w:rsidR="009E61FC" w:rsidRDefault="009E61FC" w:rsidP="00204AAB">
      <w:pPr>
        <w:numPr>
          <w:ilvl w:val="12"/>
          <w:numId w:val="0"/>
        </w:numPr>
        <w:tabs>
          <w:tab w:val="clear" w:pos="567"/>
        </w:tabs>
        <w:spacing w:line="240" w:lineRule="auto"/>
        <w:ind w:right="-2"/>
        <w:rPr>
          <w:noProof/>
          <w:szCs w:val="22"/>
        </w:rPr>
      </w:pPr>
    </w:p>
    <w:p w14:paraId="3C13635D" w14:textId="4A7944F5" w:rsidR="00F37AC4" w:rsidRPr="00921816" w:rsidRDefault="004C07E8" w:rsidP="00204AAB">
      <w:pPr>
        <w:numPr>
          <w:ilvl w:val="12"/>
          <w:numId w:val="0"/>
        </w:numPr>
        <w:tabs>
          <w:tab w:val="clear" w:pos="567"/>
        </w:tabs>
        <w:spacing w:line="240" w:lineRule="auto"/>
        <w:ind w:right="-2"/>
        <w:rPr>
          <w:szCs w:val="22"/>
        </w:rPr>
      </w:pPr>
      <w:r>
        <w:t xml:space="preserve">Vous devez rester à proximité d’un établissement de </w:t>
      </w:r>
      <w:r w:rsidR="009709FD">
        <w:t>santé</w:t>
      </w:r>
      <w:r>
        <w:t xml:space="preserve"> pendant 48 heures après chacune des deux premières</w:t>
      </w:r>
      <w:r w:rsidR="00A620AE">
        <w:t xml:space="preserve"> doses de la phase</w:t>
      </w:r>
      <w:r>
        <w:t xml:space="preserve"> </w:t>
      </w:r>
      <w:r w:rsidR="00A620AE">
        <w:t>d’</w:t>
      </w:r>
      <w:r w:rsidR="00152EC8">
        <w:t xml:space="preserve">escalades de </w:t>
      </w:r>
      <w:r>
        <w:t>dose, au cas où vous présenteriez des effets indésirables.</w:t>
      </w:r>
      <w:r w:rsidR="00FE7BBE">
        <w:t xml:space="preserve"> </w:t>
      </w:r>
      <w:r w:rsidR="00F37AC4">
        <w:t>Votre médecin surveillera l’apparition d’effets indésirables pendant 48 heures après chacune des deux premières doses.</w:t>
      </w:r>
    </w:p>
    <w:p w14:paraId="4ED7CC9D" w14:textId="77777777" w:rsidR="009B6496" w:rsidRPr="00761EB7" w:rsidRDefault="009B6496" w:rsidP="00204AAB">
      <w:pPr>
        <w:numPr>
          <w:ilvl w:val="12"/>
          <w:numId w:val="0"/>
        </w:numPr>
        <w:tabs>
          <w:tab w:val="clear" w:pos="567"/>
        </w:tabs>
        <w:spacing w:line="240" w:lineRule="auto"/>
        <w:ind w:right="-2"/>
        <w:rPr>
          <w:szCs w:val="22"/>
        </w:rPr>
      </w:pPr>
    </w:p>
    <w:p w14:paraId="47D1771B" w14:textId="1D6EF97D" w:rsidR="003145D5" w:rsidRDefault="00353F9D" w:rsidP="00204AAB">
      <w:pPr>
        <w:numPr>
          <w:ilvl w:val="12"/>
          <w:numId w:val="0"/>
        </w:numPr>
        <w:tabs>
          <w:tab w:val="clear" w:pos="567"/>
        </w:tabs>
        <w:spacing w:line="240" w:lineRule="auto"/>
        <w:ind w:right="-2"/>
        <w:rPr>
          <w:b/>
          <w:bCs/>
          <w:szCs w:val="22"/>
        </w:rPr>
      </w:pPr>
      <w:r>
        <w:rPr>
          <w:b/>
        </w:rPr>
        <w:t>Comment le médicament est-il administré</w:t>
      </w:r>
      <w:r w:rsidR="00DE5477">
        <w:rPr>
          <w:b/>
        </w:rPr>
        <w:t> ?</w:t>
      </w:r>
    </w:p>
    <w:p w14:paraId="49D31901" w14:textId="1C61B20D" w:rsidR="005D5E23" w:rsidRDefault="00A23713" w:rsidP="00204AAB">
      <w:pPr>
        <w:numPr>
          <w:ilvl w:val="12"/>
          <w:numId w:val="0"/>
        </w:numPr>
        <w:tabs>
          <w:tab w:val="clear" w:pos="567"/>
        </w:tabs>
        <w:spacing w:line="240" w:lineRule="auto"/>
        <w:ind w:right="-2"/>
      </w:pPr>
      <w:r>
        <w:t>ELREXFIO vous sera toujours administré par votre médecin ou votre infirmier/ère sous forme d’injection sous la peau (sous-cutanée). Elle est administrée dans la région de l’estomac ou de la cuisse.</w:t>
      </w:r>
    </w:p>
    <w:p w14:paraId="72C6DA82" w14:textId="77777777" w:rsidR="002C3CAC" w:rsidRDefault="002C3CAC" w:rsidP="00204AAB">
      <w:pPr>
        <w:numPr>
          <w:ilvl w:val="12"/>
          <w:numId w:val="0"/>
        </w:numPr>
        <w:tabs>
          <w:tab w:val="clear" w:pos="567"/>
        </w:tabs>
        <w:spacing w:line="240" w:lineRule="auto"/>
        <w:ind w:right="-2"/>
      </w:pPr>
    </w:p>
    <w:p w14:paraId="61CEE7F3" w14:textId="3879207F" w:rsidR="002C3CAC" w:rsidRPr="003145D5" w:rsidRDefault="002C3CAC" w:rsidP="00204AAB">
      <w:pPr>
        <w:numPr>
          <w:ilvl w:val="12"/>
          <w:numId w:val="0"/>
        </w:numPr>
        <w:tabs>
          <w:tab w:val="clear" w:pos="567"/>
        </w:tabs>
        <w:spacing w:line="240" w:lineRule="auto"/>
        <w:ind w:right="-2"/>
        <w:rPr>
          <w:szCs w:val="22"/>
        </w:rPr>
      </w:pPr>
      <w:r>
        <w:t>Il est possible que vous présentiez une réaction au site d’injection, notamment une rougeur cutanée, une douleur, un gonflement, une ecchymose, une éruption cutanée, des démangeaisons ou un saignement. Ces effets sont généralement légers et disparaissent d’eux-mêmes sans qu’un traitement supplémentaire soit nécessaire.</w:t>
      </w:r>
    </w:p>
    <w:p w14:paraId="42731F2B" w14:textId="77777777" w:rsidR="003145D5" w:rsidRDefault="003145D5" w:rsidP="003D08BD">
      <w:pPr>
        <w:numPr>
          <w:ilvl w:val="12"/>
          <w:numId w:val="0"/>
        </w:numPr>
        <w:tabs>
          <w:tab w:val="clear" w:pos="567"/>
        </w:tabs>
        <w:spacing w:line="240" w:lineRule="auto"/>
        <w:rPr>
          <w:b/>
          <w:bCs/>
          <w:noProof/>
          <w:szCs w:val="22"/>
        </w:rPr>
      </w:pPr>
    </w:p>
    <w:p w14:paraId="557F8C5C" w14:textId="77777777" w:rsidR="00F9418A" w:rsidRDefault="00F9418A" w:rsidP="00C238FB">
      <w:pPr>
        <w:keepNext/>
        <w:numPr>
          <w:ilvl w:val="12"/>
          <w:numId w:val="0"/>
        </w:numPr>
        <w:tabs>
          <w:tab w:val="clear" w:pos="567"/>
        </w:tabs>
        <w:spacing w:line="240" w:lineRule="auto"/>
        <w:rPr>
          <w:b/>
          <w:bCs/>
          <w:noProof/>
          <w:szCs w:val="22"/>
        </w:rPr>
      </w:pPr>
      <w:r>
        <w:rPr>
          <w:b/>
        </w:rPr>
        <w:t>Autres médicaments administrés pendant le traitement par ELREXFIO</w:t>
      </w:r>
    </w:p>
    <w:p w14:paraId="19389A2A" w14:textId="4D624AA7" w:rsidR="00F9418A" w:rsidRPr="00921816" w:rsidRDefault="00BE2D2B" w:rsidP="00C238FB">
      <w:pPr>
        <w:keepNext/>
      </w:pPr>
      <w:r>
        <w:t xml:space="preserve">Vous recevrez des médicaments </w:t>
      </w:r>
      <w:r w:rsidR="00DE3087">
        <w:t>une</w:t>
      </w:r>
      <w:r>
        <w:t> heure avant chacune de vos trois premières doses d’ELREXFIO</w:t>
      </w:r>
      <w:r w:rsidR="00DE3087">
        <w:t>. Ils permettront de</w:t>
      </w:r>
      <w:r>
        <w:t xml:space="preserve"> réduire le risque d’effets indésirables, tels que le syndrome de </w:t>
      </w:r>
      <w:r w:rsidR="009709FD">
        <w:t xml:space="preserve">relargage </w:t>
      </w:r>
      <w:r>
        <w:t>des cytokines</w:t>
      </w:r>
      <w:r w:rsidR="004A53A1">
        <w:t xml:space="preserve"> (voir rubrique 4)</w:t>
      </w:r>
      <w:r>
        <w:t>. Ces médicaments peuvent être les suivants :</w:t>
      </w:r>
    </w:p>
    <w:p w14:paraId="2B7EF096" w14:textId="417D2D34" w:rsidR="00044B63" w:rsidRPr="00921816" w:rsidRDefault="00044B63" w:rsidP="00840852">
      <w:pPr>
        <w:numPr>
          <w:ilvl w:val="0"/>
          <w:numId w:val="7"/>
        </w:numPr>
        <w:tabs>
          <w:tab w:val="clear" w:pos="567"/>
          <w:tab w:val="left" w:pos="360"/>
        </w:tabs>
        <w:rPr>
          <w:szCs w:val="22"/>
        </w:rPr>
      </w:pPr>
      <w:r>
        <w:t>Médicament</w:t>
      </w:r>
      <w:r w:rsidR="004A53A1">
        <w:t>s</w:t>
      </w:r>
      <w:r>
        <w:t xml:space="preserve"> pour réduire le risque de fièvre (tel que le paracétamol)</w:t>
      </w:r>
    </w:p>
    <w:p w14:paraId="3FE06E3A" w14:textId="6CC4F793" w:rsidR="00044B63" w:rsidRPr="00921816" w:rsidRDefault="00044B63" w:rsidP="00840852">
      <w:pPr>
        <w:numPr>
          <w:ilvl w:val="0"/>
          <w:numId w:val="7"/>
        </w:numPr>
        <w:tabs>
          <w:tab w:val="clear" w:pos="567"/>
          <w:tab w:val="left" w:pos="360"/>
        </w:tabs>
        <w:rPr>
          <w:szCs w:val="22"/>
        </w:rPr>
      </w:pPr>
      <w:r>
        <w:t>Médicament pour réduire le risque d’inflammation (corticostéroïdes)</w:t>
      </w:r>
    </w:p>
    <w:p w14:paraId="1FF188B4" w14:textId="58AEACDA" w:rsidR="00044B63" w:rsidRPr="00921816" w:rsidRDefault="00044B63" w:rsidP="00840852">
      <w:pPr>
        <w:numPr>
          <w:ilvl w:val="0"/>
          <w:numId w:val="7"/>
        </w:numPr>
        <w:tabs>
          <w:tab w:val="clear" w:pos="567"/>
          <w:tab w:val="left" w:pos="360"/>
        </w:tabs>
        <w:rPr>
          <w:szCs w:val="22"/>
        </w:rPr>
      </w:pPr>
      <w:r>
        <w:t>Médicament pour réduire le risque de réaction allergique (antihistaminiques tels que la diphénhydramine)</w:t>
      </w:r>
    </w:p>
    <w:p w14:paraId="10162EDF" w14:textId="77777777" w:rsidR="00044B63" w:rsidRPr="00E73B9C" w:rsidRDefault="00044B63" w:rsidP="00044B63">
      <w:pPr>
        <w:ind w:left="720" w:right="-2"/>
        <w:rPr>
          <w:szCs w:val="22"/>
          <w:highlight w:val="lightGray"/>
        </w:rPr>
      </w:pPr>
    </w:p>
    <w:p w14:paraId="3E10CD72" w14:textId="4087FC7F" w:rsidR="00255D97" w:rsidRDefault="00255D97" w:rsidP="00255D97">
      <w:pPr>
        <w:numPr>
          <w:ilvl w:val="12"/>
          <w:numId w:val="0"/>
        </w:numPr>
        <w:tabs>
          <w:tab w:val="clear" w:pos="567"/>
        </w:tabs>
        <w:spacing w:line="240" w:lineRule="auto"/>
        <w:ind w:right="-2"/>
        <w:rPr>
          <w:noProof/>
          <w:szCs w:val="22"/>
        </w:rPr>
      </w:pPr>
      <w:r>
        <w:t xml:space="preserve">Ces médicaments </w:t>
      </w:r>
      <w:r w:rsidR="009709FD">
        <w:t xml:space="preserve">pourraient </w:t>
      </w:r>
      <w:r>
        <w:t xml:space="preserve">également vous être administrés </w:t>
      </w:r>
      <w:r w:rsidR="009709FD">
        <w:t>pour des</w:t>
      </w:r>
      <w:r>
        <w:t xml:space="preserve"> doses ultérieures d’ELREXFIO, en fonction des symptômes que vous présentez</w:t>
      </w:r>
      <w:r w:rsidR="004A53A1">
        <w:t xml:space="preserve"> après avoir pris ELREXFIO</w:t>
      </w:r>
      <w:r>
        <w:t>.</w:t>
      </w:r>
    </w:p>
    <w:p w14:paraId="25A65D3E" w14:textId="77777777" w:rsidR="00255D97" w:rsidRPr="00255D97" w:rsidRDefault="00255D97" w:rsidP="00255D97">
      <w:pPr>
        <w:numPr>
          <w:ilvl w:val="12"/>
          <w:numId w:val="0"/>
        </w:numPr>
        <w:tabs>
          <w:tab w:val="clear" w:pos="567"/>
        </w:tabs>
        <w:spacing w:line="240" w:lineRule="auto"/>
        <w:ind w:right="-2"/>
        <w:rPr>
          <w:noProof/>
          <w:szCs w:val="22"/>
        </w:rPr>
      </w:pPr>
    </w:p>
    <w:p w14:paraId="7A53CA4B" w14:textId="4EBEB5CC" w:rsidR="00F9418A" w:rsidRPr="00255D97" w:rsidRDefault="00255D97" w:rsidP="00255D97">
      <w:pPr>
        <w:numPr>
          <w:ilvl w:val="12"/>
          <w:numId w:val="0"/>
        </w:numPr>
        <w:tabs>
          <w:tab w:val="clear" w:pos="567"/>
        </w:tabs>
        <w:spacing w:line="240" w:lineRule="auto"/>
        <w:ind w:right="-2"/>
        <w:rPr>
          <w:noProof/>
          <w:szCs w:val="22"/>
        </w:rPr>
      </w:pPr>
      <w:r>
        <w:t xml:space="preserve">Vous </w:t>
      </w:r>
      <w:r w:rsidR="009709FD">
        <w:t xml:space="preserve">pourriez </w:t>
      </w:r>
      <w:r>
        <w:t xml:space="preserve">également recevoir d’autres médicaments en fonction des symptômes que vous </w:t>
      </w:r>
      <w:r w:rsidR="009709FD">
        <w:t xml:space="preserve">pourriez </w:t>
      </w:r>
      <w:r>
        <w:t>présente</w:t>
      </w:r>
      <w:r w:rsidR="009709FD">
        <w:t>r</w:t>
      </w:r>
      <w:r>
        <w:t xml:space="preserve"> ou de vos antécédents médicaux.</w:t>
      </w:r>
    </w:p>
    <w:p w14:paraId="7B8496FA" w14:textId="77777777" w:rsidR="005D5E23" w:rsidRPr="005D5E23" w:rsidRDefault="005D5E23" w:rsidP="00204AAB">
      <w:pPr>
        <w:numPr>
          <w:ilvl w:val="12"/>
          <w:numId w:val="0"/>
        </w:numPr>
        <w:tabs>
          <w:tab w:val="clear" w:pos="567"/>
        </w:tabs>
        <w:spacing w:line="240" w:lineRule="auto"/>
        <w:ind w:right="-2"/>
        <w:rPr>
          <w:b/>
          <w:bCs/>
          <w:noProof/>
          <w:szCs w:val="22"/>
        </w:rPr>
      </w:pPr>
    </w:p>
    <w:p w14:paraId="28A0FF37" w14:textId="77777777" w:rsidR="00921938" w:rsidRPr="00921938" w:rsidRDefault="00921938" w:rsidP="00204AAB">
      <w:pPr>
        <w:numPr>
          <w:ilvl w:val="12"/>
          <w:numId w:val="0"/>
        </w:numPr>
        <w:tabs>
          <w:tab w:val="clear" w:pos="567"/>
        </w:tabs>
        <w:spacing w:line="240" w:lineRule="auto"/>
        <w:ind w:right="-2"/>
        <w:rPr>
          <w:b/>
          <w:bCs/>
        </w:rPr>
      </w:pPr>
      <w:r>
        <w:rPr>
          <w:b/>
        </w:rPr>
        <w:t>Si vous avez reçu plus d’ELREXFIO que vous n’auriez dû</w:t>
      </w:r>
    </w:p>
    <w:p w14:paraId="436BA757" w14:textId="031EAA51" w:rsidR="009B6496" w:rsidRDefault="00921938" w:rsidP="00204AAB">
      <w:pPr>
        <w:numPr>
          <w:ilvl w:val="12"/>
          <w:numId w:val="0"/>
        </w:numPr>
        <w:tabs>
          <w:tab w:val="clear" w:pos="567"/>
        </w:tabs>
        <w:spacing w:line="240" w:lineRule="auto"/>
        <w:ind w:right="-2"/>
      </w:pPr>
      <w:r>
        <w:t xml:space="preserve">Ce médicament sera administré par votre médecin ou votre infirmier/ère. Dans le cas improbable où </w:t>
      </w:r>
      <w:r w:rsidR="009709FD">
        <w:t>vous en receviez en</w:t>
      </w:r>
      <w:r>
        <w:t xml:space="preserve"> trop grande quantité (surdosage), votre médecin </w:t>
      </w:r>
      <w:r w:rsidR="009709FD">
        <w:t>surveillera la survenue</w:t>
      </w:r>
      <w:r>
        <w:t xml:space="preserve"> d</w:t>
      </w:r>
      <w:r w:rsidR="009709FD">
        <w:t>’</w:t>
      </w:r>
      <w:r>
        <w:t>effets indésirables.</w:t>
      </w:r>
    </w:p>
    <w:p w14:paraId="13FF7D97" w14:textId="77777777" w:rsidR="00921938" w:rsidRPr="00761EB7" w:rsidRDefault="00921938" w:rsidP="00204AAB">
      <w:pPr>
        <w:numPr>
          <w:ilvl w:val="12"/>
          <w:numId w:val="0"/>
        </w:numPr>
        <w:tabs>
          <w:tab w:val="clear" w:pos="567"/>
        </w:tabs>
        <w:spacing w:line="240" w:lineRule="auto"/>
        <w:ind w:right="-2"/>
        <w:rPr>
          <w:noProof/>
          <w:szCs w:val="22"/>
        </w:rPr>
      </w:pPr>
    </w:p>
    <w:p w14:paraId="4B81BA2F" w14:textId="77777777" w:rsidR="009B6496" w:rsidRPr="00761EB7" w:rsidRDefault="004F4536" w:rsidP="00204AAB">
      <w:pPr>
        <w:numPr>
          <w:ilvl w:val="12"/>
          <w:numId w:val="0"/>
        </w:numPr>
        <w:tabs>
          <w:tab w:val="clear" w:pos="567"/>
        </w:tabs>
        <w:spacing w:line="240" w:lineRule="auto"/>
        <w:ind w:right="-29"/>
        <w:rPr>
          <w:szCs w:val="22"/>
        </w:rPr>
      </w:pPr>
      <w:r>
        <w:rPr>
          <w:b/>
        </w:rPr>
        <w:t>Si vous manquez votre rendez-vous pour recevoir ELREXFIO</w:t>
      </w:r>
    </w:p>
    <w:p w14:paraId="4AD07CFB" w14:textId="73C6D1EB" w:rsidR="00357CAD" w:rsidRDefault="004F4536" w:rsidP="00204AAB">
      <w:pPr>
        <w:numPr>
          <w:ilvl w:val="12"/>
          <w:numId w:val="0"/>
        </w:numPr>
        <w:tabs>
          <w:tab w:val="clear" w:pos="567"/>
        </w:tabs>
        <w:spacing w:line="240" w:lineRule="auto"/>
      </w:pPr>
      <w:r>
        <w:t xml:space="preserve">Il est </w:t>
      </w:r>
      <w:r w:rsidR="009709FD">
        <w:t xml:space="preserve">très important </w:t>
      </w:r>
      <w:r>
        <w:t xml:space="preserve">de </w:t>
      </w:r>
      <w:r w:rsidR="009709FD">
        <w:t>venir</w:t>
      </w:r>
      <w:r>
        <w:t xml:space="preserve"> à tous vos rendez-vous pour garantir le bon fonctionnement de votre traitement. Si vous manquez un rendez-vous, prenez-en un autre dès que possible.</w:t>
      </w:r>
    </w:p>
    <w:p w14:paraId="3B579634" w14:textId="77777777" w:rsidR="00357CAD" w:rsidRDefault="00357CAD" w:rsidP="00204AAB">
      <w:pPr>
        <w:numPr>
          <w:ilvl w:val="12"/>
          <w:numId w:val="0"/>
        </w:numPr>
        <w:tabs>
          <w:tab w:val="clear" w:pos="567"/>
        </w:tabs>
        <w:spacing w:line="240" w:lineRule="auto"/>
      </w:pPr>
    </w:p>
    <w:p w14:paraId="2A2A2DBF" w14:textId="77777777" w:rsidR="009B6496" w:rsidRPr="00761EB7" w:rsidRDefault="004F4536" w:rsidP="00204AAB">
      <w:pPr>
        <w:numPr>
          <w:ilvl w:val="12"/>
          <w:numId w:val="0"/>
        </w:numPr>
        <w:tabs>
          <w:tab w:val="clear" w:pos="567"/>
        </w:tabs>
        <w:spacing w:line="240" w:lineRule="auto"/>
        <w:rPr>
          <w:szCs w:val="22"/>
        </w:rPr>
      </w:pPr>
      <w:r>
        <w:t>Si vous avez d’autres questions sur l’utilisation de ce médicament, demandez plus d’informations à votre médecin ou à votre infirmier/ère.</w:t>
      </w:r>
    </w:p>
    <w:p w14:paraId="2F29BE99" w14:textId="77777777" w:rsidR="009B6496" w:rsidRDefault="009B6496" w:rsidP="00204AAB">
      <w:pPr>
        <w:numPr>
          <w:ilvl w:val="12"/>
          <w:numId w:val="0"/>
        </w:numPr>
        <w:tabs>
          <w:tab w:val="clear" w:pos="567"/>
        </w:tabs>
        <w:spacing w:line="240" w:lineRule="auto"/>
        <w:rPr>
          <w:szCs w:val="22"/>
        </w:rPr>
      </w:pPr>
    </w:p>
    <w:p w14:paraId="6F81AE9F" w14:textId="77777777" w:rsidR="00840852" w:rsidRPr="00761EB7" w:rsidRDefault="00840852" w:rsidP="00204AAB">
      <w:pPr>
        <w:numPr>
          <w:ilvl w:val="12"/>
          <w:numId w:val="0"/>
        </w:numPr>
        <w:tabs>
          <w:tab w:val="clear" w:pos="567"/>
        </w:tabs>
        <w:spacing w:line="240" w:lineRule="auto"/>
        <w:rPr>
          <w:szCs w:val="22"/>
        </w:rPr>
      </w:pPr>
    </w:p>
    <w:p w14:paraId="5D150F0F" w14:textId="77777777" w:rsidR="009B6496" w:rsidRPr="00761EB7" w:rsidRDefault="009B6496" w:rsidP="000559AC">
      <w:pPr>
        <w:tabs>
          <w:tab w:val="clear" w:pos="567"/>
          <w:tab w:val="left" w:pos="547"/>
        </w:tabs>
        <w:spacing w:line="240" w:lineRule="auto"/>
        <w:rPr>
          <w:b/>
        </w:rPr>
      </w:pPr>
      <w:r>
        <w:rPr>
          <w:b/>
        </w:rPr>
        <w:t>4.</w:t>
      </w:r>
      <w:r>
        <w:tab/>
      </w:r>
      <w:r>
        <w:rPr>
          <w:b/>
        </w:rPr>
        <w:t>Quels sont les effets indésirables éventuels ?</w:t>
      </w:r>
    </w:p>
    <w:p w14:paraId="0BEF91B0" w14:textId="77777777" w:rsidR="009B6496" w:rsidRPr="00761EB7" w:rsidRDefault="009B6496" w:rsidP="00204AAB">
      <w:pPr>
        <w:numPr>
          <w:ilvl w:val="12"/>
          <w:numId w:val="0"/>
        </w:numPr>
        <w:tabs>
          <w:tab w:val="clear" w:pos="567"/>
        </w:tabs>
        <w:spacing w:line="240" w:lineRule="auto"/>
        <w:rPr>
          <w:szCs w:val="22"/>
        </w:rPr>
      </w:pPr>
    </w:p>
    <w:p w14:paraId="00B4BB3F" w14:textId="77777777" w:rsidR="009B6496" w:rsidRDefault="009B6496" w:rsidP="00204AAB">
      <w:pPr>
        <w:numPr>
          <w:ilvl w:val="12"/>
          <w:numId w:val="0"/>
        </w:numPr>
        <w:tabs>
          <w:tab w:val="clear" w:pos="567"/>
        </w:tabs>
        <w:spacing w:line="240" w:lineRule="auto"/>
        <w:ind w:right="-29"/>
        <w:rPr>
          <w:noProof/>
          <w:szCs w:val="22"/>
        </w:rPr>
      </w:pPr>
      <w:r>
        <w:t>Comme tous les médicaments, ce médicament peut provoquer des effets indésirables, mais ils ne surviennent pas systématiquement chez tout le monde.</w:t>
      </w:r>
    </w:p>
    <w:p w14:paraId="30801D1B" w14:textId="77777777" w:rsidR="00357CAD" w:rsidRDefault="00357CAD" w:rsidP="00204AAB">
      <w:pPr>
        <w:numPr>
          <w:ilvl w:val="12"/>
          <w:numId w:val="0"/>
        </w:numPr>
        <w:tabs>
          <w:tab w:val="clear" w:pos="567"/>
        </w:tabs>
        <w:spacing w:line="240" w:lineRule="auto"/>
        <w:ind w:right="-29"/>
        <w:rPr>
          <w:noProof/>
          <w:szCs w:val="22"/>
        </w:rPr>
      </w:pPr>
    </w:p>
    <w:p w14:paraId="3DE957A5" w14:textId="77777777" w:rsidR="00357CAD" w:rsidRPr="00D81758" w:rsidRDefault="00D81758" w:rsidP="00204AAB">
      <w:pPr>
        <w:numPr>
          <w:ilvl w:val="12"/>
          <w:numId w:val="0"/>
        </w:numPr>
        <w:tabs>
          <w:tab w:val="clear" w:pos="567"/>
        </w:tabs>
        <w:spacing w:line="240" w:lineRule="auto"/>
        <w:ind w:right="-29"/>
        <w:rPr>
          <w:b/>
          <w:bCs/>
          <w:noProof/>
          <w:szCs w:val="22"/>
        </w:rPr>
      </w:pPr>
      <w:r>
        <w:rPr>
          <w:b/>
        </w:rPr>
        <w:t>Effets indésirables graves</w:t>
      </w:r>
    </w:p>
    <w:p w14:paraId="3BD43B2F" w14:textId="77777777" w:rsidR="007B4E40" w:rsidRDefault="00D81758" w:rsidP="00D81758">
      <w:pPr>
        <w:numPr>
          <w:ilvl w:val="12"/>
          <w:numId w:val="0"/>
        </w:numPr>
        <w:tabs>
          <w:tab w:val="clear" w:pos="567"/>
        </w:tabs>
        <w:spacing w:line="240" w:lineRule="auto"/>
        <w:ind w:right="-2"/>
      </w:pPr>
      <w:r>
        <w:t>Consultez immédiatement un médecin si vous présentez l’un des effets indésirables graves suivants, qui peuvent être sévères, voire mortels.</w:t>
      </w:r>
    </w:p>
    <w:p w14:paraId="57EF3AF6" w14:textId="77777777" w:rsidR="00D81758" w:rsidRDefault="00D81758" w:rsidP="00D81758">
      <w:pPr>
        <w:numPr>
          <w:ilvl w:val="12"/>
          <w:numId w:val="0"/>
        </w:numPr>
        <w:tabs>
          <w:tab w:val="clear" w:pos="567"/>
        </w:tabs>
        <w:spacing w:line="240" w:lineRule="auto"/>
        <w:ind w:right="-2"/>
      </w:pPr>
    </w:p>
    <w:p w14:paraId="0FB5D4C0" w14:textId="77777777" w:rsidR="00EB3C54" w:rsidRDefault="007B4E40" w:rsidP="000559AC">
      <w:pPr>
        <w:keepNext/>
        <w:numPr>
          <w:ilvl w:val="12"/>
          <w:numId w:val="0"/>
        </w:numPr>
        <w:tabs>
          <w:tab w:val="clear" w:pos="567"/>
        </w:tabs>
        <w:spacing w:line="240" w:lineRule="auto"/>
      </w:pPr>
      <w:r>
        <w:rPr>
          <w:b/>
        </w:rPr>
        <w:t>Très fréquent (pouvant affecter plus de 1 personne sur 10) :</w:t>
      </w:r>
    </w:p>
    <w:p w14:paraId="4DAF7402" w14:textId="0AF3A652" w:rsidR="00CA27D5" w:rsidRPr="009E63D9" w:rsidRDefault="004A53A1" w:rsidP="00CA27D5">
      <w:pPr>
        <w:pStyle w:val="ListParagraph"/>
        <w:numPr>
          <w:ilvl w:val="0"/>
          <w:numId w:val="8"/>
        </w:numPr>
        <w:rPr>
          <w:sz w:val="22"/>
          <w:szCs w:val="22"/>
        </w:rPr>
      </w:pPr>
      <w:r>
        <w:rPr>
          <w:sz w:val="22"/>
        </w:rPr>
        <w:t>Syndrome de relargage des cytokines, une r</w:t>
      </w:r>
      <w:r w:rsidR="00CA27D5">
        <w:rPr>
          <w:sz w:val="22"/>
        </w:rPr>
        <w:t xml:space="preserve">éaction immunitaire grave pouvant provoquer de la fièvre, des </w:t>
      </w:r>
      <w:r w:rsidR="00CA27D5" w:rsidRPr="004A53A1">
        <w:rPr>
          <w:sz w:val="22"/>
        </w:rPr>
        <w:t xml:space="preserve">difficultés </w:t>
      </w:r>
      <w:r w:rsidR="006332A0" w:rsidRPr="004A53A1">
        <w:rPr>
          <w:sz w:val="22"/>
        </w:rPr>
        <w:t>à respirer</w:t>
      </w:r>
      <w:r w:rsidR="00CA27D5" w:rsidRPr="004A53A1">
        <w:rPr>
          <w:sz w:val="22"/>
        </w:rPr>
        <w:t xml:space="preserve">, des frissons, des sensations </w:t>
      </w:r>
      <w:r w:rsidR="006332A0" w:rsidRPr="00103194">
        <w:rPr>
          <w:sz w:val="22"/>
        </w:rPr>
        <w:t>de vertige</w:t>
      </w:r>
      <w:r w:rsidR="006332A0" w:rsidRPr="004A53A1">
        <w:rPr>
          <w:sz w:val="22"/>
        </w:rPr>
        <w:t xml:space="preserve"> </w:t>
      </w:r>
      <w:r w:rsidR="00CA27D5" w:rsidRPr="004A53A1">
        <w:rPr>
          <w:sz w:val="22"/>
        </w:rPr>
        <w:t>ou des étourdissements</w:t>
      </w:r>
      <w:r w:rsidR="00CA27D5">
        <w:rPr>
          <w:sz w:val="22"/>
        </w:rPr>
        <w:t>, un rythme cardiaque rapide, une augmentation des enzymes hépatiques dans le sang</w:t>
      </w:r>
      <w:r>
        <w:rPr>
          <w:sz w:val="22"/>
        </w:rPr>
        <w:t> ;</w:t>
      </w:r>
    </w:p>
    <w:p w14:paraId="5F025BA6" w14:textId="344520F1" w:rsidR="00CA27D5" w:rsidRDefault="00CA27D5" w:rsidP="00CA27D5">
      <w:pPr>
        <w:numPr>
          <w:ilvl w:val="0"/>
          <w:numId w:val="8"/>
        </w:numPr>
        <w:tabs>
          <w:tab w:val="clear" w:pos="567"/>
        </w:tabs>
        <w:spacing w:line="240" w:lineRule="auto"/>
        <w:ind w:right="-2"/>
      </w:pPr>
      <w:r>
        <w:t xml:space="preserve">Faible taux </w:t>
      </w:r>
      <w:r w:rsidR="004A53A1">
        <w:t>de neutrophiles (</w:t>
      </w:r>
      <w:r>
        <w:t>un type de globules blancs</w:t>
      </w:r>
      <w:r w:rsidR="00FE7BBE">
        <w:t xml:space="preserve"> </w:t>
      </w:r>
      <w:r w:rsidR="004A53A1">
        <w:t>qui combat les infections ;</w:t>
      </w:r>
      <w:r>
        <w:t xml:space="preserve"> neutropénie)</w:t>
      </w:r>
      <w:r w:rsidR="004A53A1">
        <w:t> ;</w:t>
      </w:r>
    </w:p>
    <w:p w14:paraId="7882D0DC" w14:textId="648DA9E9" w:rsidR="00CA27D5" w:rsidRDefault="00CA27D5" w:rsidP="00CA27D5">
      <w:pPr>
        <w:numPr>
          <w:ilvl w:val="0"/>
          <w:numId w:val="8"/>
        </w:numPr>
        <w:tabs>
          <w:tab w:val="clear" w:pos="567"/>
        </w:tabs>
        <w:spacing w:line="240" w:lineRule="auto"/>
        <w:ind w:right="-2"/>
      </w:pPr>
      <w:r>
        <w:t>Faible taux d’anticorps appelés « immunoglobulines » dans le sang (hypogammaglobulinémie), ce qui peut rendre les infections plus probables</w:t>
      </w:r>
      <w:r w:rsidR="004A53A1">
        <w:t> ;</w:t>
      </w:r>
    </w:p>
    <w:p w14:paraId="4D9374CB" w14:textId="598BC525" w:rsidR="00CA27D5" w:rsidRPr="00E738CE" w:rsidRDefault="00CA27D5" w:rsidP="00CA27D5">
      <w:pPr>
        <w:numPr>
          <w:ilvl w:val="0"/>
          <w:numId w:val="8"/>
        </w:numPr>
        <w:tabs>
          <w:tab w:val="clear" w:pos="567"/>
        </w:tabs>
        <w:spacing w:line="240" w:lineRule="auto"/>
        <w:ind w:right="-2"/>
      </w:pPr>
      <w:r>
        <w:t xml:space="preserve">Infection, pouvant se manifester par de la fièvre, des frissons, </w:t>
      </w:r>
      <w:r w:rsidR="004A53A1">
        <w:t>de la fatigue, ou</w:t>
      </w:r>
      <w:r>
        <w:t xml:space="preserve"> un essoufflement</w:t>
      </w:r>
      <w:r w:rsidR="004A53A1">
        <w:t>.</w:t>
      </w:r>
    </w:p>
    <w:p w14:paraId="2CF466BD" w14:textId="77777777" w:rsidR="00CA27D5" w:rsidRDefault="00CA27D5" w:rsidP="00CA27D5">
      <w:pPr>
        <w:tabs>
          <w:tab w:val="clear" w:pos="567"/>
        </w:tabs>
        <w:spacing w:line="240" w:lineRule="auto"/>
        <w:ind w:left="720" w:right="-2"/>
      </w:pPr>
    </w:p>
    <w:p w14:paraId="37163614" w14:textId="77777777" w:rsidR="00CA27D5" w:rsidRDefault="00CA27D5" w:rsidP="00CA27D5">
      <w:pPr>
        <w:numPr>
          <w:ilvl w:val="12"/>
          <w:numId w:val="0"/>
        </w:numPr>
        <w:tabs>
          <w:tab w:val="clear" w:pos="567"/>
        </w:tabs>
        <w:spacing w:line="240" w:lineRule="auto"/>
        <w:ind w:right="-2"/>
      </w:pPr>
      <w:r>
        <w:rPr>
          <w:b/>
        </w:rPr>
        <w:t>Fréquent (pouvant affecter jusqu’à 1 personne sur 10) :</w:t>
      </w:r>
    </w:p>
    <w:p w14:paraId="6A2579CD" w14:textId="5D9845E9" w:rsidR="00CA27D5" w:rsidRDefault="004A53A1" w:rsidP="00CA27D5">
      <w:pPr>
        <w:numPr>
          <w:ilvl w:val="0"/>
          <w:numId w:val="9"/>
        </w:numPr>
        <w:tabs>
          <w:tab w:val="clear" w:pos="567"/>
        </w:tabs>
        <w:spacing w:line="240" w:lineRule="auto"/>
        <w:ind w:right="-2"/>
      </w:pPr>
      <w:r>
        <w:t>S</w:t>
      </w:r>
      <w:r w:rsidR="00CA27D5">
        <w:t>yndrome de neurotoxicité associée aux cellules effectrices immunitaires (ICANS)</w:t>
      </w:r>
      <w:r>
        <w:t>, une réaction immunitaire grave</w:t>
      </w:r>
      <w:r w:rsidR="00CA27D5">
        <w:t xml:space="preserve"> pouvant avoir des effets sur votre système nerveux. Certains des symptômes sont les suivants :</w:t>
      </w:r>
    </w:p>
    <w:p w14:paraId="3ABE93D3" w14:textId="77777777" w:rsidR="00CA27D5" w:rsidRDefault="00CA27D5" w:rsidP="00CA27D5">
      <w:pPr>
        <w:numPr>
          <w:ilvl w:val="1"/>
          <w:numId w:val="9"/>
        </w:numPr>
        <w:tabs>
          <w:tab w:val="clear" w:pos="567"/>
        </w:tabs>
        <w:spacing w:line="240" w:lineRule="auto"/>
        <w:ind w:right="-2"/>
      </w:pPr>
      <w:r>
        <w:t>Sensation de confusion</w:t>
      </w:r>
    </w:p>
    <w:p w14:paraId="3C39E423" w14:textId="77777777" w:rsidR="00CA27D5" w:rsidRDefault="00CA27D5" w:rsidP="00CA27D5">
      <w:pPr>
        <w:numPr>
          <w:ilvl w:val="1"/>
          <w:numId w:val="9"/>
        </w:numPr>
        <w:tabs>
          <w:tab w:val="clear" w:pos="567"/>
        </w:tabs>
        <w:spacing w:line="240" w:lineRule="auto"/>
        <w:ind w:right="-2"/>
      </w:pPr>
      <w:r>
        <w:t>Baisse de la vigilance</w:t>
      </w:r>
    </w:p>
    <w:p w14:paraId="13F1EE6E" w14:textId="22F8D6E5" w:rsidR="00CA27D5" w:rsidRPr="00921816" w:rsidRDefault="00CA27D5" w:rsidP="00CA27D5">
      <w:pPr>
        <w:numPr>
          <w:ilvl w:val="1"/>
          <w:numId w:val="9"/>
        </w:numPr>
        <w:tabs>
          <w:tab w:val="clear" w:pos="567"/>
        </w:tabs>
        <w:spacing w:line="240" w:lineRule="auto"/>
        <w:ind w:right="-2"/>
      </w:pPr>
      <w:r>
        <w:t xml:space="preserve">Difficultés </w:t>
      </w:r>
      <w:r w:rsidR="00DB7DBB">
        <w:t xml:space="preserve">à </w:t>
      </w:r>
      <w:r>
        <w:t>parler ou écrire</w:t>
      </w:r>
    </w:p>
    <w:p w14:paraId="4354B206" w14:textId="77777777" w:rsidR="00B63130" w:rsidRDefault="00B63130" w:rsidP="00204AAB">
      <w:pPr>
        <w:numPr>
          <w:ilvl w:val="12"/>
          <w:numId w:val="0"/>
        </w:numPr>
        <w:tabs>
          <w:tab w:val="clear" w:pos="567"/>
        </w:tabs>
        <w:spacing w:line="240" w:lineRule="auto"/>
        <w:ind w:right="-2"/>
      </w:pPr>
    </w:p>
    <w:p w14:paraId="233E75A2" w14:textId="77777777" w:rsidR="00B63130" w:rsidRDefault="00B63130" w:rsidP="00204AAB">
      <w:pPr>
        <w:numPr>
          <w:ilvl w:val="12"/>
          <w:numId w:val="0"/>
        </w:numPr>
        <w:tabs>
          <w:tab w:val="clear" w:pos="567"/>
        </w:tabs>
        <w:spacing w:line="240" w:lineRule="auto"/>
        <w:ind w:right="-2"/>
      </w:pPr>
      <w:r>
        <w:lastRenderedPageBreak/>
        <w:t>Informez immédiatement votre médecin si vous remarquez l’un des effets indésirables graves mentionnés ci-dessus.</w:t>
      </w:r>
    </w:p>
    <w:p w14:paraId="2E339F72" w14:textId="77777777" w:rsidR="00B678BE" w:rsidRDefault="00B678BE" w:rsidP="00204AAB">
      <w:pPr>
        <w:numPr>
          <w:ilvl w:val="12"/>
          <w:numId w:val="0"/>
        </w:numPr>
        <w:tabs>
          <w:tab w:val="clear" w:pos="567"/>
        </w:tabs>
        <w:spacing w:line="240" w:lineRule="auto"/>
        <w:ind w:right="-2"/>
      </w:pPr>
    </w:p>
    <w:p w14:paraId="0D7898DB" w14:textId="77777777" w:rsidR="00B63130" w:rsidRPr="00B63130" w:rsidRDefault="00B63130" w:rsidP="00204AAB">
      <w:pPr>
        <w:numPr>
          <w:ilvl w:val="12"/>
          <w:numId w:val="0"/>
        </w:numPr>
        <w:tabs>
          <w:tab w:val="clear" w:pos="567"/>
        </w:tabs>
        <w:spacing w:line="240" w:lineRule="auto"/>
        <w:ind w:right="-2"/>
        <w:rPr>
          <w:b/>
          <w:bCs/>
        </w:rPr>
      </w:pPr>
      <w:r>
        <w:rPr>
          <w:b/>
        </w:rPr>
        <w:t>Autres effets indésirables</w:t>
      </w:r>
    </w:p>
    <w:p w14:paraId="668CC520" w14:textId="77777777" w:rsidR="00B63130" w:rsidRDefault="00B63130" w:rsidP="00204AAB">
      <w:pPr>
        <w:numPr>
          <w:ilvl w:val="12"/>
          <w:numId w:val="0"/>
        </w:numPr>
        <w:tabs>
          <w:tab w:val="clear" w:pos="567"/>
        </w:tabs>
        <w:spacing w:line="240" w:lineRule="auto"/>
        <w:ind w:right="-2"/>
      </w:pPr>
      <w:r>
        <w:t>D’autres effets indésirables sont mentionnés ci-dessous. Informez votre médecin ou votre infirmier/ère si vous présentez l’un de ces effets indésirables.</w:t>
      </w:r>
    </w:p>
    <w:p w14:paraId="417345F9" w14:textId="77777777" w:rsidR="007B4E40" w:rsidRDefault="007B4E40" w:rsidP="00204AAB">
      <w:pPr>
        <w:numPr>
          <w:ilvl w:val="12"/>
          <w:numId w:val="0"/>
        </w:numPr>
        <w:tabs>
          <w:tab w:val="clear" w:pos="567"/>
        </w:tabs>
        <w:spacing w:line="240" w:lineRule="auto"/>
        <w:ind w:right="-2"/>
        <w:rPr>
          <w:b/>
          <w:szCs w:val="22"/>
        </w:rPr>
      </w:pPr>
    </w:p>
    <w:p w14:paraId="7E504A21" w14:textId="77777777" w:rsidR="009D1F2E" w:rsidRDefault="009D1F2E" w:rsidP="009D1F2E">
      <w:pPr>
        <w:tabs>
          <w:tab w:val="clear" w:pos="567"/>
        </w:tabs>
        <w:spacing w:line="240" w:lineRule="auto"/>
        <w:ind w:right="-2"/>
        <w:rPr>
          <w:b/>
        </w:rPr>
      </w:pPr>
      <w:r>
        <w:rPr>
          <w:b/>
        </w:rPr>
        <w:t>Très fréquent (pouvant affecter plus de 1 personne sur 10) :</w:t>
      </w:r>
    </w:p>
    <w:p w14:paraId="6938CAAC" w14:textId="77777777" w:rsidR="00E66D28" w:rsidRPr="00766120" w:rsidRDefault="00E66D28" w:rsidP="00E66D28">
      <w:pPr>
        <w:pStyle w:val="ListParagraph"/>
        <w:numPr>
          <w:ilvl w:val="0"/>
          <w:numId w:val="9"/>
        </w:numPr>
        <w:ind w:right="-2"/>
        <w:rPr>
          <w:sz w:val="22"/>
          <w:szCs w:val="22"/>
        </w:rPr>
      </w:pPr>
      <w:r>
        <w:rPr>
          <w:sz w:val="22"/>
        </w:rPr>
        <w:t>Faible taux de globules rouges (anémie)</w:t>
      </w:r>
    </w:p>
    <w:p w14:paraId="42C41DE6" w14:textId="77777777" w:rsidR="00E66D28" w:rsidRDefault="00E66D28" w:rsidP="00E66D28">
      <w:pPr>
        <w:pStyle w:val="ListParagraph"/>
        <w:numPr>
          <w:ilvl w:val="0"/>
          <w:numId w:val="9"/>
        </w:numPr>
        <w:ind w:right="-2"/>
        <w:rPr>
          <w:sz w:val="22"/>
          <w:szCs w:val="22"/>
        </w:rPr>
      </w:pPr>
      <w:r>
        <w:rPr>
          <w:sz w:val="22"/>
        </w:rPr>
        <w:t>Sensation de fatigue ou de faiblesse</w:t>
      </w:r>
    </w:p>
    <w:p w14:paraId="78BBCC3B" w14:textId="5794003A" w:rsidR="00E66D28" w:rsidRPr="00E738CE" w:rsidRDefault="00E66D28" w:rsidP="00E66D28">
      <w:pPr>
        <w:pStyle w:val="ListParagraph"/>
        <w:numPr>
          <w:ilvl w:val="0"/>
          <w:numId w:val="9"/>
        </w:numPr>
        <w:ind w:right="-2"/>
        <w:rPr>
          <w:sz w:val="22"/>
          <w:szCs w:val="22"/>
        </w:rPr>
      </w:pPr>
      <w:r>
        <w:rPr>
          <w:sz w:val="22"/>
        </w:rPr>
        <w:t>Infection du nez</w:t>
      </w:r>
      <w:r w:rsidR="007854B1">
        <w:rPr>
          <w:sz w:val="22"/>
        </w:rPr>
        <w:t xml:space="preserve"> et</w:t>
      </w:r>
      <w:r>
        <w:rPr>
          <w:sz w:val="22"/>
        </w:rPr>
        <w:t xml:space="preserve"> de la gorge (infection des voies aériennes supérieures)</w:t>
      </w:r>
    </w:p>
    <w:p w14:paraId="5796DECE" w14:textId="461340A1" w:rsidR="00E66D28" w:rsidRDefault="00E66D28" w:rsidP="00E66D28">
      <w:pPr>
        <w:pStyle w:val="ListParagraph"/>
        <w:numPr>
          <w:ilvl w:val="0"/>
          <w:numId w:val="9"/>
        </w:numPr>
        <w:ind w:right="-2"/>
        <w:rPr>
          <w:sz w:val="22"/>
          <w:szCs w:val="22"/>
        </w:rPr>
      </w:pPr>
      <w:r>
        <w:rPr>
          <w:sz w:val="22"/>
        </w:rPr>
        <w:t xml:space="preserve">Réactions au site d’injection ou à proximité, </w:t>
      </w:r>
      <w:r w:rsidR="00A44175">
        <w:rPr>
          <w:sz w:val="22"/>
        </w:rPr>
        <w:t xml:space="preserve">y compris </w:t>
      </w:r>
      <w:r>
        <w:rPr>
          <w:sz w:val="22"/>
        </w:rPr>
        <w:t>rougeur de la peau, démangeaisons, gonflement, douleur, ecchymoses, éruption cutanée ou saignement</w:t>
      </w:r>
    </w:p>
    <w:p w14:paraId="51EE69EA" w14:textId="77777777" w:rsidR="00E66D28" w:rsidRDefault="00E66D28" w:rsidP="00E66D28">
      <w:pPr>
        <w:pStyle w:val="ListParagraph"/>
        <w:numPr>
          <w:ilvl w:val="0"/>
          <w:numId w:val="9"/>
        </w:numPr>
        <w:ind w:right="-2"/>
        <w:rPr>
          <w:sz w:val="22"/>
          <w:szCs w:val="22"/>
        </w:rPr>
      </w:pPr>
      <w:r>
        <w:rPr>
          <w:sz w:val="22"/>
        </w:rPr>
        <w:t>Diarrhée</w:t>
      </w:r>
    </w:p>
    <w:p w14:paraId="4262111F" w14:textId="77777777" w:rsidR="00E66D28" w:rsidRPr="000B2394" w:rsidRDefault="00E66D28" w:rsidP="00E66D28">
      <w:pPr>
        <w:pStyle w:val="ListParagraph"/>
        <w:numPr>
          <w:ilvl w:val="0"/>
          <w:numId w:val="9"/>
        </w:numPr>
        <w:ind w:right="-2"/>
        <w:rPr>
          <w:sz w:val="22"/>
          <w:szCs w:val="22"/>
        </w:rPr>
      </w:pPr>
      <w:r>
        <w:rPr>
          <w:sz w:val="22"/>
        </w:rPr>
        <w:t>Infection pulmonaire (pneumonie)</w:t>
      </w:r>
    </w:p>
    <w:p w14:paraId="4737A74E" w14:textId="77777777" w:rsidR="00E66D28" w:rsidRPr="00A64757" w:rsidRDefault="00E66D28" w:rsidP="00904E25">
      <w:pPr>
        <w:pStyle w:val="ListParagraph"/>
        <w:numPr>
          <w:ilvl w:val="0"/>
          <w:numId w:val="9"/>
        </w:numPr>
        <w:ind w:right="-2"/>
      </w:pPr>
      <w:r>
        <w:rPr>
          <w:sz w:val="22"/>
        </w:rPr>
        <w:t>Faible taux de plaquettes sanguines (cellules favorisant la coagulation du sang ; thrombopénie)</w:t>
      </w:r>
    </w:p>
    <w:p w14:paraId="3D1A3B65" w14:textId="63AB80E6" w:rsidR="00E66D28" w:rsidRDefault="00E66D28" w:rsidP="00E66D28">
      <w:pPr>
        <w:pStyle w:val="ListParagraph"/>
        <w:numPr>
          <w:ilvl w:val="0"/>
          <w:numId w:val="9"/>
        </w:numPr>
        <w:ind w:right="-2"/>
        <w:rPr>
          <w:sz w:val="22"/>
          <w:szCs w:val="22"/>
        </w:rPr>
      </w:pPr>
      <w:r>
        <w:rPr>
          <w:sz w:val="22"/>
        </w:rPr>
        <w:t>Faible taux d’un type</w:t>
      </w:r>
      <w:r w:rsidR="007854B1">
        <w:rPr>
          <w:sz w:val="22"/>
        </w:rPr>
        <w:t xml:space="preserve"> de lymphocytes, un type</w:t>
      </w:r>
      <w:r>
        <w:rPr>
          <w:sz w:val="22"/>
        </w:rPr>
        <w:t xml:space="preserve"> de globules blancs (lymphopénie)</w:t>
      </w:r>
    </w:p>
    <w:p w14:paraId="32656649" w14:textId="0F744A48" w:rsidR="00E66D28" w:rsidRPr="00562219" w:rsidRDefault="00E66D28" w:rsidP="00E66D28">
      <w:pPr>
        <w:pStyle w:val="ListParagraph"/>
        <w:numPr>
          <w:ilvl w:val="0"/>
          <w:numId w:val="9"/>
        </w:numPr>
        <w:rPr>
          <w:sz w:val="22"/>
          <w:szCs w:val="22"/>
        </w:rPr>
      </w:pPr>
      <w:r>
        <w:rPr>
          <w:sz w:val="22"/>
        </w:rPr>
        <w:t>Fièvre</w:t>
      </w:r>
      <w:r w:rsidR="007854B1">
        <w:rPr>
          <w:sz w:val="22"/>
        </w:rPr>
        <w:t xml:space="preserve"> (pyrexie)</w:t>
      </w:r>
    </w:p>
    <w:p w14:paraId="7711DB21" w14:textId="0D5E9095" w:rsidR="00E66D28" w:rsidRPr="007854B1" w:rsidRDefault="00A44175" w:rsidP="00E66D28">
      <w:pPr>
        <w:pStyle w:val="ListParagraph"/>
        <w:numPr>
          <w:ilvl w:val="0"/>
          <w:numId w:val="9"/>
        </w:numPr>
        <w:ind w:right="-2"/>
        <w:rPr>
          <w:sz w:val="22"/>
          <w:szCs w:val="22"/>
        </w:rPr>
      </w:pPr>
      <w:r>
        <w:rPr>
          <w:sz w:val="22"/>
        </w:rPr>
        <w:t>Diminution de l’a</w:t>
      </w:r>
      <w:r w:rsidR="00E66D28">
        <w:rPr>
          <w:sz w:val="22"/>
        </w:rPr>
        <w:t>ppétit</w:t>
      </w:r>
    </w:p>
    <w:p w14:paraId="6135AB62" w14:textId="605E0CDC" w:rsidR="00FE7BBE" w:rsidRPr="00A97DE1" w:rsidRDefault="007854B1" w:rsidP="007854B1">
      <w:pPr>
        <w:pStyle w:val="ListParagraph"/>
        <w:numPr>
          <w:ilvl w:val="0"/>
          <w:numId w:val="9"/>
        </w:numPr>
        <w:ind w:right="-2"/>
        <w:rPr>
          <w:sz w:val="22"/>
          <w:szCs w:val="22"/>
        </w:rPr>
      </w:pPr>
      <w:r>
        <w:rPr>
          <w:sz w:val="22"/>
        </w:rPr>
        <w:t>Éruption cutanée</w:t>
      </w:r>
    </w:p>
    <w:p w14:paraId="03106E50" w14:textId="1E502B48" w:rsidR="00E66D28" w:rsidRPr="000B2394" w:rsidDel="0007638C" w:rsidRDefault="00E66D28" w:rsidP="00905DC2">
      <w:pPr>
        <w:pStyle w:val="ListParagraph"/>
        <w:numPr>
          <w:ilvl w:val="0"/>
          <w:numId w:val="9"/>
        </w:numPr>
        <w:ind w:right="-2"/>
        <w:rPr>
          <w:sz w:val="22"/>
          <w:szCs w:val="22"/>
        </w:rPr>
      </w:pPr>
      <w:r>
        <w:rPr>
          <w:sz w:val="22"/>
        </w:rPr>
        <w:t>Sécheresse cutanée</w:t>
      </w:r>
    </w:p>
    <w:p w14:paraId="2864A724" w14:textId="77777777" w:rsidR="00E66D28" w:rsidRDefault="00E66D28" w:rsidP="00E66D28">
      <w:pPr>
        <w:pStyle w:val="ListParagraph"/>
        <w:numPr>
          <w:ilvl w:val="0"/>
          <w:numId w:val="9"/>
        </w:numPr>
        <w:ind w:right="-2"/>
        <w:rPr>
          <w:sz w:val="22"/>
          <w:szCs w:val="22"/>
        </w:rPr>
      </w:pPr>
      <w:r>
        <w:rPr>
          <w:sz w:val="22"/>
        </w:rPr>
        <w:t>Douleur dans les articulations (arthralgie)</w:t>
      </w:r>
    </w:p>
    <w:p w14:paraId="386CCCC6" w14:textId="77777777" w:rsidR="00E66D28" w:rsidRDefault="00E66D28" w:rsidP="00E66D28">
      <w:pPr>
        <w:pStyle w:val="ListParagraph"/>
        <w:numPr>
          <w:ilvl w:val="0"/>
          <w:numId w:val="9"/>
        </w:numPr>
        <w:ind w:right="-2"/>
        <w:rPr>
          <w:sz w:val="22"/>
          <w:szCs w:val="22"/>
        </w:rPr>
      </w:pPr>
      <w:r>
        <w:rPr>
          <w:sz w:val="22"/>
        </w:rPr>
        <w:t>Faible taux de potassium dans le sang (hypokaliémie)</w:t>
      </w:r>
    </w:p>
    <w:p w14:paraId="40F8975B" w14:textId="77777777" w:rsidR="00E66D28" w:rsidRDefault="00E66D28" w:rsidP="00E66D28">
      <w:pPr>
        <w:pStyle w:val="ListParagraph"/>
        <w:numPr>
          <w:ilvl w:val="0"/>
          <w:numId w:val="9"/>
        </w:numPr>
        <w:ind w:right="-2"/>
        <w:rPr>
          <w:sz w:val="22"/>
          <w:szCs w:val="22"/>
        </w:rPr>
      </w:pPr>
      <w:r>
        <w:rPr>
          <w:sz w:val="22"/>
        </w:rPr>
        <w:t>Envie de vomir (nausées)</w:t>
      </w:r>
    </w:p>
    <w:p w14:paraId="1BD34638" w14:textId="77777777" w:rsidR="00E66D28" w:rsidRDefault="00E66D28" w:rsidP="00E66D28">
      <w:pPr>
        <w:pStyle w:val="ListParagraph"/>
        <w:numPr>
          <w:ilvl w:val="0"/>
          <w:numId w:val="9"/>
        </w:numPr>
        <w:ind w:right="-2"/>
        <w:rPr>
          <w:sz w:val="22"/>
          <w:szCs w:val="22"/>
        </w:rPr>
      </w:pPr>
      <w:r>
        <w:rPr>
          <w:sz w:val="22"/>
        </w:rPr>
        <w:t>Maux de tête</w:t>
      </w:r>
    </w:p>
    <w:p w14:paraId="133982C0" w14:textId="59B1DF0B" w:rsidR="00E66D28" w:rsidRPr="000B2394" w:rsidRDefault="007854B1" w:rsidP="00E66D28">
      <w:pPr>
        <w:pStyle w:val="ListParagraph"/>
        <w:numPr>
          <w:ilvl w:val="0"/>
          <w:numId w:val="9"/>
        </w:numPr>
        <w:ind w:right="-2"/>
        <w:rPr>
          <w:sz w:val="22"/>
          <w:szCs w:val="22"/>
        </w:rPr>
      </w:pPr>
      <w:r>
        <w:rPr>
          <w:sz w:val="22"/>
        </w:rPr>
        <w:t xml:space="preserve">Difficulté à respirer </w:t>
      </w:r>
      <w:r w:rsidR="00E66D28">
        <w:rPr>
          <w:sz w:val="22"/>
        </w:rPr>
        <w:t>(dyspnée)</w:t>
      </w:r>
    </w:p>
    <w:p w14:paraId="2059C044" w14:textId="5BE36080" w:rsidR="00E66D28" w:rsidRPr="000B2394" w:rsidRDefault="007854B1" w:rsidP="00E66D28">
      <w:pPr>
        <w:pStyle w:val="ListParagraph"/>
        <w:numPr>
          <w:ilvl w:val="0"/>
          <w:numId w:val="9"/>
        </w:numPr>
        <w:ind w:right="-2"/>
        <w:rPr>
          <w:sz w:val="22"/>
          <w:szCs w:val="22"/>
        </w:rPr>
      </w:pPr>
      <w:r>
        <w:rPr>
          <w:sz w:val="22"/>
        </w:rPr>
        <w:t>Septicémie</w:t>
      </w:r>
      <w:r w:rsidR="00E66D28">
        <w:rPr>
          <w:sz w:val="22"/>
        </w:rPr>
        <w:t xml:space="preserve"> (sepsis)</w:t>
      </w:r>
    </w:p>
    <w:p w14:paraId="2E31B33E" w14:textId="77777777" w:rsidR="00E66D28" w:rsidRDefault="00E66D28" w:rsidP="00E66D28">
      <w:pPr>
        <w:pStyle w:val="ListParagraph"/>
        <w:numPr>
          <w:ilvl w:val="0"/>
          <w:numId w:val="9"/>
        </w:numPr>
        <w:ind w:right="-2"/>
        <w:rPr>
          <w:sz w:val="22"/>
          <w:szCs w:val="22"/>
        </w:rPr>
      </w:pPr>
      <w:r>
        <w:rPr>
          <w:sz w:val="22"/>
        </w:rPr>
        <w:t>Faible nombre de globules blancs (leucopénie)</w:t>
      </w:r>
    </w:p>
    <w:p w14:paraId="43B61063" w14:textId="4953E60B" w:rsidR="00E66D28" w:rsidRPr="00921816" w:rsidRDefault="00E66D28" w:rsidP="00E66D28">
      <w:pPr>
        <w:pStyle w:val="ListParagraph"/>
        <w:numPr>
          <w:ilvl w:val="0"/>
          <w:numId w:val="9"/>
        </w:numPr>
        <w:ind w:right="-2"/>
        <w:rPr>
          <w:sz w:val="22"/>
          <w:szCs w:val="22"/>
        </w:rPr>
      </w:pPr>
      <w:r>
        <w:rPr>
          <w:sz w:val="22"/>
        </w:rPr>
        <w:t>Augmentation du taux d’enzymes hépatiques</w:t>
      </w:r>
      <w:r w:rsidR="007854B1">
        <w:rPr>
          <w:sz w:val="22"/>
        </w:rPr>
        <w:t xml:space="preserve"> </w:t>
      </w:r>
      <w:r>
        <w:rPr>
          <w:sz w:val="22"/>
        </w:rPr>
        <w:t>dans le sang</w:t>
      </w:r>
      <w:r w:rsidR="007854B1">
        <w:rPr>
          <w:sz w:val="22"/>
        </w:rPr>
        <w:t xml:space="preserve"> (augmentation des transaminases)</w:t>
      </w:r>
    </w:p>
    <w:p w14:paraId="3A9F8F04" w14:textId="7E6D3E95" w:rsidR="00E66D28" w:rsidRPr="00921816" w:rsidRDefault="00E66D28" w:rsidP="00E66D28">
      <w:pPr>
        <w:pStyle w:val="ListParagraph"/>
        <w:numPr>
          <w:ilvl w:val="0"/>
          <w:numId w:val="9"/>
        </w:numPr>
        <w:ind w:right="-2"/>
        <w:rPr>
          <w:sz w:val="22"/>
          <w:szCs w:val="22"/>
        </w:rPr>
      </w:pPr>
      <w:r>
        <w:rPr>
          <w:sz w:val="22"/>
        </w:rPr>
        <w:t xml:space="preserve">Lésions nerveuses </w:t>
      </w:r>
      <w:r w:rsidR="007854B1">
        <w:rPr>
          <w:sz w:val="22"/>
        </w:rPr>
        <w:t>dans l</w:t>
      </w:r>
      <w:r w:rsidR="00FE7BBE">
        <w:rPr>
          <w:sz w:val="22"/>
        </w:rPr>
        <w:t>es</w:t>
      </w:r>
      <w:r w:rsidR="007854B1">
        <w:rPr>
          <w:sz w:val="22"/>
        </w:rPr>
        <w:t xml:space="preserve"> jambes et/ou les bras </w:t>
      </w:r>
      <w:r>
        <w:rPr>
          <w:sz w:val="22"/>
        </w:rPr>
        <w:t>pouvant entraîner des picotements, des engourdissements, des douleurs ou une perte de la sensation (neuropathie périphérique)</w:t>
      </w:r>
    </w:p>
    <w:p w14:paraId="163E5942" w14:textId="35D8B329" w:rsidR="00E66D28" w:rsidRPr="00E738CE" w:rsidRDefault="00E66D28" w:rsidP="00E66D28">
      <w:pPr>
        <w:pStyle w:val="ListParagraph"/>
        <w:numPr>
          <w:ilvl w:val="0"/>
          <w:numId w:val="9"/>
        </w:numPr>
        <w:ind w:right="-2"/>
        <w:rPr>
          <w:sz w:val="22"/>
          <w:szCs w:val="22"/>
        </w:rPr>
      </w:pPr>
      <w:r>
        <w:rPr>
          <w:sz w:val="22"/>
        </w:rPr>
        <w:t>Infection de</w:t>
      </w:r>
      <w:r w:rsidR="007854B1">
        <w:rPr>
          <w:sz w:val="22"/>
        </w:rPr>
        <w:t>s</w:t>
      </w:r>
      <w:r>
        <w:rPr>
          <w:sz w:val="22"/>
        </w:rPr>
        <w:t xml:space="preserve"> </w:t>
      </w:r>
      <w:r w:rsidR="007854B1">
        <w:rPr>
          <w:sz w:val="22"/>
        </w:rPr>
        <w:t xml:space="preserve">parties du corps qui recueillent et éliminent l’urine </w:t>
      </w:r>
      <w:r>
        <w:rPr>
          <w:sz w:val="22"/>
        </w:rPr>
        <w:t>(infection des voies urinaires)</w:t>
      </w:r>
    </w:p>
    <w:p w14:paraId="70F2F36B" w14:textId="77777777" w:rsidR="009D1F2E" w:rsidRDefault="009D1F2E" w:rsidP="2ED41A93">
      <w:pPr>
        <w:tabs>
          <w:tab w:val="clear" w:pos="567"/>
        </w:tabs>
        <w:spacing w:line="240" w:lineRule="auto"/>
        <w:ind w:right="-2"/>
        <w:rPr>
          <w:b/>
          <w:bCs/>
        </w:rPr>
      </w:pPr>
    </w:p>
    <w:p w14:paraId="337143C9" w14:textId="77777777" w:rsidR="00B63130" w:rsidRDefault="00B63130" w:rsidP="2ED41A93">
      <w:pPr>
        <w:tabs>
          <w:tab w:val="clear" w:pos="567"/>
        </w:tabs>
        <w:spacing w:line="240" w:lineRule="auto"/>
        <w:ind w:right="-2"/>
      </w:pPr>
      <w:r>
        <w:rPr>
          <w:b/>
        </w:rPr>
        <w:t>Fréquent (pouvant affecter jusqu’à 1 personne sur 10) :</w:t>
      </w:r>
    </w:p>
    <w:p w14:paraId="1B424FDC" w14:textId="5E3323B1" w:rsidR="001A0C1B" w:rsidRPr="00921816" w:rsidRDefault="001A0C1B" w:rsidP="001A0C1B">
      <w:pPr>
        <w:pStyle w:val="ListParagraph"/>
        <w:numPr>
          <w:ilvl w:val="0"/>
          <w:numId w:val="15"/>
        </w:numPr>
        <w:ind w:right="-2"/>
        <w:rPr>
          <w:sz w:val="22"/>
          <w:szCs w:val="22"/>
        </w:rPr>
      </w:pPr>
      <w:r>
        <w:rPr>
          <w:sz w:val="22"/>
        </w:rPr>
        <w:t>Faible taux de phosphate dans le sang (hypophosphatémie)</w:t>
      </w:r>
    </w:p>
    <w:p w14:paraId="59FE7C98" w14:textId="33D7CE44" w:rsidR="001A0C1B" w:rsidRPr="00921816" w:rsidRDefault="001A0C1B" w:rsidP="001A0C1B">
      <w:pPr>
        <w:pStyle w:val="ListParagraph"/>
        <w:numPr>
          <w:ilvl w:val="0"/>
          <w:numId w:val="15"/>
        </w:numPr>
        <w:ind w:right="-2"/>
        <w:rPr>
          <w:sz w:val="22"/>
          <w:szCs w:val="22"/>
        </w:rPr>
      </w:pPr>
      <w:r>
        <w:rPr>
          <w:sz w:val="22"/>
        </w:rPr>
        <w:t xml:space="preserve">Faible nombre </w:t>
      </w:r>
      <w:r w:rsidR="007854B1">
        <w:rPr>
          <w:sz w:val="22"/>
        </w:rPr>
        <w:t xml:space="preserve">de neutrophiles dans le sang, associé à </w:t>
      </w:r>
      <w:r>
        <w:rPr>
          <w:sz w:val="22"/>
        </w:rPr>
        <w:t xml:space="preserve">de </w:t>
      </w:r>
      <w:r w:rsidR="007854B1">
        <w:rPr>
          <w:sz w:val="22"/>
        </w:rPr>
        <w:t xml:space="preserve">la </w:t>
      </w:r>
      <w:r>
        <w:rPr>
          <w:sz w:val="22"/>
        </w:rPr>
        <w:t>fièvre (neutropénie fébrile)</w:t>
      </w:r>
    </w:p>
    <w:p w14:paraId="12FEAC9C" w14:textId="77777777" w:rsidR="00B63130" w:rsidRPr="00761EB7" w:rsidRDefault="00B63130" w:rsidP="00204AAB">
      <w:pPr>
        <w:numPr>
          <w:ilvl w:val="12"/>
          <w:numId w:val="0"/>
        </w:numPr>
        <w:tabs>
          <w:tab w:val="clear" w:pos="567"/>
        </w:tabs>
        <w:spacing w:line="240" w:lineRule="auto"/>
        <w:ind w:right="-2"/>
        <w:rPr>
          <w:b/>
          <w:szCs w:val="22"/>
        </w:rPr>
      </w:pPr>
    </w:p>
    <w:p w14:paraId="4F30AAE5" w14:textId="0AE05C84" w:rsidR="00A75FE1" w:rsidRPr="00761EB7" w:rsidRDefault="00A75FE1" w:rsidP="002564E9">
      <w:pPr>
        <w:spacing w:line="240" w:lineRule="auto"/>
        <w:rPr>
          <w:b/>
          <w:noProof/>
          <w:szCs w:val="22"/>
        </w:rPr>
      </w:pPr>
      <w:r>
        <w:rPr>
          <w:b/>
        </w:rPr>
        <w:t xml:space="preserve">Déclaration des effets </w:t>
      </w:r>
      <w:r w:rsidR="0094090B">
        <w:rPr>
          <w:b/>
        </w:rPr>
        <w:t>secondaires</w:t>
      </w:r>
    </w:p>
    <w:p w14:paraId="1919054F" w14:textId="0F33CDCB" w:rsidR="008D35AD" w:rsidRPr="00F9434C" w:rsidRDefault="009B6496" w:rsidP="00F9434C">
      <w:pPr>
        <w:pStyle w:val="BodytextAgency"/>
        <w:spacing w:after="0" w:line="240" w:lineRule="auto"/>
        <w:rPr>
          <w:rFonts w:ascii="Times New Roman" w:hAnsi="Times New Roman" w:cs="Times New Roman"/>
          <w:sz w:val="22"/>
          <w:szCs w:val="22"/>
        </w:rPr>
      </w:pPr>
      <w:r>
        <w:rPr>
          <w:rFonts w:ascii="Times New Roman" w:hAnsi="Times New Roman"/>
          <w:sz w:val="22"/>
        </w:rPr>
        <w:t xml:space="preserve">Si vous ressentez un quelconque effet indésirable, parlez-en à votre médecin ou à votre infirmier/ère. Ceci s’applique aussi à tout effet indésirable qui ne serait pas mentionné dans cette notice. Vous pouvez également déclarer les effets indésirables directement via </w:t>
      </w:r>
      <w:r w:rsidRPr="00F51484">
        <w:rPr>
          <w:rFonts w:ascii="Times New Roman" w:hAnsi="Times New Roman"/>
          <w:sz w:val="22"/>
          <w:highlight w:val="lightGray"/>
        </w:rPr>
        <w:t>le système national de déclaration décrit en</w:t>
      </w:r>
      <w:r w:rsidR="0030393C" w:rsidRPr="00F51484">
        <w:rPr>
          <w:rFonts w:ascii="Times New Roman" w:hAnsi="Times New Roman"/>
          <w:sz w:val="22"/>
          <w:highlight w:val="lightGray"/>
        </w:rPr>
        <w:t xml:space="preserve"> </w:t>
      </w:r>
      <w:hyperlink r:id="rId11" w:history="1">
        <w:r w:rsidR="0030393C" w:rsidRPr="00F51484">
          <w:rPr>
            <w:rStyle w:val="Hyperlink"/>
            <w:rFonts w:ascii="Times New Roman" w:hAnsi="Times New Roman" w:cs="Times New Roman"/>
            <w:sz w:val="22"/>
            <w:highlight w:val="lightGray"/>
          </w:rPr>
          <w:t>Annexe V</w:t>
        </w:r>
      </w:hyperlink>
      <w:r>
        <w:rPr>
          <w:rFonts w:ascii="Times New Roman" w:hAnsi="Times New Roman"/>
          <w:sz w:val="22"/>
        </w:rPr>
        <w:t>. En signalant les effets indésirables, vous contribuez à fournir davantage d’informations sur la sécurité du médicament.</w:t>
      </w:r>
    </w:p>
    <w:p w14:paraId="6FED73AD" w14:textId="77777777" w:rsidR="008D35AD" w:rsidRPr="00761EB7" w:rsidRDefault="008D35AD" w:rsidP="00204AAB">
      <w:pPr>
        <w:autoSpaceDE w:val="0"/>
        <w:autoSpaceDN w:val="0"/>
        <w:adjustRightInd w:val="0"/>
        <w:spacing w:line="240" w:lineRule="auto"/>
        <w:rPr>
          <w:szCs w:val="22"/>
        </w:rPr>
      </w:pPr>
    </w:p>
    <w:p w14:paraId="037B94BC" w14:textId="77777777" w:rsidR="008A3EDA" w:rsidRPr="00761EB7" w:rsidRDefault="008A3EDA" w:rsidP="00204AAB">
      <w:pPr>
        <w:autoSpaceDE w:val="0"/>
        <w:autoSpaceDN w:val="0"/>
        <w:adjustRightInd w:val="0"/>
        <w:spacing w:line="240" w:lineRule="auto"/>
        <w:rPr>
          <w:szCs w:val="22"/>
        </w:rPr>
      </w:pPr>
    </w:p>
    <w:p w14:paraId="37059E87" w14:textId="77777777" w:rsidR="009B6496" w:rsidRPr="00743D4B" w:rsidRDefault="009B6496" w:rsidP="7005E38B">
      <w:pPr>
        <w:tabs>
          <w:tab w:val="clear" w:pos="567"/>
        </w:tabs>
        <w:spacing w:line="240" w:lineRule="auto"/>
        <w:ind w:left="567" w:right="-2" w:hanging="567"/>
        <w:rPr>
          <w:b/>
        </w:rPr>
      </w:pPr>
      <w:r>
        <w:rPr>
          <w:b/>
        </w:rPr>
        <w:t>5.</w:t>
      </w:r>
      <w:r>
        <w:tab/>
      </w:r>
      <w:r>
        <w:rPr>
          <w:b/>
        </w:rPr>
        <w:t>Comment conserver ELREXFIO</w:t>
      </w:r>
    </w:p>
    <w:p w14:paraId="6D9F7DA7" w14:textId="77777777" w:rsidR="009B6496" w:rsidRPr="00743D4B" w:rsidRDefault="009B6496" w:rsidP="00204AAB">
      <w:pPr>
        <w:numPr>
          <w:ilvl w:val="12"/>
          <w:numId w:val="0"/>
        </w:numPr>
        <w:tabs>
          <w:tab w:val="clear" w:pos="567"/>
        </w:tabs>
        <w:spacing w:line="240" w:lineRule="auto"/>
        <w:ind w:right="-2"/>
        <w:rPr>
          <w:szCs w:val="22"/>
        </w:rPr>
      </w:pPr>
    </w:p>
    <w:p w14:paraId="1AA45CFE" w14:textId="77777777" w:rsidR="00F9434C" w:rsidRPr="00743D4B" w:rsidRDefault="00A23713" w:rsidP="00204AAB">
      <w:pPr>
        <w:numPr>
          <w:ilvl w:val="12"/>
          <w:numId w:val="0"/>
        </w:numPr>
        <w:tabs>
          <w:tab w:val="clear" w:pos="567"/>
        </w:tabs>
        <w:spacing w:line="240" w:lineRule="auto"/>
        <w:ind w:right="-2"/>
      </w:pPr>
      <w:r>
        <w:t>ELREXFIO sera conservé à l’hôpital ou à la clinique par votre médecin.</w:t>
      </w:r>
    </w:p>
    <w:p w14:paraId="2E90305A" w14:textId="77777777" w:rsidR="00F9434C" w:rsidRPr="00743D4B" w:rsidRDefault="00F9434C" w:rsidP="00204AAB">
      <w:pPr>
        <w:numPr>
          <w:ilvl w:val="12"/>
          <w:numId w:val="0"/>
        </w:numPr>
        <w:tabs>
          <w:tab w:val="clear" w:pos="567"/>
        </w:tabs>
        <w:spacing w:line="240" w:lineRule="auto"/>
        <w:ind w:right="-2"/>
        <w:rPr>
          <w:szCs w:val="22"/>
        </w:rPr>
      </w:pPr>
    </w:p>
    <w:p w14:paraId="6C9BA963" w14:textId="77777777" w:rsidR="009B6496" w:rsidRPr="00743D4B" w:rsidRDefault="009B6496" w:rsidP="00204AAB">
      <w:pPr>
        <w:numPr>
          <w:ilvl w:val="12"/>
          <w:numId w:val="0"/>
        </w:numPr>
        <w:tabs>
          <w:tab w:val="clear" w:pos="567"/>
        </w:tabs>
        <w:spacing w:line="240" w:lineRule="auto"/>
        <w:ind w:right="-2"/>
        <w:rPr>
          <w:szCs w:val="22"/>
        </w:rPr>
      </w:pPr>
      <w:r>
        <w:t>Tenir ce médicament hors de la vue et de la portée des enfants.</w:t>
      </w:r>
    </w:p>
    <w:p w14:paraId="2ABE19C0" w14:textId="77777777" w:rsidR="009B6496" w:rsidRPr="00743D4B" w:rsidRDefault="009B6496" w:rsidP="00204AAB">
      <w:pPr>
        <w:numPr>
          <w:ilvl w:val="12"/>
          <w:numId w:val="0"/>
        </w:numPr>
        <w:tabs>
          <w:tab w:val="clear" w:pos="567"/>
        </w:tabs>
        <w:spacing w:line="240" w:lineRule="auto"/>
        <w:ind w:right="-2"/>
        <w:rPr>
          <w:szCs w:val="22"/>
        </w:rPr>
      </w:pPr>
    </w:p>
    <w:p w14:paraId="59EEAC0C" w14:textId="77777777" w:rsidR="009B6496" w:rsidRPr="00743D4B" w:rsidRDefault="009B6496" w:rsidP="00204AAB">
      <w:pPr>
        <w:numPr>
          <w:ilvl w:val="12"/>
          <w:numId w:val="0"/>
        </w:numPr>
        <w:tabs>
          <w:tab w:val="clear" w:pos="567"/>
        </w:tabs>
        <w:spacing w:line="240" w:lineRule="auto"/>
        <w:ind w:right="-2"/>
        <w:rPr>
          <w:szCs w:val="22"/>
        </w:rPr>
      </w:pPr>
      <w:r>
        <w:t>N’utilisez pas ce médicament après la date de péremption indiquée sur la boîte et l’étiquette du flacon après « EXP ». La date de péremption fait référence au dernier jour de ce mois.</w:t>
      </w:r>
    </w:p>
    <w:p w14:paraId="344B2546" w14:textId="77777777" w:rsidR="002564E9" w:rsidRPr="00743D4B" w:rsidRDefault="002564E9" w:rsidP="002564E9">
      <w:pPr>
        <w:spacing w:line="240" w:lineRule="auto"/>
      </w:pPr>
    </w:p>
    <w:p w14:paraId="41E1AAE6" w14:textId="1A9C347F" w:rsidR="00096FBC" w:rsidRPr="00743D4B" w:rsidRDefault="004F7D26" w:rsidP="00096FBC">
      <w:pPr>
        <w:spacing w:line="240" w:lineRule="auto"/>
        <w:rPr>
          <w:b/>
          <w:szCs w:val="18"/>
        </w:rPr>
      </w:pPr>
      <w:r>
        <w:t>À c</w:t>
      </w:r>
      <w:r w:rsidR="00096FBC">
        <w:t xml:space="preserve">onserver </w:t>
      </w:r>
      <w:r>
        <w:t>au</w:t>
      </w:r>
      <w:r w:rsidR="00096FBC">
        <w:t xml:space="preserve"> réfrigérateur (2 °C à 8 °C). Ne pas congeler.</w:t>
      </w:r>
    </w:p>
    <w:p w14:paraId="09660370" w14:textId="77777777" w:rsidR="00096FBC" w:rsidRDefault="00096FBC" w:rsidP="00096FBC">
      <w:pPr>
        <w:spacing w:line="240" w:lineRule="auto"/>
      </w:pPr>
    </w:p>
    <w:p w14:paraId="299E96E9" w14:textId="77777777" w:rsidR="00096FBC" w:rsidRPr="00743D4B" w:rsidRDefault="00096FBC" w:rsidP="00096FBC">
      <w:pPr>
        <w:spacing w:line="240" w:lineRule="auto"/>
        <w:rPr>
          <w:szCs w:val="22"/>
        </w:rPr>
      </w:pPr>
      <w:r>
        <w:lastRenderedPageBreak/>
        <w:t>À conserver dans l’emballage d’origine, à l’abri de la lumière.</w:t>
      </w:r>
    </w:p>
    <w:p w14:paraId="12107824" w14:textId="77777777" w:rsidR="007854B1" w:rsidRDefault="007854B1" w:rsidP="007854B1">
      <w:pPr>
        <w:tabs>
          <w:tab w:val="clear" w:pos="567"/>
        </w:tabs>
        <w:spacing w:line="240" w:lineRule="auto"/>
        <w:ind w:right="-2"/>
      </w:pPr>
    </w:p>
    <w:p w14:paraId="4A6B6B69" w14:textId="77777777" w:rsidR="00434A41" w:rsidRDefault="00434A41" w:rsidP="00434A41">
      <w:pPr>
        <w:tabs>
          <w:tab w:val="clear" w:pos="567"/>
        </w:tabs>
        <w:spacing w:line="240" w:lineRule="auto"/>
        <w:ind w:right="-2"/>
      </w:pPr>
      <w:r>
        <w:t xml:space="preserve">La stabilité physico-chimique après ouverture du flacon, y compris en cas de conservation du produit dans des seringues, a été démontrée pendant 7 jours à une température comprise entre 2 °C et 8 °C, et pendant 24 heures à une température pouvant atteindre 30 °C. </w:t>
      </w:r>
    </w:p>
    <w:p w14:paraId="16047AFB" w14:textId="77777777" w:rsidR="00434A41" w:rsidRDefault="00434A41" w:rsidP="00434A41">
      <w:pPr>
        <w:tabs>
          <w:tab w:val="clear" w:pos="567"/>
        </w:tabs>
        <w:spacing w:line="240" w:lineRule="auto"/>
        <w:ind w:right="-2"/>
      </w:pPr>
    </w:p>
    <w:p w14:paraId="1CDDBCB2" w14:textId="72F9E2D9" w:rsidR="007854B1" w:rsidRDefault="00434A41" w:rsidP="00434A41">
      <w:pPr>
        <w:tabs>
          <w:tab w:val="clear" w:pos="567"/>
        </w:tabs>
        <w:spacing w:line="240" w:lineRule="auto"/>
        <w:ind w:right="-2"/>
      </w:pPr>
      <w:r>
        <w:t>D’un point de vue microbiologique, le produit doit être utilisé immédiatement. En cas d’utilisation non immédiate, les durées et conditions de conservation avant utilisation relèvent de la responsabilité de l’utilisateur et ne devraient normalement pas dépasser 24 heures à une température comprise entre 2 °C et 8 °C, à moins que la préparation ait eu lieu dans des conditions aseptiques contrôlées et validées.</w:t>
      </w:r>
    </w:p>
    <w:p w14:paraId="44103D77" w14:textId="77777777" w:rsidR="00096FBC" w:rsidRDefault="00096FBC" w:rsidP="00096FBC">
      <w:pPr>
        <w:tabs>
          <w:tab w:val="clear" w:pos="567"/>
        </w:tabs>
        <w:spacing w:line="240" w:lineRule="auto"/>
        <w:ind w:right="-2"/>
      </w:pPr>
    </w:p>
    <w:p w14:paraId="2DC21C49" w14:textId="21546C86" w:rsidR="00096FBC" w:rsidRDefault="00096FBC" w:rsidP="00096FBC">
      <w:pPr>
        <w:spacing w:line="240" w:lineRule="auto"/>
      </w:pPr>
      <w:r>
        <w:t xml:space="preserve">N’utilisez pas ce médicament si vous remarquez une coloration </w:t>
      </w:r>
      <w:r w:rsidR="00CE7FB6">
        <w:t xml:space="preserve">anormale </w:t>
      </w:r>
      <w:r>
        <w:t>ou d’autres signes visibles de détérioration.</w:t>
      </w:r>
    </w:p>
    <w:p w14:paraId="0AC3EEF2" w14:textId="77777777" w:rsidR="00096FBC" w:rsidRDefault="00096FBC" w:rsidP="00096FBC">
      <w:pPr>
        <w:numPr>
          <w:ilvl w:val="12"/>
          <w:numId w:val="0"/>
        </w:numPr>
        <w:tabs>
          <w:tab w:val="clear" w:pos="567"/>
        </w:tabs>
        <w:spacing w:line="240" w:lineRule="auto"/>
        <w:ind w:right="-2"/>
        <w:rPr>
          <w:szCs w:val="22"/>
        </w:rPr>
      </w:pPr>
    </w:p>
    <w:p w14:paraId="63D99EB9" w14:textId="77777777" w:rsidR="003D08BD" w:rsidRPr="00743D4B" w:rsidRDefault="003D08BD" w:rsidP="00096FBC">
      <w:pPr>
        <w:numPr>
          <w:ilvl w:val="12"/>
          <w:numId w:val="0"/>
        </w:numPr>
        <w:tabs>
          <w:tab w:val="clear" w:pos="567"/>
        </w:tabs>
        <w:spacing w:line="240" w:lineRule="auto"/>
        <w:ind w:right="-2"/>
        <w:rPr>
          <w:szCs w:val="22"/>
        </w:rPr>
      </w:pPr>
    </w:p>
    <w:p w14:paraId="19B265E6" w14:textId="77777777" w:rsidR="00096FBC" w:rsidRPr="00743D4B" w:rsidRDefault="00096FBC" w:rsidP="003D1EE0">
      <w:pPr>
        <w:keepNext/>
        <w:numPr>
          <w:ilvl w:val="12"/>
          <w:numId w:val="0"/>
        </w:numPr>
        <w:spacing w:line="240" w:lineRule="auto"/>
        <w:ind w:right="-2"/>
        <w:rPr>
          <w:b/>
          <w:szCs w:val="22"/>
        </w:rPr>
      </w:pPr>
      <w:r>
        <w:rPr>
          <w:b/>
        </w:rPr>
        <w:t>6.</w:t>
      </w:r>
      <w:r>
        <w:rPr>
          <w:b/>
        </w:rPr>
        <w:tab/>
        <w:t>Contenu de l’emballage et autres informations</w:t>
      </w:r>
    </w:p>
    <w:p w14:paraId="6BFBF3EE" w14:textId="77777777" w:rsidR="00096FBC" w:rsidRPr="00743D4B" w:rsidRDefault="00096FBC" w:rsidP="003D1EE0">
      <w:pPr>
        <w:keepNext/>
        <w:numPr>
          <w:ilvl w:val="12"/>
          <w:numId w:val="0"/>
        </w:numPr>
        <w:tabs>
          <w:tab w:val="clear" w:pos="567"/>
        </w:tabs>
        <w:spacing w:line="240" w:lineRule="auto"/>
        <w:rPr>
          <w:szCs w:val="22"/>
        </w:rPr>
      </w:pPr>
    </w:p>
    <w:p w14:paraId="3BC9E753" w14:textId="77777777" w:rsidR="00096FBC" w:rsidRPr="00743D4B" w:rsidRDefault="00096FBC" w:rsidP="003D1EE0">
      <w:pPr>
        <w:keepNext/>
        <w:numPr>
          <w:ilvl w:val="12"/>
          <w:numId w:val="0"/>
        </w:numPr>
        <w:tabs>
          <w:tab w:val="clear" w:pos="567"/>
        </w:tabs>
        <w:spacing w:line="240" w:lineRule="auto"/>
        <w:ind w:right="-2"/>
        <w:rPr>
          <w:b/>
          <w:szCs w:val="22"/>
        </w:rPr>
      </w:pPr>
      <w:r>
        <w:rPr>
          <w:b/>
        </w:rPr>
        <w:t xml:space="preserve">Ce que contient ELREXFIO </w:t>
      </w:r>
    </w:p>
    <w:p w14:paraId="4BBC2A5A" w14:textId="77777777" w:rsidR="00096FBC" w:rsidRPr="00743D4B" w:rsidRDefault="00096FBC" w:rsidP="00096FBC">
      <w:pPr>
        <w:keepNext/>
        <w:numPr>
          <w:ilvl w:val="0"/>
          <w:numId w:val="10"/>
        </w:numPr>
        <w:tabs>
          <w:tab w:val="clear" w:pos="567"/>
        </w:tabs>
      </w:pPr>
      <w:r>
        <w:t>La substance active est l’elranatamab. ELREXFIO se présente sous deux conditionnements différents :</w:t>
      </w:r>
    </w:p>
    <w:p w14:paraId="0CB19850" w14:textId="5A7E8544" w:rsidR="00096FBC" w:rsidRPr="00743D4B" w:rsidRDefault="004A5F93" w:rsidP="00096FBC">
      <w:pPr>
        <w:pStyle w:val="Paragraph"/>
        <w:numPr>
          <w:ilvl w:val="1"/>
          <w:numId w:val="10"/>
        </w:numPr>
        <w:spacing w:after="0"/>
        <w:contextualSpacing/>
        <w:rPr>
          <w:rStyle w:val="Instructions"/>
          <w:i w:val="0"/>
          <w:color w:val="auto"/>
          <w:sz w:val="22"/>
          <w:szCs w:val="22"/>
        </w:rPr>
      </w:pPr>
      <w:r>
        <w:rPr>
          <w:rStyle w:val="Instructions"/>
          <w:i w:val="0"/>
          <w:color w:val="auto"/>
          <w:sz w:val="22"/>
        </w:rPr>
        <w:t>Un flacon de 1,1 </w:t>
      </w:r>
      <w:r w:rsidR="001C17CF">
        <w:rPr>
          <w:rStyle w:val="Instructions"/>
          <w:i w:val="0"/>
          <w:color w:val="auto"/>
          <w:sz w:val="22"/>
        </w:rPr>
        <w:t>m</w:t>
      </w:r>
      <w:r w:rsidR="00FE7BBE">
        <w:rPr>
          <w:rStyle w:val="Instructions"/>
          <w:i w:val="0"/>
          <w:color w:val="auto"/>
          <w:sz w:val="22"/>
        </w:rPr>
        <w:t>L</w:t>
      </w:r>
      <w:r>
        <w:rPr>
          <w:rStyle w:val="Instructions"/>
          <w:i w:val="0"/>
          <w:color w:val="auto"/>
          <w:sz w:val="22"/>
        </w:rPr>
        <w:t xml:space="preserve"> contient 44 mg d’elranatamab (40 mg/</w:t>
      </w:r>
      <w:r w:rsidR="00FE7BBE">
        <w:rPr>
          <w:rStyle w:val="Instructions"/>
          <w:i w:val="0"/>
          <w:color w:val="auto"/>
          <w:sz w:val="22"/>
        </w:rPr>
        <w:t>mL</w:t>
      </w:r>
      <w:r>
        <w:rPr>
          <w:rStyle w:val="Instructions"/>
          <w:i w:val="0"/>
          <w:color w:val="auto"/>
          <w:sz w:val="22"/>
        </w:rPr>
        <w:t>).</w:t>
      </w:r>
    </w:p>
    <w:p w14:paraId="142CF1D5" w14:textId="79256CED" w:rsidR="00096FBC" w:rsidRPr="00A64757" w:rsidRDefault="004A5F93" w:rsidP="00096FBC">
      <w:pPr>
        <w:pStyle w:val="Paragraph"/>
        <w:numPr>
          <w:ilvl w:val="1"/>
          <w:numId w:val="10"/>
        </w:numPr>
        <w:spacing w:after="0"/>
        <w:rPr>
          <w:rStyle w:val="Instructions"/>
          <w:color w:val="auto"/>
        </w:rPr>
      </w:pPr>
      <w:r>
        <w:rPr>
          <w:rStyle w:val="Instructions"/>
          <w:i w:val="0"/>
          <w:color w:val="auto"/>
          <w:sz w:val="22"/>
        </w:rPr>
        <w:t>Un flacon de 1,9 </w:t>
      </w:r>
      <w:r w:rsidR="00FE7BBE">
        <w:rPr>
          <w:rStyle w:val="Instructions"/>
          <w:i w:val="0"/>
          <w:color w:val="auto"/>
          <w:sz w:val="22"/>
        </w:rPr>
        <w:t xml:space="preserve">mL </w:t>
      </w:r>
      <w:r>
        <w:rPr>
          <w:rStyle w:val="Instructions"/>
          <w:i w:val="0"/>
          <w:color w:val="auto"/>
          <w:sz w:val="22"/>
        </w:rPr>
        <w:t>contient 76 mg d’elranatamab (40 mg/</w:t>
      </w:r>
      <w:r w:rsidR="00FE7BBE">
        <w:rPr>
          <w:rStyle w:val="Instructions"/>
          <w:i w:val="0"/>
          <w:color w:val="auto"/>
          <w:sz w:val="22"/>
        </w:rPr>
        <w:t>mL</w:t>
      </w:r>
      <w:r>
        <w:rPr>
          <w:rStyle w:val="Instructions"/>
          <w:i w:val="0"/>
          <w:color w:val="auto"/>
          <w:sz w:val="22"/>
        </w:rPr>
        <w:t>).</w:t>
      </w:r>
    </w:p>
    <w:p w14:paraId="1B4637C5" w14:textId="102F481C" w:rsidR="009B6496" w:rsidRDefault="00096FBC" w:rsidP="00096FBC">
      <w:pPr>
        <w:numPr>
          <w:ilvl w:val="12"/>
          <w:numId w:val="0"/>
        </w:numPr>
        <w:tabs>
          <w:tab w:val="clear" w:pos="567"/>
        </w:tabs>
        <w:spacing w:line="240" w:lineRule="auto"/>
        <w:ind w:right="-2"/>
        <w:rPr>
          <w:szCs w:val="22"/>
        </w:rPr>
      </w:pPr>
      <w:r>
        <w:t xml:space="preserve">Les autres composants sont : </w:t>
      </w:r>
      <w:r w:rsidR="007854B1">
        <w:t xml:space="preserve">édétate disodique, </w:t>
      </w:r>
      <w:r>
        <w:t>L-histidine, chlorhydrate de L-histidine monohydraté, polysorbate 80, saccharose, eau pour préparations injectables (voir « ELREXFIO contient du sodium » dans la rubrique 2).</w:t>
      </w:r>
    </w:p>
    <w:p w14:paraId="6FD64DAA" w14:textId="77777777" w:rsidR="00096FBC" w:rsidRPr="00743D4B" w:rsidRDefault="00096FBC" w:rsidP="00096FBC">
      <w:pPr>
        <w:numPr>
          <w:ilvl w:val="12"/>
          <w:numId w:val="0"/>
        </w:numPr>
        <w:tabs>
          <w:tab w:val="clear" w:pos="567"/>
        </w:tabs>
        <w:spacing w:line="240" w:lineRule="auto"/>
        <w:ind w:right="-2"/>
        <w:rPr>
          <w:szCs w:val="22"/>
        </w:rPr>
      </w:pPr>
    </w:p>
    <w:p w14:paraId="0B6E6F71" w14:textId="77777777" w:rsidR="009B6496" w:rsidRPr="00743D4B" w:rsidRDefault="009B6496" w:rsidP="00AF1088">
      <w:pPr>
        <w:keepNext/>
        <w:numPr>
          <w:ilvl w:val="12"/>
          <w:numId w:val="0"/>
        </w:numPr>
        <w:tabs>
          <w:tab w:val="clear" w:pos="567"/>
        </w:tabs>
        <w:spacing w:line="240" w:lineRule="auto"/>
        <w:ind w:right="-2"/>
        <w:rPr>
          <w:b/>
          <w:szCs w:val="22"/>
        </w:rPr>
      </w:pPr>
      <w:r>
        <w:rPr>
          <w:b/>
        </w:rPr>
        <w:t>Comment se présente ELREXFIO et contenu de l’emballage extérieur</w:t>
      </w:r>
    </w:p>
    <w:p w14:paraId="1CD2EF76" w14:textId="77777777" w:rsidR="008767B0" w:rsidRDefault="00A23713" w:rsidP="00AF1088">
      <w:pPr>
        <w:keepNext/>
        <w:numPr>
          <w:ilvl w:val="12"/>
          <w:numId w:val="0"/>
        </w:numPr>
        <w:tabs>
          <w:tab w:val="clear" w:pos="567"/>
        </w:tabs>
        <w:spacing w:line="240" w:lineRule="auto"/>
      </w:pPr>
      <w:r>
        <w:t xml:space="preserve">ELREXFIO </w:t>
      </w:r>
      <w:r w:rsidR="00405D4C">
        <w:t>40 mg/mL,</w:t>
      </w:r>
      <w:r>
        <w:t xml:space="preserve"> solution injectable (injection) se présente sous la forme d’un liquide incolore à brun pâle.</w:t>
      </w:r>
      <w:r w:rsidR="00405D4C">
        <w:t xml:space="preserve"> </w:t>
      </w:r>
    </w:p>
    <w:p w14:paraId="2F08FD2A" w14:textId="3A4C512D" w:rsidR="00E514B2" w:rsidRPr="00743D4B" w:rsidRDefault="00A23713" w:rsidP="00204AAB">
      <w:pPr>
        <w:numPr>
          <w:ilvl w:val="12"/>
          <w:numId w:val="0"/>
        </w:numPr>
        <w:tabs>
          <w:tab w:val="clear" w:pos="567"/>
        </w:tabs>
        <w:spacing w:line="240" w:lineRule="auto"/>
        <w:rPr>
          <w:szCs w:val="22"/>
        </w:rPr>
      </w:pPr>
      <w:r>
        <w:t xml:space="preserve">ELREXFIO est fourni </w:t>
      </w:r>
      <w:r w:rsidR="00405D4C">
        <w:t xml:space="preserve">sous deux formes. Chacune </w:t>
      </w:r>
      <w:r>
        <w:t>dans un emballage en carton contenant 1 flacon en verre.</w:t>
      </w:r>
    </w:p>
    <w:p w14:paraId="06E4F0E1" w14:textId="77777777" w:rsidR="004A4EDF" w:rsidRPr="00743D4B" w:rsidRDefault="004A4EDF" w:rsidP="00204AAB">
      <w:pPr>
        <w:numPr>
          <w:ilvl w:val="12"/>
          <w:numId w:val="0"/>
        </w:numPr>
        <w:tabs>
          <w:tab w:val="clear" w:pos="567"/>
        </w:tabs>
        <w:spacing w:line="240" w:lineRule="auto"/>
        <w:rPr>
          <w:szCs w:val="22"/>
        </w:rPr>
      </w:pPr>
    </w:p>
    <w:p w14:paraId="17F99932" w14:textId="77777777" w:rsidR="009B6496" w:rsidRPr="00897589" w:rsidRDefault="009B6496" w:rsidP="00204AAB">
      <w:pPr>
        <w:numPr>
          <w:ilvl w:val="12"/>
          <w:numId w:val="0"/>
        </w:numPr>
        <w:tabs>
          <w:tab w:val="clear" w:pos="567"/>
        </w:tabs>
        <w:spacing w:line="240" w:lineRule="auto"/>
        <w:ind w:right="-2"/>
        <w:rPr>
          <w:b/>
          <w:szCs w:val="22"/>
        </w:rPr>
      </w:pPr>
      <w:r>
        <w:rPr>
          <w:b/>
        </w:rPr>
        <w:t xml:space="preserve">Titulaire de l’Autorisation de mise sur le marché </w:t>
      </w:r>
    </w:p>
    <w:p w14:paraId="5D76C225" w14:textId="77777777" w:rsidR="005B4606" w:rsidRPr="00897589" w:rsidRDefault="005B4606" w:rsidP="00204AAB">
      <w:pPr>
        <w:numPr>
          <w:ilvl w:val="12"/>
          <w:numId w:val="0"/>
        </w:numPr>
        <w:tabs>
          <w:tab w:val="clear" w:pos="567"/>
        </w:tabs>
        <w:spacing w:line="240" w:lineRule="auto"/>
        <w:ind w:right="-2"/>
      </w:pPr>
      <w:r>
        <w:t>Pfizer Europe MA EEIG</w:t>
      </w:r>
    </w:p>
    <w:p w14:paraId="3002DB03" w14:textId="77777777" w:rsidR="005B4606" w:rsidRPr="00897589" w:rsidRDefault="005B4606" w:rsidP="00204AAB">
      <w:pPr>
        <w:numPr>
          <w:ilvl w:val="12"/>
          <w:numId w:val="0"/>
        </w:numPr>
        <w:tabs>
          <w:tab w:val="clear" w:pos="567"/>
        </w:tabs>
        <w:spacing w:line="240" w:lineRule="auto"/>
        <w:ind w:right="-2"/>
      </w:pPr>
      <w:r>
        <w:t>Boulevard de la Plaine 17</w:t>
      </w:r>
    </w:p>
    <w:p w14:paraId="7898C632" w14:textId="77777777" w:rsidR="005B4606" w:rsidRPr="00743D4B" w:rsidRDefault="005B4606" w:rsidP="00204AAB">
      <w:pPr>
        <w:numPr>
          <w:ilvl w:val="12"/>
          <w:numId w:val="0"/>
        </w:numPr>
        <w:tabs>
          <w:tab w:val="clear" w:pos="567"/>
        </w:tabs>
        <w:spacing w:line="240" w:lineRule="auto"/>
        <w:ind w:right="-2"/>
      </w:pPr>
      <w:r>
        <w:t>1050 Bruxelles</w:t>
      </w:r>
    </w:p>
    <w:p w14:paraId="17F870A4" w14:textId="77777777" w:rsidR="009B6496" w:rsidRPr="00743D4B" w:rsidRDefault="005B4606" w:rsidP="00204AAB">
      <w:pPr>
        <w:numPr>
          <w:ilvl w:val="12"/>
          <w:numId w:val="0"/>
        </w:numPr>
        <w:tabs>
          <w:tab w:val="clear" w:pos="567"/>
        </w:tabs>
        <w:spacing w:line="240" w:lineRule="auto"/>
        <w:ind w:right="-2"/>
      </w:pPr>
      <w:r>
        <w:t>Belgique</w:t>
      </w:r>
    </w:p>
    <w:p w14:paraId="3105FC73" w14:textId="77777777" w:rsidR="005B4606" w:rsidRPr="00743D4B" w:rsidRDefault="005B4606" w:rsidP="00204AAB">
      <w:pPr>
        <w:numPr>
          <w:ilvl w:val="12"/>
          <w:numId w:val="0"/>
        </w:numPr>
        <w:tabs>
          <w:tab w:val="clear" w:pos="567"/>
        </w:tabs>
        <w:spacing w:line="240" w:lineRule="auto"/>
        <w:ind w:right="-2"/>
        <w:rPr>
          <w:szCs w:val="22"/>
        </w:rPr>
      </w:pPr>
    </w:p>
    <w:p w14:paraId="4DB29C72" w14:textId="77777777" w:rsidR="005B4606" w:rsidRPr="00743D4B" w:rsidRDefault="005B4606" w:rsidP="00204AAB">
      <w:pPr>
        <w:numPr>
          <w:ilvl w:val="12"/>
          <w:numId w:val="0"/>
        </w:numPr>
        <w:tabs>
          <w:tab w:val="clear" w:pos="567"/>
        </w:tabs>
        <w:spacing w:line="240" w:lineRule="auto"/>
        <w:ind w:right="-2"/>
        <w:rPr>
          <w:b/>
          <w:szCs w:val="22"/>
        </w:rPr>
      </w:pPr>
      <w:r>
        <w:rPr>
          <w:b/>
        </w:rPr>
        <w:t>Fabricant</w:t>
      </w:r>
    </w:p>
    <w:p w14:paraId="5828A4FE" w14:textId="77777777" w:rsidR="00AE4202" w:rsidRPr="00743D4B" w:rsidRDefault="00AE4202" w:rsidP="00204AAB">
      <w:pPr>
        <w:numPr>
          <w:ilvl w:val="12"/>
          <w:numId w:val="0"/>
        </w:numPr>
        <w:tabs>
          <w:tab w:val="clear" w:pos="567"/>
        </w:tabs>
        <w:spacing w:line="240" w:lineRule="auto"/>
        <w:ind w:right="-2"/>
      </w:pPr>
      <w:r>
        <w:t>Pfizer Service Company BV</w:t>
      </w:r>
    </w:p>
    <w:p w14:paraId="657122FD" w14:textId="77777777" w:rsidR="00E65B53" w:rsidRPr="00B56D2F" w:rsidRDefault="00E65B53" w:rsidP="00E65B53">
      <w:pPr>
        <w:pStyle w:val="BodytextAgency"/>
        <w:spacing w:after="0" w:line="240" w:lineRule="auto"/>
        <w:rPr>
          <w:ins w:id="26" w:author="Pfizer-MR" w:date="2025-07-28T13:21:00Z" w16du:dateUtc="2025-07-28T09:21:00Z"/>
          <w:rFonts w:ascii="Times New Roman" w:hAnsi="Times New Roman" w:cs="Times New Roman"/>
          <w:sz w:val="22"/>
          <w:szCs w:val="22"/>
        </w:rPr>
      </w:pPr>
      <w:ins w:id="27" w:author="Pfizer-MR" w:date="2025-07-28T13:21:00Z" w16du:dateUtc="2025-07-28T09:21:00Z">
        <w:r w:rsidRPr="00821514">
          <w:rPr>
            <w:rFonts w:ascii="Times New Roman" w:hAnsi="Times New Roman" w:cs="Times New Roman"/>
            <w:sz w:val="22"/>
            <w:szCs w:val="22"/>
          </w:rPr>
          <w:t>Hermeslaan 11</w:t>
        </w:r>
      </w:ins>
    </w:p>
    <w:p w14:paraId="2A4E8D79" w14:textId="17D870EE" w:rsidR="00AE4202" w:rsidRPr="00743D4B" w:rsidDel="00E65B53" w:rsidRDefault="00AE4202" w:rsidP="00204AAB">
      <w:pPr>
        <w:numPr>
          <w:ilvl w:val="12"/>
          <w:numId w:val="0"/>
        </w:numPr>
        <w:tabs>
          <w:tab w:val="clear" w:pos="567"/>
        </w:tabs>
        <w:spacing w:line="240" w:lineRule="auto"/>
        <w:ind w:right="-2"/>
        <w:rPr>
          <w:del w:id="28" w:author="Pfizer-MR" w:date="2025-07-28T13:21:00Z" w16du:dateUtc="2025-07-28T09:21:00Z"/>
        </w:rPr>
      </w:pPr>
      <w:del w:id="29" w:author="Pfizer-MR" w:date="2025-07-28T13:21:00Z" w16du:dateUtc="2025-07-28T09:21:00Z">
        <w:r w:rsidDel="00E65B53">
          <w:delText>Hoge Wei 10</w:delText>
        </w:r>
      </w:del>
    </w:p>
    <w:p w14:paraId="229635B3" w14:textId="3530ED5F" w:rsidR="00AE4202" w:rsidRPr="00743D4B" w:rsidRDefault="00AE4202" w:rsidP="00204AAB">
      <w:pPr>
        <w:numPr>
          <w:ilvl w:val="12"/>
          <w:numId w:val="0"/>
        </w:numPr>
        <w:tabs>
          <w:tab w:val="clear" w:pos="567"/>
        </w:tabs>
        <w:spacing w:line="240" w:lineRule="auto"/>
        <w:ind w:right="-2"/>
      </w:pPr>
      <w:del w:id="30" w:author="Pfizer-MR" w:date="2025-07-28T13:22:00Z" w16du:dateUtc="2025-07-28T09:22:00Z">
        <w:r w:rsidDel="00E65B53">
          <w:delText>B-</w:delText>
        </w:r>
      </w:del>
      <w:r>
        <w:t>193</w:t>
      </w:r>
      <w:del w:id="31" w:author="Pfizer-MR" w:date="2025-07-28T13:22:00Z" w16du:dateUtc="2025-07-28T09:22:00Z">
        <w:r w:rsidDel="00E65B53">
          <w:delText>0,</w:delText>
        </w:r>
      </w:del>
      <w:ins w:id="32" w:author="Pfizer-MR" w:date="2025-07-28T13:22:00Z" w16du:dateUtc="2025-07-28T09:22:00Z">
        <w:r w:rsidR="00E65B53">
          <w:t>2</w:t>
        </w:r>
      </w:ins>
      <w:r>
        <w:t xml:space="preserve"> Zaventem</w:t>
      </w:r>
    </w:p>
    <w:p w14:paraId="7796C63A" w14:textId="77777777" w:rsidR="005B4606" w:rsidRPr="00743D4B" w:rsidRDefault="00AE4202" w:rsidP="00204AAB">
      <w:pPr>
        <w:numPr>
          <w:ilvl w:val="12"/>
          <w:numId w:val="0"/>
        </w:numPr>
        <w:tabs>
          <w:tab w:val="clear" w:pos="567"/>
        </w:tabs>
        <w:spacing w:line="240" w:lineRule="auto"/>
        <w:ind w:right="-2"/>
      </w:pPr>
      <w:r>
        <w:t>Belgique</w:t>
      </w:r>
    </w:p>
    <w:p w14:paraId="6E3F93BB" w14:textId="77777777" w:rsidR="005B4606" w:rsidRPr="00743D4B" w:rsidRDefault="005B4606" w:rsidP="00204AAB">
      <w:pPr>
        <w:numPr>
          <w:ilvl w:val="12"/>
          <w:numId w:val="0"/>
        </w:numPr>
        <w:tabs>
          <w:tab w:val="clear" w:pos="567"/>
        </w:tabs>
        <w:spacing w:line="240" w:lineRule="auto"/>
        <w:ind w:right="-2"/>
        <w:rPr>
          <w:noProof/>
          <w:szCs w:val="22"/>
        </w:rPr>
      </w:pPr>
    </w:p>
    <w:p w14:paraId="18136618" w14:textId="77777777" w:rsidR="009B6496" w:rsidRPr="00F20E0A" w:rsidRDefault="009B6496" w:rsidP="00204AAB">
      <w:pPr>
        <w:numPr>
          <w:ilvl w:val="12"/>
          <w:numId w:val="0"/>
        </w:numPr>
        <w:tabs>
          <w:tab w:val="clear" w:pos="567"/>
        </w:tabs>
        <w:spacing w:line="240" w:lineRule="auto"/>
        <w:ind w:right="-2"/>
        <w:rPr>
          <w:noProof/>
          <w:szCs w:val="22"/>
        </w:rPr>
      </w:pPr>
      <w:r>
        <w:t>Pour toute information complémentaire concernant ce médicament, veuillez prendre contact avec le représentant local du titulaire de l’autorisation de mise sur le marché :</w:t>
      </w:r>
    </w:p>
    <w:p w14:paraId="3B40759E" w14:textId="77777777" w:rsidR="009B6496" w:rsidRPr="00F20E0A"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D91BFB" w:rsidRPr="00213F00" w14:paraId="1A6935D7" w14:textId="77777777" w:rsidTr="005102C6">
        <w:tc>
          <w:tcPr>
            <w:tcW w:w="4644" w:type="dxa"/>
          </w:tcPr>
          <w:p w14:paraId="2323B6B4" w14:textId="08F52247" w:rsidR="00D91BFB" w:rsidRPr="00213F00" w:rsidRDefault="00D91BFB" w:rsidP="005102C6">
            <w:pPr>
              <w:rPr>
                <w:rFonts w:eastAsia="SimSun"/>
                <w:b/>
                <w:bCs/>
                <w:szCs w:val="22"/>
                <w:lang w:eastAsia="en-GB"/>
              </w:rPr>
            </w:pPr>
            <w:r w:rsidRPr="00213F00">
              <w:rPr>
                <w:rFonts w:eastAsia="SimSun"/>
                <w:b/>
                <w:bCs/>
                <w:szCs w:val="22"/>
                <w:lang w:eastAsia="en-GB"/>
              </w:rPr>
              <w:t>Belgique/België/Belgien</w:t>
            </w:r>
          </w:p>
          <w:p w14:paraId="2C24DFB3" w14:textId="77777777" w:rsidR="00D91BFB" w:rsidRPr="00213F00" w:rsidRDefault="00D91BFB" w:rsidP="005102C6">
            <w:pPr>
              <w:rPr>
                <w:szCs w:val="22"/>
              </w:rPr>
            </w:pPr>
            <w:r w:rsidRPr="00213F00">
              <w:rPr>
                <w:b/>
                <w:bCs/>
                <w:szCs w:val="22"/>
              </w:rPr>
              <w:t>Luxembourg/Luxemburg</w:t>
            </w:r>
          </w:p>
          <w:p w14:paraId="1DA6945F" w14:textId="77777777" w:rsidR="00D91BFB" w:rsidRPr="00213F00" w:rsidRDefault="00D91BFB" w:rsidP="005102C6">
            <w:pPr>
              <w:rPr>
                <w:rFonts w:eastAsia="SimSun"/>
                <w:szCs w:val="22"/>
                <w:lang w:eastAsia="en-GB"/>
              </w:rPr>
            </w:pPr>
            <w:r w:rsidRPr="00213F00">
              <w:rPr>
                <w:rFonts w:eastAsia="SimSun"/>
                <w:szCs w:val="22"/>
                <w:lang w:eastAsia="en-GB"/>
              </w:rPr>
              <w:t>Pfizer NV/SA</w:t>
            </w:r>
          </w:p>
          <w:p w14:paraId="1A96B8C9" w14:textId="77777777" w:rsidR="00D91BFB" w:rsidRPr="00213F00" w:rsidRDefault="00D91BFB" w:rsidP="005102C6">
            <w:pPr>
              <w:rPr>
                <w:rFonts w:eastAsia="SimSun"/>
                <w:szCs w:val="22"/>
                <w:lang w:eastAsia="en-GB"/>
              </w:rPr>
            </w:pPr>
            <w:r w:rsidRPr="00213F00">
              <w:rPr>
                <w:rFonts w:eastAsia="SimSun"/>
                <w:szCs w:val="22"/>
                <w:lang w:eastAsia="en-GB"/>
              </w:rPr>
              <w:t>Tél/Tel: +32 (0)2 554 62 11</w:t>
            </w:r>
          </w:p>
          <w:p w14:paraId="233BBA4F" w14:textId="77777777" w:rsidR="00D91BFB" w:rsidRPr="00213F00" w:rsidRDefault="00D91BFB" w:rsidP="005102C6">
            <w:pPr>
              <w:spacing w:line="240" w:lineRule="auto"/>
              <w:ind w:right="34"/>
              <w:rPr>
                <w:noProof/>
                <w:szCs w:val="22"/>
              </w:rPr>
            </w:pPr>
          </w:p>
        </w:tc>
        <w:tc>
          <w:tcPr>
            <w:tcW w:w="4678" w:type="dxa"/>
          </w:tcPr>
          <w:p w14:paraId="45672085" w14:textId="77777777" w:rsidR="00D91BFB" w:rsidRPr="00213F00" w:rsidRDefault="00D91BFB" w:rsidP="005102C6">
            <w:pPr>
              <w:spacing w:line="240" w:lineRule="auto"/>
              <w:rPr>
                <w:b/>
                <w:bCs/>
                <w:szCs w:val="22"/>
              </w:rPr>
            </w:pPr>
            <w:r w:rsidRPr="00213F00">
              <w:rPr>
                <w:b/>
                <w:bCs/>
                <w:szCs w:val="22"/>
              </w:rPr>
              <w:t>Latvija</w:t>
            </w:r>
          </w:p>
          <w:p w14:paraId="20577485" w14:textId="77777777" w:rsidR="00D91BFB" w:rsidRPr="00213F00" w:rsidRDefault="00D91BFB" w:rsidP="005102C6">
            <w:pPr>
              <w:spacing w:line="240" w:lineRule="auto"/>
              <w:rPr>
                <w:szCs w:val="22"/>
              </w:rPr>
            </w:pPr>
            <w:r w:rsidRPr="00213F00">
              <w:rPr>
                <w:szCs w:val="22"/>
              </w:rPr>
              <w:t>Pfizer Luxembourg SARL filiāle Latvijā</w:t>
            </w:r>
          </w:p>
          <w:p w14:paraId="561DE2DD" w14:textId="77777777" w:rsidR="00D91BFB" w:rsidRPr="00213F00" w:rsidRDefault="00D91BFB" w:rsidP="005102C6">
            <w:pPr>
              <w:tabs>
                <w:tab w:val="left" w:pos="-720"/>
              </w:tabs>
              <w:suppressAutoHyphens/>
              <w:spacing w:line="240" w:lineRule="auto"/>
              <w:rPr>
                <w:szCs w:val="22"/>
              </w:rPr>
            </w:pPr>
            <w:r w:rsidRPr="00213F00">
              <w:rPr>
                <w:szCs w:val="22"/>
              </w:rPr>
              <w:t>Tel: +371 670 35 775</w:t>
            </w:r>
          </w:p>
          <w:p w14:paraId="53951C3D" w14:textId="77777777" w:rsidR="00D91BFB" w:rsidRPr="00213F00" w:rsidRDefault="00D91BFB" w:rsidP="005102C6">
            <w:pPr>
              <w:suppressAutoHyphens/>
              <w:spacing w:line="240" w:lineRule="auto"/>
              <w:rPr>
                <w:noProof/>
                <w:szCs w:val="22"/>
              </w:rPr>
            </w:pPr>
          </w:p>
        </w:tc>
      </w:tr>
      <w:tr w:rsidR="00D91BFB" w:rsidRPr="00213F00" w14:paraId="68F402A1" w14:textId="77777777" w:rsidTr="005102C6">
        <w:tc>
          <w:tcPr>
            <w:tcW w:w="4644" w:type="dxa"/>
          </w:tcPr>
          <w:p w14:paraId="51433F3D" w14:textId="77777777" w:rsidR="00D91BFB" w:rsidRPr="00213F00" w:rsidRDefault="00D91BFB" w:rsidP="005102C6">
            <w:pPr>
              <w:rPr>
                <w:rFonts w:eastAsia="SimSun"/>
                <w:b/>
                <w:bCs/>
                <w:szCs w:val="22"/>
                <w:lang w:eastAsia="en-GB"/>
              </w:rPr>
            </w:pPr>
            <w:r w:rsidRPr="00213F00">
              <w:rPr>
                <w:rFonts w:eastAsia="SimSun"/>
                <w:b/>
                <w:bCs/>
                <w:szCs w:val="22"/>
                <w:lang w:eastAsia="en-GB"/>
              </w:rPr>
              <w:t>България</w:t>
            </w:r>
          </w:p>
          <w:p w14:paraId="1BDDE19A" w14:textId="77777777" w:rsidR="00D91BFB" w:rsidRPr="00213F00" w:rsidRDefault="00D91BFB" w:rsidP="005102C6">
            <w:pPr>
              <w:rPr>
                <w:rFonts w:eastAsia="SimSun"/>
                <w:szCs w:val="22"/>
                <w:lang w:eastAsia="en-GB"/>
              </w:rPr>
            </w:pPr>
            <w:r w:rsidRPr="00213F00">
              <w:rPr>
                <w:rFonts w:eastAsia="SimSun"/>
                <w:szCs w:val="22"/>
                <w:lang w:eastAsia="en-GB"/>
              </w:rPr>
              <w:t>Пфайзер Люксембург САРЛ, Клон България</w:t>
            </w:r>
          </w:p>
          <w:p w14:paraId="2A248DA4" w14:textId="77777777" w:rsidR="00D91BFB" w:rsidRPr="00213F00" w:rsidRDefault="00D91BFB" w:rsidP="005102C6">
            <w:pPr>
              <w:rPr>
                <w:rFonts w:eastAsia="SimSun"/>
                <w:szCs w:val="22"/>
                <w:lang w:eastAsia="en-GB"/>
              </w:rPr>
            </w:pPr>
            <w:r w:rsidRPr="00213F00">
              <w:rPr>
                <w:rFonts w:eastAsia="SimSun"/>
                <w:szCs w:val="22"/>
                <w:lang w:eastAsia="en-GB"/>
              </w:rPr>
              <w:t>Тел.: +359 2 970 4333</w:t>
            </w:r>
          </w:p>
          <w:p w14:paraId="575A84FF" w14:textId="77777777" w:rsidR="00D91BFB" w:rsidRPr="00213F00" w:rsidRDefault="00D91BFB" w:rsidP="005102C6">
            <w:pPr>
              <w:tabs>
                <w:tab w:val="left" w:pos="-720"/>
              </w:tabs>
              <w:suppressAutoHyphens/>
              <w:spacing w:line="240" w:lineRule="auto"/>
              <w:rPr>
                <w:noProof/>
                <w:szCs w:val="22"/>
              </w:rPr>
            </w:pPr>
          </w:p>
        </w:tc>
        <w:tc>
          <w:tcPr>
            <w:tcW w:w="4678" w:type="dxa"/>
          </w:tcPr>
          <w:p w14:paraId="46AD2239" w14:textId="77777777" w:rsidR="00D91BFB" w:rsidRPr="00213F00" w:rsidRDefault="00D91BFB" w:rsidP="005102C6">
            <w:pPr>
              <w:rPr>
                <w:noProof/>
                <w:szCs w:val="22"/>
              </w:rPr>
            </w:pPr>
            <w:r w:rsidRPr="00213F00">
              <w:rPr>
                <w:b/>
                <w:noProof/>
                <w:szCs w:val="22"/>
              </w:rPr>
              <w:t>Lietuva</w:t>
            </w:r>
          </w:p>
          <w:p w14:paraId="7B06BAA6" w14:textId="77777777" w:rsidR="00D91BFB" w:rsidRPr="00213F00" w:rsidRDefault="00D91BFB" w:rsidP="005102C6">
            <w:pPr>
              <w:rPr>
                <w:rFonts w:eastAsia="SimSun"/>
                <w:szCs w:val="22"/>
                <w:lang w:eastAsia="en-GB"/>
              </w:rPr>
            </w:pPr>
            <w:r w:rsidRPr="00213F00">
              <w:rPr>
                <w:rFonts w:eastAsia="SimSun"/>
                <w:szCs w:val="22"/>
                <w:lang w:eastAsia="en-GB"/>
              </w:rPr>
              <w:t>Pfizer Luxembourg SARL filialas Lietuvoje</w:t>
            </w:r>
          </w:p>
          <w:p w14:paraId="4C335941" w14:textId="77777777" w:rsidR="00D91BFB" w:rsidRPr="00213F00" w:rsidRDefault="00D91BFB" w:rsidP="005102C6">
            <w:pPr>
              <w:tabs>
                <w:tab w:val="left" w:pos="-720"/>
              </w:tabs>
              <w:suppressAutoHyphens/>
              <w:spacing w:line="240" w:lineRule="auto"/>
              <w:rPr>
                <w:noProof/>
                <w:szCs w:val="22"/>
              </w:rPr>
            </w:pPr>
            <w:r w:rsidRPr="00213F00">
              <w:rPr>
                <w:rFonts w:eastAsia="SimSun"/>
                <w:szCs w:val="22"/>
                <w:lang w:eastAsia="en-GB"/>
              </w:rPr>
              <w:t>Tel: +370 52 51 4000</w:t>
            </w:r>
          </w:p>
        </w:tc>
      </w:tr>
      <w:tr w:rsidR="00D91BFB" w:rsidRPr="00213F00" w14:paraId="679F5E8F" w14:textId="77777777" w:rsidTr="005102C6">
        <w:trPr>
          <w:trHeight w:val="782"/>
        </w:trPr>
        <w:tc>
          <w:tcPr>
            <w:tcW w:w="4644" w:type="dxa"/>
          </w:tcPr>
          <w:p w14:paraId="7415C987" w14:textId="77777777" w:rsidR="00D91BFB" w:rsidRPr="00AF1088" w:rsidRDefault="00D91BFB" w:rsidP="005102C6">
            <w:pPr>
              <w:tabs>
                <w:tab w:val="left" w:pos="-720"/>
              </w:tabs>
              <w:suppressAutoHyphens/>
              <w:spacing w:line="240" w:lineRule="auto"/>
              <w:rPr>
                <w:szCs w:val="22"/>
                <w:lang w:val="en-US"/>
              </w:rPr>
            </w:pPr>
            <w:r w:rsidRPr="00AF1088">
              <w:rPr>
                <w:b/>
                <w:szCs w:val="22"/>
                <w:lang w:val="en-US"/>
              </w:rPr>
              <w:lastRenderedPageBreak/>
              <w:t>Česká republika</w:t>
            </w:r>
          </w:p>
          <w:p w14:paraId="02E14798" w14:textId="77777777" w:rsidR="00D91BFB" w:rsidRPr="00AF1088" w:rsidRDefault="00D91BFB" w:rsidP="005102C6">
            <w:pPr>
              <w:spacing w:line="240" w:lineRule="auto"/>
              <w:rPr>
                <w:rFonts w:eastAsia="SimSun"/>
                <w:szCs w:val="22"/>
                <w:lang w:val="en-US" w:eastAsia="en-GB"/>
              </w:rPr>
            </w:pPr>
            <w:r w:rsidRPr="00AF1088">
              <w:rPr>
                <w:rFonts w:eastAsia="SimSun"/>
                <w:szCs w:val="22"/>
                <w:lang w:val="en-US" w:eastAsia="en-GB"/>
              </w:rPr>
              <w:t xml:space="preserve">Pfizer, </w:t>
            </w:r>
            <w:r w:rsidRPr="00AF1088">
              <w:rPr>
                <w:szCs w:val="22"/>
                <w:lang w:val="en-US"/>
              </w:rPr>
              <w:t>spol.</w:t>
            </w:r>
            <w:r w:rsidRPr="00AF1088">
              <w:rPr>
                <w:rFonts w:eastAsia="SimSun"/>
                <w:szCs w:val="22"/>
                <w:lang w:val="en-US" w:eastAsia="en-GB"/>
              </w:rPr>
              <w:t xml:space="preserve"> s r.o.</w:t>
            </w:r>
          </w:p>
          <w:p w14:paraId="178435F6" w14:textId="77777777" w:rsidR="00D91BFB" w:rsidRPr="00213F00" w:rsidRDefault="00D91BFB" w:rsidP="005102C6">
            <w:pPr>
              <w:spacing w:line="240" w:lineRule="auto"/>
              <w:rPr>
                <w:rFonts w:eastAsia="SimSun"/>
                <w:szCs w:val="22"/>
                <w:lang w:eastAsia="en-GB"/>
              </w:rPr>
            </w:pPr>
            <w:r w:rsidRPr="00213F00">
              <w:rPr>
                <w:rFonts w:eastAsia="SimSun"/>
                <w:szCs w:val="22"/>
                <w:lang w:eastAsia="en-GB"/>
              </w:rPr>
              <w:t>Tel: +420 283 004 111</w:t>
            </w:r>
          </w:p>
          <w:p w14:paraId="4616EA7F" w14:textId="77777777" w:rsidR="00D91BFB" w:rsidRPr="00213F00" w:rsidRDefault="00D91BFB" w:rsidP="005102C6">
            <w:pPr>
              <w:spacing w:line="240" w:lineRule="auto"/>
              <w:rPr>
                <w:szCs w:val="22"/>
              </w:rPr>
            </w:pPr>
          </w:p>
        </w:tc>
        <w:tc>
          <w:tcPr>
            <w:tcW w:w="4678" w:type="dxa"/>
          </w:tcPr>
          <w:p w14:paraId="782EE998" w14:textId="77777777" w:rsidR="00D91BFB" w:rsidRPr="00213F00" w:rsidRDefault="00D91BFB" w:rsidP="005102C6">
            <w:pPr>
              <w:rPr>
                <w:b/>
                <w:noProof/>
                <w:szCs w:val="22"/>
              </w:rPr>
            </w:pPr>
            <w:r w:rsidRPr="00213F00">
              <w:rPr>
                <w:b/>
                <w:noProof/>
                <w:szCs w:val="22"/>
              </w:rPr>
              <w:t>Magyarország</w:t>
            </w:r>
          </w:p>
          <w:p w14:paraId="3AC455CB" w14:textId="77777777" w:rsidR="00D91BFB" w:rsidRPr="00213F00" w:rsidRDefault="00D91BFB" w:rsidP="005102C6">
            <w:pPr>
              <w:rPr>
                <w:rFonts w:eastAsia="SimSun"/>
                <w:szCs w:val="22"/>
                <w:lang w:eastAsia="en-GB"/>
              </w:rPr>
            </w:pPr>
            <w:r w:rsidRPr="00213F00">
              <w:rPr>
                <w:rFonts w:eastAsia="SimSun"/>
                <w:szCs w:val="22"/>
                <w:lang w:eastAsia="en-GB"/>
              </w:rPr>
              <w:t>Pfizer Kft.</w:t>
            </w:r>
          </w:p>
          <w:p w14:paraId="191C240A" w14:textId="77777777" w:rsidR="00D91BFB" w:rsidRPr="00213F00" w:rsidRDefault="00D91BFB" w:rsidP="005102C6">
            <w:pPr>
              <w:spacing w:line="240" w:lineRule="auto"/>
              <w:rPr>
                <w:szCs w:val="22"/>
              </w:rPr>
            </w:pPr>
            <w:r w:rsidRPr="00213F00">
              <w:rPr>
                <w:rFonts w:eastAsia="SimSun"/>
                <w:szCs w:val="22"/>
                <w:lang w:eastAsia="en-GB"/>
              </w:rPr>
              <w:t>Tel: +36-1-488-37-00</w:t>
            </w:r>
          </w:p>
        </w:tc>
      </w:tr>
      <w:tr w:rsidR="00D91BFB" w:rsidRPr="00AF1088" w14:paraId="51CD7DCB" w14:textId="77777777" w:rsidTr="005102C6">
        <w:tc>
          <w:tcPr>
            <w:tcW w:w="4644" w:type="dxa"/>
          </w:tcPr>
          <w:p w14:paraId="67FB865D" w14:textId="77777777" w:rsidR="00D91BFB" w:rsidRPr="00213F00" w:rsidRDefault="00D91BFB" w:rsidP="005102C6">
            <w:pPr>
              <w:spacing w:line="240" w:lineRule="auto"/>
              <w:rPr>
                <w:noProof/>
                <w:szCs w:val="22"/>
              </w:rPr>
            </w:pPr>
            <w:r w:rsidRPr="00213F00">
              <w:rPr>
                <w:b/>
                <w:noProof/>
                <w:szCs w:val="22"/>
              </w:rPr>
              <w:t>Danmark</w:t>
            </w:r>
          </w:p>
          <w:p w14:paraId="375E85A3" w14:textId="77777777" w:rsidR="00D91BFB" w:rsidRPr="00213F00" w:rsidRDefault="00D91BFB" w:rsidP="005102C6">
            <w:pPr>
              <w:spacing w:line="240" w:lineRule="auto"/>
              <w:rPr>
                <w:rFonts w:eastAsia="SimSun"/>
                <w:szCs w:val="22"/>
                <w:lang w:eastAsia="en-GB"/>
              </w:rPr>
            </w:pPr>
            <w:r w:rsidRPr="00213F00">
              <w:rPr>
                <w:rFonts w:eastAsia="SimSun"/>
                <w:szCs w:val="22"/>
                <w:lang w:eastAsia="en-GB"/>
              </w:rPr>
              <w:t>Pfizer ApS</w:t>
            </w:r>
          </w:p>
          <w:p w14:paraId="40398E9D" w14:textId="77777777" w:rsidR="00D91BFB" w:rsidRPr="00213F00" w:rsidRDefault="00D91BFB" w:rsidP="005102C6">
            <w:pPr>
              <w:spacing w:line="240" w:lineRule="auto"/>
              <w:rPr>
                <w:rFonts w:eastAsia="SimSun"/>
                <w:szCs w:val="22"/>
                <w:lang w:eastAsia="en-GB"/>
              </w:rPr>
            </w:pPr>
            <w:r w:rsidRPr="00213F00">
              <w:rPr>
                <w:rFonts w:eastAsia="SimSun"/>
                <w:szCs w:val="22"/>
                <w:lang w:eastAsia="en-GB"/>
              </w:rPr>
              <w:t>Tlf.: +45 44 20 11 00</w:t>
            </w:r>
          </w:p>
          <w:p w14:paraId="7B20F30D" w14:textId="77777777" w:rsidR="00D91BFB" w:rsidRPr="00213F00" w:rsidRDefault="00D91BFB" w:rsidP="005102C6">
            <w:pPr>
              <w:tabs>
                <w:tab w:val="left" w:pos="-720"/>
              </w:tabs>
              <w:suppressAutoHyphens/>
              <w:spacing w:line="240" w:lineRule="auto"/>
              <w:rPr>
                <w:noProof/>
                <w:szCs w:val="22"/>
              </w:rPr>
            </w:pPr>
          </w:p>
        </w:tc>
        <w:tc>
          <w:tcPr>
            <w:tcW w:w="4678" w:type="dxa"/>
          </w:tcPr>
          <w:p w14:paraId="3A1927A5" w14:textId="77777777" w:rsidR="00D91BFB" w:rsidRPr="00AF1088" w:rsidRDefault="00D91BFB" w:rsidP="005102C6">
            <w:pPr>
              <w:spacing w:line="240" w:lineRule="auto"/>
              <w:rPr>
                <w:b/>
                <w:szCs w:val="22"/>
                <w:lang w:val="en-US"/>
              </w:rPr>
            </w:pPr>
            <w:r w:rsidRPr="00AF1088">
              <w:rPr>
                <w:b/>
                <w:szCs w:val="22"/>
                <w:lang w:val="en-US"/>
              </w:rPr>
              <w:t>Malta</w:t>
            </w:r>
          </w:p>
          <w:p w14:paraId="7212AA66" w14:textId="77777777" w:rsidR="00D91BFB" w:rsidRPr="00AF1088" w:rsidRDefault="00D91BFB" w:rsidP="005102C6">
            <w:pPr>
              <w:spacing w:line="240" w:lineRule="auto"/>
              <w:rPr>
                <w:rFonts w:eastAsia="SimSun"/>
                <w:szCs w:val="22"/>
                <w:lang w:val="en-US" w:eastAsia="en-GB"/>
              </w:rPr>
            </w:pPr>
            <w:r w:rsidRPr="00AF1088">
              <w:rPr>
                <w:rFonts w:eastAsia="SimSun"/>
                <w:szCs w:val="22"/>
                <w:lang w:val="en-US" w:eastAsia="en-GB"/>
              </w:rPr>
              <w:t>Vivian Corporation Ltd.</w:t>
            </w:r>
          </w:p>
          <w:p w14:paraId="511FF381" w14:textId="77777777" w:rsidR="00D91BFB" w:rsidRPr="00AF1088" w:rsidRDefault="00D91BFB" w:rsidP="005102C6">
            <w:pPr>
              <w:spacing w:line="240" w:lineRule="auto"/>
              <w:rPr>
                <w:noProof/>
                <w:szCs w:val="22"/>
                <w:lang w:val="en-US"/>
              </w:rPr>
            </w:pPr>
            <w:r w:rsidRPr="00AF1088">
              <w:rPr>
                <w:rFonts w:eastAsia="SimSun"/>
                <w:szCs w:val="22"/>
                <w:lang w:val="en-US" w:eastAsia="en-GB"/>
              </w:rPr>
              <w:t>Tel: +356 21344610</w:t>
            </w:r>
          </w:p>
        </w:tc>
      </w:tr>
      <w:tr w:rsidR="00D91BFB" w:rsidRPr="00213F00" w14:paraId="3A569CCB" w14:textId="77777777" w:rsidTr="005102C6">
        <w:tc>
          <w:tcPr>
            <w:tcW w:w="4644" w:type="dxa"/>
          </w:tcPr>
          <w:p w14:paraId="535FBE18" w14:textId="77777777" w:rsidR="00D91BFB" w:rsidRPr="00213F00" w:rsidRDefault="00D91BFB" w:rsidP="005102C6">
            <w:pPr>
              <w:rPr>
                <w:noProof/>
                <w:szCs w:val="22"/>
              </w:rPr>
            </w:pPr>
            <w:r w:rsidRPr="00213F00">
              <w:rPr>
                <w:b/>
                <w:noProof/>
                <w:szCs w:val="22"/>
              </w:rPr>
              <w:t>Deutschland</w:t>
            </w:r>
          </w:p>
          <w:p w14:paraId="1B0C8765" w14:textId="77777777" w:rsidR="00D91BFB" w:rsidRPr="00213F00" w:rsidRDefault="00D91BFB" w:rsidP="005102C6">
            <w:pPr>
              <w:rPr>
                <w:rFonts w:eastAsia="SimSun"/>
                <w:szCs w:val="22"/>
                <w:lang w:eastAsia="en-GB"/>
              </w:rPr>
            </w:pPr>
            <w:r w:rsidRPr="00213F00">
              <w:rPr>
                <w:rFonts w:eastAsia="SimSun"/>
                <w:szCs w:val="22"/>
                <w:lang w:eastAsia="en-GB"/>
              </w:rPr>
              <w:t>PFIZER PHARMA GmbH</w:t>
            </w:r>
          </w:p>
          <w:p w14:paraId="4AB2FE04" w14:textId="77777777" w:rsidR="00D91BFB" w:rsidRPr="00213F00" w:rsidRDefault="00D91BFB" w:rsidP="005102C6">
            <w:pPr>
              <w:rPr>
                <w:rFonts w:eastAsia="SimSun"/>
                <w:szCs w:val="22"/>
                <w:lang w:eastAsia="en-GB"/>
              </w:rPr>
            </w:pPr>
            <w:r w:rsidRPr="00213F00">
              <w:rPr>
                <w:rFonts w:eastAsia="SimSun"/>
                <w:szCs w:val="22"/>
                <w:lang w:eastAsia="en-GB"/>
              </w:rPr>
              <w:t>Tel: +49 (0)30 550055 51000</w:t>
            </w:r>
          </w:p>
          <w:p w14:paraId="4FC7AE80" w14:textId="77777777" w:rsidR="00D91BFB" w:rsidRPr="00213F00" w:rsidRDefault="00D91BFB" w:rsidP="005102C6">
            <w:pPr>
              <w:tabs>
                <w:tab w:val="left" w:pos="-720"/>
              </w:tabs>
              <w:suppressAutoHyphens/>
              <w:spacing w:line="240" w:lineRule="auto"/>
              <w:rPr>
                <w:noProof/>
                <w:szCs w:val="22"/>
              </w:rPr>
            </w:pPr>
          </w:p>
        </w:tc>
        <w:tc>
          <w:tcPr>
            <w:tcW w:w="4678" w:type="dxa"/>
          </w:tcPr>
          <w:p w14:paraId="3A7E568B" w14:textId="77777777" w:rsidR="00D91BFB" w:rsidRPr="00213F00" w:rsidRDefault="00D91BFB" w:rsidP="005102C6">
            <w:pPr>
              <w:tabs>
                <w:tab w:val="left" w:pos="-720"/>
              </w:tabs>
              <w:suppressAutoHyphens/>
              <w:spacing w:line="240" w:lineRule="auto"/>
              <w:rPr>
                <w:noProof/>
                <w:szCs w:val="22"/>
              </w:rPr>
            </w:pPr>
            <w:r w:rsidRPr="00213F00">
              <w:rPr>
                <w:b/>
                <w:noProof/>
                <w:szCs w:val="22"/>
              </w:rPr>
              <w:t>Nederland</w:t>
            </w:r>
          </w:p>
          <w:p w14:paraId="1BCAD782" w14:textId="77777777" w:rsidR="00D91BFB" w:rsidRPr="00213F00" w:rsidRDefault="00D91BFB" w:rsidP="005102C6">
            <w:pPr>
              <w:spacing w:line="240" w:lineRule="auto"/>
              <w:rPr>
                <w:rFonts w:eastAsia="SimSun"/>
                <w:szCs w:val="22"/>
                <w:lang w:eastAsia="en-GB"/>
              </w:rPr>
            </w:pPr>
            <w:r w:rsidRPr="00213F00">
              <w:rPr>
                <w:rFonts w:eastAsia="SimSun"/>
                <w:szCs w:val="22"/>
                <w:lang w:eastAsia="en-GB"/>
              </w:rPr>
              <w:t>Pfizer bv</w:t>
            </w:r>
          </w:p>
          <w:p w14:paraId="4FBA54DE" w14:textId="77777777" w:rsidR="00D91BFB" w:rsidRPr="00213F00" w:rsidRDefault="00D91BFB" w:rsidP="005102C6">
            <w:pPr>
              <w:tabs>
                <w:tab w:val="left" w:pos="-720"/>
              </w:tabs>
              <w:suppressAutoHyphens/>
              <w:spacing w:line="240" w:lineRule="auto"/>
              <w:rPr>
                <w:noProof/>
                <w:szCs w:val="22"/>
              </w:rPr>
            </w:pPr>
            <w:r w:rsidRPr="00213F00">
              <w:rPr>
                <w:rFonts w:eastAsia="SimSun"/>
                <w:szCs w:val="22"/>
                <w:lang w:eastAsia="en-GB"/>
              </w:rPr>
              <w:t>Tel: +31 (0)800 63 34 636</w:t>
            </w:r>
          </w:p>
        </w:tc>
      </w:tr>
      <w:tr w:rsidR="00D91BFB" w:rsidRPr="00213F00" w14:paraId="0E13EE80" w14:textId="77777777" w:rsidTr="005102C6">
        <w:tc>
          <w:tcPr>
            <w:tcW w:w="4644" w:type="dxa"/>
          </w:tcPr>
          <w:p w14:paraId="27C9F0EA" w14:textId="77777777" w:rsidR="00D91BFB" w:rsidRPr="00213F00" w:rsidRDefault="00D91BFB" w:rsidP="005102C6">
            <w:pPr>
              <w:tabs>
                <w:tab w:val="left" w:pos="-720"/>
              </w:tabs>
              <w:suppressAutoHyphens/>
              <w:rPr>
                <w:b/>
                <w:szCs w:val="22"/>
              </w:rPr>
            </w:pPr>
            <w:r w:rsidRPr="00213F00">
              <w:rPr>
                <w:b/>
                <w:szCs w:val="22"/>
              </w:rPr>
              <w:t>Eesti</w:t>
            </w:r>
          </w:p>
          <w:p w14:paraId="092BFA55" w14:textId="77777777" w:rsidR="00D91BFB" w:rsidRPr="00213F00" w:rsidRDefault="00D91BFB" w:rsidP="005102C6">
            <w:pPr>
              <w:rPr>
                <w:rFonts w:eastAsia="SimSun"/>
                <w:szCs w:val="22"/>
                <w:lang w:eastAsia="en-GB"/>
              </w:rPr>
            </w:pPr>
            <w:r w:rsidRPr="00213F00">
              <w:rPr>
                <w:rFonts w:eastAsia="SimSun"/>
                <w:szCs w:val="22"/>
                <w:lang w:eastAsia="en-GB"/>
              </w:rPr>
              <w:t>Pfizer Luxembourg SARL Eesti filiaal</w:t>
            </w:r>
          </w:p>
          <w:p w14:paraId="772F40A1" w14:textId="77777777" w:rsidR="00D91BFB" w:rsidRPr="00213F00" w:rsidRDefault="00D91BFB" w:rsidP="005102C6">
            <w:pPr>
              <w:rPr>
                <w:rFonts w:eastAsia="SimSun"/>
                <w:szCs w:val="22"/>
                <w:lang w:eastAsia="en-GB"/>
              </w:rPr>
            </w:pPr>
            <w:r w:rsidRPr="00213F00">
              <w:rPr>
                <w:rFonts w:eastAsia="SimSun"/>
                <w:szCs w:val="22"/>
                <w:lang w:eastAsia="en-GB"/>
              </w:rPr>
              <w:t>Tel: +372 666 7500</w:t>
            </w:r>
          </w:p>
          <w:p w14:paraId="6ACF51B4" w14:textId="77777777" w:rsidR="00D91BFB" w:rsidRPr="00213F00" w:rsidRDefault="00D91BFB" w:rsidP="005102C6">
            <w:pPr>
              <w:tabs>
                <w:tab w:val="left" w:pos="-720"/>
              </w:tabs>
              <w:suppressAutoHyphens/>
              <w:spacing w:line="240" w:lineRule="auto"/>
              <w:rPr>
                <w:noProof/>
                <w:szCs w:val="22"/>
              </w:rPr>
            </w:pPr>
          </w:p>
        </w:tc>
        <w:tc>
          <w:tcPr>
            <w:tcW w:w="4678" w:type="dxa"/>
          </w:tcPr>
          <w:p w14:paraId="2E7E51EA" w14:textId="77777777" w:rsidR="00D91BFB" w:rsidRPr="00213F00" w:rsidRDefault="00D91BFB" w:rsidP="005102C6">
            <w:pPr>
              <w:rPr>
                <w:noProof/>
                <w:szCs w:val="22"/>
              </w:rPr>
            </w:pPr>
            <w:r w:rsidRPr="00213F00">
              <w:rPr>
                <w:b/>
                <w:noProof/>
                <w:szCs w:val="22"/>
              </w:rPr>
              <w:t>Norge</w:t>
            </w:r>
          </w:p>
          <w:p w14:paraId="3F194AA9" w14:textId="77777777" w:rsidR="00D91BFB" w:rsidRPr="00213F00" w:rsidRDefault="00D91BFB" w:rsidP="005102C6">
            <w:pPr>
              <w:rPr>
                <w:rFonts w:eastAsia="SimSun"/>
                <w:szCs w:val="22"/>
                <w:lang w:eastAsia="en-GB"/>
              </w:rPr>
            </w:pPr>
            <w:r w:rsidRPr="00213F00">
              <w:rPr>
                <w:rFonts w:eastAsia="SimSun"/>
                <w:szCs w:val="22"/>
                <w:lang w:eastAsia="en-GB"/>
              </w:rPr>
              <w:t>Pfizer AS</w:t>
            </w:r>
          </w:p>
          <w:p w14:paraId="48520844" w14:textId="77777777" w:rsidR="00D91BFB" w:rsidRPr="00213F00" w:rsidRDefault="00D91BFB" w:rsidP="005102C6">
            <w:pPr>
              <w:spacing w:line="240" w:lineRule="auto"/>
              <w:rPr>
                <w:noProof/>
                <w:szCs w:val="22"/>
              </w:rPr>
            </w:pPr>
            <w:r w:rsidRPr="00213F00">
              <w:rPr>
                <w:rFonts w:eastAsia="SimSun"/>
                <w:szCs w:val="22"/>
                <w:lang w:eastAsia="en-GB"/>
              </w:rPr>
              <w:t>Tlf: +47 67 52 61 00</w:t>
            </w:r>
          </w:p>
        </w:tc>
      </w:tr>
      <w:tr w:rsidR="00D91BFB" w:rsidRPr="00213F00" w14:paraId="235B003F" w14:textId="77777777" w:rsidTr="005102C6">
        <w:tc>
          <w:tcPr>
            <w:tcW w:w="4644" w:type="dxa"/>
          </w:tcPr>
          <w:p w14:paraId="2DB15727" w14:textId="77777777" w:rsidR="00D91BFB" w:rsidRPr="00213F00" w:rsidRDefault="00D91BFB" w:rsidP="005102C6">
            <w:pPr>
              <w:rPr>
                <w:noProof/>
                <w:szCs w:val="22"/>
              </w:rPr>
            </w:pPr>
            <w:r w:rsidRPr="00213F00">
              <w:rPr>
                <w:b/>
                <w:noProof/>
                <w:szCs w:val="22"/>
              </w:rPr>
              <w:t>Ελλάδα</w:t>
            </w:r>
          </w:p>
          <w:p w14:paraId="076944EB" w14:textId="77777777" w:rsidR="00D91BFB" w:rsidRPr="00213F00" w:rsidRDefault="00D91BFB" w:rsidP="005102C6">
            <w:pPr>
              <w:rPr>
                <w:rFonts w:eastAsia="SimSun"/>
                <w:szCs w:val="22"/>
                <w:lang w:eastAsia="en-GB"/>
              </w:rPr>
            </w:pPr>
            <w:r w:rsidRPr="00213F00">
              <w:rPr>
                <w:rFonts w:eastAsia="SimSun"/>
                <w:szCs w:val="22"/>
                <w:lang w:eastAsia="en-GB"/>
              </w:rPr>
              <w:t>Pfizer Ελλάς A.E.</w:t>
            </w:r>
          </w:p>
          <w:p w14:paraId="6C85A55D" w14:textId="77777777" w:rsidR="00D91BFB" w:rsidRPr="00213F00" w:rsidRDefault="00D91BFB" w:rsidP="005102C6">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5E25D140" w14:textId="77777777" w:rsidR="00D91BFB" w:rsidRPr="00213F00" w:rsidRDefault="00D91BFB" w:rsidP="005102C6">
            <w:pPr>
              <w:tabs>
                <w:tab w:val="left" w:pos="-720"/>
              </w:tabs>
              <w:suppressAutoHyphens/>
              <w:spacing w:line="240" w:lineRule="auto"/>
              <w:rPr>
                <w:noProof/>
                <w:szCs w:val="22"/>
              </w:rPr>
            </w:pPr>
          </w:p>
        </w:tc>
        <w:tc>
          <w:tcPr>
            <w:tcW w:w="4678" w:type="dxa"/>
          </w:tcPr>
          <w:p w14:paraId="6BD976D0" w14:textId="77777777" w:rsidR="00D91BFB" w:rsidRPr="00AF1088" w:rsidRDefault="00D91BFB" w:rsidP="005102C6">
            <w:pPr>
              <w:tabs>
                <w:tab w:val="left" w:pos="-720"/>
              </w:tabs>
              <w:suppressAutoHyphens/>
              <w:rPr>
                <w:noProof/>
                <w:szCs w:val="22"/>
                <w:lang w:val="en-US"/>
              </w:rPr>
            </w:pPr>
            <w:r w:rsidRPr="00AF1088">
              <w:rPr>
                <w:b/>
                <w:noProof/>
                <w:szCs w:val="22"/>
                <w:lang w:val="en-US"/>
              </w:rPr>
              <w:t>Österreich</w:t>
            </w:r>
          </w:p>
          <w:p w14:paraId="10AFFF5A" w14:textId="77777777" w:rsidR="00D91BFB" w:rsidRPr="00AF1088" w:rsidRDefault="00D91BFB" w:rsidP="005102C6">
            <w:pPr>
              <w:rPr>
                <w:rFonts w:eastAsia="SimSun"/>
                <w:szCs w:val="22"/>
                <w:lang w:val="en-US" w:eastAsia="en-GB"/>
              </w:rPr>
            </w:pPr>
            <w:r w:rsidRPr="00AF1088">
              <w:rPr>
                <w:rFonts w:eastAsia="SimSun"/>
                <w:szCs w:val="22"/>
                <w:lang w:val="en-US" w:eastAsia="en-GB"/>
              </w:rPr>
              <w:t>Pfizer Corporation Austria Ges.m.b.H.</w:t>
            </w:r>
          </w:p>
          <w:p w14:paraId="4AE3E7DA" w14:textId="77777777" w:rsidR="00D91BFB" w:rsidRPr="00213F00" w:rsidRDefault="00D91BFB" w:rsidP="005102C6">
            <w:pPr>
              <w:rPr>
                <w:rFonts w:eastAsia="SimSun"/>
                <w:szCs w:val="22"/>
                <w:lang w:eastAsia="en-GB"/>
              </w:rPr>
            </w:pPr>
            <w:r w:rsidRPr="00213F00">
              <w:rPr>
                <w:rFonts w:eastAsia="SimSun"/>
                <w:szCs w:val="22"/>
                <w:lang w:eastAsia="en-GB"/>
              </w:rPr>
              <w:t>Tel: +43 (0)1 521 15-0</w:t>
            </w:r>
          </w:p>
          <w:p w14:paraId="24426CF7" w14:textId="77777777" w:rsidR="00D91BFB" w:rsidRPr="00213F00" w:rsidRDefault="00D91BFB" w:rsidP="005102C6">
            <w:pPr>
              <w:tabs>
                <w:tab w:val="left" w:pos="-720"/>
              </w:tabs>
              <w:suppressAutoHyphens/>
              <w:spacing w:line="240" w:lineRule="auto"/>
              <w:rPr>
                <w:noProof/>
                <w:szCs w:val="22"/>
              </w:rPr>
            </w:pPr>
          </w:p>
        </w:tc>
      </w:tr>
      <w:tr w:rsidR="00D91BFB" w:rsidRPr="00213F00" w14:paraId="3769E47C" w14:textId="77777777" w:rsidTr="005102C6">
        <w:tc>
          <w:tcPr>
            <w:tcW w:w="4644" w:type="dxa"/>
          </w:tcPr>
          <w:p w14:paraId="7525336C" w14:textId="77777777" w:rsidR="00D91BFB" w:rsidRPr="00213F00" w:rsidRDefault="00D91BFB" w:rsidP="005102C6">
            <w:pPr>
              <w:tabs>
                <w:tab w:val="left" w:pos="-720"/>
                <w:tab w:val="left" w:pos="4536"/>
              </w:tabs>
              <w:suppressAutoHyphens/>
              <w:rPr>
                <w:b/>
                <w:noProof/>
                <w:szCs w:val="22"/>
              </w:rPr>
            </w:pPr>
            <w:r w:rsidRPr="00213F00">
              <w:rPr>
                <w:b/>
                <w:noProof/>
                <w:szCs w:val="22"/>
              </w:rPr>
              <w:t>España</w:t>
            </w:r>
          </w:p>
          <w:p w14:paraId="2F329B77" w14:textId="77777777" w:rsidR="00D91BFB" w:rsidRPr="00213F00" w:rsidRDefault="00D91BFB" w:rsidP="005102C6">
            <w:pPr>
              <w:rPr>
                <w:rFonts w:eastAsia="SimSun"/>
                <w:szCs w:val="22"/>
                <w:lang w:eastAsia="en-GB"/>
              </w:rPr>
            </w:pPr>
            <w:r w:rsidRPr="00213F00">
              <w:rPr>
                <w:rFonts w:eastAsia="SimSun"/>
                <w:szCs w:val="22"/>
                <w:lang w:eastAsia="en-GB"/>
              </w:rPr>
              <w:t>Pfizer, S.L.</w:t>
            </w:r>
          </w:p>
          <w:p w14:paraId="4382E6FE" w14:textId="77777777" w:rsidR="00D91BFB" w:rsidRPr="00213F00" w:rsidRDefault="00D91BFB" w:rsidP="005102C6">
            <w:pPr>
              <w:rPr>
                <w:rFonts w:eastAsia="SimSun"/>
                <w:szCs w:val="22"/>
                <w:lang w:eastAsia="en-GB"/>
              </w:rPr>
            </w:pPr>
            <w:r w:rsidRPr="00213F00">
              <w:rPr>
                <w:rFonts w:eastAsia="SimSun"/>
                <w:szCs w:val="22"/>
                <w:lang w:eastAsia="en-GB"/>
              </w:rPr>
              <w:t>Tel: +34 91 490 99 00</w:t>
            </w:r>
          </w:p>
          <w:p w14:paraId="0FE4720C" w14:textId="77777777" w:rsidR="00D91BFB" w:rsidRPr="00213F00" w:rsidRDefault="00D91BFB" w:rsidP="005102C6">
            <w:pPr>
              <w:tabs>
                <w:tab w:val="left" w:pos="-720"/>
              </w:tabs>
              <w:suppressAutoHyphens/>
              <w:spacing w:line="240" w:lineRule="auto"/>
              <w:rPr>
                <w:noProof/>
                <w:szCs w:val="22"/>
              </w:rPr>
            </w:pPr>
          </w:p>
        </w:tc>
        <w:tc>
          <w:tcPr>
            <w:tcW w:w="4678" w:type="dxa"/>
          </w:tcPr>
          <w:p w14:paraId="49F7ECAF" w14:textId="77777777" w:rsidR="00D91BFB" w:rsidRPr="00AF1088" w:rsidRDefault="00D91BFB" w:rsidP="005102C6">
            <w:pPr>
              <w:tabs>
                <w:tab w:val="left" w:pos="-720"/>
              </w:tabs>
              <w:suppressAutoHyphens/>
              <w:rPr>
                <w:b/>
                <w:bCs/>
                <w:i/>
                <w:iCs/>
                <w:noProof/>
                <w:szCs w:val="22"/>
                <w:lang w:val="en-US"/>
              </w:rPr>
            </w:pPr>
            <w:r w:rsidRPr="00AF1088">
              <w:rPr>
                <w:b/>
                <w:noProof/>
                <w:szCs w:val="22"/>
                <w:lang w:val="en-US"/>
              </w:rPr>
              <w:t>Polska</w:t>
            </w:r>
          </w:p>
          <w:p w14:paraId="473FC380" w14:textId="77777777" w:rsidR="00D91BFB" w:rsidRPr="00AF1088" w:rsidRDefault="00D91BFB" w:rsidP="005102C6">
            <w:pPr>
              <w:rPr>
                <w:rFonts w:eastAsia="SimSun"/>
                <w:szCs w:val="22"/>
                <w:lang w:val="en-US" w:eastAsia="en-GB"/>
              </w:rPr>
            </w:pPr>
            <w:r w:rsidRPr="00AF1088">
              <w:rPr>
                <w:rFonts w:eastAsia="SimSun"/>
                <w:szCs w:val="22"/>
                <w:lang w:val="en-US" w:eastAsia="en-GB"/>
              </w:rPr>
              <w:t>Pfizer Polska Sp. z o.o.</w:t>
            </w:r>
          </w:p>
          <w:p w14:paraId="743BDBBD" w14:textId="77777777" w:rsidR="00D91BFB" w:rsidRPr="00213F00" w:rsidRDefault="00D91BFB" w:rsidP="005102C6">
            <w:pPr>
              <w:tabs>
                <w:tab w:val="left" w:pos="-720"/>
              </w:tabs>
              <w:suppressAutoHyphens/>
              <w:spacing w:line="240" w:lineRule="auto"/>
              <w:rPr>
                <w:noProof/>
                <w:szCs w:val="22"/>
              </w:rPr>
            </w:pPr>
            <w:r w:rsidRPr="00213F00">
              <w:rPr>
                <w:rFonts w:eastAsia="SimSun"/>
                <w:szCs w:val="22"/>
                <w:lang w:eastAsia="en-GB"/>
              </w:rPr>
              <w:t>Tel: +48 22 335 61 00</w:t>
            </w:r>
          </w:p>
        </w:tc>
      </w:tr>
      <w:tr w:rsidR="00D91BFB" w:rsidRPr="00213F00" w14:paraId="6C95BA91" w14:textId="77777777" w:rsidTr="005102C6">
        <w:trPr>
          <w:cantSplit/>
        </w:trPr>
        <w:tc>
          <w:tcPr>
            <w:tcW w:w="4644" w:type="dxa"/>
          </w:tcPr>
          <w:p w14:paraId="746F4894" w14:textId="77777777" w:rsidR="00D91BFB" w:rsidRPr="00213F00" w:rsidRDefault="00D91BFB" w:rsidP="005102C6">
            <w:pPr>
              <w:tabs>
                <w:tab w:val="left" w:pos="-720"/>
                <w:tab w:val="left" w:pos="4536"/>
              </w:tabs>
              <w:suppressAutoHyphens/>
              <w:rPr>
                <w:b/>
                <w:noProof/>
                <w:szCs w:val="22"/>
              </w:rPr>
            </w:pPr>
            <w:r w:rsidRPr="00213F00">
              <w:rPr>
                <w:b/>
                <w:noProof/>
                <w:szCs w:val="22"/>
              </w:rPr>
              <w:t>France</w:t>
            </w:r>
          </w:p>
          <w:p w14:paraId="6C40464E" w14:textId="77777777" w:rsidR="00D91BFB" w:rsidRPr="00213F00" w:rsidRDefault="00D91BFB" w:rsidP="005102C6">
            <w:pPr>
              <w:rPr>
                <w:rFonts w:eastAsia="SimSun"/>
                <w:szCs w:val="22"/>
                <w:lang w:eastAsia="en-GB"/>
              </w:rPr>
            </w:pPr>
            <w:r w:rsidRPr="00213F00">
              <w:rPr>
                <w:rFonts w:eastAsia="SimSun"/>
                <w:szCs w:val="22"/>
                <w:lang w:eastAsia="en-GB"/>
              </w:rPr>
              <w:t>Pfizer</w:t>
            </w:r>
          </w:p>
          <w:p w14:paraId="78D617F1" w14:textId="77777777" w:rsidR="00D91BFB" w:rsidRPr="00213F00" w:rsidRDefault="00D91BFB" w:rsidP="005102C6">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48617143" w14:textId="77777777" w:rsidR="00D91BFB" w:rsidRPr="00213F00" w:rsidRDefault="00D91BFB" w:rsidP="005102C6">
            <w:pPr>
              <w:spacing w:line="240" w:lineRule="auto"/>
              <w:rPr>
                <w:b/>
                <w:noProof/>
                <w:szCs w:val="22"/>
              </w:rPr>
            </w:pPr>
          </w:p>
        </w:tc>
        <w:tc>
          <w:tcPr>
            <w:tcW w:w="4678" w:type="dxa"/>
          </w:tcPr>
          <w:p w14:paraId="5D42E2CB" w14:textId="77777777" w:rsidR="00D91BFB" w:rsidRPr="00213F00" w:rsidRDefault="00D91BFB" w:rsidP="005102C6">
            <w:pPr>
              <w:tabs>
                <w:tab w:val="left" w:pos="-720"/>
              </w:tabs>
              <w:suppressAutoHyphens/>
              <w:rPr>
                <w:noProof/>
                <w:szCs w:val="22"/>
              </w:rPr>
            </w:pPr>
            <w:r w:rsidRPr="00213F00">
              <w:rPr>
                <w:b/>
                <w:noProof/>
                <w:szCs w:val="22"/>
              </w:rPr>
              <w:t>Portugal</w:t>
            </w:r>
          </w:p>
          <w:p w14:paraId="6A035C36" w14:textId="77777777" w:rsidR="00D91BFB" w:rsidRPr="00213F00" w:rsidRDefault="00D91BFB" w:rsidP="005102C6">
            <w:pPr>
              <w:rPr>
                <w:rFonts w:eastAsia="SimSun"/>
                <w:szCs w:val="22"/>
                <w:lang w:eastAsia="en-GB"/>
              </w:rPr>
            </w:pPr>
            <w:r w:rsidRPr="00213F00">
              <w:rPr>
                <w:rFonts w:eastAsia="SimSun"/>
                <w:szCs w:val="22"/>
                <w:lang w:eastAsia="en-GB"/>
              </w:rPr>
              <w:t>Laboratórios Pfizer, Lda.</w:t>
            </w:r>
          </w:p>
          <w:p w14:paraId="1DF574FC" w14:textId="77777777" w:rsidR="00D91BFB" w:rsidRPr="00213F00" w:rsidRDefault="00D91BFB" w:rsidP="005102C6">
            <w:pPr>
              <w:tabs>
                <w:tab w:val="left" w:pos="-720"/>
              </w:tabs>
              <w:suppressAutoHyphens/>
              <w:spacing w:line="240" w:lineRule="auto"/>
              <w:rPr>
                <w:noProof/>
                <w:szCs w:val="22"/>
              </w:rPr>
            </w:pPr>
            <w:r w:rsidRPr="00213F00">
              <w:rPr>
                <w:rFonts w:eastAsia="SimSun"/>
                <w:szCs w:val="22"/>
                <w:lang w:eastAsia="en-GB"/>
              </w:rPr>
              <w:t>Tel: +351 21 423 5500</w:t>
            </w:r>
          </w:p>
        </w:tc>
      </w:tr>
      <w:tr w:rsidR="00D91BFB" w:rsidRPr="00213F00" w14:paraId="1DDEFC3E" w14:textId="77777777" w:rsidTr="005102C6">
        <w:tc>
          <w:tcPr>
            <w:tcW w:w="4644" w:type="dxa"/>
          </w:tcPr>
          <w:p w14:paraId="47233068" w14:textId="3F30BE02" w:rsidR="00D91BFB" w:rsidRPr="00AF1088" w:rsidRDefault="00D91BFB" w:rsidP="005102C6">
            <w:pPr>
              <w:keepNext/>
              <w:keepLines/>
              <w:rPr>
                <w:noProof/>
                <w:szCs w:val="22"/>
                <w:lang w:val="en-US"/>
              </w:rPr>
            </w:pPr>
            <w:r w:rsidRPr="00AF1088">
              <w:rPr>
                <w:b/>
                <w:noProof/>
                <w:szCs w:val="22"/>
                <w:lang w:val="en-US"/>
              </w:rPr>
              <w:t>Hrvatska</w:t>
            </w:r>
          </w:p>
          <w:p w14:paraId="2C04D6A1" w14:textId="77777777" w:rsidR="00D91BFB" w:rsidRPr="00AF1088" w:rsidRDefault="00D91BFB" w:rsidP="005102C6">
            <w:pPr>
              <w:keepNext/>
              <w:keepLines/>
              <w:rPr>
                <w:rFonts w:eastAsia="SimSun"/>
                <w:szCs w:val="22"/>
                <w:lang w:val="en-US" w:eastAsia="en-GB"/>
              </w:rPr>
            </w:pPr>
            <w:r w:rsidRPr="00AF1088">
              <w:rPr>
                <w:rFonts w:eastAsia="SimSun"/>
                <w:szCs w:val="22"/>
                <w:lang w:val="en-US" w:eastAsia="en-GB"/>
              </w:rPr>
              <w:t>Pfizer Croatia d.o.o.</w:t>
            </w:r>
          </w:p>
          <w:p w14:paraId="50AAB7F4" w14:textId="77777777" w:rsidR="00D91BFB" w:rsidRPr="00213F00" w:rsidRDefault="00D91BFB" w:rsidP="005102C6">
            <w:pPr>
              <w:keepNext/>
              <w:keepLines/>
              <w:rPr>
                <w:rFonts w:eastAsia="SimSun"/>
                <w:szCs w:val="22"/>
                <w:lang w:eastAsia="en-GB"/>
              </w:rPr>
            </w:pPr>
            <w:r w:rsidRPr="00213F00">
              <w:rPr>
                <w:rFonts w:eastAsia="SimSun"/>
                <w:szCs w:val="22"/>
                <w:lang w:eastAsia="en-GB"/>
              </w:rPr>
              <w:t>Tel: +385 1 3908 777</w:t>
            </w:r>
          </w:p>
          <w:p w14:paraId="405FE0D6" w14:textId="77777777" w:rsidR="00D91BFB" w:rsidRPr="00213F00" w:rsidRDefault="00D91BFB" w:rsidP="005102C6">
            <w:pPr>
              <w:keepNext/>
              <w:keepLines/>
              <w:tabs>
                <w:tab w:val="left" w:pos="-720"/>
              </w:tabs>
              <w:suppressAutoHyphens/>
              <w:spacing w:line="240" w:lineRule="auto"/>
              <w:rPr>
                <w:noProof/>
                <w:szCs w:val="22"/>
              </w:rPr>
            </w:pPr>
          </w:p>
        </w:tc>
        <w:tc>
          <w:tcPr>
            <w:tcW w:w="4678" w:type="dxa"/>
          </w:tcPr>
          <w:p w14:paraId="39413960" w14:textId="77777777" w:rsidR="00D91BFB" w:rsidRPr="00213F00" w:rsidRDefault="00D91BFB" w:rsidP="005102C6">
            <w:pPr>
              <w:keepNext/>
              <w:keepLines/>
              <w:tabs>
                <w:tab w:val="left" w:pos="-720"/>
              </w:tabs>
              <w:suppressAutoHyphens/>
              <w:rPr>
                <w:b/>
                <w:noProof/>
                <w:szCs w:val="22"/>
              </w:rPr>
            </w:pPr>
            <w:r w:rsidRPr="00213F00">
              <w:rPr>
                <w:b/>
                <w:noProof/>
                <w:szCs w:val="22"/>
              </w:rPr>
              <w:t>România</w:t>
            </w:r>
          </w:p>
          <w:p w14:paraId="1642E43B" w14:textId="77777777" w:rsidR="00D91BFB" w:rsidRPr="00213F00" w:rsidRDefault="00D91BFB" w:rsidP="005102C6">
            <w:pPr>
              <w:keepNext/>
              <w:keepLines/>
              <w:rPr>
                <w:rFonts w:eastAsia="SimSun"/>
                <w:szCs w:val="22"/>
                <w:lang w:eastAsia="en-GB"/>
              </w:rPr>
            </w:pPr>
            <w:r w:rsidRPr="00213F00">
              <w:rPr>
                <w:rFonts w:eastAsia="SimSun"/>
                <w:szCs w:val="22"/>
                <w:lang w:eastAsia="en-GB"/>
              </w:rPr>
              <w:t>Pfizer Romania S.R.L.</w:t>
            </w:r>
          </w:p>
          <w:p w14:paraId="1F3A626F" w14:textId="77777777" w:rsidR="00D91BFB" w:rsidRPr="00213F00" w:rsidRDefault="00D91BFB" w:rsidP="005102C6">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D91BFB" w:rsidRPr="00213F00" w14:paraId="20B00103" w14:textId="77777777" w:rsidTr="005102C6">
        <w:tc>
          <w:tcPr>
            <w:tcW w:w="4644" w:type="dxa"/>
          </w:tcPr>
          <w:p w14:paraId="0E7F87AE" w14:textId="77777777" w:rsidR="00D91BFB" w:rsidRPr="00AF1088" w:rsidRDefault="00D91BFB" w:rsidP="005102C6">
            <w:pPr>
              <w:rPr>
                <w:noProof/>
                <w:szCs w:val="22"/>
                <w:lang w:val="en-US"/>
              </w:rPr>
            </w:pPr>
            <w:r w:rsidRPr="00AF1088">
              <w:rPr>
                <w:b/>
                <w:noProof/>
                <w:szCs w:val="22"/>
                <w:lang w:val="en-US"/>
              </w:rPr>
              <w:t>Ireland</w:t>
            </w:r>
          </w:p>
          <w:p w14:paraId="4D84D7AE" w14:textId="77777777" w:rsidR="00D91BFB" w:rsidRPr="00AF1088" w:rsidRDefault="00D91BFB" w:rsidP="005102C6">
            <w:pPr>
              <w:rPr>
                <w:rFonts w:eastAsia="SimSun"/>
                <w:szCs w:val="22"/>
                <w:lang w:val="en-US" w:eastAsia="en-GB"/>
              </w:rPr>
            </w:pPr>
            <w:r w:rsidRPr="00AF1088">
              <w:rPr>
                <w:rFonts w:eastAsia="SimSun"/>
                <w:szCs w:val="22"/>
                <w:lang w:val="en-US" w:eastAsia="en-GB"/>
              </w:rPr>
              <w:t>Pfizer Healthcare Ireland Unlimited Company</w:t>
            </w:r>
          </w:p>
          <w:p w14:paraId="7C531443" w14:textId="77777777" w:rsidR="00D91BFB" w:rsidRPr="00213F00" w:rsidRDefault="00D91BFB" w:rsidP="005102C6">
            <w:pPr>
              <w:rPr>
                <w:rFonts w:eastAsia="SimSun"/>
                <w:szCs w:val="22"/>
                <w:lang w:eastAsia="en-GB"/>
              </w:rPr>
            </w:pPr>
            <w:r w:rsidRPr="00213F00">
              <w:rPr>
                <w:rFonts w:eastAsia="SimSun"/>
                <w:szCs w:val="22"/>
                <w:lang w:eastAsia="en-GB"/>
              </w:rPr>
              <w:t>Tel: 1800 633 363 (toll free)</w:t>
            </w:r>
          </w:p>
          <w:p w14:paraId="1A3D3751" w14:textId="77777777" w:rsidR="00D91BFB" w:rsidRPr="00213F00" w:rsidRDefault="00D91BFB" w:rsidP="005102C6">
            <w:pPr>
              <w:rPr>
                <w:rFonts w:eastAsia="SimSun"/>
                <w:szCs w:val="22"/>
                <w:lang w:eastAsia="en-GB"/>
              </w:rPr>
            </w:pPr>
            <w:r w:rsidRPr="00213F00">
              <w:rPr>
                <w:rFonts w:eastAsia="SimSun"/>
                <w:szCs w:val="22"/>
                <w:lang w:eastAsia="en-GB"/>
              </w:rPr>
              <w:t>+44 (0)1304 616161</w:t>
            </w:r>
          </w:p>
          <w:p w14:paraId="397FE456" w14:textId="77777777" w:rsidR="00D91BFB" w:rsidRPr="00213F00" w:rsidRDefault="00D91BFB" w:rsidP="005102C6">
            <w:pPr>
              <w:tabs>
                <w:tab w:val="left" w:pos="-720"/>
              </w:tabs>
              <w:suppressAutoHyphens/>
              <w:spacing w:line="240" w:lineRule="auto"/>
              <w:rPr>
                <w:noProof/>
                <w:szCs w:val="22"/>
              </w:rPr>
            </w:pPr>
          </w:p>
        </w:tc>
        <w:tc>
          <w:tcPr>
            <w:tcW w:w="4678" w:type="dxa"/>
          </w:tcPr>
          <w:p w14:paraId="7A677CC6" w14:textId="77777777" w:rsidR="00D91BFB" w:rsidRPr="00213F00" w:rsidRDefault="00D91BFB" w:rsidP="005102C6">
            <w:pPr>
              <w:rPr>
                <w:noProof/>
                <w:szCs w:val="22"/>
              </w:rPr>
            </w:pPr>
            <w:r w:rsidRPr="00213F00">
              <w:rPr>
                <w:b/>
                <w:noProof/>
                <w:szCs w:val="22"/>
              </w:rPr>
              <w:t>Slovenija</w:t>
            </w:r>
          </w:p>
          <w:p w14:paraId="6F2AA758" w14:textId="77777777" w:rsidR="00D91BFB" w:rsidRPr="00213F00" w:rsidRDefault="00D91BFB" w:rsidP="005102C6">
            <w:pPr>
              <w:rPr>
                <w:rFonts w:eastAsia="SimSun"/>
                <w:szCs w:val="22"/>
                <w:lang w:eastAsia="en-GB"/>
              </w:rPr>
            </w:pPr>
            <w:r w:rsidRPr="00213F00">
              <w:rPr>
                <w:rFonts w:eastAsia="SimSun"/>
                <w:szCs w:val="22"/>
                <w:lang w:eastAsia="en-GB"/>
              </w:rPr>
              <w:t>Pfizer Luxembourg SARL</w:t>
            </w:r>
          </w:p>
          <w:p w14:paraId="5262DF11" w14:textId="77777777" w:rsidR="00D91BFB" w:rsidRPr="00213F00" w:rsidRDefault="00D91BFB" w:rsidP="005102C6">
            <w:pPr>
              <w:rPr>
                <w:rFonts w:eastAsia="SimSun"/>
                <w:szCs w:val="22"/>
                <w:lang w:eastAsia="en-GB"/>
              </w:rPr>
            </w:pPr>
            <w:r w:rsidRPr="00213F00">
              <w:rPr>
                <w:rFonts w:eastAsia="SimSun"/>
                <w:szCs w:val="22"/>
                <w:lang w:eastAsia="en-GB"/>
              </w:rPr>
              <w:t>Pfizer, podružnica za svetovanje s področja</w:t>
            </w:r>
          </w:p>
          <w:p w14:paraId="36147202" w14:textId="77777777" w:rsidR="00D91BFB" w:rsidRPr="00213F00" w:rsidRDefault="00D91BFB" w:rsidP="005102C6">
            <w:pPr>
              <w:rPr>
                <w:rFonts w:eastAsia="SimSun"/>
                <w:szCs w:val="22"/>
                <w:lang w:eastAsia="en-GB"/>
              </w:rPr>
            </w:pPr>
            <w:r w:rsidRPr="00213F00">
              <w:rPr>
                <w:rFonts w:eastAsia="SimSun"/>
                <w:szCs w:val="22"/>
                <w:lang w:eastAsia="en-GB"/>
              </w:rPr>
              <w:t>farmacevtske dejavnosti, Ljubljana</w:t>
            </w:r>
          </w:p>
          <w:p w14:paraId="4966809B" w14:textId="77777777" w:rsidR="00D91BFB" w:rsidRPr="00213F00" w:rsidRDefault="00D91BFB" w:rsidP="005102C6">
            <w:pPr>
              <w:rPr>
                <w:rFonts w:eastAsia="SimSun"/>
                <w:szCs w:val="22"/>
                <w:lang w:eastAsia="en-GB"/>
              </w:rPr>
            </w:pPr>
            <w:r w:rsidRPr="00213F00">
              <w:rPr>
                <w:rFonts w:eastAsia="SimSun"/>
                <w:szCs w:val="22"/>
                <w:lang w:eastAsia="en-GB"/>
              </w:rPr>
              <w:t>Tel: +386 (0)1 52 11 400</w:t>
            </w:r>
          </w:p>
          <w:p w14:paraId="7C6097E4" w14:textId="77777777" w:rsidR="00D91BFB" w:rsidRPr="00213F00" w:rsidRDefault="00D91BFB" w:rsidP="005102C6">
            <w:pPr>
              <w:tabs>
                <w:tab w:val="left" w:pos="-720"/>
              </w:tabs>
              <w:suppressAutoHyphens/>
              <w:spacing w:line="240" w:lineRule="auto"/>
              <w:rPr>
                <w:b/>
                <w:noProof/>
                <w:szCs w:val="22"/>
              </w:rPr>
            </w:pPr>
          </w:p>
        </w:tc>
      </w:tr>
      <w:tr w:rsidR="00D91BFB" w:rsidRPr="00213F00" w14:paraId="209394E5" w14:textId="77777777" w:rsidTr="005102C6">
        <w:tc>
          <w:tcPr>
            <w:tcW w:w="4644" w:type="dxa"/>
          </w:tcPr>
          <w:p w14:paraId="1B239B3F" w14:textId="77777777" w:rsidR="00D91BFB" w:rsidRPr="00213F00" w:rsidRDefault="00D91BFB" w:rsidP="005102C6">
            <w:pPr>
              <w:rPr>
                <w:b/>
                <w:noProof/>
                <w:szCs w:val="22"/>
              </w:rPr>
            </w:pPr>
            <w:r w:rsidRPr="00213F00">
              <w:rPr>
                <w:b/>
                <w:noProof/>
                <w:szCs w:val="22"/>
              </w:rPr>
              <w:t>Ísland</w:t>
            </w:r>
          </w:p>
          <w:p w14:paraId="40077A7B" w14:textId="77777777" w:rsidR="00D91BFB" w:rsidRPr="00213F00" w:rsidRDefault="00D91BFB" w:rsidP="005102C6">
            <w:pPr>
              <w:rPr>
                <w:rFonts w:eastAsia="SimSun"/>
                <w:szCs w:val="22"/>
                <w:lang w:eastAsia="en-GB"/>
              </w:rPr>
            </w:pPr>
            <w:r w:rsidRPr="00213F00">
              <w:rPr>
                <w:rFonts w:eastAsia="SimSun"/>
                <w:szCs w:val="22"/>
                <w:lang w:eastAsia="en-GB"/>
              </w:rPr>
              <w:t>Icepharma hf.</w:t>
            </w:r>
          </w:p>
          <w:p w14:paraId="79F29C2B" w14:textId="77777777" w:rsidR="00D91BFB" w:rsidRPr="00213F00" w:rsidRDefault="00D91BFB" w:rsidP="005102C6">
            <w:pPr>
              <w:rPr>
                <w:rFonts w:eastAsia="SimSun"/>
                <w:szCs w:val="22"/>
                <w:lang w:eastAsia="en-GB"/>
              </w:rPr>
            </w:pPr>
            <w:r w:rsidRPr="00213F00">
              <w:rPr>
                <w:rFonts w:eastAsia="SimSun"/>
                <w:szCs w:val="22"/>
                <w:lang w:eastAsia="en-GB"/>
              </w:rPr>
              <w:t>Sími: +354 540 8000</w:t>
            </w:r>
          </w:p>
          <w:p w14:paraId="6B5E1581" w14:textId="77777777" w:rsidR="00D91BFB" w:rsidRPr="00213F00" w:rsidRDefault="00D91BFB" w:rsidP="005102C6">
            <w:pPr>
              <w:spacing w:line="240" w:lineRule="auto"/>
              <w:rPr>
                <w:b/>
                <w:noProof/>
                <w:szCs w:val="22"/>
              </w:rPr>
            </w:pPr>
          </w:p>
        </w:tc>
        <w:tc>
          <w:tcPr>
            <w:tcW w:w="4678" w:type="dxa"/>
          </w:tcPr>
          <w:p w14:paraId="136BE7AF" w14:textId="77777777" w:rsidR="00D91BFB" w:rsidRPr="00213F00" w:rsidRDefault="00D91BFB" w:rsidP="005102C6">
            <w:pPr>
              <w:tabs>
                <w:tab w:val="left" w:pos="-720"/>
              </w:tabs>
              <w:suppressAutoHyphens/>
              <w:rPr>
                <w:b/>
                <w:szCs w:val="22"/>
              </w:rPr>
            </w:pPr>
            <w:r w:rsidRPr="00213F00">
              <w:rPr>
                <w:b/>
                <w:szCs w:val="22"/>
              </w:rPr>
              <w:t>Slovenská republika</w:t>
            </w:r>
          </w:p>
          <w:p w14:paraId="2DA3D4C1" w14:textId="77777777" w:rsidR="00D91BFB" w:rsidRPr="00213F00" w:rsidRDefault="00D91BFB" w:rsidP="005102C6">
            <w:pPr>
              <w:rPr>
                <w:rFonts w:eastAsia="SimSun"/>
                <w:szCs w:val="22"/>
                <w:lang w:eastAsia="en-GB"/>
              </w:rPr>
            </w:pPr>
            <w:r w:rsidRPr="00213F00">
              <w:rPr>
                <w:rFonts w:eastAsia="SimSun"/>
                <w:szCs w:val="22"/>
                <w:lang w:eastAsia="en-GB"/>
              </w:rPr>
              <w:t>Pfizer Luxembourg SARL, organizačná zložka</w:t>
            </w:r>
          </w:p>
          <w:p w14:paraId="0125C217" w14:textId="77777777" w:rsidR="00D91BFB" w:rsidRPr="00213F00" w:rsidRDefault="00D91BFB" w:rsidP="005102C6">
            <w:pPr>
              <w:tabs>
                <w:tab w:val="left" w:pos="-720"/>
              </w:tabs>
              <w:suppressAutoHyphens/>
              <w:spacing w:line="240" w:lineRule="auto"/>
              <w:rPr>
                <w:noProof/>
                <w:szCs w:val="22"/>
              </w:rPr>
            </w:pPr>
            <w:r w:rsidRPr="00213F00">
              <w:rPr>
                <w:rFonts w:eastAsia="SimSun"/>
                <w:szCs w:val="22"/>
                <w:lang w:eastAsia="en-GB"/>
              </w:rPr>
              <w:t>Tel: +421 2 3355 5500</w:t>
            </w:r>
          </w:p>
        </w:tc>
      </w:tr>
      <w:tr w:rsidR="00D91BFB" w:rsidRPr="00213F00" w14:paraId="6F35FACC" w14:textId="77777777" w:rsidTr="005102C6">
        <w:tc>
          <w:tcPr>
            <w:tcW w:w="4644" w:type="dxa"/>
          </w:tcPr>
          <w:p w14:paraId="58C3D2EF" w14:textId="77777777" w:rsidR="00D91BFB" w:rsidRPr="00AF1088" w:rsidRDefault="00D91BFB" w:rsidP="005102C6">
            <w:pPr>
              <w:rPr>
                <w:noProof/>
                <w:szCs w:val="22"/>
                <w:lang w:val="en-US"/>
              </w:rPr>
            </w:pPr>
            <w:r w:rsidRPr="00AF1088">
              <w:rPr>
                <w:b/>
                <w:noProof/>
                <w:szCs w:val="22"/>
                <w:lang w:val="en-US"/>
              </w:rPr>
              <w:t>Italia</w:t>
            </w:r>
          </w:p>
          <w:p w14:paraId="6B7FF393" w14:textId="77777777" w:rsidR="00D91BFB" w:rsidRPr="00AF1088" w:rsidRDefault="00D91BFB" w:rsidP="005102C6">
            <w:pPr>
              <w:rPr>
                <w:rFonts w:eastAsia="SimSun"/>
                <w:szCs w:val="22"/>
                <w:lang w:val="en-US" w:eastAsia="en-GB"/>
              </w:rPr>
            </w:pPr>
            <w:r w:rsidRPr="00AF1088">
              <w:rPr>
                <w:rFonts w:eastAsia="SimSun"/>
                <w:szCs w:val="22"/>
                <w:lang w:val="en-US" w:eastAsia="en-GB"/>
              </w:rPr>
              <w:t>Pfizer S.r.l.</w:t>
            </w:r>
          </w:p>
          <w:p w14:paraId="26B04158" w14:textId="77777777" w:rsidR="00D91BFB" w:rsidRPr="00213F00" w:rsidRDefault="00D91BFB" w:rsidP="005102C6">
            <w:pPr>
              <w:rPr>
                <w:rFonts w:eastAsia="SimSun"/>
                <w:szCs w:val="22"/>
                <w:lang w:eastAsia="en-GB"/>
              </w:rPr>
            </w:pPr>
            <w:r w:rsidRPr="00213F00">
              <w:rPr>
                <w:rFonts w:eastAsia="SimSun"/>
                <w:szCs w:val="22"/>
                <w:lang w:eastAsia="en-GB"/>
              </w:rPr>
              <w:t>Tel: +39 06 33 18 21</w:t>
            </w:r>
          </w:p>
          <w:p w14:paraId="52C79905" w14:textId="77777777" w:rsidR="00D91BFB" w:rsidRPr="00213F00" w:rsidRDefault="00D91BFB" w:rsidP="005102C6">
            <w:pPr>
              <w:spacing w:line="240" w:lineRule="auto"/>
              <w:rPr>
                <w:b/>
                <w:noProof/>
                <w:szCs w:val="22"/>
              </w:rPr>
            </w:pPr>
          </w:p>
        </w:tc>
        <w:tc>
          <w:tcPr>
            <w:tcW w:w="4678" w:type="dxa"/>
          </w:tcPr>
          <w:p w14:paraId="4E463CAB" w14:textId="77777777" w:rsidR="00D91BFB" w:rsidRPr="00213F00" w:rsidRDefault="00D91BFB" w:rsidP="005102C6">
            <w:pPr>
              <w:tabs>
                <w:tab w:val="left" w:pos="-720"/>
                <w:tab w:val="left" w:pos="4536"/>
              </w:tabs>
              <w:suppressAutoHyphens/>
              <w:rPr>
                <w:szCs w:val="22"/>
              </w:rPr>
            </w:pPr>
            <w:r w:rsidRPr="00213F00">
              <w:rPr>
                <w:b/>
                <w:szCs w:val="22"/>
              </w:rPr>
              <w:t>Suomi/Finland</w:t>
            </w:r>
          </w:p>
          <w:p w14:paraId="77923C84" w14:textId="77777777" w:rsidR="00D91BFB" w:rsidRPr="00213F00" w:rsidRDefault="00D91BFB" w:rsidP="005102C6">
            <w:pPr>
              <w:rPr>
                <w:rFonts w:eastAsia="SimSun"/>
                <w:szCs w:val="22"/>
                <w:lang w:eastAsia="en-GB"/>
              </w:rPr>
            </w:pPr>
            <w:r w:rsidRPr="00213F00">
              <w:rPr>
                <w:rFonts w:eastAsia="SimSun"/>
                <w:szCs w:val="22"/>
                <w:lang w:eastAsia="en-GB"/>
              </w:rPr>
              <w:t>Pfizer Oy</w:t>
            </w:r>
          </w:p>
          <w:p w14:paraId="40289056" w14:textId="77777777" w:rsidR="00D91BFB" w:rsidRPr="00213F00" w:rsidRDefault="00D91BFB" w:rsidP="005102C6">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D91BFB" w:rsidRPr="00213F00" w14:paraId="4EFE3045" w14:textId="77777777" w:rsidTr="005102C6">
        <w:tc>
          <w:tcPr>
            <w:tcW w:w="4644" w:type="dxa"/>
          </w:tcPr>
          <w:p w14:paraId="04E34FDC" w14:textId="77777777" w:rsidR="00D91BFB" w:rsidRPr="00213F00" w:rsidRDefault="00D91BFB" w:rsidP="005102C6">
            <w:pPr>
              <w:keepNext/>
              <w:rPr>
                <w:b/>
                <w:noProof/>
                <w:szCs w:val="22"/>
              </w:rPr>
            </w:pPr>
            <w:r w:rsidRPr="00213F00">
              <w:rPr>
                <w:b/>
                <w:noProof/>
                <w:szCs w:val="22"/>
              </w:rPr>
              <w:t>Κύπρος</w:t>
            </w:r>
          </w:p>
          <w:p w14:paraId="1F7B6631" w14:textId="77777777" w:rsidR="00D91BFB" w:rsidRPr="00213F00" w:rsidRDefault="00D91BFB" w:rsidP="005102C6">
            <w:pPr>
              <w:rPr>
                <w:rFonts w:eastAsia="SimSun"/>
                <w:szCs w:val="22"/>
                <w:lang w:eastAsia="en-GB"/>
              </w:rPr>
            </w:pPr>
            <w:r w:rsidRPr="00213F00">
              <w:rPr>
                <w:rFonts w:eastAsia="SimSun"/>
                <w:szCs w:val="22"/>
                <w:lang w:eastAsia="en-GB"/>
              </w:rPr>
              <w:t>Pfizer Ελλάς Α.Ε. (Cyprus Branch)</w:t>
            </w:r>
          </w:p>
          <w:p w14:paraId="5C0C3346" w14:textId="77777777" w:rsidR="00D91BFB" w:rsidRPr="00213F00" w:rsidRDefault="00D91BFB" w:rsidP="005102C6">
            <w:pPr>
              <w:rPr>
                <w:rFonts w:eastAsia="SimSun"/>
                <w:szCs w:val="22"/>
                <w:lang w:eastAsia="en-GB"/>
              </w:rPr>
            </w:pPr>
            <w:r w:rsidRPr="00213F00">
              <w:rPr>
                <w:rFonts w:eastAsia="SimSun"/>
                <w:szCs w:val="22"/>
                <w:lang w:eastAsia="en-GB"/>
              </w:rPr>
              <w:t>Τηλ: +357 22 817690</w:t>
            </w:r>
          </w:p>
          <w:p w14:paraId="5B17FD96" w14:textId="77777777" w:rsidR="00D91BFB" w:rsidRPr="00213F00" w:rsidRDefault="00D91BFB" w:rsidP="005102C6">
            <w:pPr>
              <w:tabs>
                <w:tab w:val="left" w:pos="-720"/>
              </w:tabs>
              <w:suppressAutoHyphens/>
              <w:spacing w:line="240" w:lineRule="auto"/>
              <w:rPr>
                <w:noProof/>
                <w:szCs w:val="22"/>
              </w:rPr>
            </w:pPr>
          </w:p>
        </w:tc>
        <w:tc>
          <w:tcPr>
            <w:tcW w:w="4678" w:type="dxa"/>
          </w:tcPr>
          <w:p w14:paraId="426858AE" w14:textId="77777777" w:rsidR="00D91BFB" w:rsidRPr="00213F00" w:rsidRDefault="00D91BFB" w:rsidP="005102C6">
            <w:pPr>
              <w:tabs>
                <w:tab w:val="left" w:pos="-720"/>
                <w:tab w:val="left" w:pos="4536"/>
              </w:tabs>
              <w:suppressAutoHyphens/>
              <w:rPr>
                <w:b/>
                <w:noProof/>
                <w:szCs w:val="22"/>
              </w:rPr>
            </w:pPr>
            <w:r w:rsidRPr="00213F00">
              <w:rPr>
                <w:b/>
                <w:noProof/>
                <w:szCs w:val="22"/>
              </w:rPr>
              <w:t>Sverige</w:t>
            </w:r>
          </w:p>
          <w:p w14:paraId="381EE859" w14:textId="77777777" w:rsidR="00D91BFB" w:rsidRPr="00213F00" w:rsidRDefault="00D91BFB" w:rsidP="005102C6">
            <w:pPr>
              <w:rPr>
                <w:rFonts w:eastAsia="SimSun"/>
                <w:szCs w:val="22"/>
                <w:lang w:eastAsia="en-GB"/>
              </w:rPr>
            </w:pPr>
            <w:r w:rsidRPr="00213F00">
              <w:rPr>
                <w:rFonts w:eastAsia="SimSun"/>
                <w:szCs w:val="22"/>
                <w:lang w:eastAsia="en-GB"/>
              </w:rPr>
              <w:t>Pfizer AB</w:t>
            </w:r>
          </w:p>
          <w:p w14:paraId="14C46FB5" w14:textId="77777777" w:rsidR="00D91BFB" w:rsidRPr="00213F00" w:rsidRDefault="00D91BFB" w:rsidP="005102C6">
            <w:pPr>
              <w:spacing w:line="240" w:lineRule="auto"/>
              <w:rPr>
                <w:noProof/>
                <w:szCs w:val="22"/>
              </w:rPr>
            </w:pPr>
            <w:r w:rsidRPr="00213F00">
              <w:rPr>
                <w:rFonts w:eastAsia="SimSun"/>
                <w:szCs w:val="22"/>
                <w:lang w:eastAsia="en-GB"/>
              </w:rPr>
              <w:t>Tel: +46 (0)8 550-520 00</w:t>
            </w:r>
          </w:p>
        </w:tc>
      </w:tr>
    </w:tbl>
    <w:p w14:paraId="3CFD4332" w14:textId="77777777" w:rsidR="00D17D93" w:rsidRDefault="00D17D93" w:rsidP="002564E9">
      <w:pPr>
        <w:spacing w:line="240" w:lineRule="auto"/>
        <w:rPr>
          <w:b/>
        </w:rPr>
      </w:pPr>
    </w:p>
    <w:p w14:paraId="01160B0C" w14:textId="285416D9" w:rsidR="009B6496" w:rsidRPr="00743D4B" w:rsidRDefault="009B6496" w:rsidP="002564E9">
      <w:pPr>
        <w:spacing w:line="240" w:lineRule="auto"/>
        <w:rPr>
          <w:b/>
        </w:rPr>
      </w:pPr>
      <w:r>
        <w:rPr>
          <w:b/>
        </w:rPr>
        <w:t xml:space="preserve">La dernière date à laquelle cette notice a été révisée est </w:t>
      </w:r>
    </w:p>
    <w:p w14:paraId="45B273AC" w14:textId="77777777" w:rsidR="009B6496" w:rsidRPr="00743D4B" w:rsidRDefault="009B6496" w:rsidP="00204AAB">
      <w:pPr>
        <w:numPr>
          <w:ilvl w:val="12"/>
          <w:numId w:val="0"/>
        </w:numPr>
        <w:spacing w:line="240" w:lineRule="auto"/>
        <w:ind w:right="-2"/>
        <w:rPr>
          <w:noProof/>
          <w:szCs w:val="22"/>
        </w:rPr>
      </w:pPr>
    </w:p>
    <w:p w14:paraId="6A0C5CAF" w14:textId="77777777" w:rsidR="009B6496" w:rsidRPr="00743D4B" w:rsidRDefault="009B6496" w:rsidP="00204AAB">
      <w:pPr>
        <w:numPr>
          <w:ilvl w:val="12"/>
          <w:numId w:val="0"/>
        </w:numPr>
        <w:spacing w:line="240" w:lineRule="auto"/>
        <w:ind w:right="-2"/>
        <w:rPr>
          <w:iCs/>
          <w:noProof/>
          <w:szCs w:val="22"/>
        </w:rPr>
      </w:pPr>
      <w:r>
        <w:t>Une autorisation de mise sur le marché « conditionnelle » a été délivrée pour ce médicament. Cela signifie que des données complémentaires concernant ce médicament devront être déposées.</w:t>
      </w:r>
    </w:p>
    <w:p w14:paraId="774C8AA6" w14:textId="77777777" w:rsidR="009B6496" w:rsidRPr="00743D4B" w:rsidRDefault="009B6496" w:rsidP="00204AAB">
      <w:pPr>
        <w:numPr>
          <w:ilvl w:val="12"/>
          <w:numId w:val="0"/>
        </w:numPr>
        <w:spacing w:line="240" w:lineRule="auto"/>
        <w:ind w:right="-2"/>
        <w:rPr>
          <w:iCs/>
          <w:noProof/>
          <w:szCs w:val="22"/>
        </w:rPr>
      </w:pPr>
      <w:r>
        <w:lastRenderedPageBreak/>
        <w:t>L’Agence européenne des médicaments réévaluera toute nouvelle information sur ce médicament au moins chaque année et si nécessaire cette notice sera mise à jour.</w:t>
      </w:r>
    </w:p>
    <w:p w14:paraId="4E7003C8" w14:textId="77777777" w:rsidR="00A76D67" w:rsidRPr="00743D4B" w:rsidRDefault="00A76D67" w:rsidP="00204AAB">
      <w:pPr>
        <w:numPr>
          <w:ilvl w:val="12"/>
          <w:numId w:val="0"/>
        </w:numPr>
        <w:spacing w:line="240" w:lineRule="auto"/>
        <w:ind w:right="-2"/>
        <w:rPr>
          <w:iCs/>
          <w:noProof/>
          <w:szCs w:val="22"/>
        </w:rPr>
      </w:pPr>
    </w:p>
    <w:p w14:paraId="3A4DE4B3" w14:textId="77777777" w:rsidR="00245B5E" w:rsidRPr="00743D4B" w:rsidRDefault="00245B5E" w:rsidP="00467F17">
      <w:pPr>
        <w:keepNext/>
        <w:numPr>
          <w:ilvl w:val="12"/>
          <w:numId w:val="0"/>
        </w:numPr>
        <w:tabs>
          <w:tab w:val="clear" w:pos="567"/>
        </w:tabs>
        <w:spacing w:line="240" w:lineRule="auto"/>
        <w:rPr>
          <w:b/>
          <w:noProof/>
          <w:szCs w:val="22"/>
        </w:rPr>
      </w:pPr>
      <w:r>
        <w:rPr>
          <w:b/>
        </w:rPr>
        <w:t>Autres sources d’informations</w:t>
      </w:r>
    </w:p>
    <w:p w14:paraId="594B8716" w14:textId="77777777" w:rsidR="00245B5E" w:rsidRPr="00743D4B" w:rsidRDefault="00245B5E" w:rsidP="00467F17">
      <w:pPr>
        <w:keepNext/>
        <w:numPr>
          <w:ilvl w:val="12"/>
          <w:numId w:val="0"/>
        </w:numPr>
        <w:spacing w:line="240" w:lineRule="auto"/>
        <w:rPr>
          <w:szCs w:val="22"/>
        </w:rPr>
      </w:pPr>
    </w:p>
    <w:p w14:paraId="418A2B96" w14:textId="03401CD0" w:rsidR="00245B5E" w:rsidRPr="00743D4B" w:rsidRDefault="00245B5E" w:rsidP="00467F17">
      <w:pPr>
        <w:keepNext/>
        <w:numPr>
          <w:ilvl w:val="12"/>
          <w:numId w:val="0"/>
        </w:numPr>
        <w:spacing w:line="240" w:lineRule="auto"/>
        <w:rPr>
          <w:noProof/>
          <w:szCs w:val="22"/>
        </w:rPr>
      </w:pPr>
      <w:r>
        <w:t xml:space="preserve">Des informations détaillées sur ce médicament sont disponibles sur le site Internet de l’Agence européenne des médicaments </w:t>
      </w:r>
      <w:hyperlink r:id="rId12" w:history="1">
        <w:r w:rsidR="00927263" w:rsidRPr="00F51484">
          <w:rPr>
            <w:rStyle w:val="Hyperlink"/>
          </w:rPr>
          <w:t>https://www.ema.europa.eu</w:t>
        </w:r>
      </w:hyperlink>
      <w:r>
        <w:t>.</w:t>
      </w:r>
    </w:p>
    <w:p w14:paraId="68B7A9A4" w14:textId="77777777" w:rsidR="00245B5E" w:rsidRDefault="00245B5E" w:rsidP="00245B5E">
      <w:pPr>
        <w:numPr>
          <w:ilvl w:val="12"/>
          <w:numId w:val="0"/>
        </w:numPr>
        <w:tabs>
          <w:tab w:val="clear" w:pos="567"/>
        </w:tabs>
        <w:spacing w:line="240" w:lineRule="auto"/>
        <w:ind w:right="-2"/>
        <w:rPr>
          <w:noProof/>
          <w:szCs w:val="22"/>
        </w:rPr>
      </w:pPr>
      <w:r>
        <w:t>------------------------------------------------------------------------------------------------------------------------</w:t>
      </w:r>
    </w:p>
    <w:p w14:paraId="68F3DBA2" w14:textId="77777777" w:rsidR="00245B5E" w:rsidRPr="004D3310" w:rsidRDefault="00245B5E" w:rsidP="00245B5E">
      <w:pPr>
        <w:numPr>
          <w:ilvl w:val="12"/>
          <w:numId w:val="0"/>
        </w:numPr>
        <w:tabs>
          <w:tab w:val="left" w:pos="2657"/>
        </w:tabs>
        <w:spacing w:line="240" w:lineRule="auto"/>
        <w:ind w:right="-28"/>
        <w:rPr>
          <w:noProof/>
          <w:szCs w:val="22"/>
        </w:rPr>
      </w:pPr>
    </w:p>
    <w:p w14:paraId="6E3DB4A2" w14:textId="577CCFCC" w:rsidR="00245B5E" w:rsidRPr="004D3310" w:rsidRDefault="00245B5E" w:rsidP="00245B5E">
      <w:pPr>
        <w:numPr>
          <w:ilvl w:val="12"/>
          <w:numId w:val="0"/>
        </w:numPr>
        <w:tabs>
          <w:tab w:val="left" w:pos="2657"/>
        </w:tabs>
        <w:spacing w:line="240" w:lineRule="auto"/>
        <w:ind w:left="-37" w:right="-28"/>
        <w:rPr>
          <w:i/>
          <w:szCs w:val="22"/>
        </w:rPr>
      </w:pPr>
      <w:r>
        <w:t>Les informations suivantes sont destinées exclusivement aux professionnels de santé :</w:t>
      </w:r>
    </w:p>
    <w:p w14:paraId="5047A270" w14:textId="77777777" w:rsidR="00245B5E" w:rsidRPr="004D3310" w:rsidRDefault="00245B5E" w:rsidP="00245B5E">
      <w:pPr>
        <w:numPr>
          <w:ilvl w:val="12"/>
          <w:numId w:val="0"/>
        </w:numPr>
        <w:tabs>
          <w:tab w:val="clear" w:pos="567"/>
        </w:tabs>
        <w:spacing w:line="240" w:lineRule="auto"/>
        <w:rPr>
          <w:szCs w:val="22"/>
        </w:rPr>
      </w:pPr>
    </w:p>
    <w:p w14:paraId="672F78A1" w14:textId="31F5C47D" w:rsidR="00245B5E" w:rsidRPr="004D3310" w:rsidRDefault="00245B5E" w:rsidP="00245B5E">
      <w:pPr>
        <w:rPr>
          <w:szCs w:val="22"/>
        </w:rPr>
      </w:pPr>
      <w:r>
        <w:t>ELREXFIO 40 mg/</w:t>
      </w:r>
      <w:r w:rsidR="001C17CF">
        <w:t>m</w:t>
      </w:r>
      <w:r w:rsidR="00FE7BBE">
        <w:t>L</w:t>
      </w:r>
      <w:r w:rsidR="000C26B8">
        <w:t xml:space="preserve"> solution injectable </w:t>
      </w:r>
      <w:r>
        <w:t xml:space="preserve">se </w:t>
      </w:r>
      <w:r w:rsidRPr="00103194">
        <w:t>présente</w:t>
      </w:r>
      <w:r>
        <w:t xml:space="preserve"> sous la forme d’une solution prête à l’emploi qui ne nécessite aucune dilution avant administration. Ne pas agiter.</w:t>
      </w:r>
    </w:p>
    <w:p w14:paraId="23339F71" w14:textId="77777777" w:rsidR="00245B5E" w:rsidRPr="004D3310" w:rsidRDefault="00245B5E" w:rsidP="00245B5E">
      <w:pPr>
        <w:rPr>
          <w:szCs w:val="22"/>
        </w:rPr>
      </w:pPr>
    </w:p>
    <w:p w14:paraId="0E787B8F" w14:textId="78A9CF51" w:rsidR="00245B5E" w:rsidRPr="004D3310" w:rsidRDefault="00245B5E" w:rsidP="00245B5E">
      <w:pPr>
        <w:rPr>
          <w:szCs w:val="22"/>
        </w:rPr>
      </w:pPr>
      <w:r>
        <w:t>ELREXFIO est une solution</w:t>
      </w:r>
      <w:r w:rsidR="00F6619F">
        <w:t xml:space="preserve"> </w:t>
      </w:r>
      <w:r>
        <w:t xml:space="preserve">limpide à légèrement opalescente, et incolore à brun pâle. La solution ne doit pas être administrée si elle présente une coloration </w:t>
      </w:r>
      <w:r w:rsidR="00CE7FB6">
        <w:t xml:space="preserve">anormale </w:t>
      </w:r>
      <w:r>
        <w:t>ou si elle contient des particules.</w:t>
      </w:r>
    </w:p>
    <w:p w14:paraId="3F28D7B2" w14:textId="77777777" w:rsidR="00245B5E" w:rsidRPr="004D3310" w:rsidRDefault="00245B5E" w:rsidP="00245B5E">
      <w:pPr>
        <w:rPr>
          <w:szCs w:val="22"/>
        </w:rPr>
      </w:pPr>
    </w:p>
    <w:p w14:paraId="1CE78ABA" w14:textId="77777777" w:rsidR="00245B5E" w:rsidRPr="004D3310" w:rsidRDefault="00245B5E" w:rsidP="00245B5E">
      <w:pPr>
        <w:rPr>
          <w:szCs w:val="22"/>
        </w:rPr>
      </w:pPr>
      <w:r>
        <w:t>Une technique aseptique doit être utilisée pour préparer et administrer ELREXFIO.</w:t>
      </w:r>
    </w:p>
    <w:p w14:paraId="79C1CAD9" w14:textId="77777777" w:rsidR="00245B5E" w:rsidRPr="004D3310" w:rsidRDefault="00245B5E" w:rsidP="00245B5E">
      <w:pPr>
        <w:spacing w:line="240" w:lineRule="auto"/>
        <w:rPr>
          <w:i/>
          <w:szCs w:val="22"/>
        </w:rPr>
      </w:pPr>
    </w:p>
    <w:p w14:paraId="1A8FD966" w14:textId="6525D452" w:rsidR="00245B5E" w:rsidRDefault="00245B5E" w:rsidP="00245B5E">
      <w:pPr>
        <w:keepNext/>
        <w:spacing w:line="240" w:lineRule="auto"/>
        <w:rPr>
          <w:u w:val="single"/>
        </w:rPr>
      </w:pPr>
      <w:r>
        <w:rPr>
          <w:u w:val="single"/>
        </w:rPr>
        <w:t>Instructions relatives à la préparation</w:t>
      </w:r>
    </w:p>
    <w:p w14:paraId="774F2CF2" w14:textId="77777777" w:rsidR="000C26B8" w:rsidRPr="004D3310" w:rsidRDefault="000C26B8" w:rsidP="00245B5E">
      <w:pPr>
        <w:keepNext/>
        <w:spacing w:line="240" w:lineRule="auto"/>
        <w:rPr>
          <w:szCs w:val="22"/>
          <w:u w:val="single"/>
        </w:rPr>
      </w:pPr>
    </w:p>
    <w:p w14:paraId="1B93ED8E" w14:textId="363DC865" w:rsidR="00245B5E" w:rsidRPr="004D3310" w:rsidRDefault="00245B5E" w:rsidP="00245B5E">
      <w:pPr>
        <w:spacing w:line="240" w:lineRule="auto"/>
        <w:rPr>
          <w:szCs w:val="22"/>
        </w:rPr>
      </w:pPr>
      <w:r>
        <w:t xml:space="preserve">Les flacons d’ELREXFIO </w:t>
      </w:r>
      <w:r w:rsidR="000C26B8">
        <w:t>40 mg/m</w:t>
      </w:r>
      <w:r w:rsidR="00FE7BBE">
        <w:t>L</w:t>
      </w:r>
      <w:r w:rsidR="000C26B8">
        <w:t xml:space="preserve"> solution injectable </w:t>
      </w:r>
      <w:r>
        <w:t xml:space="preserve">sont </w:t>
      </w:r>
      <w:r w:rsidR="000C26B8">
        <w:t>à usage unique exclusivement.</w:t>
      </w:r>
    </w:p>
    <w:p w14:paraId="150D2FB7" w14:textId="77777777" w:rsidR="00245B5E" w:rsidRPr="004D3310" w:rsidRDefault="00245B5E" w:rsidP="00245B5E">
      <w:pPr>
        <w:spacing w:line="240" w:lineRule="auto"/>
        <w:rPr>
          <w:szCs w:val="22"/>
        </w:rPr>
      </w:pPr>
    </w:p>
    <w:p w14:paraId="3232D791" w14:textId="4FE20C08" w:rsidR="004F0A06" w:rsidRPr="004D3310" w:rsidRDefault="00245B5E" w:rsidP="00245B5E">
      <w:pPr>
        <w:spacing w:line="240" w:lineRule="auto"/>
        <w:rPr>
          <w:b/>
          <w:szCs w:val="22"/>
        </w:rPr>
      </w:pPr>
      <w:r>
        <w:t>ELREXFIO doit être préparé selon les instructions mentionnées ci-dessous (voir tableau </w:t>
      </w:r>
      <w:r w:rsidR="000C26B8">
        <w:t>1</w:t>
      </w:r>
      <w:r>
        <w:t>), en fonction de la dose requise. Il est suggéré d’utiliser un flacon unidose de 44 mg/1,1 </w:t>
      </w:r>
      <w:r w:rsidR="001C17CF">
        <w:t>m</w:t>
      </w:r>
      <w:r w:rsidR="00FE7BBE">
        <w:t>L</w:t>
      </w:r>
      <w:r>
        <w:t xml:space="preserve"> (40 mg/</w:t>
      </w:r>
      <w:r w:rsidR="001C17CF">
        <w:t>m</w:t>
      </w:r>
      <w:r w:rsidR="00FE7BBE">
        <w:t>L</w:t>
      </w:r>
      <w:r>
        <w:t xml:space="preserve">) pour </w:t>
      </w:r>
      <w:r w:rsidR="000C26B8">
        <w:t>chacune</w:t>
      </w:r>
      <w:r w:rsidR="00AE0290">
        <w:t xml:space="preserve"> de</w:t>
      </w:r>
      <w:r w:rsidR="000C26B8">
        <w:t>s</w:t>
      </w:r>
      <w:r w:rsidR="00AE0290">
        <w:t xml:space="preserve"> dose</w:t>
      </w:r>
      <w:r w:rsidR="000C26B8">
        <w:t xml:space="preserve">s </w:t>
      </w:r>
      <w:r w:rsidR="004F0A06">
        <w:t>de la phase d’escalade de dose.</w:t>
      </w:r>
    </w:p>
    <w:p w14:paraId="4057BF17" w14:textId="77777777" w:rsidR="00245B5E" w:rsidRPr="004D3310" w:rsidRDefault="00245B5E" w:rsidP="00245B5E">
      <w:pPr>
        <w:spacing w:line="240" w:lineRule="auto"/>
        <w:rPr>
          <w:b/>
          <w:szCs w:val="22"/>
        </w:rPr>
      </w:pPr>
    </w:p>
    <w:tbl>
      <w:tblPr>
        <w:tblStyle w:val="TableGrid1"/>
        <w:tblW w:w="7093" w:type="dxa"/>
        <w:tblInd w:w="-5" w:type="dxa"/>
        <w:tblLook w:val="04A0" w:firstRow="1" w:lastRow="0" w:firstColumn="1" w:lastColumn="0" w:noHBand="0" w:noVBand="1"/>
      </w:tblPr>
      <w:tblGrid>
        <w:gridCol w:w="3833"/>
        <w:gridCol w:w="3260"/>
      </w:tblGrid>
      <w:tr w:rsidR="00245B5E" w14:paraId="2AEA8EEC" w14:textId="77777777" w:rsidTr="00927263">
        <w:tc>
          <w:tcPr>
            <w:tcW w:w="7093" w:type="dxa"/>
            <w:gridSpan w:val="2"/>
            <w:tcBorders>
              <w:top w:val="nil"/>
              <w:left w:val="nil"/>
              <w:right w:val="nil"/>
            </w:tcBorders>
          </w:tcPr>
          <w:p w14:paraId="014ABABD" w14:textId="113AAA3B" w:rsidR="00245B5E" w:rsidRPr="004D3310" w:rsidRDefault="00245B5E" w:rsidP="004F07E4">
            <w:pPr>
              <w:rPr>
                <w:szCs w:val="22"/>
              </w:rPr>
            </w:pPr>
            <w:r>
              <w:rPr>
                <w:b/>
              </w:rPr>
              <w:t>Tableau </w:t>
            </w:r>
            <w:r w:rsidR="000C26B8">
              <w:rPr>
                <w:b/>
              </w:rPr>
              <w:t>1</w:t>
            </w:r>
            <w:r>
              <w:rPr>
                <w:b/>
              </w:rPr>
              <w:t>.</w:t>
            </w:r>
            <w:r>
              <w:rPr>
                <w:b/>
              </w:rPr>
              <w:tab/>
              <w:t>Instructions relatives à la préparation d’ELREXFIO</w:t>
            </w:r>
          </w:p>
        </w:tc>
      </w:tr>
      <w:tr w:rsidR="00245B5E" w14:paraId="68853F7D" w14:textId="77777777" w:rsidTr="00927263">
        <w:tc>
          <w:tcPr>
            <w:tcW w:w="3833" w:type="dxa"/>
          </w:tcPr>
          <w:p w14:paraId="0379B84D"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Dose requise</w:t>
            </w:r>
          </w:p>
        </w:tc>
        <w:tc>
          <w:tcPr>
            <w:tcW w:w="3260" w:type="dxa"/>
          </w:tcPr>
          <w:p w14:paraId="6FA0024D"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Volume de dose</w:t>
            </w:r>
          </w:p>
        </w:tc>
      </w:tr>
      <w:tr w:rsidR="00245B5E" w14:paraId="6269C2A4" w14:textId="77777777" w:rsidTr="00927263">
        <w:tc>
          <w:tcPr>
            <w:tcW w:w="3833" w:type="dxa"/>
          </w:tcPr>
          <w:p w14:paraId="5AE19C37" w14:textId="211ED419"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12 mg (</w:t>
            </w:r>
            <w:r w:rsidR="00AE0290">
              <w:rPr>
                <w:rFonts w:ascii="Times New Roman" w:hAnsi="Times New Roman"/>
                <w:b w:val="0"/>
                <w:sz w:val="22"/>
              </w:rPr>
              <w:t>escalade de dose</w:t>
            </w:r>
            <w:r>
              <w:rPr>
                <w:rFonts w:ascii="Times New Roman" w:hAnsi="Times New Roman"/>
                <w:b w:val="0"/>
                <w:sz w:val="22"/>
              </w:rPr>
              <w:t> 1)</w:t>
            </w:r>
          </w:p>
        </w:tc>
        <w:tc>
          <w:tcPr>
            <w:tcW w:w="3260" w:type="dxa"/>
          </w:tcPr>
          <w:p w14:paraId="1C32C2D9" w14:textId="0319CF72"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0,3 </w:t>
            </w:r>
            <w:r w:rsidR="001C17CF">
              <w:rPr>
                <w:rFonts w:ascii="Times New Roman" w:hAnsi="Times New Roman"/>
                <w:b w:val="0"/>
                <w:sz w:val="22"/>
              </w:rPr>
              <w:t>m</w:t>
            </w:r>
            <w:r w:rsidR="00FE7BBE">
              <w:rPr>
                <w:rFonts w:ascii="Times New Roman" w:hAnsi="Times New Roman"/>
                <w:b w:val="0"/>
                <w:sz w:val="22"/>
              </w:rPr>
              <w:t>L</w:t>
            </w:r>
          </w:p>
        </w:tc>
      </w:tr>
      <w:tr w:rsidR="00245B5E" w14:paraId="4FA4BB58" w14:textId="77777777" w:rsidTr="00927263">
        <w:tc>
          <w:tcPr>
            <w:tcW w:w="3833" w:type="dxa"/>
          </w:tcPr>
          <w:p w14:paraId="0E5CF62E" w14:textId="68468B2A"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32</w:t>
            </w:r>
            <w:r w:rsidR="00806B66">
              <w:rPr>
                <w:rFonts w:ascii="Times New Roman" w:hAnsi="Times New Roman"/>
                <w:b w:val="0"/>
                <w:sz w:val="22"/>
              </w:rPr>
              <w:t> </w:t>
            </w:r>
            <w:r>
              <w:rPr>
                <w:rFonts w:ascii="Times New Roman" w:hAnsi="Times New Roman"/>
                <w:b w:val="0"/>
                <w:sz w:val="22"/>
              </w:rPr>
              <w:t>mg (</w:t>
            </w:r>
            <w:r w:rsidR="00AE0290">
              <w:rPr>
                <w:rFonts w:ascii="Times New Roman" w:hAnsi="Times New Roman"/>
                <w:b w:val="0"/>
                <w:sz w:val="22"/>
              </w:rPr>
              <w:t>escalade de dose</w:t>
            </w:r>
            <w:r>
              <w:rPr>
                <w:rFonts w:ascii="Times New Roman" w:hAnsi="Times New Roman"/>
                <w:b w:val="0"/>
                <w:sz w:val="22"/>
              </w:rPr>
              <w:t> 2)</w:t>
            </w:r>
          </w:p>
        </w:tc>
        <w:tc>
          <w:tcPr>
            <w:tcW w:w="3260" w:type="dxa"/>
          </w:tcPr>
          <w:p w14:paraId="1F5D0C11" w14:textId="4C37BBED"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w:t>
            </w:r>
            <w:r w:rsidR="001C17CF">
              <w:rPr>
                <w:rFonts w:ascii="Times New Roman" w:hAnsi="Times New Roman"/>
                <w:b w:val="0"/>
                <w:sz w:val="22"/>
              </w:rPr>
              <w:t>m</w:t>
            </w:r>
            <w:r w:rsidR="00FE7BBE">
              <w:rPr>
                <w:rFonts w:ascii="Times New Roman" w:hAnsi="Times New Roman"/>
                <w:b w:val="0"/>
                <w:sz w:val="22"/>
              </w:rPr>
              <w:t>L</w:t>
            </w:r>
          </w:p>
        </w:tc>
      </w:tr>
      <w:tr w:rsidR="00245B5E" w14:paraId="0FBC43A3" w14:textId="77777777" w:rsidTr="00927263">
        <w:tc>
          <w:tcPr>
            <w:tcW w:w="3833" w:type="dxa"/>
          </w:tcPr>
          <w:p w14:paraId="7DB410A2" w14:textId="7CA65194"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 xml:space="preserve">76 mg (dose </w:t>
            </w:r>
            <w:r w:rsidR="00967AD0" w:rsidRPr="00103194">
              <w:rPr>
                <w:rFonts w:ascii="Times New Roman" w:hAnsi="Times New Roman"/>
                <w:b w:val="0"/>
                <w:sz w:val="22"/>
              </w:rPr>
              <w:t xml:space="preserve">complète </w:t>
            </w:r>
            <w:r w:rsidRPr="00103194">
              <w:rPr>
                <w:rFonts w:ascii="Times New Roman" w:hAnsi="Times New Roman"/>
                <w:b w:val="0"/>
                <w:sz w:val="22"/>
              </w:rPr>
              <w:t>de traitement)</w:t>
            </w:r>
          </w:p>
        </w:tc>
        <w:tc>
          <w:tcPr>
            <w:tcW w:w="3260" w:type="dxa"/>
          </w:tcPr>
          <w:p w14:paraId="7FEF05BE" w14:textId="46228E30"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w:t>
            </w:r>
            <w:r w:rsidR="001C17CF">
              <w:rPr>
                <w:rFonts w:ascii="Times New Roman" w:hAnsi="Times New Roman"/>
                <w:b w:val="0"/>
                <w:sz w:val="22"/>
              </w:rPr>
              <w:t>m</w:t>
            </w:r>
            <w:r w:rsidR="00FE7BBE">
              <w:rPr>
                <w:rFonts w:ascii="Times New Roman" w:hAnsi="Times New Roman"/>
                <w:b w:val="0"/>
                <w:sz w:val="22"/>
              </w:rPr>
              <w:t>L</w:t>
            </w:r>
          </w:p>
        </w:tc>
      </w:tr>
    </w:tbl>
    <w:p w14:paraId="447B7033" w14:textId="77777777" w:rsidR="00245B5E" w:rsidRPr="004D3310" w:rsidRDefault="00245B5E" w:rsidP="00245B5E">
      <w:pPr>
        <w:spacing w:line="240" w:lineRule="auto"/>
        <w:rPr>
          <w:szCs w:val="22"/>
        </w:rPr>
      </w:pPr>
    </w:p>
    <w:p w14:paraId="4E8C1FE8" w14:textId="1D1B74E7" w:rsidR="00245B5E" w:rsidRPr="004D3310" w:rsidRDefault="00A65035" w:rsidP="00245B5E">
      <w:pPr>
        <w:rPr>
          <w:b/>
          <w:szCs w:val="22"/>
        </w:rPr>
      </w:pPr>
      <w:r>
        <w:t xml:space="preserve">Après ouverture, le flacon et la seringue d’administration doivent être utilisés immédiatement. </w:t>
      </w:r>
      <w:r w:rsidRPr="00A65035">
        <w:rPr>
          <w:bCs/>
          <w:szCs w:val="22"/>
        </w:rPr>
        <w:t>S'il</w:t>
      </w:r>
      <w:r>
        <w:rPr>
          <w:bCs/>
          <w:szCs w:val="22"/>
        </w:rPr>
        <w:t>s</w:t>
      </w:r>
      <w:r w:rsidRPr="00A65035">
        <w:rPr>
          <w:bCs/>
          <w:szCs w:val="22"/>
        </w:rPr>
        <w:t xml:space="preserve"> </w:t>
      </w:r>
      <w:r>
        <w:rPr>
          <w:bCs/>
          <w:szCs w:val="22"/>
        </w:rPr>
        <w:t>ne sont</w:t>
      </w:r>
      <w:r w:rsidRPr="00A65035">
        <w:rPr>
          <w:bCs/>
          <w:szCs w:val="22"/>
        </w:rPr>
        <w:t xml:space="preserve"> pas utilisé</w:t>
      </w:r>
      <w:r>
        <w:rPr>
          <w:bCs/>
          <w:szCs w:val="22"/>
        </w:rPr>
        <w:t>s</w:t>
      </w:r>
      <w:r w:rsidRPr="00A65035">
        <w:rPr>
          <w:bCs/>
          <w:szCs w:val="22"/>
        </w:rPr>
        <w:t xml:space="preserve"> immédiatement, les durées et conditions de </w:t>
      </w:r>
      <w:r>
        <w:rPr>
          <w:bCs/>
          <w:szCs w:val="22"/>
        </w:rPr>
        <w:t xml:space="preserve">conservation </w:t>
      </w:r>
      <w:r w:rsidRPr="00E25E55">
        <w:rPr>
          <w:bCs/>
          <w:szCs w:val="22"/>
        </w:rPr>
        <w:t>avant utilisation</w:t>
      </w:r>
      <w:r>
        <w:rPr>
          <w:bCs/>
          <w:szCs w:val="22"/>
        </w:rPr>
        <w:t xml:space="preserve"> </w:t>
      </w:r>
      <w:r w:rsidRPr="00A65035">
        <w:rPr>
          <w:bCs/>
          <w:szCs w:val="22"/>
        </w:rPr>
        <w:t xml:space="preserve">relèvent de la responsabilité de l'utilisateur et ne devraient normalement pas dépasser </w:t>
      </w:r>
      <w:r>
        <w:rPr>
          <w:bCs/>
          <w:szCs w:val="22"/>
        </w:rPr>
        <w:t>24 heures</w:t>
      </w:r>
      <w:r w:rsidRPr="00A65035">
        <w:rPr>
          <w:bCs/>
          <w:szCs w:val="22"/>
        </w:rPr>
        <w:t xml:space="preserve"> </w:t>
      </w:r>
      <w:r>
        <w:rPr>
          <w:bCs/>
          <w:szCs w:val="22"/>
        </w:rPr>
        <w:t xml:space="preserve">à une température comprise </w:t>
      </w:r>
      <w:r w:rsidRPr="00A65035">
        <w:rPr>
          <w:bCs/>
          <w:szCs w:val="22"/>
        </w:rPr>
        <w:t>entre 2</w:t>
      </w:r>
      <w:r>
        <w:rPr>
          <w:bCs/>
          <w:szCs w:val="22"/>
        </w:rPr>
        <w:t> </w:t>
      </w:r>
      <w:r w:rsidRPr="00A65035">
        <w:rPr>
          <w:bCs/>
          <w:szCs w:val="22"/>
        </w:rPr>
        <w:t xml:space="preserve">°C et 8 °C, à moins que la </w:t>
      </w:r>
      <w:r>
        <w:rPr>
          <w:bCs/>
          <w:szCs w:val="22"/>
        </w:rPr>
        <w:t>préparation ait eu lieu dans des conditions aseptiques contrôlées et validées</w:t>
      </w:r>
      <w:r w:rsidRPr="00A65035">
        <w:rPr>
          <w:bCs/>
          <w:szCs w:val="22"/>
        </w:rPr>
        <w:t xml:space="preserve">. </w:t>
      </w:r>
      <w:r>
        <w:rPr>
          <w:bCs/>
          <w:szCs w:val="22"/>
        </w:rPr>
        <w:t>Après ouverture, y compris en cas de conservation du produit dans des</w:t>
      </w:r>
      <w:r w:rsidRPr="00A65035">
        <w:rPr>
          <w:bCs/>
          <w:szCs w:val="22"/>
        </w:rPr>
        <w:t xml:space="preserve"> seringues préparées dans un environnement </w:t>
      </w:r>
      <w:r>
        <w:rPr>
          <w:bCs/>
          <w:szCs w:val="22"/>
        </w:rPr>
        <w:t>aseptique, ELREXFIO</w:t>
      </w:r>
      <w:r w:rsidRPr="00A65035">
        <w:rPr>
          <w:bCs/>
          <w:szCs w:val="22"/>
        </w:rPr>
        <w:t xml:space="preserve"> </w:t>
      </w:r>
      <w:r>
        <w:rPr>
          <w:bCs/>
          <w:szCs w:val="22"/>
        </w:rPr>
        <w:t>reste</w:t>
      </w:r>
      <w:r w:rsidRPr="00A65035">
        <w:rPr>
          <w:bCs/>
          <w:szCs w:val="22"/>
        </w:rPr>
        <w:t xml:space="preserve"> stable pendant 7 jours </w:t>
      </w:r>
      <w:r>
        <w:rPr>
          <w:bCs/>
          <w:szCs w:val="22"/>
        </w:rPr>
        <w:t xml:space="preserve">à une température comprise </w:t>
      </w:r>
      <w:r w:rsidRPr="00A65035">
        <w:rPr>
          <w:bCs/>
          <w:szCs w:val="22"/>
        </w:rPr>
        <w:t>entre 2</w:t>
      </w:r>
      <w:r>
        <w:rPr>
          <w:bCs/>
          <w:szCs w:val="22"/>
        </w:rPr>
        <w:t> </w:t>
      </w:r>
      <w:r w:rsidRPr="00A65035">
        <w:rPr>
          <w:bCs/>
          <w:szCs w:val="22"/>
        </w:rPr>
        <w:t>°C et 8 °C</w:t>
      </w:r>
      <w:r>
        <w:rPr>
          <w:bCs/>
          <w:szCs w:val="22"/>
        </w:rPr>
        <w:t>,</w:t>
      </w:r>
      <w:r w:rsidRPr="00A65035">
        <w:rPr>
          <w:bCs/>
          <w:szCs w:val="22"/>
        </w:rPr>
        <w:t xml:space="preserve"> et </w:t>
      </w:r>
      <w:r>
        <w:rPr>
          <w:bCs/>
          <w:szCs w:val="22"/>
        </w:rPr>
        <w:t xml:space="preserve">pendant </w:t>
      </w:r>
      <w:r w:rsidRPr="00A65035">
        <w:rPr>
          <w:bCs/>
          <w:szCs w:val="22"/>
        </w:rPr>
        <w:t xml:space="preserve">24 heures à </w:t>
      </w:r>
      <w:r>
        <w:rPr>
          <w:bCs/>
          <w:szCs w:val="22"/>
        </w:rPr>
        <w:t xml:space="preserve">une température pouvant atteindre </w:t>
      </w:r>
      <w:r w:rsidRPr="00A65035">
        <w:rPr>
          <w:bCs/>
          <w:szCs w:val="22"/>
        </w:rPr>
        <w:t>30</w:t>
      </w:r>
      <w:r>
        <w:rPr>
          <w:bCs/>
          <w:szCs w:val="22"/>
        </w:rPr>
        <w:t> </w:t>
      </w:r>
      <w:r w:rsidRPr="00A65035">
        <w:rPr>
          <w:bCs/>
          <w:szCs w:val="22"/>
        </w:rPr>
        <w:t>°C.</w:t>
      </w:r>
      <w:r w:rsidR="00245B5E">
        <w:t xml:space="preserve"> </w:t>
      </w:r>
    </w:p>
    <w:p w14:paraId="70B0D6C7" w14:textId="77777777" w:rsidR="00245B5E" w:rsidRPr="00743D4B" w:rsidRDefault="00245B5E" w:rsidP="00245B5E">
      <w:pPr>
        <w:spacing w:line="240" w:lineRule="auto"/>
      </w:pPr>
    </w:p>
    <w:p w14:paraId="4B2C85C8" w14:textId="77777777" w:rsidR="00245B5E" w:rsidRPr="00F20E0A" w:rsidRDefault="00245B5E" w:rsidP="00245B5E">
      <w:pPr>
        <w:rPr>
          <w:szCs w:val="22"/>
          <w:u w:val="single"/>
        </w:rPr>
      </w:pPr>
      <w:r>
        <w:rPr>
          <w:u w:val="single"/>
        </w:rPr>
        <w:t>Instructions relatives à l’administration</w:t>
      </w:r>
    </w:p>
    <w:p w14:paraId="1E3F93B8" w14:textId="77777777" w:rsidR="000C26B8" w:rsidRDefault="000C26B8" w:rsidP="00245B5E">
      <w:pPr>
        <w:spacing w:line="240" w:lineRule="auto"/>
      </w:pPr>
    </w:p>
    <w:p w14:paraId="06151C4E" w14:textId="196ED7AE" w:rsidR="00245B5E" w:rsidRPr="00F20E0A" w:rsidRDefault="00245B5E" w:rsidP="00245B5E">
      <w:pPr>
        <w:spacing w:line="240" w:lineRule="auto"/>
        <w:rPr>
          <w:b/>
          <w:szCs w:val="22"/>
        </w:rPr>
      </w:pPr>
      <w:r>
        <w:t>ELREXFIO doit être administré</w:t>
      </w:r>
      <w:r w:rsidR="000C26B8">
        <w:t xml:space="preserve"> par injection sous-cutanée uniquement et</w:t>
      </w:r>
      <w:r>
        <w:t xml:space="preserve"> par un professionnel de santé.</w:t>
      </w:r>
    </w:p>
    <w:p w14:paraId="72EB9D39" w14:textId="77777777" w:rsidR="00245B5E" w:rsidRPr="00F20E0A" w:rsidRDefault="00245B5E" w:rsidP="00245B5E">
      <w:pPr>
        <w:spacing w:line="240" w:lineRule="auto"/>
        <w:rPr>
          <w:szCs w:val="22"/>
        </w:rPr>
      </w:pPr>
    </w:p>
    <w:p w14:paraId="53FB7916" w14:textId="67D3E190" w:rsidR="00245B5E" w:rsidRDefault="00245B5E" w:rsidP="00245B5E">
      <w:pPr>
        <w:spacing w:line="240" w:lineRule="auto"/>
      </w:pPr>
      <w:r>
        <w:t xml:space="preserve">La dose requise d’ELREXFIO doit être injectée dans le tissu sous-cutané de l’abdomen (site d’injection privilégié). ELREXFIO peut également être injecté dans le tissu sous-cutané </w:t>
      </w:r>
      <w:r w:rsidR="000C26B8">
        <w:t xml:space="preserve">de </w:t>
      </w:r>
      <w:r>
        <w:t>la cuisse.</w:t>
      </w:r>
    </w:p>
    <w:p w14:paraId="7C5193BF" w14:textId="77777777" w:rsidR="000C26B8" w:rsidRDefault="000C26B8" w:rsidP="000C26B8">
      <w:pPr>
        <w:spacing w:line="240" w:lineRule="auto"/>
        <w:rPr>
          <w:szCs w:val="22"/>
        </w:rPr>
      </w:pPr>
    </w:p>
    <w:p w14:paraId="30597CFB" w14:textId="49848791" w:rsidR="000C26B8" w:rsidRDefault="000C26B8" w:rsidP="000C26B8">
      <w:pPr>
        <w:spacing w:line="240" w:lineRule="auto"/>
        <w:rPr>
          <w:szCs w:val="22"/>
        </w:rPr>
      </w:pPr>
      <w:r w:rsidRPr="00620139">
        <w:rPr>
          <w:szCs w:val="22"/>
        </w:rPr>
        <w:t xml:space="preserve">ELREXFIO </w:t>
      </w:r>
      <w:r>
        <w:rPr>
          <w:szCs w:val="22"/>
        </w:rPr>
        <w:t>pour injection sous-cutanée ne doit pas être injecté dans des zones où la peau est rouge, contusionnée, sensible, dure ou dans des zones présentant des cicatrices</w:t>
      </w:r>
      <w:r w:rsidRPr="00620139">
        <w:rPr>
          <w:szCs w:val="22"/>
        </w:rPr>
        <w:t>.</w:t>
      </w:r>
    </w:p>
    <w:p w14:paraId="741C663F" w14:textId="77777777" w:rsidR="000C26B8" w:rsidRDefault="000C26B8" w:rsidP="000C26B8">
      <w:pPr>
        <w:spacing w:line="240" w:lineRule="auto"/>
        <w:rPr>
          <w:b/>
          <w:szCs w:val="22"/>
        </w:rPr>
      </w:pPr>
    </w:p>
    <w:p w14:paraId="008B8084" w14:textId="77777777" w:rsidR="000C26B8" w:rsidRPr="00663E5F" w:rsidRDefault="000C26B8" w:rsidP="00FE0B11">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themeColor="text1"/>
          <w:szCs w:val="22"/>
          <w:u w:val="single"/>
        </w:rPr>
      </w:pPr>
      <w:r w:rsidRPr="00663E5F">
        <w:rPr>
          <w:color w:val="000000" w:themeColor="text1"/>
          <w:szCs w:val="22"/>
          <w:u w:val="single"/>
        </w:rPr>
        <w:lastRenderedPageBreak/>
        <w:t>Traçabilité</w:t>
      </w:r>
    </w:p>
    <w:p w14:paraId="02CE04B9" w14:textId="77777777" w:rsidR="000C26B8" w:rsidRPr="00663E5F" w:rsidRDefault="000C26B8" w:rsidP="00FE0B11">
      <w:pPr>
        <w:keepNext/>
        <w:spacing w:line="240" w:lineRule="auto"/>
        <w:rPr>
          <w:color w:val="000000" w:themeColor="text1"/>
          <w:szCs w:val="22"/>
        </w:rPr>
      </w:pPr>
    </w:p>
    <w:p w14:paraId="3497EC99" w14:textId="77777777" w:rsidR="000C26B8" w:rsidRPr="00F20E0A" w:rsidRDefault="000C26B8" w:rsidP="00FE0B11">
      <w:pPr>
        <w:keepNext/>
        <w:spacing w:line="240" w:lineRule="auto"/>
        <w:rPr>
          <w:b/>
          <w:szCs w:val="22"/>
        </w:rPr>
      </w:pPr>
      <w:r w:rsidRPr="00663E5F">
        <w:rPr>
          <w:color w:val="000000" w:themeColor="text1"/>
          <w:szCs w:val="22"/>
        </w:rPr>
        <w:t>Afin d'améliorer la traçabilité des médicaments biologiques, le nom et le numéro de lot du produit administré doivent être clairement enregistrés.</w:t>
      </w:r>
    </w:p>
    <w:p w14:paraId="1987226B" w14:textId="77777777" w:rsidR="000C26B8" w:rsidRPr="00F20E0A" w:rsidRDefault="000C26B8" w:rsidP="00245B5E">
      <w:pPr>
        <w:spacing w:line="240" w:lineRule="auto"/>
        <w:rPr>
          <w:b/>
          <w:szCs w:val="22"/>
        </w:rPr>
      </w:pPr>
    </w:p>
    <w:p w14:paraId="33F07ED4" w14:textId="77777777" w:rsidR="00245B5E" w:rsidRPr="00F20E0A" w:rsidRDefault="00245B5E" w:rsidP="00245B5E">
      <w:pPr>
        <w:spacing w:line="240" w:lineRule="auto"/>
        <w:rPr>
          <w:szCs w:val="22"/>
          <w:u w:val="single"/>
        </w:rPr>
      </w:pPr>
      <w:r>
        <w:rPr>
          <w:u w:val="single"/>
        </w:rPr>
        <w:t>Élimination</w:t>
      </w:r>
    </w:p>
    <w:p w14:paraId="15C24D7F" w14:textId="77777777" w:rsidR="000C26B8" w:rsidRDefault="000C26B8" w:rsidP="00245B5E">
      <w:pPr>
        <w:spacing w:line="240" w:lineRule="auto"/>
      </w:pPr>
    </w:p>
    <w:p w14:paraId="2C3E6874" w14:textId="602ED6CE" w:rsidR="00245B5E" w:rsidRPr="00743D4B" w:rsidRDefault="00245B5E" w:rsidP="00245B5E">
      <w:pPr>
        <w:spacing w:line="240" w:lineRule="auto"/>
        <w:rPr>
          <w:szCs w:val="22"/>
        </w:rPr>
      </w:pPr>
      <w:r>
        <w:t>Le flacon et le contenu restant doivent être éliminés</w:t>
      </w:r>
      <w:r w:rsidR="00413F2F">
        <w:t xml:space="preserve"> après un usage unique</w:t>
      </w:r>
      <w:r>
        <w:t>. Tout médicament non utilisé ou déchet doit être éliminé conformément à la réglementation en vigueur.</w:t>
      </w:r>
    </w:p>
    <w:p w14:paraId="3549CBB8" w14:textId="77777777" w:rsidR="003E5580" w:rsidRPr="004051BB" w:rsidRDefault="003E5580" w:rsidP="00101674">
      <w:pPr>
        <w:pStyle w:val="No-numheading3Agency"/>
        <w:spacing w:before="0" w:after="0"/>
        <w:rPr>
          <w:rFonts w:ascii="Times New Roman" w:hAnsi="Times New Roman"/>
          <w:color w:val="000000" w:themeColor="text1"/>
        </w:rPr>
      </w:pPr>
    </w:p>
    <w:sectPr w:rsidR="003E5580" w:rsidRPr="004051BB" w:rsidSect="00F5148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C2C7" w14:textId="77777777" w:rsidR="006C6C56" w:rsidRDefault="006C6C56">
      <w:r>
        <w:separator/>
      </w:r>
    </w:p>
  </w:endnote>
  <w:endnote w:type="continuationSeparator" w:id="0">
    <w:p w14:paraId="7FF17BD8" w14:textId="77777777" w:rsidR="006C6C56" w:rsidRDefault="006C6C56">
      <w:r>
        <w:continuationSeparator/>
      </w:r>
    </w:p>
  </w:endnote>
  <w:endnote w:type="continuationNotice" w:id="1">
    <w:p w14:paraId="3688A20B" w14:textId="77777777" w:rsidR="006C6C56" w:rsidRDefault="006C6C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07E" w14:textId="77777777" w:rsidR="00F51484" w:rsidRPr="00F51484" w:rsidRDefault="00F51484">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D549" w14:textId="77777777" w:rsidR="004F07E4" w:rsidRPr="00663E5F" w:rsidRDefault="004F07E4">
    <w:pPr>
      <w:pStyle w:val="Footer"/>
      <w:tabs>
        <w:tab w:val="right" w:pos="8931"/>
      </w:tabs>
      <w:ind w:right="96"/>
      <w:jc w:val="center"/>
      <w:rPr>
        <w:color w:val="000000"/>
      </w:rPr>
    </w:pPr>
    <w:r w:rsidRPr="00663E5F">
      <w:rPr>
        <w:color w:val="000000"/>
      </w:rPr>
      <w:fldChar w:fldCharType="begin"/>
    </w:r>
    <w:r w:rsidRPr="00663E5F">
      <w:rPr>
        <w:color w:val="000000"/>
      </w:rPr>
      <w:instrText xml:space="preserve"> EQ </w:instrText>
    </w:r>
    <w:r w:rsidRPr="00663E5F">
      <w:rPr>
        <w:color w:val="000000"/>
      </w:rPr>
      <w:fldChar w:fldCharType="end"/>
    </w:r>
    <w:r w:rsidRPr="00663E5F">
      <w:rPr>
        <w:rStyle w:val="PageNumber"/>
        <w:rFonts w:cs="Arial"/>
        <w:color w:val="000000"/>
      </w:rPr>
      <w:fldChar w:fldCharType="begin"/>
    </w:r>
    <w:r w:rsidRPr="00663E5F">
      <w:rPr>
        <w:rStyle w:val="PageNumber"/>
        <w:rFonts w:cs="Arial"/>
        <w:color w:val="000000"/>
      </w:rPr>
      <w:instrText xml:space="preserve">PAGE  </w:instrText>
    </w:r>
    <w:r w:rsidRPr="00663E5F">
      <w:rPr>
        <w:rStyle w:val="PageNumber"/>
        <w:rFonts w:cs="Arial"/>
        <w:color w:val="000000"/>
      </w:rPr>
      <w:fldChar w:fldCharType="separate"/>
    </w:r>
    <w:r w:rsidR="00E337F9" w:rsidRPr="00663E5F">
      <w:rPr>
        <w:rStyle w:val="PageNumber"/>
        <w:rFonts w:cs="Arial"/>
        <w:color w:val="000000"/>
      </w:rPr>
      <w:t>22</w:t>
    </w:r>
    <w:r w:rsidRPr="00663E5F">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E7CF" w14:textId="77777777" w:rsidR="004F07E4" w:rsidRPr="00663E5F" w:rsidRDefault="004F07E4">
    <w:pPr>
      <w:pStyle w:val="Footer"/>
      <w:tabs>
        <w:tab w:val="right" w:pos="8931"/>
      </w:tabs>
      <w:ind w:right="96"/>
      <w:jc w:val="center"/>
      <w:rPr>
        <w:color w:val="000000"/>
      </w:rPr>
    </w:pPr>
    <w:r w:rsidRPr="00663E5F">
      <w:rPr>
        <w:color w:val="000000"/>
      </w:rPr>
      <w:fldChar w:fldCharType="begin"/>
    </w:r>
    <w:r w:rsidRPr="00663E5F">
      <w:rPr>
        <w:color w:val="000000"/>
      </w:rPr>
      <w:instrText xml:space="preserve"> EQ </w:instrText>
    </w:r>
    <w:r w:rsidRPr="00663E5F">
      <w:rPr>
        <w:color w:val="000000"/>
      </w:rPr>
      <w:fldChar w:fldCharType="end"/>
    </w:r>
    <w:r w:rsidRPr="00663E5F">
      <w:rPr>
        <w:rStyle w:val="PageNumber"/>
        <w:rFonts w:cs="Arial"/>
        <w:color w:val="000000"/>
      </w:rPr>
      <w:fldChar w:fldCharType="begin"/>
    </w:r>
    <w:r w:rsidRPr="00663E5F">
      <w:rPr>
        <w:rStyle w:val="PageNumber"/>
        <w:rFonts w:cs="Arial"/>
        <w:color w:val="000000"/>
      </w:rPr>
      <w:instrText xml:space="preserve">PAGE  </w:instrText>
    </w:r>
    <w:r w:rsidRPr="00663E5F">
      <w:rPr>
        <w:rStyle w:val="PageNumber"/>
        <w:rFonts w:cs="Arial"/>
        <w:color w:val="000000"/>
      </w:rPr>
      <w:fldChar w:fldCharType="separate"/>
    </w:r>
    <w:r w:rsidR="00E337F9" w:rsidRPr="00663E5F">
      <w:rPr>
        <w:rStyle w:val="PageNumber"/>
        <w:rFonts w:cs="Arial"/>
        <w:color w:val="000000"/>
      </w:rPr>
      <w:t>1</w:t>
    </w:r>
    <w:r w:rsidRPr="00663E5F">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A0E2" w14:textId="77777777" w:rsidR="006C6C56" w:rsidRDefault="006C6C56">
      <w:r>
        <w:separator/>
      </w:r>
    </w:p>
  </w:footnote>
  <w:footnote w:type="continuationSeparator" w:id="0">
    <w:p w14:paraId="3C24D25B" w14:textId="77777777" w:rsidR="006C6C56" w:rsidRDefault="006C6C56">
      <w:r>
        <w:continuationSeparator/>
      </w:r>
    </w:p>
  </w:footnote>
  <w:footnote w:type="continuationNotice" w:id="1">
    <w:p w14:paraId="75C212E6" w14:textId="77777777" w:rsidR="006C6C56" w:rsidRDefault="006C6C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0260" w14:textId="77777777" w:rsidR="00F51484" w:rsidRDefault="00F51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21F4" w14:textId="77777777" w:rsidR="00F51484" w:rsidRPr="00F51484" w:rsidRDefault="00F51484" w:rsidP="00F51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636" w14:textId="77777777" w:rsidR="00F51484" w:rsidRPr="00F51484" w:rsidRDefault="00F51484" w:rsidP="00F51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9701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0"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DFE869A6">
      <w:start w:val="1"/>
      <w:numFmt w:val="bullet"/>
      <w:lvlText w:val=""/>
      <w:lvlJc w:val="left"/>
      <w:pPr>
        <w:ind w:left="720" w:hanging="360"/>
      </w:pPr>
      <w:rPr>
        <w:rFonts w:ascii="Symbol" w:hAnsi="Symbol" w:hint="default"/>
      </w:rPr>
    </w:lvl>
    <w:lvl w:ilvl="1" w:tplc="74F65F64" w:tentative="1">
      <w:start w:val="1"/>
      <w:numFmt w:val="bullet"/>
      <w:lvlText w:val="o"/>
      <w:lvlJc w:val="left"/>
      <w:pPr>
        <w:ind w:left="1440" w:hanging="360"/>
      </w:pPr>
      <w:rPr>
        <w:rFonts w:ascii="Courier New" w:hAnsi="Courier New" w:hint="default"/>
      </w:rPr>
    </w:lvl>
    <w:lvl w:ilvl="2" w:tplc="E02CAFC0" w:tentative="1">
      <w:start w:val="1"/>
      <w:numFmt w:val="bullet"/>
      <w:lvlText w:val=""/>
      <w:lvlJc w:val="left"/>
      <w:pPr>
        <w:ind w:left="2160" w:hanging="360"/>
      </w:pPr>
      <w:rPr>
        <w:rFonts w:ascii="Wingdings" w:hAnsi="Wingdings" w:hint="default"/>
      </w:rPr>
    </w:lvl>
    <w:lvl w:ilvl="3" w:tplc="CA583F6C" w:tentative="1">
      <w:start w:val="1"/>
      <w:numFmt w:val="bullet"/>
      <w:lvlText w:val=""/>
      <w:lvlJc w:val="left"/>
      <w:pPr>
        <w:ind w:left="2880" w:hanging="360"/>
      </w:pPr>
      <w:rPr>
        <w:rFonts w:ascii="Symbol" w:hAnsi="Symbol" w:hint="default"/>
      </w:rPr>
    </w:lvl>
    <w:lvl w:ilvl="4" w:tplc="9306D214" w:tentative="1">
      <w:start w:val="1"/>
      <w:numFmt w:val="bullet"/>
      <w:lvlText w:val="o"/>
      <w:lvlJc w:val="left"/>
      <w:pPr>
        <w:ind w:left="3600" w:hanging="360"/>
      </w:pPr>
      <w:rPr>
        <w:rFonts w:ascii="Courier New" w:hAnsi="Courier New" w:hint="default"/>
      </w:rPr>
    </w:lvl>
    <w:lvl w:ilvl="5" w:tplc="F830E97C" w:tentative="1">
      <w:start w:val="1"/>
      <w:numFmt w:val="bullet"/>
      <w:lvlText w:val=""/>
      <w:lvlJc w:val="left"/>
      <w:pPr>
        <w:ind w:left="4320" w:hanging="360"/>
      </w:pPr>
      <w:rPr>
        <w:rFonts w:ascii="Wingdings" w:hAnsi="Wingdings" w:hint="default"/>
      </w:rPr>
    </w:lvl>
    <w:lvl w:ilvl="6" w:tplc="F37A16DE" w:tentative="1">
      <w:start w:val="1"/>
      <w:numFmt w:val="bullet"/>
      <w:lvlText w:val=""/>
      <w:lvlJc w:val="left"/>
      <w:pPr>
        <w:ind w:left="5040" w:hanging="360"/>
      </w:pPr>
      <w:rPr>
        <w:rFonts w:ascii="Symbol" w:hAnsi="Symbol" w:hint="default"/>
      </w:rPr>
    </w:lvl>
    <w:lvl w:ilvl="7" w:tplc="8FBECFBE" w:tentative="1">
      <w:start w:val="1"/>
      <w:numFmt w:val="bullet"/>
      <w:lvlText w:val="o"/>
      <w:lvlJc w:val="left"/>
      <w:pPr>
        <w:ind w:left="5760" w:hanging="360"/>
      </w:pPr>
      <w:rPr>
        <w:rFonts w:ascii="Courier New" w:hAnsi="Courier New" w:hint="default"/>
      </w:rPr>
    </w:lvl>
    <w:lvl w:ilvl="8" w:tplc="53D80F6C" w:tentative="1">
      <w:start w:val="1"/>
      <w:numFmt w:val="bullet"/>
      <w:lvlText w:val=""/>
      <w:lvlJc w:val="left"/>
      <w:pPr>
        <w:ind w:left="6480" w:hanging="360"/>
      </w:pPr>
      <w:rPr>
        <w:rFonts w:ascii="Wingdings" w:hAnsi="Wingdings" w:hint="default"/>
      </w:rPr>
    </w:lvl>
  </w:abstractNum>
  <w:abstractNum w:abstractNumId="17" w15:restartNumberingAfterBreak="0">
    <w:nsid w:val="4D6C66FB"/>
    <w:multiLevelType w:val="hybridMultilevel"/>
    <w:tmpl w:val="EE18AF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0"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20276">
    <w:abstractNumId w:val="3"/>
  </w:num>
  <w:num w:numId="2" w16cid:durableId="471755440">
    <w:abstractNumId w:val="27"/>
  </w:num>
  <w:num w:numId="3" w16cid:durableId="964971239">
    <w:abstractNumId w:val="5"/>
  </w:num>
  <w:num w:numId="4" w16cid:durableId="199784234">
    <w:abstractNumId w:val="21"/>
  </w:num>
  <w:num w:numId="5" w16cid:durableId="582180897">
    <w:abstractNumId w:val="2"/>
  </w:num>
  <w:num w:numId="6" w16cid:durableId="1747216311">
    <w:abstractNumId w:val="31"/>
  </w:num>
  <w:num w:numId="7" w16cid:durableId="771630215">
    <w:abstractNumId w:val="24"/>
  </w:num>
  <w:num w:numId="8" w16cid:durableId="763232695">
    <w:abstractNumId w:val="15"/>
  </w:num>
  <w:num w:numId="9" w16cid:durableId="48311039">
    <w:abstractNumId w:val="26"/>
  </w:num>
  <w:num w:numId="10" w16cid:durableId="508957626">
    <w:abstractNumId w:val="14"/>
  </w:num>
  <w:num w:numId="11" w16cid:durableId="1730033064">
    <w:abstractNumId w:val="22"/>
  </w:num>
  <w:num w:numId="12" w16cid:durableId="1905094348">
    <w:abstractNumId w:val="32"/>
  </w:num>
  <w:num w:numId="13" w16cid:durableId="538593045">
    <w:abstractNumId w:val="4"/>
  </w:num>
  <w:num w:numId="14" w16cid:durableId="626158580">
    <w:abstractNumId w:val="23"/>
  </w:num>
  <w:num w:numId="15" w16cid:durableId="1532575614">
    <w:abstractNumId w:val="12"/>
  </w:num>
  <w:num w:numId="16" w16cid:durableId="1934584744">
    <w:abstractNumId w:val="9"/>
  </w:num>
  <w:num w:numId="17" w16cid:durableId="979504685">
    <w:abstractNumId w:val="30"/>
  </w:num>
  <w:num w:numId="18" w16cid:durableId="739593152">
    <w:abstractNumId w:val="18"/>
  </w:num>
  <w:num w:numId="19" w16cid:durableId="2103142437">
    <w:abstractNumId w:val="19"/>
  </w:num>
  <w:num w:numId="20" w16cid:durableId="1300303030">
    <w:abstractNumId w:val="7"/>
  </w:num>
  <w:num w:numId="21" w16cid:durableId="1476606214">
    <w:abstractNumId w:val="1"/>
  </w:num>
  <w:num w:numId="22" w16cid:durableId="2088381946">
    <w:abstractNumId w:val="20"/>
  </w:num>
  <w:num w:numId="23" w16cid:durableId="173882485">
    <w:abstractNumId w:val="28"/>
  </w:num>
  <w:num w:numId="24" w16cid:durableId="396437138">
    <w:abstractNumId w:val="13"/>
  </w:num>
  <w:num w:numId="25" w16cid:durableId="423957410">
    <w:abstractNumId w:val="11"/>
  </w:num>
  <w:num w:numId="26" w16cid:durableId="998268909">
    <w:abstractNumId w:val="10"/>
  </w:num>
  <w:num w:numId="27" w16cid:durableId="278295566">
    <w:abstractNumId w:val="29"/>
  </w:num>
  <w:num w:numId="28" w16cid:durableId="1203248780">
    <w:abstractNumId w:val="33"/>
  </w:num>
  <w:num w:numId="29" w16cid:durableId="1938168257">
    <w:abstractNumId w:val="6"/>
  </w:num>
  <w:num w:numId="30" w16cid:durableId="1404789331">
    <w:abstractNumId w:val="8"/>
  </w:num>
  <w:num w:numId="31" w16cid:durableId="1794403698">
    <w:abstractNumId w:val="0"/>
  </w:num>
  <w:num w:numId="32" w16cid:durableId="730882042">
    <w:abstractNumId w:val="17"/>
  </w:num>
  <w:num w:numId="33" w16cid:durableId="1864785659">
    <w:abstractNumId w:val="25"/>
  </w:num>
  <w:num w:numId="34" w16cid:durableId="1308778135">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0DA3"/>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14A"/>
    <w:rsid w:val="00004940"/>
    <w:rsid w:val="00004A7A"/>
    <w:rsid w:val="00004EB4"/>
    <w:rsid w:val="00005139"/>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B7F"/>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581"/>
    <w:rsid w:val="00020631"/>
    <w:rsid w:val="00020AE8"/>
    <w:rsid w:val="00021230"/>
    <w:rsid w:val="000212BB"/>
    <w:rsid w:val="000213E8"/>
    <w:rsid w:val="000214B0"/>
    <w:rsid w:val="000219E8"/>
    <w:rsid w:val="000219F0"/>
    <w:rsid w:val="00021C4B"/>
    <w:rsid w:val="00021C5D"/>
    <w:rsid w:val="000227FC"/>
    <w:rsid w:val="00022999"/>
    <w:rsid w:val="00022E16"/>
    <w:rsid w:val="00022F75"/>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67"/>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E09"/>
    <w:rsid w:val="00030F7A"/>
    <w:rsid w:val="00031724"/>
    <w:rsid w:val="000318C7"/>
    <w:rsid w:val="00031904"/>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73"/>
    <w:rsid w:val="0003558A"/>
    <w:rsid w:val="00035FCE"/>
    <w:rsid w:val="00036388"/>
    <w:rsid w:val="000364CE"/>
    <w:rsid w:val="00036555"/>
    <w:rsid w:val="00036761"/>
    <w:rsid w:val="00036772"/>
    <w:rsid w:val="0003685F"/>
    <w:rsid w:val="00036A0F"/>
    <w:rsid w:val="00036A78"/>
    <w:rsid w:val="00036C5F"/>
    <w:rsid w:val="000370BB"/>
    <w:rsid w:val="00037352"/>
    <w:rsid w:val="00037D6C"/>
    <w:rsid w:val="000404D8"/>
    <w:rsid w:val="000409DD"/>
    <w:rsid w:val="00040ACC"/>
    <w:rsid w:val="00040B8B"/>
    <w:rsid w:val="00040E46"/>
    <w:rsid w:val="00040EF3"/>
    <w:rsid w:val="00041057"/>
    <w:rsid w:val="000415AC"/>
    <w:rsid w:val="00041603"/>
    <w:rsid w:val="00041A22"/>
    <w:rsid w:val="00041C80"/>
    <w:rsid w:val="00042263"/>
    <w:rsid w:val="0004231E"/>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4E79"/>
    <w:rsid w:val="00045365"/>
    <w:rsid w:val="0004542E"/>
    <w:rsid w:val="000456F8"/>
    <w:rsid w:val="00045C6A"/>
    <w:rsid w:val="00045E21"/>
    <w:rsid w:val="00045F1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8A6"/>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8F0"/>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88E"/>
    <w:rsid w:val="00066BDC"/>
    <w:rsid w:val="00066E63"/>
    <w:rsid w:val="00066F3D"/>
    <w:rsid w:val="000672B4"/>
    <w:rsid w:val="000676C2"/>
    <w:rsid w:val="000677D1"/>
    <w:rsid w:val="00067B16"/>
    <w:rsid w:val="000701A3"/>
    <w:rsid w:val="00070270"/>
    <w:rsid w:val="0007041E"/>
    <w:rsid w:val="000705FF"/>
    <w:rsid w:val="00070860"/>
    <w:rsid w:val="000709EC"/>
    <w:rsid w:val="00070B58"/>
    <w:rsid w:val="00070E22"/>
    <w:rsid w:val="0007106D"/>
    <w:rsid w:val="00071327"/>
    <w:rsid w:val="00071811"/>
    <w:rsid w:val="00071B4A"/>
    <w:rsid w:val="00071F8A"/>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11F"/>
    <w:rsid w:val="00077331"/>
    <w:rsid w:val="00077802"/>
    <w:rsid w:val="00077A88"/>
    <w:rsid w:val="00077AF7"/>
    <w:rsid w:val="00077E0F"/>
    <w:rsid w:val="0008070D"/>
    <w:rsid w:val="0008098C"/>
    <w:rsid w:val="00080CBC"/>
    <w:rsid w:val="00080D9C"/>
    <w:rsid w:val="00081095"/>
    <w:rsid w:val="000810E3"/>
    <w:rsid w:val="000818C6"/>
    <w:rsid w:val="00081CE2"/>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89"/>
    <w:rsid w:val="00084BE2"/>
    <w:rsid w:val="00084C2F"/>
    <w:rsid w:val="00084EEB"/>
    <w:rsid w:val="00084EF9"/>
    <w:rsid w:val="0008500D"/>
    <w:rsid w:val="000850D6"/>
    <w:rsid w:val="0008524A"/>
    <w:rsid w:val="000852F0"/>
    <w:rsid w:val="0008533D"/>
    <w:rsid w:val="000853C2"/>
    <w:rsid w:val="000856B2"/>
    <w:rsid w:val="000857D1"/>
    <w:rsid w:val="00085807"/>
    <w:rsid w:val="00085A89"/>
    <w:rsid w:val="00085D46"/>
    <w:rsid w:val="00085D5E"/>
    <w:rsid w:val="00085D8D"/>
    <w:rsid w:val="000863E0"/>
    <w:rsid w:val="00086426"/>
    <w:rsid w:val="00086519"/>
    <w:rsid w:val="00086593"/>
    <w:rsid w:val="0008687A"/>
    <w:rsid w:val="00086C33"/>
    <w:rsid w:val="000874CC"/>
    <w:rsid w:val="00087813"/>
    <w:rsid w:val="00087886"/>
    <w:rsid w:val="00090A9A"/>
    <w:rsid w:val="000911F6"/>
    <w:rsid w:val="00091395"/>
    <w:rsid w:val="00091475"/>
    <w:rsid w:val="0009176B"/>
    <w:rsid w:val="000917AD"/>
    <w:rsid w:val="000918C8"/>
    <w:rsid w:val="00091B44"/>
    <w:rsid w:val="00091C44"/>
    <w:rsid w:val="00091C5B"/>
    <w:rsid w:val="00091C82"/>
    <w:rsid w:val="00091D4C"/>
    <w:rsid w:val="00091D90"/>
    <w:rsid w:val="00091DB8"/>
    <w:rsid w:val="00091DBA"/>
    <w:rsid w:val="00091E19"/>
    <w:rsid w:val="000920AE"/>
    <w:rsid w:val="0009224E"/>
    <w:rsid w:val="000927B8"/>
    <w:rsid w:val="00092829"/>
    <w:rsid w:val="00092879"/>
    <w:rsid w:val="000929AF"/>
    <w:rsid w:val="00092B09"/>
    <w:rsid w:val="00092F5F"/>
    <w:rsid w:val="000932DD"/>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009"/>
    <w:rsid w:val="000954EE"/>
    <w:rsid w:val="00095660"/>
    <w:rsid w:val="000958E7"/>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B3"/>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D0"/>
    <w:rsid w:val="000A485C"/>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8D3"/>
    <w:rsid w:val="000B1A2D"/>
    <w:rsid w:val="000B1A65"/>
    <w:rsid w:val="000B1A94"/>
    <w:rsid w:val="000B1BED"/>
    <w:rsid w:val="000B1F4B"/>
    <w:rsid w:val="000B21C4"/>
    <w:rsid w:val="000B2331"/>
    <w:rsid w:val="000B2394"/>
    <w:rsid w:val="000B25F2"/>
    <w:rsid w:val="000B2741"/>
    <w:rsid w:val="000B27B6"/>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BBF"/>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6B8"/>
    <w:rsid w:val="000C298B"/>
    <w:rsid w:val="000C2C65"/>
    <w:rsid w:val="000C2FCC"/>
    <w:rsid w:val="000C308F"/>
    <w:rsid w:val="000C30EC"/>
    <w:rsid w:val="000C3438"/>
    <w:rsid w:val="000C3470"/>
    <w:rsid w:val="000C36F8"/>
    <w:rsid w:val="000C3778"/>
    <w:rsid w:val="000C3CB6"/>
    <w:rsid w:val="000C3CC9"/>
    <w:rsid w:val="000C4294"/>
    <w:rsid w:val="000C456E"/>
    <w:rsid w:val="000C4901"/>
    <w:rsid w:val="000C4C0C"/>
    <w:rsid w:val="000C4E2B"/>
    <w:rsid w:val="000C4EC5"/>
    <w:rsid w:val="000C4FE3"/>
    <w:rsid w:val="000C55F9"/>
    <w:rsid w:val="000C56FC"/>
    <w:rsid w:val="000C5A4E"/>
    <w:rsid w:val="000C5AF4"/>
    <w:rsid w:val="000C6311"/>
    <w:rsid w:val="000C635D"/>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09DA"/>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77D"/>
    <w:rsid w:val="000D39ED"/>
    <w:rsid w:val="000D3C75"/>
    <w:rsid w:val="000D43C3"/>
    <w:rsid w:val="000D4B61"/>
    <w:rsid w:val="000D4D07"/>
    <w:rsid w:val="000D4E1C"/>
    <w:rsid w:val="000D4F2E"/>
    <w:rsid w:val="000D59E8"/>
    <w:rsid w:val="000D59EE"/>
    <w:rsid w:val="000D5B46"/>
    <w:rsid w:val="000D5CF9"/>
    <w:rsid w:val="000D5D2E"/>
    <w:rsid w:val="000D5D64"/>
    <w:rsid w:val="000D5FF6"/>
    <w:rsid w:val="000D6638"/>
    <w:rsid w:val="000D69A6"/>
    <w:rsid w:val="000D6D0C"/>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09"/>
    <w:rsid w:val="000E2491"/>
    <w:rsid w:val="000E2791"/>
    <w:rsid w:val="000E2EA9"/>
    <w:rsid w:val="000E359E"/>
    <w:rsid w:val="000E3FE4"/>
    <w:rsid w:val="000E40CC"/>
    <w:rsid w:val="000E423A"/>
    <w:rsid w:val="000E42F4"/>
    <w:rsid w:val="000E46A3"/>
    <w:rsid w:val="000E46C8"/>
    <w:rsid w:val="000E48D9"/>
    <w:rsid w:val="000E4A26"/>
    <w:rsid w:val="000E4E88"/>
    <w:rsid w:val="000E5726"/>
    <w:rsid w:val="000E57B9"/>
    <w:rsid w:val="000E600F"/>
    <w:rsid w:val="000E60C6"/>
    <w:rsid w:val="000E6201"/>
    <w:rsid w:val="000E6577"/>
    <w:rsid w:val="000E68D4"/>
    <w:rsid w:val="000E6A92"/>
    <w:rsid w:val="000E6C94"/>
    <w:rsid w:val="000E6E35"/>
    <w:rsid w:val="000E6FDF"/>
    <w:rsid w:val="000E76CF"/>
    <w:rsid w:val="000E777F"/>
    <w:rsid w:val="000E7981"/>
    <w:rsid w:val="000F0344"/>
    <w:rsid w:val="000F0E02"/>
    <w:rsid w:val="000F1118"/>
    <w:rsid w:val="000F12F0"/>
    <w:rsid w:val="000F142B"/>
    <w:rsid w:val="000F15CE"/>
    <w:rsid w:val="000F1948"/>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78E"/>
    <w:rsid w:val="000F58A3"/>
    <w:rsid w:val="000F598E"/>
    <w:rsid w:val="000F5B21"/>
    <w:rsid w:val="000F5B34"/>
    <w:rsid w:val="000F5C3A"/>
    <w:rsid w:val="000F5CFC"/>
    <w:rsid w:val="000F5D18"/>
    <w:rsid w:val="000F5D70"/>
    <w:rsid w:val="000F5EBB"/>
    <w:rsid w:val="000F5ED7"/>
    <w:rsid w:val="000F5FB3"/>
    <w:rsid w:val="000F6339"/>
    <w:rsid w:val="000F63C0"/>
    <w:rsid w:val="000F66B8"/>
    <w:rsid w:val="000F6A0F"/>
    <w:rsid w:val="000F6B8F"/>
    <w:rsid w:val="000F6BF8"/>
    <w:rsid w:val="000F7343"/>
    <w:rsid w:val="000F753F"/>
    <w:rsid w:val="000F7E31"/>
    <w:rsid w:val="000F7EC8"/>
    <w:rsid w:val="000F7ED9"/>
    <w:rsid w:val="00100052"/>
    <w:rsid w:val="00100143"/>
    <w:rsid w:val="0010037C"/>
    <w:rsid w:val="0010053B"/>
    <w:rsid w:val="00100753"/>
    <w:rsid w:val="00100868"/>
    <w:rsid w:val="00100C5D"/>
    <w:rsid w:val="00101049"/>
    <w:rsid w:val="0010113E"/>
    <w:rsid w:val="001012F9"/>
    <w:rsid w:val="00101398"/>
    <w:rsid w:val="00101674"/>
    <w:rsid w:val="0010181E"/>
    <w:rsid w:val="001023CF"/>
    <w:rsid w:val="00102400"/>
    <w:rsid w:val="0010270F"/>
    <w:rsid w:val="00102AD4"/>
    <w:rsid w:val="00102AE6"/>
    <w:rsid w:val="00102CD1"/>
    <w:rsid w:val="00102D92"/>
    <w:rsid w:val="00102EA3"/>
    <w:rsid w:val="00103194"/>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C8B"/>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B4A"/>
    <w:rsid w:val="00117C1D"/>
    <w:rsid w:val="00117D51"/>
    <w:rsid w:val="001203AD"/>
    <w:rsid w:val="00120C80"/>
    <w:rsid w:val="00120D06"/>
    <w:rsid w:val="00120F9D"/>
    <w:rsid w:val="001212AE"/>
    <w:rsid w:val="0012134F"/>
    <w:rsid w:val="00121357"/>
    <w:rsid w:val="0012151F"/>
    <w:rsid w:val="00121B16"/>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93A"/>
    <w:rsid w:val="001259F1"/>
    <w:rsid w:val="00125F5F"/>
    <w:rsid w:val="00125FD4"/>
    <w:rsid w:val="001264EF"/>
    <w:rsid w:val="00126835"/>
    <w:rsid w:val="001269CC"/>
    <w:rsid w:val="00126B0F"/>
    <w:rsid w:val="00126C23"/>
    <w:rsid w:val="00126CE3"/>
    <w:rsid w:val="00126F6A"/>
    <w:rsid w:val="001277D3"/>
    <w:rsid w:val="00127AFA"/>
    <w:rsid w:val="00127F47"/>
    <w:rsid w:val="00130074"/>
    <w:rsid w:val="001302C2"/>
    <w:rsid w:val="00130328"/>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95A"/>
    <w:rsid w:val="00132B16"/>
    <w:rsid w:val="00133188"/>
    <w:rsid w:val="0013342B"/>
    <w:rsid w:val="001334C8"/>
    <w:rsid w:val="00133516"/>
    <w:rsid w:val="00133572"/>
    <w:rsid w:val="00133889"/>
    <w:rsid w:val="00133A21"/>
    <w:rsid w:val="00133C26"/>
    <w:rsid w:val="00133CD7"/>
    <w:rsid w:val="001347A3"/>
    <w:rsid w:val="00134A95"/>
    <w:rsid w:val="00134B49"/>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40"/>
    <w:rsid w:val="00136BF4"/>
    <w:rsid w:val="00136C22"/>
    <w:rsid w:val="00136D7A"/>
    <w:rsid w:val="00136E58"/>
    <w:rsid w:val="00136FA4"/>
    <w:rsid w:val="00137293"/>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77D"/>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572"/>
    <w:rsid w:val="001436BA"/>
    <w:rsid w:val="00143BC8"/>
    <w:rsid w:val="00143D95"/>
    <w:rsid w:val="00144571"/>
    <w:rsid w:val="001449DF"/>
    <w:rsid w:val="00144E4F"/>
    <w:rsid w:val="00144FDE"/>
    <w:rsid w:val="001450C8"/>
    <w:rsid w:val="001450D4"/>
    <w:rsid w:val="0014569B"/>
    <w:rsid w:val="0014576D"/>
    <w:rsid w:val="00145A75"/>
    <w:rsid w:val="00145E68"/>
    <w:rsid w:val="00146071"/>
    <w:rsid w:val="00146515"/>
    <w:rsid w:val="001466CD"/>
    <w:rsid w:val="00146AC3"/>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7C"/>
    <w:rsid w:val="00152BE1"/>
    <w:rsid w:val="00152D5E"/>
    <w:rsid w:val="00152E9D"/>
    <w:rsid w:val="00152EC8"/>
    <w:rsid w:val="00153226"/>
    <w:rsid w:val="00153971"/>
    <w:rsid w:val="00153A80"/>
    <w:rsid w:val="001543B6"/>
    <w:rsid w:val="00154624"/>
    <w:rsid w:val="00154633"/>
    <w:rsid w:val="00154882"/>
    <w:rsid w:val="001549FF"/>
    <w:rsid w:val="00154C69"/>
    <w:rsid w:val="00154D70"/>
    <w:rsid w:val="00154FED"/>
    <w:rsid w:val="00155359"/>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4E"/>
    <w:rsid w:val="00165F85"/>
    <w:rsid w:val="001660FC"/>
    <w:rsid w:val="00166112"/>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BA"/>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4B1"/>
    <w:rsid w:val="00174568"/>
    <w:rsid w:val="001746C4"/>
    <w:rsid w:val="001747BB"/>
    <w:rsid w:val="00174927"/>
    <w:rsid w:val="00174C5C"/>
    <w:rsid w:val="00174D9B"/>
    <w:rsid w:val="001752AD"/>
    <w:rsid w:val="001752D8"/>
    <w:rsid w:val="0017531E"/>
    <w:rsid w:val="0017534E"/>
    <w:rsid w:val="00175892"/>
    <w:rsid w:val="00175931"/>
    <w:rsid w:val="00175A45"/>
    <w:rsid w:val="00175CAC"/>
    <w:rsid w:val="00175E14"/>
    <w:rsid w:val="0017624E"/>
    <w:rsid w:val="001763AE"/>
    <w:rsid w:val="001765A6"/>
    <w:rsid w:val="0017698C"/>
    <w:rsid w:val="00176B25"/>
    <w:rsid w:val="00176C0A"/>
    <w:rsid w:val="0017702C"/>
    <w:rsid w:val="00177494"/>
    <w:rsid w:val="00177667"/>
    <w:rsid w:val="00177A03"/>
    <w:rsid w:val="00177A40"/>
    <w:rsid w:val="00180532"/>
    <w:rsid w:val="00180600"/>
    <w:rsid w:val="0018076F"/>
    <w:rsid w:val="001807BE"/>
    <w:rsid w:val="00180AEC"/>
    <w:rsid w:val="00180E98"/>
    <w:rsid w:val="00181021"/>
    <w:rsid w:val="001812D2"/>
    <w:rsid w:val="00181348"/>
    <w:rsid w:val="0018156C"/>
    <w:rsid w:val="00181A68"/>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A60"/>
    <w:rsid w:val="00184DCC"/>
    <w:rsid w:val="00184E9B"/>
    <w:rsid w:val="001852E5"/>
    <w:rsid w:val="00185486"/>
    <w:rsid w:val="0018553C"/>
    <w:rsid w:val="00185633"/>
    <w:rsid w:val="001857E3"/>
    <w:rsid w:val="00185A1B"/>
    <w:rsid w:val="00185BFA"/>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0DB4"/>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3EF4"/>
    <w:rsid w:val="001947DF"/>
    <w:rsid w:val="001948AA"/>
    <w:rsid w:val="0019509C"/>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0A"/>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2EFC"/>
    <w:rsid w:val="001B3114"/>
    <w:rsid w:val="001B32D2"/>
    <w:rsid w:val="001B33A1"/>
    <w:rsid w:val="001B36C2"/>
    <w:rsid w:val="001B3B2E"/>
    <w:rsid w:val="001B3CB4"/>
    <w:rsid w:val="001B3E73"/>
    <w:rsid w:val="001B4144"/>
    <w:rsid w:val="001B4CB1"/>
    <w:rsid w:val="001B4CDE"/>
    <w:rsid w:val="001B4ED7"/>
    <w:rsid w:val="001B4F3D"/>
    <w:rsid w:val="001B5155"/>
    <w:rsid w:val="001B52B8"/>
    <w:rsid w:val="001B5397"/>
    <w:rsid w:val="001B5583"/>
    <w:rsid w:val="001B5975"/>
    <w:rsid w:val="001B5A6A"/>
    <w:rsid w:val="001B5CE2"/>
    <w:rsid w:val="001B5E1E"/>
    <w:rsid w:val="001B5FC9"/>
    <w:rsid w:val="001B610A"/>
    <w:rsid w:val="001B6624"/>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74E"/>
    <w:rsid w:val="001C17CF"/>
    <w:rsid w:val="001C19CF"/>
    <w:rsid w:val="001C1AE8"/>
    <w:rsid w:val="001C2A7A"/>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3AB"/>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31A"/>
    <w:rsid w:val="001D041D"/>
    <w:rsid w:val="001D0811"/>
    <w:rsid w:val="001D0907"/>
    <w:rsid w:val="001D0ADD"/>
    <w:rsid w:val="001D0F56"/>
    <w:rsid w:val="001D129E"/>
    <w:rsid w:val="001D1606"/>
    <w:rsid w:val="001D1802"/>
    <w:rsid w:val="001D1820"/>
    <w:rsid w:val="001D1917"/>
    <w:rsid w:val="001D1A48"/>
    <w:rsid w:val="001D1B3E"/>
    <w:rsid w:val="001D1D6F"/>
    <w:rsid w:val="001D1DDD"/>
    <w:rsid w:val="001D1E12"/>
    <w:rsid w:val="001D1EBF"/>
    <w:rsid w:val="001D1F1C"/>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4A0"/>
    <w:rsid w:val="001D5897"/>
    <w:rsid w:val="001D5909"/>
    <w:rsid w:val="001D59C8"/>
    <w:rsid w:val="001D5B51"/>
    <w:rsid w:val="001D5DE7"/>
    <w:rsid w:val="001D600D"/>
    <w:rsid w:val="001D61A4"/>
    <w:rsid w:val="001D6967"/>
    <w:rsid w:val="001D69BD"/>
    <w:rsid w:val="001D6A97"/>
    <w:rsid w:val="001D6AF4"/>
    <w:rsid w:val="001D6D0B"/>
    <w:rsid w:val="001D712C"/>
    <w:rsid w:val="001D72BB"/>
    <w:rsid w:val="001D72E9"/>
    <w:rsid w:val="001D7E54"/>
    <w:rsid w:val="001D7F9C"/>
    <w:rsid w:val="001E016A"/>
    <w:rsid w:val="001E01C5"/>
    <w:rsid w:val="001E024A"/>
    <w:rsid w:val="001E0586"/>
    <w:rsid w:val="001E075F"/>
    <w:rsid w:val="001E07D8"/>
    <w:rsid w:val="001E0A43"/>
    <w:rsid w:val="001E0BF2"/>
    <w:rsid w:val="001E0CC1"/>
    <w:rsid w:val="001E0CC5"/>
    <w:rsid w:val="001E0D6C"/>
    <w:rsid w:val="001E0DF3"/>
    <w:rsid w:val="001E115A"/>
    <w:rsid w:val="001E133B"/>
    <w:rsid w:val="001E1432"/>
    <w:rsid w:val="001E1BEF"/>
    <w:rsid w:val="001E1C10"/>
    <w:rsid w:val="001E1E85"/>
    <w:rsid w:val="001E1E94"/>
    <w:rsid w:val="001E2371"/>
    <w:rsid w:val="001E273B"/>
    <w:rsid w:val="001E2988"/>
    <w:rsid w:val="001E2F9C"/>
    <w:rsid w:val="001E3160"/>
    <w:rsid w:val="001E3315"/>
    <w:rsid w:val="001E3CC0"/>
    <w:rsid w:val="001E4017"/>
    <w:rsid w:val="001E42D9"/>
    <w:rsid w:val="001E4396"/>
    <w:rsid w:val="001E4562"/>
    <w:rsid w:val="001E4719"/>
    <w:rsid w:val="001E4D1D"/>
    <w:rsid w:val="001E4D40"/>
    <w:rsid w:val="001E5182"/>
    <w:rsid w:val="001E59AC"/>
    <w:rsid w:val="001E60D3"/>
    <w:rsid w:val="001E64ED"/>
    <w:rsid w:val="001E6510"/>
    <w:rsid w:val="001E6578"/>
    <w:rsid w:val="001E6742"/>
    <w:rsid w:val="001E67C8"/>
    <w:rsid w:val="001E7112"/>
    <w:rsid w:val="001E71B5"/>
    <w:rsid w:val="001E77C3"/>
    <w:rsid w:val="001E793B"/>
    <w:rsid w:val="001E7A68"/>
    <w:rsid w:val="001E7CED"/>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857"/>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9E"/>
    <w:rsid w:val="00205AB4"/>
    <w:rsid w:val="00205F9E"/>
    <w:rsid w:val="002061AF"/>
    <w:rsid w:val="002063CD"/>
    <w:rsid w:val="002065AD"/>
    <w:rsid w:val="00206650"/>
    <w:rsid w:val="00207130"/>
    <w:rsid w:val="002072EE"/>
    <w:rsid w:val="002073F8"/>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3A7"/>
    <w:rsid w:val="00212430"/>
    <w:rsid w:val="00212BEF"/>
    <w:rsid w:val="00212D2A"/>
    <w:rsid w:val="00212E76"/>
    <w:rsid w:val="002135F6"/>
    <w:rsid w:val="002138D8"/>
    <w:rsid w:val="00213961"/>
    <w:rsid w:val="00213A77"/>
    <w:rsid w:val="00213B6B"/>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2EBD"/>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0E1B"/>
    <w:rsid w:val="00241060"/>
    <w:rsid w:val="002410BA"/>
    <w:rsid w:val="002415E2"/>
    <w:rsid w:val="002415F2"/>
    <w:rsid w:val="0024178D"/>
    <w:rsid w:val="00241974"/>
    <w:rsid w:val="002421AF"/>
    <w:rsid w:val="002421C2"/>
    <w:rsid w:val="0024225E"/>
    <w:rsid w:val="00242518"/>
    <w:rsid w:val="00242584"/>
    <w:rsid w:val="00242782"/>
    <w:rsid w:val="002427E1"/>
    <w:rsid w:val="00242841"/>
    <w:rsid w:val="00242CC4"/>
    <w:rsid w:val="00243873"/>
    <w:rsid w:val="0024392B"/>
    <w:rsid w:val="00243958"/>
    <w:rsid w:val="002439E7"/>
    <w:rsid w:val="00243B85"/>
    <w:rsid w:val="00243F62"/>
    <w:rsid w:val="0024419C"/>
    <w:rsid w:val="002442D8"/>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2BA"/>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152"/>
    <w:rsid w:val="002606C0"/>
    <w:rsid w:val="002606FC"/>
    <w:rsid w:val="002609C2"/>
    <w:rsid w:val="00260A0B"/>
    <w:rsid w:val="00260A11"/>
    <w:rsid w:val="00260C35"/>
    <w:rsid w:val="00260C39"/>
    <w:rsid w:val="00260DE2"/>
    <w:rsid w:val="002610A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6E7"/>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3E2"/>
    <w:rsid w:val="002725FC"/>
    <w:rsid w:val="00272897"/>
    <w:rsid w:val="00272D02"/>
    <w:rsid w:val="00272F17"/>
    <w:rsid w:val="00272FE0"/>
    <w:rsid w:val="00273360"/>
    <w:rsid w:val="00273594"/>
    <w:rsid w:val="0027376B"/>
    <w:rsid w:val="00273E3E"/>
    <w:rsid w:val="00274147"/>
    <w:rsid w:val="00274261"/>
    <w:rsid w:val="00274350"/>
    <w:rsid w:val="0027451D"/>
    <w:rsid w:val="002745EE"/>
    <w:rsid w:val="002745F5"/>
    <w:rsid w:val="002747AA"/>
    <w:rsid w:val="002747FF"/>
    <w:rsid w:val="002748D8"/>
    <w:rsid w:val="00275189"/>
    <w:rsid w:val="002756DC"/>
    <w:rsid w:val="00275A64"/>
    <w:rsid w:val="00275BEB"/>
    <w:rsid w:val="00275CBC"/>
    <w:rsid w:val="00275D3E"/>
    <w:rsid w:val="00276021"/>
    <w:rsid w:val="00276412"/>
    <w:rsid w:val="00276437"/>
    <w:rsid w:val="002766E3"/>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DC0"/>
    <w:rsid w:val="00280F9E"/>
    <w:rsid w:val="002816FC"/>
    <w:rsid w:val="00281CBC"/>
    <w:rsid w:val="00281E44"/>
    <w:rsid w:val="00281E63"/>
    <w:rsid w:val="0028203F"/>
    <w:rsid w:val="00282049"/>
    <w:rsid w:val="00282050"/>
    <w:rsid w:val="0028232D"/>
    <w:rsid w:val="00282441"/>
    <w:rsid w:val="00282498"/>
    <w:rsid w:val="0028260D"/>
    <w:rsid w:val="002828B1"/>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1DBE"/>
    <w:rsid w:val="002924A6"/>
    <w:rsid w:val="002925A7"/>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BD7"/>
    <w:rsid w:val="002A4E83"/>
    <w:rsid w:val="002A4FC0"/>
    <w:rsid w:val="002A545A"/>
    <w:rsid w:val="002A567F"/>
    <w:rsid w:val="002A5C7C"/>
    <w:rsid w:val="002A5CF5"/>
    <w:rsid w:val="002A5DD3"/>
    <w:rsid w:val="002A5E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2D"/>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711"/>
    <w:rsid w:val="002B486A"/>
    <w:rsid w:val="002B48F9"/>
    <w:rsid w:val="002B4B5B"/>
    <w:rsid w:val="002B4D5D"/>
    <w:rsid w:val="002B4DA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33E"/>
    <w:rsid w:val="002C145F"/>
    <w:rsid w:val="002C169D"/>
    <w:rsid w:val="002C181C"/>
    <w:rsid w:val="002C1B0C"/>
    <w:rsid w:val="002C1B93"/>
    <w:rsid w:val="002C231E"/>
    <w:rsid w:val="002C2487"/>
    <w:rsid w:val="002C2791"/>
    <w:rsid w:val="002C281A"/>
    <w:rsid w:val="002C2893"/>
    <w:rsid w:val="002C2E98"/>
    <w:rsid w:val="002C30E7"/>
    <w:rsid w:val="002C3144"/>
    <w:rsid w:val="002C33B3"/>
    <w:rsid w:val="002C3502"/>
    <w:rsid w:val="002C371F"/>
    <w:rsid w:val="002C3CAC"/>
    <w:rsid w:val="002C44B0"/>
    <w:rsid w:val="002C4CCA"/>
    <w:rsid w:val="002C4DF4"/>
    <w:rsid w:val="002C4E07"/>
    <w:rsid w:val="002C4E8E"/>
    <w:rsid w:val="002C51D3"/>
    <w:rsid w:val="002C55AD"/>
    <w:rsid w:val="002C5BF9"/>
    <w:rsid w:val="002C5CF6"/>
    <w:rsid w:val="002C6174"/>
    <w:rsid w:val="002C6C72"/>
    <w:rsid w:val="002C709A"/>
    <w:rsid w:val="002C70B6"/>
    <w:rsid w:val="002C70E1"/>
    <w:rsid w:val="002C7157"/>
    <w:rsid w:val="002C779D"/>
    <w:rsid w:val="002C7A0F"/>
    <w:rsid w:val="002C7F44"/>
    <w:rsid w:val="002D03E9"/>
    <w:rsid w:val="002D0586"/>
    <w:rsid w:val="002D071A"/>
    <w:rsid w:val="002D0E5B"/>
    <w:rsid w:val="002D1023"/>
    <w:rsid w:val="002D1459"/>
    <w:rsid w:val="002D1470"/>
    <w:rsid w:val="002D15E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71B"/>
    <w:rsid w:val="002D5B56"/>
    <w:rsid w:val="002D5B65"/>
    <w:rsid w:val="002D6396"/>
    <w:rsid w:val="002D6412"/>
    <w:rsid w:val="002D6AB8"/>
    <w:rsid w:val="002D6E17"/>
    <w:rsid w:val="002D712F"/>
    <w:rsid w:val="002D71DE"/>
    <w:rsid w:val="002D74C1"/>
    <w:rsid w:val="002D74E0"/>
    <w:rsid w:val="002D79BE"/>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F5C"/>
    <w:rsid w:val="002E1FE5"/>
    <w:rsid w:val="002E221F"/>
    <w:rsid w:val="002E22A5"/>
    <w:rsid w:val="002E2409"/>
    <w:rsid w:val="002E26D6"/>
    <w:rsid w:val="002E2703"/>
    <w:rsid w:val="002E2831"/>
    <w:rsid w:val="002E2C8D"/>
    <w:rsid w:val="002E2F65"/>
    <w:rsid w:val="002E3380"/>
    <w:rsid w:val="002E3929"/>
    <w:rsid w:val="002E3AB8"/>
    <w:rsid w:val="002E3C37"/>
    <w:rsid w:val="002E3C96"/>
    <w:rsid w:val="002E44F2"/>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D44"/>
    <w:rsid w:val="002E6E06"/>
    <w:rsid w:val="002E6EE1"/>
    <w:rsid w:val="002E712E"/>
    <w:rsid w:val="002E7573"/>
    <w:rsid w:val="002E7859"/>
    <w:rsid w:val="002E7A54"/>
    <w:rsid w:val="002F0204"/>
    <w:rsid w:val="002F0223"/>
    <w:rsid w:val="002F028D"/>
    <w:rsid w:val="002F05E2"/>
    <w:rsid w:val="002F0B81"/>
    <w:rsid w:val="002F0DA4"/>
    <w:rsid w:val="002F0FBB"/>
    <w:rsid w:val="002F0FD9"/>
    <w:rsid w:val="002F0FF4"/>
    <w:rsid w:val="002F11FE"/>
    <w:rsid w:val="002F1296"/>
    <w:rsid w:val="002F153A"/>
    <w:rsid w:val="002F16D5"/>
    <w:rsid w:val="002F186E"/>
    <w:rsid w:val="002F1B83"/>
    <w:rsid w:val="002F1D25"/>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3BEB"/>
    <w:rsid w:val="002F40D7"/>
    <w:rsid w:val="002F4361"/>
    <w:rsid w:val="002F43CA"/>
    <w:rsid w:val="002F4933"/>
    <w:rsid w:val="002F4A7F"/>
    <w:rsid w:val="002F4B08"/>
    <w:rsid w:val="002F4BB6"/>
    <w:rsid w:val="002F4F0D"/>
    <w:rsid w:val="002F57AA"/>
    <w:rsid w:val="002F5894"/>
    <w:rsid w:val="002F5C74"/>
    <w:rsid w:val="002F5D1E"/>
    <w:rsid w:val="002F5D21"/>
    <w:rsid w:val="002F5DAA"/>
    <w:rsid w:val="002F5F34"/>
    <w:rsid w:val="002F5F9B"/>
    <w:rsid w:val="002F60B2"/>
    <w:rsid w:val="002F6381"/>
    <w:rsid w:val="002F6841"/>
    <w:rsid w:val="002F6EF7"/>
    <w:rsid w:val="002F714C"/>
    <w:rsid w:val="002F77BF"/>
    <w:rsid w:val="002F781B"/>
    <w:rsid w:val="002F7BD0"/>
    <w:rsid w:val="00300190"/>
    <w:rsid w:val="003004A2"/>
    <w:rsid w:val="003004E4"/>
    <w:rsid w:val="003008A9"/>
    <w:rsid w:val="003009B3"/>
    <w:rsid w:val="00300A75"/>
    <w:rsid w:val="00300BDF"/>
    <w:rsid w:val="00300C9C"/>
    <w:rsid w:val="00300D6A"/>
    <w:rsid w:val="00300FC2"/>
    <w:rsid w:val="00301201"/>
    <w:rsid w:val="003012DA"/>
    <w:rsid w:val="0030147D"/>
    <w:rsid w:val="0030158D"/>
    <w:rsid w:val="00301691"/>
    <w:rsid w:val="003016A7"/>
    <w:rsid w:val="003019AB"/>
    <w:rsid w:val="003019E5"/>
    <w:rsid w:val="00301E0B"/>
    <w:rsid w:val="00301F8F"/>
    <w:rsid w:val="00301FDB"/>
    <w:rsid w:val="0030270D"/>
    <w:rsid w:val="00302A8A"/>
    <w:rsid w:val="00302B41"/>
    <w:rsid w:val="00302B60"/>
    <w:rsid w:val="00302D93"/>
    <w:rsid w:val="00302F02"/>
    <w:rsid w:val="00303622"/>
    <w:rsid w:val="0030393C"/>
    <w:rsid w:val="00303DB2"/>
    <w:rsid w:val="00303DD5"/>
    <w:rsid w:val="003046D0"/>
    <w:rsid w:val="00304A8A"/>
    <w:rsid w:val="00305045"/>
    <w:rsid w:val="00305670"/>
    <w:rsid w:val="003056CB"/>
    <w:rsid w:val="0030572C"/>
    <w:rsid w:val="0030579F"/>
    <w:rsid w:val="00305834"/>
    <w:rsid w:val="00305B37"/>
    <w:rsid w:val="00305D38"/>
    <w:rsid w:val="0030602A"/>
    <w:rsid w:val="00306586"/>
    <w:rsid w:val="0030661B"/>
    <w:rsid w:val="0030665C"/>
    <w:rsid w:val="003066E8"/>
    <w:rsid w:val="00306B6D"/>
    <w:rsid w:val="00306C59"/>
    <w:rsid w:val="00306D43"/>
    <w:rsid w:val="00307556"/>
    <w:rsid w:val="003079D8"/>
    <w:rsid w:val="003079F8"/>
    <w:rsid w:val="00307B74"/>
    <w:rsid w:val="00307F23"/>
    <w:rsid w:val="0031023C"/>
    <w:rsid w:val="00310764"/>
    <w:rsid w:val="00310831"/>
    <w:rsid w:val="00310E57"/>
    <w:rsid w:val="00310FDB"/>
    <w:rsid w:val="00311206"/>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070"/>
    <w:rsid w:val="00316477"/>
    <w:rsid w:val="00316794"/>
    <w:rsid w:val="00316D08"/>
    <w:rsid w:val="00316F8A"/>
    <w:rsid w:val="00317088"/>
    <w:rsid w:val="00317597"/>
    <w:rsid w:val="003175E1"/>
    <w:rsid w:val="003179A1"/>
    <w:rsid w:val="00317CB0"/>
    <w:rsid w:val="00320203"/>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A34"/>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121"/>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CEC"/>
    <w:rsid w:val="00342D2E"/>
    <w:rsid w:val="00342DBA"/>
    <w:rsid w:val="00342DFE"/>
    <w:rsid w:val="00343765"/>
    <w:rsid w:val="00343800"/>
    <w:rsid w:val="00343E8C"/>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D2E"/>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E71"/>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97A"/>
    <w:rsid w:val="00373BDB"/>
    <w:rsid w:val="00374059"/>
    <w:rsid w:val="003748B4"/>
    <w:rsid w:val="00374AC1"/>
    <w:rsid w:val="00374EE2"/>
    <w:rsid w:val="00375975"/>
    <w:rsid w:val="00375C00"/>
    <w:rsid w:val="00376138"/>
    <w:rsid w:val="00376226"/>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3A7"/>
    <w:rsid w:val="00391A90"/>
    <w:rsid w:val="00391C63"/>
    <w:rsid w:val="00391E9B"/>
    <w:rsid w:val="00392143"/>
    <w:rsid w:val="00392465"/>
    <w:rsid w:val="0039277B"/>
    <w:rsid w:val="003927F0"/>
    <w:rsid w:val="00392822"/>
    <w:rsid w:val="00392F53"/>
    <w:rsid w:val="003931F6"/>
    <w:rsid w:val="00393247"/>
    <w:rsid w:val="003935EE"/>
    <w:rsid w:val="00393787"/>
    <w:rsid w:val="00393D0A"/>
    <w:rsid w:val="00393D55"/>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C68"/>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8BC"/>
    <w:rsid w:val="003B0991"/>
    <w:rsid w:val="003B0ABD"/>
    <w:rsid w:val="003B0CFA"/>
    <w:rsid w:val="003B0DF4"/>
    <w:rsid w:val="003B0E90"/>
    <w:rsid w:val="003B13C2"/>
    <w:rsid w:val="003B178D"/>
    <w:rsid w:val="003B1D62"/>
    <w:rsid w:val="003B21DB"/>
    <w:rsid w:val="003B255B"/>
    <w:rsid w:val="003B26DD"/>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77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0571"/>
    <w:rsid w:val="003C11B0"/>
    <w:rsid w:val="003C1397"/>
    <w:rsid w:val="003C159C"/>
    <w:rsid w:val="003C1617"/>
    <w:rsid w:val="003C1CA5"/>
    <w:rsid w:val="003C1EC7"/>
    <w:rsid w:val="003C1F75"/>
    <w:rsid w:val="003C2080"/>
    <w:rsid w:val="003C2105"/>
    <w:rsid w:val="003C257A"/>
    <w:rsid w:val="003C2662"/>
    <w:rsid w:val="003C2AB6"/>
    <w:rsid w:val="003C2B47"/>
    <w:rsid w:val="003C2B4E"/>
    <w:rsid w:val="003C2DA8"/>
    <w:rsid w:val="003C2E01"/>
    <w:rsid w:val="003C3356"/>
    <w:rsid w:val="003C37FA"/>
    <w:rsid w:val="003C390E"/>
    <w:rsid w:val="003C3C00"/>
    <w:rsid w:val="003C3D8E"/>
    <w:rsid w:val="003C3FA0"/>
    <w:rsid w:val="003C41E3"/>
    <w:rsid w:val="003C4655"/>
    <w:rsid w:val="003C4956"/>
    <w:rsid w:val="003C4989"/>
    <w:rsid w:val="003C4E70"/>
    <w:rsid w:val="003C5261"/>
    <w:rsid w:val="003C52B1"/>
    <w:rsid w:val="003C561B"/>
    <w:rsid w:val="003C5945"/>
    <w:rsid w:val="003C5E61"/>
    <w:rsid w:val="003C62A8"/>
    <w:rsid w:val="003C64A0"/>
    <w:rsid w:val="003C6667"/>
    <w:rsid w:val="003C6CA8"/>
    <w:rsid w:val="003C6F0B"/>
    <w:rsid w:val="003C76EC"/>
    <w:rsid w:val="003C7864"/>
    <w:rsid w:val="003C7941"/>
    <w:rsid w:val="003C7AA8"/>
    <w:rsid w:val="003C7BA3"/>
    <w:rsid w:val="003C7C30"/>
    <w:rsid w:val="003C7E00"/>
    <w:rsid w:val="003C7EBE"/>
    <w:rsid w:val="003C7EFF"/>
    <w:rsid w:val="003C7F2E"/>
    <w:rsid w:val="003D0700"/>
    <w:rsid w:val="003D08BD"/>
    <w:rsid w:val="003D0974"/>
    <w:rsid w:val="003D0C3D"/>
    <w:rsid w:val="003D0F3F"/>
    <w:rsid w:val="003D0F7F"/>
    <w:rsid w:val="003D106A"/>
    <w:rsid w:val="003D15E2"/>
    <w:rsid w:val="003D1CC8"/>
    <w:rsid w:val="003D1EE0"/>
    <w:rsid w:val="003D1F14"/>
    <w:rsid w:val="003D2AD7"/>
    <w:rsid w:val="003D2CA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2D3"/>
    <w:rsid w:val="003D5346"/>
    <w:rsid w:val="003D58AC"/>
    <w:rsid w:val="003D5EE8"/>
    <w:rsid w:val="003D6010"/>
    <w:rsid w:val="003D628E"/>
    <w:rsid w:val="003D63CD"/>
    <w:rsid w:val="003D6CEB"/>
    <w:rsid w:val="003D6EA9"/>
    <w:rsid w:val="003D7447"/>
    <w:rsid w:val="003D757A"/>
    <w:rsid w:val="003D7CA7"/>
    <w:rsid w:val="003E0A37"/>
    <w:rsid w:val="003E0D78"/>
    <w:rsid w:val="003E104C"/>
    <w:rsid w:val="003E1101"/>
    <w:rsid w:val="003E1602"/>
    <w:rsid w:val="003E1643"/>
    <w:rsid w:val="003E17F1"/>
    <w:rsid w:val="003E18EB"/>
    <w:rsid w:val="003E1CB1"/>
    <w:rsid w:val="003E1F10"/>
    <w:rsid w:val="003E2658"/>
    <w:rsid w:val="003E2C46"/>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580"/>
    <w:rsid w:val="003E56CD"/>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0F7"/>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450"/>
    <w:rsid w:val="003F56CF"/>
    <w:rsid w:val="003F58B9"/>
    <w:rsid w:val="003F5937"/>
    <w:rsid w:val="003F5B10"/>
    <w:rsid w:val="003F5B2B"/>
    <w:rsid w:val="003F63F4"/>
    <w:rsid w:val="003F65E5"/>
    <w:rsid w:val="003F67E9"/>
    <w:rsid w:val="003F6890"/>
    <w:rsid w:val="003F6A6F"/>
    <w:rsid w:val="003F6DE2"/>
    <w:rsid w:val="003F6FDF"/>
    <w:rsid w:val="003F7207"/>
    <w:rsid w:val="003F7735"/>
    <w:rsid w:val="003F780D"/>
    <w:rsid w:val="003F7A7D"/>
    <w:rsid w:val="0040008E"/>
    <w:rsid w:val="00400386"/>
    <w:rsid w:val="00400617"/>
    <w:rsid w:val="00400735"/>
    <w:rsid w:val="00400791"/>
    <w:rsid w:val="00400879"/>
    <w:rsid w:val="00400F45"/>
    <w:rsid w:val="00401107"/>
    <w:rsid w:val="004013E0"/>
    <w:rsid w:val="004016F5"/>
    <w:rsid w:val="0040186F"/>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1BB"/>
    <w:rsid w:val="004052B2"/>
    <w:rsid w:val="0040549A"/>
    <w:rsid w:val="00405994"/>
    <w:rsid w:val="00405A50"/>
    <w:rsid w:val="00405AB0"/>
    <w:rsid w:val="00405CC9"/>
    <w:rsid w:val="00405D4C"/>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81C"/>
    <w:rsid w:val="00410905"/>
    <w:rsid w:val="00410924"/>
    <w:rsid w:val="00410F52"/>
    <w:rsid w:val="00410FCF"/>
    <w:rsid w:val="0041177B"/>
    <w:rsid w:val="00411843"/>
    <w:rsid w:val="004119F6"/>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3F2F"/>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2D"/>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2EE"/>
    <w:rsid w:val="0042357C"/>
    <w:rsid w:val="00423ED1"/>
    <w:rsid w:val="004240F5"/>
    <w:rsid w:val="0042415E"/>
    <w:rsid w:val="004242B5"/>
    <w:rsid w:val="00424348"/>
    <w:rsid w:val="0042480E"/>
    <w:rsid w:val="004248A1"/>
    <w:rsid w:val="00424A39"/>
    <w:rsid w:val="00424B63"/>
    <w:rsid w:val="00424C79"/>
    <w:rsid w:val="004255C9"/>
    <w:rsid w:val="00425999"/>
    <w:rsid w:val="00425A29"/>
    <w:rsid w:val="00425B8D"/>
    <w:rsid w:val="00425BFB"/>
    <w:rsid w:val="004265CE"/>
    <w:rsid w:val="00426CD9"/>
    <w:rsid w:val="00426FBC"/>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D2D"/>
    <w:rsid w:val="004340D5"/>
    <w:rsid w:val="004342E8"/>
    <w:rsid w:val="004347F1"/>
    <w:rsid w:val="00434880"/>
    <w:rsid w:val="00434A21"/>
    <w:rsid w:val="00434A41"/>
    <w:rsid w:val="0043526D"/>
    <w:rsid w:val="004353D6"/>
    <w:rsid w:val="00435955"/>
    <w:rsid w:val="00435BF1"/>
    <w:rsid w:val="00435C1D"/>
    <w:rsid w:val="004361F9"/>
    <w:rsid w:val="00436260"/>
    <w:rsid w:val="004369B7"/>
    <w:rsid w:val="00436B23"/>
    <w:rsid w:val="00436CC3"/>
    <w:rsid w:val="004374ED"/>
    <w:rsid w:val="00437A70"/>
    <w:rsid w:val="00437AEF"/>
    <w:rsid w:val="00437C32"/>
    <w:rsid w:val="004400A6"/>
    <w:rsid w:val="00440643"/>
    <w:rsid w:val="00440785"/>
    <w:rsid w:val="00440828"/>
    <w:rsid w:val="00440AFF"/>
    <w:rsid w:val="00440C65"/>
    <w:rsid w:val="00440F91"/>
    <w:rsid w:val="004417A4"/>
    <w:rsid w:val="00441880"/>
    <w:rsid w:val="004420A9"/>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784"/>
    <w:rsid w:val="004458ED"/>
    <w:rsid w:val="00445963"/>
    <w:rsid w:val="00445B3B"/>
    <w:rsid w:val="00445C6C"/>
    <w:rsid w:val="00445D7A"/>
    <w:rsid w:val="00446009"/>
    <w:rsid w:val="004460E9"/>
    <w:rsid w:val="00446400"/>
    <w:rsid w:val="0044672B"/>
    <w:rsid w:val="004468ED"/>
    <w:rsid w:val="00446BF9"/>
    <w:rsid w:val="00446DD7"/>
    <w:rsid w:val="00446F48"/>
    <w:rsid w:val="004471E1"/>
    <w:rsid w:val="00447423"/>
    <w:rsid w:val="004476C1"/>
    <w:rsid w:val="0044786F"/>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2C10"/>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12E"/>
    <w:rsid w:val="004555EA"/>
    <w:rsid w:val="00455685"/>
    <w:rsid w:val="004557B0"/>
    <w:rsid w:val="0045583B"/>
    <w:rsid w:val="00455DD2"/>
    <w:rsid w:val="00455E38"/>
    <w:rsid w:val="00455FED"/>
    <w:rsid w:val="004562B3"/>
    <w:rsid w:val="00456573"/>
    <w:rsid w:val="00456AB1"/>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BF7"/>
    <w:rsid w:val="00460E32"/>
    <w:rsid w:val="00461007"/>
    <w:rsid w:val="0046120A"/>
    <w:rsid w:val="0046148A"/>
    <w:rsid w:val="00461754"/>
    <w:rsid w:val="004618DD"/>
    <w:rsid w:val="00461CA4"/>
    <w:rsid w:val="004624AA"/>
    <w:rsid w:val="00462614"/>
    <w:rsid w:val="00462E64"/>
    <w:rsid w:val="00462F2C"/>
    <w:rsid w:val="00462F79"/>
    <w:rsid w:val="00463172"/>
    <w:rsid w:val="00463438"/>
    <w:rsid w:val="00463878"/>
    <w:rsid w:val="004638C5"/>
    <w:rsid w:val="00463BF9"/>
    <w:rsid w:val="00463CC2"/>
    <w:rsid w:val="00463ECE"/>
    <w:rsid w:val="0046433C"/>
    <w:rsid w:val="00464354"/>
    <w:rsid w:val="0046462E"/>
    <w:rsid w:val="004649E9"/>
    <w:rsid w:val="00464D75"/>
    <w:rsid w:val="004651E3"/>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67F17"/>
    <w:rsid w:val="004700DF"/>
    <w:rsid w:val="004701E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3CF4"/>
    <w:rsid w:val="00473F77"/>
    <w:rsid w:val="004743BF"/>
    <w:rsid w:val="0047448C"/>
    <w:rsid w:val="004746A9"/>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398C"/>
    <w:rsid w:val="004840ED"/>
    <w:rsid w:val="00484296"/>
    <w:rsid w:val="0048445D"/>
    <w:rsid w:val="004845D8"/>
    <w:rsid w:val="0048491C"/>
    <w:rsid w:val="00484A93"/>
    <w:rsid w:val="00484DB6"/>
    <w:rsid w:val="004857EE"/>
    <w:rsid w:val="004859EE"/>
    <w:rsid w:val="00485CBF"/>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658"/>
    <w:rsid w:val="0049072C"/>
    <w:rsid w:val="00490D32"/>
    <w:rsid w:val="00490FD1"/>
    <w:rsid w:val="00491532"/>
    <w:rsid w:val="00491AD2"/>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36D"/>
    <w:rsid w:val="004955B8"/>
    <w:rsid w:val="00495685"/>
    <w:rsid w:val="004956A2"/>
    <w:rsid w:val="004956D4"/>
    <w:rsid w:val="004959D1"/>
    <w:rsid w:val="00495A86"/>
    <w:rsid w:val="00495B2F"/>
    <w:rsid w:val="00495D03"/>
    <w:rsid w:val="00496414"/>
    <w:rsid w:val="00496C91"/>
    <w:rsid w:val="00496C9C"/>
    <w:rsid w:val="00497731"/>
    <w:rsid w:val="00497870"/>
    <w:rsid w:val="004979E5"/>
    <w:rsid w:val="00497A38"/>
    <w:rsid w:val="00497B34"/>
    <w:rsid w:val="00497C28"/>
    <w:rsid w:val="00497C91"/>
    <w:rsid w:val="00497D8C"/>
    <w:rsid w:val="00497DD3"/>
    <w:rsid w:val="00497F99"/>
    <w:rsid w:val="004A04D1"/>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29BD"/>
    <w:rsid w:val="004A303D"/>
    <w:rsid w:val="004A32C4"/>
    <w:rsid w:val="004A32CB"/>
    <w:rsid w:val="004A333E"/>
    <w:rsid w:val="004A3390"/>
    <w:rsid w:val="004A33D3"/>
    <w:rsid w:val="004A3647"/>
    <w:rsid w:val="004A3C20"/>
    <w:rsid w:val="004A3C8B"/>
    <w:rsid w:val="004A3CDC"/>
    <w:rsid w:val="004A3E45"/>
    <w:rsid w:val="004A4136"/>
    <w:rsid w:val="004A4306"/>
    <w:rsid w:val="004A432C"/>
    <w:rsid w:val="004A43C5"/>
    <w:rsid w:val="004A45BD"/>
    <w:rsid w:val="004A4656"/>
    <w:rsid w:val="004A4917"/>
    <w:rsid w:val="004A4D5E"/>
    <w:rsid w:val="004A4EDF"/>
    <w:rsid w:val="004A5331"/>
    <w:rsid w:val="004A53A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A7D34"/>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7CF"/>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5F"/>
    <w:rsid w:val="004B4EB0"/>
    <w:rsid w:val="004B5166"/>
    <w:rsid w:val="004B5433"/>
    <w:rsid w:val="004B5519"/>
    <w:rsid w:val="004B5ADD"/>
    <w:rsid w:val="004B6095"/>
    <w:rsid w:val="004B6F91"/>
    <w:rsid w:val="004B7542"/>
    <w:rsid w:val="004B7595"/>
    <w:rsid w:val="004B7A6E"/>
    <w:rsid w:val="004B7BE5"/>
    <w:rsid w:val="004B7C3C"/>
    <w:rsid w:val="004B7F67"/>
    <w:rsid w:val="004C059B"/>
    <w:rsid w:val="004C05B2"/>
    <w:rsid w:val="004C06BE"/>
    <w:rsid w:val="004C07E8"/>
    <w:rsid w:val="004C08FF"/>
    <w:rsid w:val="004C092F"/>
    <w:rsid w:val="004C0938"/>
    <w:rsid w:val="004C101A"/>
    <w:rsid w:val="004C140C"/>
    <w:rsid w:val="004C1882"/>
    <w:rsid w:val="004C1994"/>
    <w:rsid w:val="004C1A23"/>
    <w:rsid w:val="004C1C0E"/>
    <w:rsid w:val="004C1F64"/>
    <w:rsid w:val="004C20D3"/>
    <w:rsid w:val="004C21B4"/>
    <w:rsid w:val="004C2914"/>
    <w:rsid w:val="004C2A41"/>
    <w:rsid w:val="004C2B11"/>
    <w:rsid w:val="004C3052"/>
    <w:rsid w:val="004C31FD"/>
    <w:rsid w:val="004C3517"/>
    <w:rsid w:val="004C38E6"/>
    <w:rsid w:val="004C3B0C"/>
    <w:rsid w:val="004C3D9D"/>
    <w:rsid w:val="004C4294"/>
    <w:rsid w:val="004C4353"/>
    <w:rsid w:val="004C4710"/>
    <w:rsid w:val="004C4744"/>
    <w:rsid w:val="004C4749"/>
    <w:rsid w:val="004C48BE"/>
    <w:rsid w:val="004C4B2A"/>
    <w:rsid w:val="004C4FAE"/>
    <w:rsid w:val="004C501E"/>
    <w:rsid w:val="004C5174"/>
    <w:rsid w:val="004C5784"/>
    <w:rsid w:val="004C5D84"/>
    <w:rsid w:val="004C618E"/>
    <w:rsid w:val="004C6359"/>
    <w:rsid w:val="004C66F5"/>
    <w:rsid w:val="004C6CA1"/>
    <w:rsid w:val="004C6DEC"/>
    <w:rsid w:val="004C70FC"/>
    <w:rsid w:val="004C724E"/>
    <w:rsid w:val="004C7254"/>
    <w:rsid w:val="004C7272"/>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F7"/>
    <w:rsid w:val="004D5595"/>
    <w:rsid w:val="004D5A3E"/>
    <w:rsid w:val="004D5BF3"/>
    <w:rsid w:val="004D6111"/>
    <w:rsid w:val="004D6300"/>
    <w:rsid w:val="004D672F"/>
    <w:rsid w:val="004D682C"/>
    <w:rsid w:val="004D6A10"/>
    <w:rsid w:val="004D6A12"/>
    <w:rsid w:val="004D6C1C"/>
    <w:rsid w:val="004D6E30"/>
    <w:rsid w:val="004D744C"/>
    <w:rsid w:val="004D760E"/>
    <w:rsid w:val="004D7C8C"/>
    <w:rsid w:val="004D7E98"/>
    <w:rsid w:val="004D7EC6"/>
    <w:rsid w:val="004E00E2"/>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400"/>
    <w:rsid w:val="004E25B6"/>
    <w:rsid w:val="004E28E3"/>
    <w:rsid w:val="004E2AC6"/>
    <w:rsid w:val="004E2B6D"/>
    <w:rsid w:val="004E2CED"/>
    <w:rsid w:val="004E30E5"/>
    <w:rsid w:val="004E31AF"/>
    <w:rsid w:val="004E3767"/>
    <w:rsid w:val="004E39BA"/>
    <w:rsid w:val="004E3EDA"/>
    <w:rsid w:val="004E41FF"/>
    <w:rsid w:val="004E48E5"/>
    <w:rsid w:val="004E4943"/>
    <w:rsid w:val="004E4A76"/>
    <w:rsid w:val="004E4BF0"/>
    <w:rsid w:val="004E4CCB"/>
    <w:rsid w:val="004E4DF1"/>
    <w:rsid w:val="004E4F92"/>
    <w:rsid w:val="004E505D"/>
    <w:rsid w:val="004E5132"/>
    <w:rsid w:val="004E5418"/>
    <w:rsid w:val="004E563B"/>
    <w:rsid w:val="004E574A"/>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E7CAB"/>
    <w:rsid w:val="004F04DD"/>
    <w:rsid w:val="004F0615"/>
    <w:rsid w:val="004F0732"/>
    <w:rsid w:val="004F0736"/>
    <w:rsid w:val="004F07E4"/>
    <w:rsid w:val="004F0A06"/>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3F6B"/>
    <w:rsid w:val="004F41F2"/>
    <w:rsid w:val="004F438A"/>
    <w:rsid w:val="004F4536"/>
    <w:rsid w:val="004F461E"/>
    <w:rsid w:val="004F4953"/>
    <w:rsid w:val="004F4A3A"/>
    <w:rsid w:val="004F4BB1"/>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7268"/>
    <w:rsid w:val="004F72B5"/>
    <w:rsid w:val="004F79F0"/>
    <w:rsid w:val="004F7A0C"/>
    <w:rsid w:val="004F7A79"/>
    <w:rsid w:val="004F7B9C"/>
    <w:rsid w:val="004F7BFC"/>
    <w:rsid w:val="004F7D26"/>
    <w:rsid w:val="004F7F35"/>
    <w:rsid w:val="004F7FD6"/>
    <w:rsid w:val="0050007E"/>
    <w:rsid w:val="0050025E"/>
    <w:rsid w:val="00500388"/>
    <w:rsid w:val="00500731"/>
    <w:rsid w:val="00500DD7"/>
    <w:rsid w:val="00501070"/>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B24"/>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842"/>
    <w:rsid w:val="00505950"/>
    <w:rsid w:val="00505B45"/>
    <w:rsid w:val="00505BE3"/>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1904"/>
    <w:rsid w:val="0051212F"/>
    <w:rsid w:val="00512476"/>
    <w:rsid w:val="00512555"/>
    <w:rsid w:val="00512765"/>
    <w:rsid w:val="00512B34"/>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8A"/>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8FC"/>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38E"/>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45F"/>
    <w:rsid w:val="00531784"/>
    <w:rsid w:val="00531ED1"/>
    <w:rsid w:val="00531F76"/>
    <w:rsid w:val="0053216F"/>
    <w:rsid w:val="0053221A"/>
    <w:rsid w:val="005323D3"/>
    <w:rsid w:val="0053281D"/>
    <w:rsid w:val="005328F0"/>
    <w:rsid w:val="00532BB9"/>
    <w:rsid w:val="00532C23"/>
    <w:rsid w:val="00532C41"/>
    <w:rsid w:val="00532D3F"/>
    <w:rsid w:val="00532F21"/>
    <w:rsid w:val="0053320A"/>
    <w:rsid w:val="0053358C"/>
    <w:rsid w:val="0053386D"/>
    <w:rsid w:val="00533BCB"/>
    <w:rsid w:val="00533C1C"/>
    <w:rsid w:val="00533E77"/>
    <w:rsid w:val="00533FF8"/>
    <w:rsid w:val="00534004"/>
    <w:rsid w:val="005342D2"/>
    <w:rsid w:val="00534700"/>
    <w:rsid w:val="005356F9"/>
    <w:rsid w:val="0053607B"/>
    <w:rsid w:val="005362C5"/>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7F"/>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714"/>
    <w:rsid w:val="005439E1"/>
    <w:rsid w:val="00543A2E"/>
    <w:rsid w:val="00543E6A"/>
    <w:rsid w:val="00544196"/>
    <w:rsid w:val="005442D8"/>
    <w:rsid w:val="0054466F"/>
    <w:rsid w:val="005448F7"/>
    <w:rsid w:val="00544AE6"/>
    <w:rsid w:val="00544F1A"/>
    <w:rsid w:val="005451FA"/>
    <w:rsid w:val="005454C6"/>
    <w:rsid w:val="00545978"/>
    <w:rsid w:val="00545F87"/>
    <w:rsid w:val="005461F9"/>
    <w:rsid w:val="00546297"/>
    <w:rsid w:val="00546622"/>
    <w:rsid w:val="005467DB"/>
    <w:rsid w:val="0054683D"/>
    <w:rsid w:val="005469C1"/>
    <w:rsid w:val="00546AA0"/>
    <w:rsid w:val="00546D67"/>
    <w:rsid w:val="00547111"/>
    <w:rsid w:val="00547442"/>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373"/>
    <w:rsid w:val="00553605"/>
    <w:rsid w:val="005536AE"/>
    <w:rsid w:val="005536D6"/>
    <w:rsid w:val="00553BFA"/>
    <w:rsid w:val="00553C67"/>
    <w:rsid w:val="00553ED7"/>
    <w:rsid w:val="005546BA"/>
    <w:rsid w:val="005547AA"/>
    <w:rsid w:val="005547F0"/>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B5B"/>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DDC"/>
    <w:rsid w:val="00565DF3"/>
    <w:rsid w:val="00565F7D"/>
    <w:rsid w:val="00565F8D"/>
    <w:rsid w:val="00566146"/>
    <w:rsid w:val="0056637A"/>
    <w:rsid w:val="005666F2"/>
    <w:rsid w:val="00566970"/>
    <w:rsid w:val="00566BC5"/>
    <w:rsid w:val="00567346"/>
    <w:rsid w:val="00567B2A"/>
    <w:rsid w:val="00567CD3"/>
    <w:rsid w:val="00567E3B"/>
    <w:rsid w:val="005700A8"/>
    <w:rsid w:val="00570601"/>
    <w:rsid w:val="00570CDC"/>
    <w:rsid w:val="0057101E"/>
    <w:rsid w:val="005713B0"/>
    <w:rsid w:val="00571531"/>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C3D"/>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035"/>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7A7"/>
    <w:rsid w:val="00590CCB"/>
    <w:rsid w:val="0059101E"/>
    <w:rsid w:val="0059109E"/>
    <w:rsid w:val="00591101"/>
    <w:rsid w:val="0059172E"/>
    <w:rsid w:val="00591CF1"/>
    <w:rsid w:val="00591DB3"/>
    <w:rsid w:val="00591FCF"/>
    <w:rsid w:val="00591FEE"/>
    <w:rsid w:val="005925EA"/>
    <w:rsid w:val="005928A3"/>
    <w:rsid w:val="00592969"/>
    <w:rsid w:val="005929EA"/>
    <w:rsid w:val="00592A02"/>
    <w:rsid w:val="00592D17"/>
    <w:rsid w:val="00592D83"/>
    <w:rsid w:val="005931B4"/>
    <w:rsid w:val="00593460"/>
    <w:rsid w:val="00593566"/>
    <w:rsid w:val="005935F4"/>
    <w:rsid w:val="005939BC"/>
    <w:rsid w:val="00593E0A"/>
    <w:rsid w:val="00594264"/>
    <w:rsid w:val="005944A8"/>
    <w:rsid w:val="00594CDA"/>
    <w:rsid w:val="00594CFE"/>
    <w:rsid w:val="005952A5"/>
    <w:rsid w:val="00595A62"/>
    <w:rsid w:val="00595B70"/>
    <w:rsid w:val="00595E5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98A"/>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259"/>
    <w:rsid w:val="005A447A"/>
    <w:rsid w:val="005A4ADE"/>
    <w:rsid w:val="005A4C08"/>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EC3"/>
    <w:rsid w:val="005B06C5"/>
    <w:rsid w:val="005B0753"/>
    <w:rsid w:val="005B08E4"/>
    <w:rsid w:val="005B0981"/>
    <w:rsid w:val="005B0CF9"/>
    <w:rsid w:val="005B1409"/>
    <w:rsid w:val="005B1A1C"/>
    <w:rsid w:val="005B1C5A"/>
    <w:rsid w:val="005B1D85"/>
    <w:rsid w:val="005B22BF"/>
    <w:rsid w:val="005B29AB"/>
    <w:rsid w:val="005B2B86"/>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10"/>
    <w:rsid w:val="005C39E8"/>
    <w:rsid w:val="005C3A96"/>
    <w:rsid w:val="005C3E23"/>
    <w:rsid w:val="005C4197"/>
    <w:rsid w:val="005C43C5"/>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53"/>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334"/>
    <w:rsid w:val="005E155E"/>
    <w:rsid w:val="005E1684"/>
    <w:rsid w:val="005E171A"/>
    <w:rsid w:val="005E17EF"/>
    <w:rsid w:val="005E1C4A"/>
    <w:rsid w:val="005E1C79"/>
    <w:rsid w:val="005E1FEF"/>
    <w:rsid w:val="005E214F"/>
    <w:rsid w:val="005E23AA"/>
    <w:rsid w:val="005E2563"/>
    <w:rsid w:val="005E265A"/>
    <w:rsid w:val="005E26F6"/>
    <w:rsid w:val="005E27CF"/>
    <w:rsid w:val="005E2921"/>
    <w:rsid w:val="005E36A3"/>
    <w:rsid w:val="005E376D"/>
    <w:rsid w:val="005E38A7"/>
    <w:rsid w:val="005E394C"/>
    <w:rsid w:val="005E398C"/>
    <w:rsid w:val="005E39A4"/>
    <w:rsid w:val="005E3BB4"/>
    <w:rsid w:val="005E3D7A"/>
    <w:rsid w:val="005E3EC2"/>
    <w:rsid w:val="005E4170"/>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61"/>
    <w:rsid w:val="005F0DA0"/>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81"/>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5F7D"/>
    <w:rsid w:val="005F5FF4"/>
    <w:rsid w:val="005F62B7"/>
    <w:rsid w:val="005F67BB"/>
    <w:rsid w:val="005F67FC"/>
    <w:rsid w:val="005F6869"/>
    <w:rsid w:val="005F68EB"/>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3F1D"/>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9CE"/>
    <w:rsid w:val="00607BD1"/>
    <w:rsid w:val="00607BEC"/>
    <w:rsid w:val="00607CC2"/>
    <w:rsid w:val="00607DED"/>
    <w:rsid w:val="00607F8D"/>
    <w:rsid w:val="006100C9"/>
    <w:rsid w:val="00610446"/>
    <w:rsid w:val="00610456"/>
    <w:rsid w:val="00610496"/>
    <w:rsid w:val="00610521"/>
    <w:rsid w:val="00610BDD"/>
    <w:rsid w:val="00610FD6"/>
    <w:rsid w:val="00611044"/>
    <w:rsid w:val="00611473"/>
    <w:rsid w:val="00611487"/>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56B"/>
    <w:rsid w:val="00617B39"/>
    <w:rsid w:val="00617CD1"/>
    <w:rsid w:val="00617D58"/>
    <w:rsid w:val="00617E65"/>
    <w:rsid w:val="00617FB8"/>
    <w:rsid w:val="0062020F"/>
    <w:rsid w:val="00620463"/>
    <w:rsid w:val="00620516"/>
    <w:rsid w:val="006206C2"/>
    <w:rsid w:val="00620A76"/>
    <w:rsid w:val="00621334"/>
    <w:rsid w:val="00621437"/>
    <w:rsid w:val="006218C2"/>
    <w:rsid w:val="006218DD"/>
    <w:rsid w:val="00621A0F"/>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CCE"/>
    <w:rsid w:val="00624E18"/>
    <w:rsid w:val="00624FA8"/>
    <w:rsid w:val="00625B11"/>
    <w:rsid w:val="00625BD4"/>
    <w:rsid w:val="00625C5B"/>
    <w:rsid w:val="00625C85"/>
    <w:rsid w:val="00625DA6"/>
    <w:rsid w:val="00625E23"/>
    <w:rsid w:val="00625ECF"/>
    <w:rsid w:val="00626396"/>
    <w:rsid w:val="00626593"/>
    <w:rsid w:val="006266A9"/>
    <w:rsid w:val="0062698D"/>
    <w:rsid w:val="0062724A"/>
    <w:rsid w:val="00627AED"/>
    <w:rsid w:val="00627C82"/>
    <w:rsid w:val="00627D26"/>
    <w:rsid w:val="00627EE7"/>
    <w:rsid w:val="00630260"/>
    <w:rsid w:val="00630426"/>
    <w:rsid w:val="006305D4"/>
    <w:rsid w:val="00630CA1"/>
    <w:rsid w:val="00630D6D"/>
    <w:rsid w:val="006312D4"/>
    <w:rsid w:val="0063134E"/>
    <w:rsid w:val="0063144C"/>
    <w:rsid w:val="006314F7"/>
    <w:rsid w:val="00631531"/>
    <w:rsid w:val="006316C1"/>
    <w:rsid w:val="006316D2"/>
    <w:rsid w:val="00631A34"/>
    <w:rsid w:val="00631C63"/>
    <w:rsid w:val="00631C7E"/>
    <w:rsid w:val="00631CA3"/>
    <w:rsid w:val="00631D8D"/>
    <w:rsid w:val="00631ED4"/>
    <w:rsid w:val="00631F02"/>
    <w:rsid w:val="006323EF"/>
    <w:rsid w:val="00632C8D"/>
    <w:rsid w:val="00632DE2"/>
    <w:rsid w:val="00632FA9"/>
    <w:rsid w:val="0063309E"/>
    <w:rsid w:val="006331D7"/>
    <w:rsid w:val="006332A0"/>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C92"/>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9DB"/>
    <w:rsid w:val="00641FCA"/>
    <w:rsid w:val="00642224"/>
    <w:rsid w:val="006422EA"/>
    <w:rsid w:val="00642354"/>
    <w:rsid w:val="006423D0"/>
    <w:rsid w:val="006423E1"/>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0A"/>
    <w:rsid w:val="00645CC8"/>
    <w:rsid w:val="0064621F"/>
    <w:rsid w:val="0064630E"/>
    <w:rsid w:val="00646313"/>
    <w:rsid w:val="00646C1D"/>
    <w:rsid w:val="00646DC0"/>
    <w:rsid w:val="00646FE1"/>
    <w:rsid w:val="00647075"/>
    <w:rsid w:val="0064741E"/>
    <w:rsid w:val="00647726"/>
    <w:rsid w:val="0064788A"/>
    <w:rsid w:val="00647D7A"/>
    <w:rsid w:val="00647D94"/>
    <w:rsid w:val="00647E9B"/>
    <w:rsid w:val="00647ED1"/>
    <w:rsid w:val="00647F09"/>
    <w:rsid w:val="00650224"/>
    <w:rsid w:val="00650406"/>
    <w:rsid w:val="006505DA"/>
    <w:rsid w:val="006505F5"/>
    <w:rsid w:val="0065078F"/>
    <w:rsid w:val="006507D9"/>
    <w:rsid w:val="00650816"/>
    <w:rsid w:val="0065086F"/>
    <w:rsid w:val="00650E50"/>
    <w:rsid w:val="00651101"/>
    <w:rsid w:val="0065181F"/>
    <w:rsid w:val="00651862"/>
    <w:rsid w:val="006519C6"/>
    <w:rsid w:val="006521CB"/>
    <w:rsid w:val="006523EA"/>
    <w:rsid w:val="0065253A"/>
    <w:rsid w:val="0065258A"/>
    <w:rsid w:val="006527AF"/>
    <w:rsid w:val="00652D14"/>
    <w:rsid w:val="00653182"/>
    <w:rsid w:val="006531BF"/>
    <w:rsid w:val="0065322E"/>
    <w:rsid w:val="006534B9"/>
    <w:rsid w:val="00653558"/>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4DB"/>
    <w:rsid w:val="006605B0"/>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5F"/>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CFE"/>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51"/>
    <w:rsid w:val="00674AA2"/>
    <w:rsid w:val="0067501E"/>
    <w:rsid w:val="0067524E"/>
    <w:rsid w:val="0067594C"/>
    <w:rsid w:val="00675DE4"/>
    <w:rsid w:val="00675EBC"/>
    <w:rsid w:val="00675EEE"/>
    <w:rsid w:val="006760AA"/>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96"/>
    <w:rsid w:val="006821B2"/>
    <w:rsid w:val="006821CD"/>
    <w:rsid w:val="006825CB"/>
    <w:rsid w:val="00682B78"/>
    <w:rsid w:val="00682B9E"/>
    <w:rsid w:val="00682BA1"/>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20B2"/>
    <w:rsid w:val="00693329"/>
    <w:rsid w:val="00693430"/>
    <w:rsid w:val="0069344C"/>
    <w:rsid w:val="006935F8"/>
    <w:rsid w:val="0069364F"/>
    <w:rsid w:val="00693C3E"/>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7C6"/>
    <w:rsid w:val="006A088C"/>
    <w:rsid w:val="006A0B6F"/>
    <w:rsid w:val="006A0BA5"/>
    <w:rsid w:val="006A0CD2"/>
    <w:rsid w:val="006A0DEA"/>
    <w:rsid w:val="006A0E7F"/>
    <w:rsid w:val="006A1019"/>
    <w:rsid w:val="006A16E9"/>
    <w:rsid w:val="006A17F5"/>
    <w:rsid w:val="006A1EC2"/>
    <w:rsid w:val="006A2246"/>
    <w:rsid w:val="006A241C"/>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859"/>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40C"/>
    <w:rsid w:val="006B1449"/>
    <w:rsid w:val="006B20B4"/>
    <w:rsid w:val="006B23F1"/>
    <w:rsid w:val="006B241C"/>
    <w:rsid w:val="006B2A20"/>
    <w:rsid w:val="006B2A95"/>
    <w:rsid w:val="006B2C82"/>
    <w:rsid w:val="006B39FA"/>
    <w:rsid w:val="006B3B3B"/>
    <w:rsid w:val="006B3CBA"/>
    <w:rsid w:val="006B43C8"/>
    <w:rsid w:val="006B4557"/>
    <w:rsid w:val="006B490D"/>
    <w:rsid w:val="006B4EA8"/>
    <w:rsid w:val="006B55B3"/>
    <w:rsid w:val="006B5AE3"/>
    <w:rsid w:val="006B5B3A"/>
    <w:rsid w:val="006B6021"/>
    <w:rsid w:val="006B63FF"/>
    <w:rsid w:val="006B65D9"/>
    <w:rsid w:val="006B69FE"/>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398"/>
    <w:rsid w:val="006C24D5"/>
    <w:rsid w:val="006C2595"/>
    <w:rsid w:val="006C27C1"/>
    <w:rsid w:val="006C2A38"/>
    <w:rsid w:val="006C2A49"/>
    <w:rsid w:val="006C2B9A"/>
    <w:rsid w:val="006C2EF5"/>
    <w:rsid w:val="006C34DF"/>
    <w:rsid w:val="006C364C"/>
    <w:rsid w:val="006C38BF"/>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C56"/>
    <w:rsid w:val="006C6E1A"/>
    <w:rsid w:val="006C6FBA"/>
    <w:rsid w:val="006C741B"/>
    <w:rsid w:val="006C7578"/>
    <w:rsid w:val="006C7625"/>
    <w:rsid w:val="006C7908"/>
    <w:rsid w:val="006C79F7"/>
    <w:rsid w:val="006C7B00"/>
    <w:rsid w:val="006D00A3"/>
    <w:rsid w:val="006D00DD"/>
    <w:rsid w:val="006D01C3"/>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89C"/>
    <w:rsid w:val="006D3FB6"/>
    <w:rsid w:val="006D41C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5B8"/>
    <w:rsid w:val="006D698F"/>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1BD"/>
    <w:rsid w:val="006E22CA"/>
    <w:rsid w:val="006E2734"/>
    <w:rsid w:val="006E29DA"/>
    <w:rsid w:val="006E2CE4"/>
    <w:rsid w:val="006E2D50"/>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542"/>
    <w:rsid w:val="006E56DD"/>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0C3"/>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66A"/>
    <w:rsid w:val="006F27C7"/>
    <w:rsid w:val="006F2924"/>
    <w:rsid w:val="006F306F"/>
    <w:rsid w:val="006F32C7"/>
    <w:rsid w:val="006F3392"/>
    <w:rsid w:val="006F3495"/>
    <w:rsid w:val="006F36E3"/>
    <w:rsid w:val="006F36EE"/>
    <w:rsid w:val="006F380D"/>
    <w:rsid w:val="006F3B1E"/>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80C"/>
    <w:rsid w:val="006F7EB4"/>
    <w:rsid w:val="00700C9C"/>
    <w:rsid w:val="00700D24"/>
    <w:rsid w:val="00701829"/>
    <w:rsid w:val="00701854"/>
    <w:rsid w:val="00701876"/>
    <w:rsid w:val="00701993"/>
    <w:rsid w:val="00701C2D"/>
    <w:rsid w:val="00701C9E"/>
    <w:rsid w:val="00701CDA"/>
    <w:rsid w:val="007020B8"/>
    <w:rsid w:val="00702162"/>
    <w:rsid w:val="007025C2"/>
    <w:rsid w:val="007028EB"/>
    <w:rsid w:val="00702B9C"/>
    <w:rsid w:val="00702CAC"/>
    <w:rsid w:val="00702DC6"/>
    <w:rsid w:val="00702EBF"/>
    <w:rsid w:val="00703221"/>
    <w:rsid w:val="007032C5"/>
    <w:rsid w:val="007032E2"/>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84"/>
    <w:rsid w:val="00706CEC"/>
    <w:rsid w:val="00706DD5"/>
    <w:rsid w:val="007070F3"/>
    <w:rsid w:val="00707759"/>
    <w:rsid w:val="007078F2"/>
    <w:rsid w:val="00707B6A"/>
    <w:rsid w:val="00710081"/>
    <w:rsid w:val="00710534"/>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85A"/>
    <w:rsid w:val="00713A1A"/>
    <w:rsid w:val="00713CB5"/>
    <w:rsid w:val="00714155"/>
    <w:rsid w:val="00714961"/>
    <w:rsid w:val="00714E3F"/>
    <w:rsid w:val="00714E97"/>
    <w:rsid w:val="00714EF0"/>
    <w:rsid w:val="00714F5A"/>
    <w:rsid w:val="0071512A"/>
    <w:rsid w:val="0071558B"/>
    <w:rsid w:val="007155C3"/>
    <w:rsid w:val="00715631"/>
    <w:rsid w:val="0071563C"/>
    <w:rsid w:val="007159F8"/>
    <w:rsid w:val="00715E06"/>
    <w:rsid w:val="00715E40"/>
    <w:rsid w:val="007161B7"/>
    <w:rsid w:val="00716BE0"/>
    <w:rsid w:val="007170DE"/>
    <w:rsid w:val="007171E2"/>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E4"/>
    <w:rsid w:val="007225FC"/>
    <w:rsid w:val="00722788"/>
    <w:rsid w:val="007227E4"/>
    <w:rsid w:val="0072291B"/>
    <w:rsid w:val="00722F2C"/>
    <w:rsid w:val="007230F1"/>
    <w:rsid w:val="00723499"/>
    <w:rsid w:val="00723889"/>
    <w:rsid w:val="00723CC9"/>
    <w:rsid w:val="00723EEE"/>
    <w:rsid w:val="00724498"/>
    <w:rsid w:val="0072461B"/>
    <w:rsid w:val="007246D0"/>
    <w:rsid w:val="00724889"/>
    <w:rsid w:val="00724914"/>
    <w:rsid w:val="00724AD9"/>
    <w:rsid w:val="00724DD8"/>
    <w:rsid w:val="0072535C"/>
    <w:rsid w:val="00725464"/>
    <w:rsid w:val="007254D1"/>
    <w:rsid w:val="00725541"/>
    <w:rsid w:val="00725760"/>
    <w:rsid w:val="00725B32"/>
    <w:rsid w:val="00725B3C"/>
    <w:rsid w:val="00725C45"/>
    <w:rsid w:val="007261D4"/>
    <w:rsid w:val="00726406"/>
    <w:rsid w:val="0072650F"/>
    <w:rsid w:val="007267CD"/>
    <w:rsid w:val="0072684B"/>
    <w:rsid w:val="00726C4F"/>
    <w:rsid w:val="00726D6C"/>
    <w:rsid w:val="00727038"/>
    <w:rsid w:val="007270E4"/>
    <w:rsid w:val="00727217"/>
    <w:rsid w:val="00727653"/>
    <w:rsid w:val="00727C48"/>
    <w:rsid w:val="00727F1D"/>
    <w:rsid w:val="00727FF9"/>
    <w:rsid w:val="00730821"/>
    <w:rsid w:val="0073087F"/>
    <w:rsid w:val="00730BEC"/>
    <w:rsid w:val="00730DBA"/>
    <w:rsid w:val="00730F09"/>
    <w:rsid w:val="00731397"/>
    <w:rsid w:val="007313DD"/>
    <w:rsid w:val="00731724"/>
    <w:rsid w:val="0073176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21"/>
    <w:rsid w:val="00737FFA"/>
    <w:rsid w:val="00740078"/>
    <w:rsid w:val="007402B4"/>
    <w:rsid w:val="007403D0"/>
    <w:rsid w:val="0074070D"/>
    <w:rsid w:val="007408CA"/>
    <w:rsid w:val="00740BB8"/>
    <w:rsid w:val="00740C4A"/>
    <w:rsid w:val="00740CE9"/>
    <w:rsid w:val="007410BA"/>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97B"/>
    <w:rsid w:val="00744A59"/>
    <w:rsid w:val="00745381"/>
    <w:rsid w:val="0074545D"/>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F92"/>
    <w:rsid w:val="007601C3"/>
    <w:rsid w:val="00760317"/>
    <w:rsid w:val="00760518"/>
    <w:rsid w:val="00760531"/>
    <w:rsid w:val="00760611"/>
    <w:rsid w:val="0076080E"/>
    <w:rsid w:val="0076099D"/>
    <w:rsid w:val="00760B0C"/>
    <w:rsid w:val="00760D29"/>
    <w:rsid w:val="00760EC4"/>
    <w:rsid w:val="0076130D"/>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4E6"/>
    <w:rsid w:val="00766519"/>
    <w:rsid w:val="007665B3"/>
    <w:rsid w:val="00766975"/>
    <w:rsid w:val="00766D40"/>
    <w:rsid w:val="00766F7D"/>
    <w:rsid w:val="007670F8"/>
    <w:rsid w:val="007671D4"/>
    <w:rsid w:val="00767F0B"/>
    <w:rsid w:val="007701DE"/>
    <w:rsid w:val="00770205"/>
    <w:rsid w:val="0077048B"/>
    <w:rsid w:val="007705F7"/>
    <w:rsid w:val="007708A3"/>
    <w:rsid w:val="007709CC"/>
    <w:rsid w:val="00770A85"/>
    <w:rsid w:val="00770D3B"/>
    <w:rsid w:val="00770E41"/>
    <w:rsid w:val="00771406"/>
    <w:rsid w:val="0077151F"/>
    <w:rsid w:val="00771BE7"/>
    <w:rsid w:val="00771C92"/>
    <w:rsid w:val="00771C93"/>
    <w:rsid w:val="00771D6D"/>
    <w:rsid w:val="007720AA"/>
    <w:rsid w:val="0077254E"/>
    <w:rsid w:val="007726E7"/>
    <w:rsid w:val="007729D0"/>
    <w:rsid w:val="00772DCE"/>
    <w:rsid w:val="00772EDB"/>
    <w:rsid w:val="007732D4"/>
    <w:rsid w:val="007732FC"/>
    <w:rsid w:val="007733EA"/>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A29"/>
    <w:rsid w:val="00777BE4"/>
    <w:rsid w:val="00777CC6"/>
    <w:rsid w:val="00777CFE"/>
    <w:rsid w:val="00777E4A"/>
    <w:rsid w:val="00780137"/>
    <w:rsid w:val="0078019C"/>
    <w:rsid w:val="0078027A"/>
    <w:rsid w:val="0078031B"/>
    <w:rsid w:val="007806F5"/>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563"/>
    <w:rsid w:val="0078492F"/>
    <w:rsid w:val="00784BB9"/>
    <w:rsid w:val="00784BCE"/>
    <w:rsid w:val="00784D55"/>
    <w:rsid w:val="00784F44"/>
    <w:rsid w:val="0078503A"/>
    <w:rsid w:val="0078512E"/>
    <w:rsid w:val="0078529E"/>
    <w:rsid w:val="007854B1"/>
    <w:rsid w:val="00785A9A"/>
    <w:rsid w:val="00785DE6"/>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7E1"/>
    <w:rsid w:val="007909C5"/>
    <w:rsid w:val="00790E55"/>
    <w:rsid w:val="007912D9"/>
    <w:rsid w:val="007916D7"/>
    <w:rsid w:val="00791D9A"/>
    <w:rsid w:val="0079200D"/>
    <w:rsid w:val="0079201C"/>
    <w:rsid w:val="00792317"/>
    <w:rsid w:val="00792921"/>
    <w:rsid w:val="00792EAB"/>
    <w:rsid w:val="00792F65"/>
    <w:rsid w:val="0079307F"/>
    <w:rsid w:val="00793226"/>
    <w:rsid w:val="00793796"/>
    <w:rsid w:val="00793A5D"/>
    <w:rsid w:val="00793B52"/>
    <w:rsid w:val="00793D2B"/>
    <w:rsid w:val="00793E0F"/>
    <w:rsid w:val="00793FCF"/>
    <w:rsid w:val="0079406F"/>
    <w:rsid w:val="007940C5"/>
    <w:rsid w:val="007940EC"/>
    <w:rsid w:val="00794251"/>
    <w:rsid w:val="00794352"/>
    <w:rsid w:val="0079444C"/>
    <w:rsid w:val="00794654"/>
    <w:rsid w:val="007947C4"/>
    <w:rsid w:val="00794A3F"/>
    <w:rsid w:val="00794B73"/>
    <w:rsid w:val="0079541E"/>
    <w:rsid w:val="00795610"/>
    <w:rsid w:val="00795768"/>
    <w:rsid w:val="00795812"/>
    <w:rsid w:val="00795B84"/>
    <w:rsid w:val="00795CE1"/>
    <w:rsid w:val="00795D83"/>
    <w:rsid w:val="00795FA0"/>
    <w:rsid w:val="00796504"/>
    <w:rsid w:val="007969C3"/>
    <w:rsid w:val="007969D6"/>
    <w:rsid w:val="00796B60"/>
    <w:rsid w:val="00796E7D"/>
    <w:rsid w:val="007974D1"/>
    <w:rsid w:val="0079756B"/>
    <w:rsid w:val="0079768F"/>
    <w:rsid w:val="00797C30"/>
    <w:rsid w:val="00797C70"/>
    <w:rsid w:val="00797D6E"/>
    <w:rsid w:val="00797E5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140"/>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03ED"/>
    <w:rsid w:val="007B1014"/>
    <w:rsid w:val="007B103F"/>
    <w:rsid w:val="007B1095"/>
    <w:rsid w:val="007B10AD"/>
    <w:rsid w:val="007B126B"/>
    <w:rsid w:val="007B1484"/>
    <w:rsid w:val="007B1A10"/>
    <w:rsid w:val="007B1BC6"/>
    <w:rsid w:val="007B1E51"/>
    <w:rsid w:val="007B1E8A"/>
    <w:rsid w:val="007B2153"/>
    <w:rsid w:val="007B280B"/>
    <w:rsid w:val="007B28EA"/>
    <w:rsid w:val="007B2EEA"/>
    <w:rsid w:val="007B2F57"/>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6DB6"/>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C43"/>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D53"/>
    <w:rsid w:val="007D0F38"/>
    <w:rsid w:val="007D1359"/>
    <w:rsid w:val="007D1584"/>
    <w:rsid w:val="007D1621"/>
    <w:rsid w:val="007D17E2"/>
    <w:rsid w:val="007D184F"/>
    <w:rsid w:val="007D1951"/>
    <w:rsid w:val="007D1AFC"/>
    <w:rsid w:val="007D1B44"/>
    <w:rsid w:val="007D1C7B"/>
    <w:rsid w:val="007D202F"/>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7"/>
    <w:rsid w:val="007D7469"/>
    <w:rsid w:val="007D749C"/>
    <w:rsid w:val="007D74D2"/>
    <w:rsid w:val="007D77A2"/>
    <w:rsid w:val="007D79B5"/>
    <w:rsid w:val="007D7AB7"/>
    <w:rsid w:val="007D7DD0"/>
    <w:rsid w:val="007D7EE7"/>
    <w:rsid w:val="007E0090"/>
    <w:rsid w:val="007E062F"/>
    <w:rsid w:val="007E076A"/>
    <w:rsid w:val="007E0DEE"/>
    <w:rsid w:val="007E0EB9"/>
    <w:rsid w:val="007E11B8"/>
    <w:rsid w:val="007E190B"/>
    <w:rsid w:val="007E2168"/>
    <w:rsid w:val="007E2223"/>
    <w:rsid w:val="007E2334"/>
    <w:rsid w:val="007E23CE"/>
    <w:rsid w:val="007E271C"/>
    <w:rsid w:val="007E29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88"/>
    <w:rsid w:val="007F35B6"/>
    <w:rsid w:val="007F360C"/>
    <w:rsid w:val="007F3AD5"/>
    <w:rsid w:val="007F3C5A"/>
    <w:rsid w:val="007F3DD5"/>
    <w:rsid w:val="007F3EB6"/>
    <w:rsid w:val="007F432D"/>
    <w:rsid w:val="007F43BA"/>
    <w:rsid w:val="007F444D"/>
    <w:rsid w:val="007F45D1"/>
    <w:rsid w:val="007F4D09"/>
    <w:rsid w:val="007F4E40"/>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350"/>
    <w:rsid w:val="007F7A37"/>
    <w:rsid w:val="007F7DFA"/>
    <w:rsid w:val="007F7F58"/>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96"/>
    <w:rsid w:val="00804257"/>
    <w:rsid w:val="0080481C"/>
    <w:rsid w:val="00804C54"/>
    <w:rsid w:val="00804C58"/>
    <w:rsid w:val="00804DC7"/>
    <w:rsid w:val="00805350"/>
    <w:rsid w:val="008055FF"/>
    <w:rsid w:val="00805693"/>
    <w:rsid w:val="008056DD"/>
    <w:rsid w:val="00805B7A"/>
    <w:rsid w:val="00805CD4"/>
    <w:rsid w:val="00806054"/>
    <w:rsid w:val="008061E5"/>
    <w:rsid w:val="00806728"/>
    <w:rsid w:val="008067FB"/>
    <w:rsid w:val="008069FA"/>
    <w:rsid w:val="00806B53"/>
    <w:rsid w:val="00806B66"/>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4A9"/>
    <w:rsid w:val="008125C7"/>
    <w:rsid w:val="00812C18"/>
    <w:rsid w:val="00812C29"/>
    <w:rsid w:val="00812D16"/>
    <w:rsid w:val="00812D4A"/>
    <w:rsid w:val="00812E4F"/>
    <w:rsid w:val="0081316A"/>
    <w:rsid w:val="008133F7"/>
    <w:rsid w:val="008135B2"/>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D84"/>
    <w:rsid w:val="00822E26"/>
    <w:rsid w:val="00822E4F"/>
    <w:rsid w:val="00823126"/>
    <w:rsid w:val="0082327D"/>
    <w:rsid w:val="008234B6"/>
    <w:rsid w:val="00823552"/>
    <w:rsid w:val="008235A0"/>
    <w:rsid w:val="00823A6F"/>
    <w:rsid w:val="00823B55"/>
    <w:rsid w:val="00823DBF"/>
    <w:rsid w:val="00823EAC"/>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5FE"/>
    <w:rsid w:val="008306CF"/>
    <w:rsid w:val="008307D7"/>
    <w:rsid w:val="00830A23"/>
    <w:rsid w:val="00830AA0"/>
    <w:rsid w:val="00830D09"/>
    <w:rsid w:val="00830D2A"/>
    <w:rsid w:val="0083119D"/>
    <w:rsid w:val="00831274"/>
    <w:rsid w:val="008313C5"/>
    <w:rsid w:val="0083153D"/>
    <w:rsid w:val="00831768"/>
    <w:rsid w:val="00831904"/>
    <w:rsid w:val="0083192E"/>
    <w:rsid w:val="00831CDE"/>
    <w:rsid w:val="00831DCF"/>
    <w:rsid w:val="008322C0"/>
    <w:rsid w:val="00832673"/>
    <w:rsid w:val="00832A31"/>
    <w:rsid w:val="00832BCF"/>
    <w:rsid w:val="00832C15"/>
    <w:rsid w:val="00832C67"/>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4019B"/>
    <w:rsid w:val="008403D0"/>
    <w:rsid w:val="008404E7"/>
    <w:rsid w:val="00840852"/>
    <w:rsid w:val="00840A3F"/>
    <w:rsid w:val="00840D79"/>
    <w:rsid w:val="008411AB"/>
    <w:rsid w:val="00841486"/>
    <w:rsid w:val="008415F8"/>
    <w:rsid w:val="008417AE"/>
    <w:rsid w:val="008417BA"/>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7FB"/>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1F5"/>
    <w:rsid w:val="00865558"/>
    <w:rsid w:val="00865637"/>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7D"/>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6062"/>
    <w:rsid w:val="008761E1"/>
    <w:rsid w:val="0087620E"/>
    <w:rsid w:val="00876367"/>
    <w:rsid w:val="0087641A"/>
    <w:rsid w:val="00876662"/>
    <w:rsid w:val="008767B0"/>
    <w:rsid w:val="0087682B"/>
    <w:rsid w:val="008769E2"/>
    <w:rsid w:val="00876E90"/>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273"/>
    <w:rsid w:val="008853F3"/>
    <w:rsid w:val="008855D7"/>
    <w:rsid w:val="008858F0"/>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054"/>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232"/>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4"/>
    <w:rsid w:val="008A3B05"/>
    <w:rsid w:val="008A3B30"/>
    <w:rsid w:val="008A3C04"/>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3B3"/>
    <w:rsid w:val="008B0415"/>
    <w:rsid w:val="008B05C5"/>
    <w:rsid w:val="008B0ACC"/>
    <w:rsid w:val="008B0F2E"/>
    <w:rsid w:val="008B16BB"/>
    <w:rsid w:val="008B1987"/>
    <w:rsid w:val="008B1B2F"/>
    <w:rsid w:val="008B280F"/>
    <w:rsid w:val="008B28AE"/>
    <w:rsid w:val="008B2B43"/>
    <w:rsid w:val="008B2C9A"/>
    <w:rsid w:val="008B2DFF"/>
    <w:rsid w:val="008B33C2"/>
    <w:rsid w:val="008B3CA6"/>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3D7"/>
    <w:rsid w:val="008B77AC"/>
    <w:rsid w:val="008B7948"/>
    <w:rsid w:val="008B7983"/>
    <w:rsid w:val="008B7DCC"/>
    <w:rsid w:val="008C00DB"/>
    <w:rsid w:val="008C05D1"/>
    <w:rsid w:val="008C05DF"/>
    <w:rsid w:val="008C063B"/>
    <w:rsid w:val="008C08D4"/>
    <w:rsid w:val="008C090B"/>
    <w:rsid w:val="008C0A07"/>
    <w:rsid w:val="008C0A39"/>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47F"/>
    <w:rsid w:val="008D35AD"/>
    <w:rsid w:val="008D36CD"/>
    <w:rsid w:val="008D37FD"/>
    <w:rsid w:val="008D3CFB"/>
    <w:rsid w:val="008D3DC6"/>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271"/>
    <w:rsid w:val="008D76FE"/>
    <w:rsid w:val="008D78C9"/>
    <w:rsid w:val="008D7A6B"/>
    <w:rsid w:val="008D7A9B"/>
    <w:rsid w:val="008D7CA6"/>
    <w:rsid w:val="008D7FDE"/>
    <w:rsid w:val="008E01B0"/>
    <w:rsid w:val="008E0225"/>
    <w:rsid w:val="008E098D"/>
    <w:rsid w:val="008E0CBA"/>
    <w:rsid w:val="008E106C"/>
    <w:rsid w:val="008E10CF"/>
    <w:rsid w:val="008E1438"/>
    <w:rsid w:val="008E1758"/>
    <w:rsid w:val="008E1943"/>
    <w:rsid w:val="008E1BEE"/>
    <w:rsid w:val="008E1CE1"/>
    <w:rsid w:val="008E23E6"/>
    <w:rsid w:val="008E252D"/>
    <w:rsid w:val="008E2649"/>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5065"/>
    <w:rsid w:val="008E594C"/>
    <w:rsid w:val="008E5AA9"/>
    <w:rsid w:val="008E5CAF"/>
    <w:rsid w:val="008E5ECE"/>
    <w:rsid w:val="008E683F"/>
    <w:rsid w:val="008E69E5"/>
    <w:rsid w:val="008E6A4E"/>
    <w:rsid w:val="008E6FA0"/>
    <w:rsid w:val="008E71AD"/>
    <w:rsid w:val="008E74CC"/>
    <w:rsid w:val="008E76FC"/>
    <w:rsid w:val="008E7EEE"/>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C08"/>
    <w:rsid w:val="008F1F22"/>
    <w:rsid w:val="008F253B"/>
    <w:rsid w:val="008F25B3"/>
    <w:rsid w:val="008F287D"/>
    <w:rsid w:val="008F291D"/>
    <w:rsid w:val="008F29AC"/>
    <w:rsid w:val="008F2A89"/>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B9E"/>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72B"/>
    <w:rsid w:val="00903A45"/>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440"/>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7AC"/>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17E19"/>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0D6"/>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263"/>
    <w:rsid w:val="009275CF"/>
    <w:rsid w:val="00927670"/>
    <w:rsid w:val="00927791"/>
    <w:rsid w:val="00927C22"/>
    <w:rsid w:val="00927CCE"/>
    <w:rsid w:val="00927DA5"/>
    <w:rsid w:val="00927E79"/>
    <w:rsid w:val="0093007C"/>
    <w:rsid w:val="00930607"/>
    <w:rsid w:val="009306C0"/>
    <w:rsid w:val="009307C4"/>
    <w:rsid w:val="00930D0A"/>
    <w:rsid w:val="00930F3D"/>
    <w:rsid w:val="00931215"/>
    <w:rsid w:val="009313AF"/>
    <w:rsid w:val="009315AE"/>
    <w:rsid w:val="00931717"/>
    <w:rsid w:val="00931B99"/>
    <w:rsid w:val="00931F09"/>
    <w:rsid w:val="00932278"/>
    <w:rsid w:val="009327B0"/>
    <w:rsid w:val="009329BA"/>
    <w:rsid w:val="00932CB6"/>
    <w:rsid w:val="0093304D"/>
    <w:rsid w:val="00933166"/>
    <w:rsid w:val="009332B7"/>
    <w:rsid w:val="0093374A"/>
    <w:rsid w:val="00933CC8"/>
    <w:rsid w:val="00933D7F"/>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3E7"/>
    <w:rsid w:val="0094053B"/>
    <w:rsid w:val="009407AB"/>
    <w:rsid w:val="0094090B"/>
    <w:rsid w:val="00940B9D"/>
    <w:rsid w:val="00940E30"/>
    <w:rsid w:val="0094117F"/>
    <w:rsid w:val="009411D0"/>
    <w:rsid w:val="0094136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146"/>
    <w:rsid w:val="00943287"/>
    <w:rsid w:val="00943316"/>
    <w:rsid w:val="00943763"/>
    <w:rsid w:val="00943C2C"/>
    <w:rsid w:val="00943DAD"/>
    <w:rsid w:val="00943DF8"/>
    <w:rsid w:val="00943F98"/>
    <w:rsid w:val="0094447D"/>
    <w:rsid w:val="0094455A"/>
    <w:rsid w:val="009446DC"/>
    <w:rsid w:val="0094490C"/>
    <w:rsid w:val="009449F9"/>
    <w:rsid w:val="00944B10"/>
    <w:rsid w:val="009450AB"/>
    <w:rsid w:val="0094540C"/>
    <w:rsid w:val="00945631"/>
    <w:rsid w:val="00946932"/>
    <w:rsid w:val="00947549"/>
    <w:rsid w:val="009475D8"/>
    <w:rsid w:val="0094768B"/>
    <w:rsid w:val="00947CF3"/>
    <w:rsid w:val="00947E9F"/>
    <w:rsid w:val="00950924"/>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F85"/>
    <w:rsid w:val="00955FFA"/>
    <w:rsid w:val="00956118"/>
    <w:rsid w:val="0095631C"/>
    <w:rsid w:val="0095631F"/>
    <w:rsid w:val="009563D2"/>
    <w:rsid w:val="0095650F"/>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3C0"/>
    <w:rsid w:val="00961669"/>
    <w:rsid w:val="00961ABD"/>
    <w:rsid w:val="00961B84"/>
    <w:rsid w:val="00961C0D"/>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874"/>
    <w:rsid w:val="00965B58"/>
    <w:rsid w:val="00966434"/>
    <w:rsid w:val="0096647B"/>
    <w:rsid w:val="0096648E"/>
    <w:rsid w:val="00966B1F"/>
    <w:rsid w:val="009675CE"/>
    <w:rsid w:val="0096786C"/>
    <w:rsid w:val="0096797E"/>
    <w:rsid w:val="00967AD0"/>
    <w:rsid w:val="00967E50"/>
    <w:rsid w:val="00967F80"/>
    <w:rsid w:val="00970709"/>
    <w:rsid w:val="009707A2"/>
    <w:rsid w:val="009709FD"/>
    <w:rsid w:val="00970A11"/>
    <w:rsid w:val="00970A7E"/>
    <w:rsid w:val="009710B2"/>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978"/>
    <w:rsid w:val="00974CF0"/>
    <w:rsid w:val="00975160"/>
    <w:rsid w:val="009752C9"/>
    <w:rsid w:val="009755BF"/>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327"/>
    <w:rsid w:val="00985ACE"/>
    <w:rsid w:val="00985C94"/>
    <w:rsid w:val="00985F8B"/>
    <w:rsid w:val="00985FC2"/>
    <w:rsid w:val="00986043"/>
    <w:rsid w:val="0098636A"/>
    <w:rsid w:val="009863C4"/>
    <w:rsid w:val="009863DE"/>
    <w:rsid w:val="0098670E"/>
    <w:rsid w:val="00986991"/>
    <w:rsid w:val="009869A8"/>
    <w:rsid w:val="00986C38"/>
    <w:rsid w:val="00986CA1"/>
    <w:rsid w:val="0098753C"/>
    <w:rsid w:val="00987658"/>
    <w:rsid w:val="009879E6"/>
    <w:rsid w:val="009879F6"/>
    <w:rsid w:val="00987D38"/>
    <w:rsid w:val="00987F22"/>
    <w:rsid w:val="009901B9"/>
    <w:rsid w:val="009902F8"/>
    <w:rsid w:val="00990434"/>
    <w:rsid w:val="0099068C"/>
    <w:rsid w:val="00990B70"/>
    <w:rsid w:val="00990C3B"/>
    <w:rsid w:val="009915EE"/>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5C28"/>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44E"/>
    <w:rsid w:val="009A6562"/>
    <w:rsid w:val="009A66C6"/>
    <w:rsid w:val="009A6859"/>
    <w:rsid w:val="009A6AF0"/>
    <w:rsid w:val="009A6B38"/>
    <w:rsid w:val="009A6B6E"/>
    <w:rsid w:val="009A78D8"/>
    <w:rsid w:val="009A7973"/>
    <w:rsid w:val="009A7A98"/>
    <w:rsid w:val="009A7AED"/>
    <w:rsid w:val="009B01A0"/>
    <w:rsid w:val="009B0306"/>
    <w:rsid w:val="009B0415"/>
    <w:rsid w:val="009B06B1"/>
    <w:rsid w:val="009B0BFD"/>
    <w:rsid w:val="009B0F1E"/>
    <w:rsid w:val="009B0FEA"/>
    <w:rsid w:val="009B1128"/>
    <w:rsid w:val="009B1359"/>
    <w:rsid w:val="009B1362"/>
    <w:rsid w:val="009B1CB1"/>
    <w:rsid w:val="009B1F26"/>
    <w:rsid w:val="009B203D"/>
    <w:rsid w:val="009B225C"/>
    <w:rsid w:val="009B2631"/>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A24"/>
    <w:rsid w:val="009B4B74"/>
    <w:rsid w:val="009B4B7E"/>
    <w:rsid w:val="009B4BA1"/>
    <w:rsid w:val="009B4BD0"/>
    <w:rsid w:val="009B51C7"/>
    <w:rsid w:val="009B5250"/>
    <w:rsid w:val="009B52DC"/>
    <w:rsid w:val="009B536C"/>
    <w:rsid w:val="009B5551"/>
    <w:rsid w:val="009B556A"/>
    <w:rsid w:val="009B56D3"/>
    <w:rsid w:val="009B581D"/>
    <w:rsid w:val="009B58BA"/>
    <w:rsid w:val="009B5A02"/>
    <w:rsid w:val="009B5B0D"/>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E6"/>
    <w:rsid w:val="009C01DA"/>
    <w:rsid w:val="009C043E"/>
    <w:rsid w:val="009C0623"/>
    <w:rsid w:val="009C0630"/>
    <w:rsid w:val="009C0B2C"/>
    <w:rsid w:val="009C0BFC"/>
    <w:rsid w:val="009C0C78"/>
    <w:rsid w:val="009C0CDC"/>
    <w:rsid w:val="009C1071"/>
    <w:rsid w:val="009C123A"/>
    <w:rsid w:val="009C1528"/>
    <w:rsid w:val="009C177A"/>
    <w:rsid w:val="009C1780"/>
    <w:rsid w:val="009C1D41"/>
    <w:rsid w:val="009C1E0B"/>
    <w:rsid w:val="009C20CC"/>
    <w:rsid w:val="009C211B"/>
    <w:rsid w:val="009C2BDF"/>
    <w:rsid w:val="009C33EB"/>
    <w:rsid w:val="009C3558"/>
    <w:rsid w:val="009C3878"/>
    <w:rsid w:val="009C3A7F"/>
    <w:rsid w:val="009C3AB0"/>
    <w:rsid w:val="009C3FD6"/>
    <w:rsid w:val="009C43F3"/>
    <w:rsid w:val="009C4D4D"/>
    <w:rsid w:val="009C526F"/>
    <w:rsid w:val="009C5282"/>
    <w:rsid w:val="009C562E"/>
    <w:rsid w:val="009C5902"/>
    <w:rsid w:val="009C5B10"/>
    <w:rsid w:val="009C5B68"/>
    <w:rsid w:val="009C5E44"/>
    <w:rsid w:val="009C5F6F"/>
    <w:rsid w:val="009C6123"/>
    <w:rsid w:val="009C6150"/>
    <w:rsid w:val="009C65A4"/>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4F5B"/>
    <w:rsid w:val="009D5894"/>
    <w:rsid w:val="009D5DDA"/>
    <w:rsid w:val="009D60C8"/>
    <w:rsid w:val="009D632C"/>
    <w:rsid w:val="009D6417"/>
    <w:rsid w:val="009D66E1"/>
    <w:rsid w:val="009D686E"/>
    <w:rsid w:val="009D69B7"/>
    <w:rsid w:val="009D6FD9"/>
    <w:rsid w:val="009D7222"/>
    <w:rsid w:val="009D756A"/>
    <w:rsid w:val="009D7884"/>
    <w:rsid w:val="009D7B40"/>
    <w:rsid w:val="009D7B43"/>
    <w:rsid w:val="009E01ED"/>
    <w:rsid w:val="009E025F"/>
    <w:rsid w:val="009E0330"/>
    <w:rsid w:val="009E0743"/>
    <w:rsid w:val="009E0757"/>
    <w:rsid w:val="009E083F"/>
    <w:rsid w:val="009E09F0"/>
    <w:rsid w:val="009E0C1E"/>
    <w:rsid w:val="009E0C49"/>
    <w:rsid w:val="009E0D54"/>
    <w:rsid w:val="009E1143"/>
    <w:rsid w:val="009E12CF"/>
    <w:rsid w:val="009E148D"/>
    <w:rsid w:val="009E169E"/>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2DE"/>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80"/>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49"/>
    <w:rsid w:val="009F4150"/>
    <w:rsid w:val="009F4212"/>
    <w:rsid w:val="009F4504"/>
    <w:rsid w:val="009F456A"/>
    <w:rsid w:val="009F460B"/>
    <w:rsid w:val="009F467B"/>
    <w:rsid w:val="009F46E8"/>
    <w:rsid w:val="009F4700"/>
    <w:rsid w:val="009F4738"/>
    <w:rsid w:val="009F47F7"/>
    <w:rsid w:val="009F4834"/>
    <w:rsid w:val="009F4979"/>
    <w:rsid w:val="009F4AE0"/>
    <w:rsid w:val="009F4B29"/>
    <w:rsid w:val="009F502C"/>
    <w:rsid w:val="009F5841"/>
    <w:rsid w:val="009F5864"/>
    <w:rsid w:val="009F5A91"/>
    <w:rsid w:val="009F5BFD"/>
    <w:rsid w:val="009F5CF7"/>
    <w:rsid w:val="009F5D84"/>
    <w:rsid w:val="009F5E53"/>
    <w:rsid w:val="009F5E74"/>
    <w:rsid w:val="009F603B"/>
    <w:rsid w:val="009F64F5"/>
    <w:rsid w:val="009F670A"/>
    <w:rsid w:val="009F67E4"/>
    <w:rsid w:val="009F6987"/>
    <w:rsid w:val="009F69CD"/>
    <w:rsid w:val="009F6B43"/>
    <w:rsid w:val="009F7087"/>
    <w:rsid w:val="009F7120"/>
    <w:rsid w:val="009F720F"/>
    <w:rsid w:val="009F7631"/>
    <w:rsid w:val="009F784B"/>
    <w:rsid w:val="009F7EAF"/>
    <w:rsid w:val="00A000D0"/>
    <w:rsid w:val="00A00153"/>
    <w:rsid w:val="00A0034D"/>
    <w:rsid w:val="00A003A5"/>
    <w:rsid w:val="00A00408"/>
    <w:rsid w:val="00A005A6"/>
    <w:rsid w:val="00A007DE"/>
    <w:rsid w:val="00A00947"/>
    <w:rsid w:val="00A00A0F"/>
    <w:rsid w:val="00A00D14"/>
    <w:rsid w:val="00A00F58"/>
    <w:rsid w:val="00A0106C"/>
    <w:rsid w:val="00A010E7"/>
    <w:rsid w:val="00A011A3"/>
    <w:rsid w:val="00A013C6"/>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49F8"/>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0D5D"/>
    <w:rsid w:val="00A1112A"/>
    <w:rsid w:val="00A1141C"/>
    <w:rsid w:val="00A11769"/>
    <w:rsid w:val="00A1180B"/>
    <w:rsid w:val="00A1221D"/>
    <w:rsid w:val="00A1283F"/>
    <w:rsid w:val="00A12891"/>
    <w:rsid w:val="00A13017"/>
    <w:rsid w:val="00A13274"/>
    <w:rsid w:val="00A135A4"/>
    <w:rsid w:val="00A13659"/>
    <w:rsid w:val="00A139EE"/>
    <w:rsid w:val="00A13B1B"/>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800"/>
    <w:rsid w:val="00A17B15"/>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725"/>
    <w:rsid w:val="00A228A9"/>
    <w:rsid w:val="00A22BDF"/>
    <w:rsid w:val="00A22D1E"/>
    <w:rsid w:val="00A22DBA"/>
    <w:rsid w:val="00A2329D"/>
    <w:rsid w:val="00A23713"/>
    <w:rsid w:val="00A23EF6"/>
    <w:rsid w:val="00A23F49"/>
    <w:rsid w:val="00A23FC0"/>
    <w:rsid w:val="00A246E7"/>
    <w:rsid w:val="00A2490E"/>
    <w:rsid w:val="00A24A8C"/>
    <w:rsid w:val="00A24A99"/>
    <w:rsid w:val="00A24BED"/>
    <w:rsid w:val="00A24DCE"/>
    <w:rsid w:val="00A24F45"/>
    <w:rsid w:val="00A251D9"/>
    <w:rsid w:val="00A25442"/>
    <w:rsid w:val="00A25539"/>
    <w:rsid w:val="00A25790"/>
    <w:rsid w:val="00A2591C"/>
    <w:rsid w:val="00A25959"/>
    <w:rsid w:val="00A25BCC"/>
    <w:rsid w:val="00A25BFF"/>
    <w:rsid w:val="00A26648"/>
    <w:rsid w:val="00A2674A"/>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99C"/>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A2E"/>
    <w:rsid w:val="00A37BAC"/>
    <w:rsid w:val="00A37F9F"/>
    <w:rsid w:val="00A402B8"/>
    <w:rsid w:val="00A402CF"/>
    <w:rsid w:val="00A4043E"/>
    <w:rsid w:val="00A406FC"/>
    <w:rsid w:val="00A40C52"/>
    <w:rsid w:val="00A40F7E"/>
    <w:rsid w:val="00A41183"/>
    <w:rsid w:val="00A4194F"/>
    <w:rsid w:val="00A41B13"/>
    <w:rsid w:val="00A4233D"/>
    <w:rsid w:val="00A423F5"/>
    <w:rsid w:val="00A42429"/>
    <w:rsid w:val="00A4249C"/>
    <w:rsid w:val="00A4266B"/>
    <w:rsid w:val="00A43628"/>
    <w:rsid w:val="00A43631"/>
    <w:rsid w:val="00A4364C"/>
    <w:rsid w:val="00A437D9"/>
    <w:rsid w:val="00A43997"/>
    <w:rsid w:val="00A43B26"/>
    <w:rsid w:val="00A43BC7"/>
    <w:rsid w:val="00A43C16"/>
    <w:rsid w:val="00A43C72"/>
    <w:rsid w:val="00A43CB7"/>
    <w:rsid w:val="00A440FC"/>
    <w:rsid w:val="00A44175"/>
    <w:rsid w:val="00A44198"/>
    <w:rsid w:val="00A443A6"/>
    <w:rsid w:val="00A4462B"/>
    <w:rsid w:val="00A4489E"/>
    <w:rsid w:val="00A453D5"/>
    <w:rsid w:val="00A45507"/>
    <w:rsid w:val="00A4591F"/>
    <w:rsid w:val="00A4597B"/>
    <w:rsid w:val="00A45A1A"/>
    <w:rsid w:val="00A45E61"/>
    <w:rsid w:val="00A46440"/>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CCA"/>
    <w:rsid w:val="00A50F13"/>
    <w:rsid w:val="00A50F86"/>
    <w:rsid w:val="00A51597"/>
    <w:rsid w:val="00A516B6"/>
    <w:rsid w:val="00A51931"/>
    <w:rsid w:val="00A519C3"/>
    <w:rsid w:val="00A51BE4"/>
    <w:rsid w:val="00A51ED1"/>
    <w:rsid w:val="00A5214A"/>
    <w:rsid w:val="00A521FD"/>
    <w:rsid w:val="00A522D5"/>
    <w:rsid w:val="00A52FA2"/>
    <w:rsid w:val="00A531C7"/>
    <w:rsid w:val="00A53220"/>
    <w:rsid w:val="00A538E6"/>
    <w:rsid w:val="00A53D63"/>
    <w:rsid w:val="00A54514"/>
    <w:rsid w:val="00A54538"/>
    <w:rsid w:val="00A545D5"/>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0A"/>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0AE"/>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757"/>
    <w:rsid w:val="00A648A3"/>
    <w:rsid w:val="00A64937"/>
    <w:rsid w:val="00A64B4E"/>
    <w:rsid w:val="00A64B6E"/>
    <w:rsid w:val="00A64CF9"/>
    <w:rsid w:val="00A64D1D"/>
    <w:rsid w:val="00A64D84"/>
    <w:rsid w:val="00A64F2E"/>
    <w:rsid w:val="00A65035"/>
    <w:rsid w:val="00A650C8"/>
    <w:rsid w:val="00A653D5"/>
    <w:rsid w:val="00A65549"/>
    <w:rsid w:val="00A655C6"/>
    <w:rsid w:val="00A65758"/>
    <w:rsid w:val="00A65A86"/>
    <w:rsid w:val="00A65B3F"/>
    <w:rsid w:val="00A65BD9"/>
    <w:rsid w:val="00A65C55"/>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5"/>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1B71"/>
    <w:rsid w:val="00A92043"/>
    <w:rsid w:val="00A92088"/>
    <w:rsid w:val="00A9247B"/>
    <w:rsid w:val="00A92884"/>
    <w:rsid w:val="00A9292F"/>
    <w:rsid w:val="00A92D68"/>
    <w:rsid w:val="00A93278"/>
    <w:rsid w:val="00A93986"/>
    <w:rsid w:val="00A939BC"/>
    <w:rsid w:val="00A93BAF"/>
    <w:rsid w:val="00A93C1C"/>
    <w:rsid w:val="00A93D2F"/>
    <w:rsid w:val="00A93D95"/>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DE1"/>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34"/>
    <w:rsid w:val="00AA2075"/>
    <w:rsid w:val="00AA2443"/>
    <w:rsid w:val="00AA24C1"/>
    <w:rsid w:val="00AA2648"/>
    <w:rsid w:val="00AA2A63"/>
    <w:rsid w:val="00AA2B6B"/>
    <w:rsid w:val="00AA2F3E"/>
    <w:rsid w:val="00AA2F84"/>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54D"/>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A6"/>
    <w:rsid w:val="00AC2EFE"/>
    <w:rsid w:val="00AC2FED"/>
    <w:rsid w:val="00AC3252"/>
    <w:rsid w:val="00AC37C1"/>
    <w:rsid w:val="00AC3930"/>
    <w:rsid w:val="00AC3AB1"/>
    <w:rsid w:val="00AC3CBD"/>
    <w:rsid w:val="00AC4222"/>
    <w:rsid w:val="00AC42AC"/>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4A4"/>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44B"/>
    <w:rsid w:val="00AD6571"/>
    <w:rsid w:val="00AD696D"/>
    <w:rsid w:val="00AD69A9"/>
    <w:rsid w:val="00AD6D09"/>
    <w:rsid w:val="00AD6EF1"/>
    <w:rsid w:val="00AD7182"/>
    <w:rsid w:val="00AD71D6"/>
    <w:rsid w:val="00AD7330"/>
    <w:rsid w:val="00AD77AC"/>
    <w:rsid w:val="00AD794A"/>
    <w:rsid w:val="00AD7CAF"/>
    <w:rsid w:val="00AD7E5E"/>
    <w:rsid w:val="00AE0029"/>
    <w:rsid w:val="00AE00CB"/>
    <w:rsid w:val="00AE0290"/>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2E"/>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E44"/>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088"/>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08"/>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2E0F"/>
    <w:rsid w:val="00B0343D"/>
    <w:rsid w:val="00B03515"/>
    <w:rsid w:val="00B0351E"/>
    <w:rsid w:val="00B0352B"/>
    <w:rsid w:val="00B0360F"/>
    <w:rsid w:val="00B03678"/>
    <w:rsid w:val="00B038D5"/>
    <w:rsid w:val="00B03C76"/>
    <w:rsid w:val="00B03D5B"/>
    <w:rsid w:val="00B03E57"/>
    <w:rsid w:val="00B043E1"/>
    <w:rsid w:val="00B04980"/>
    <w:rsid w:val="00B05808"/>
    <w:rsid w:val="00B05920"/>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76C"/>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9ED"/>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008"/>
    <w:rsid w:val="00B27462"/>
    <w:rsid w:val="00B2761D"/>
    <w:rsid w:val="00B2771F"/>
    <w:rsid w:val="00B27B03"/>
    <w:rsid w:val="00B27D9E"/>
    <w:rsid w:val="00B27F6C"/>
    <w:rsid w:val="00B301FF"/>
    <w:rsid w:val="00B302DB"/>
    <w:rsid w:val="00B30636"/>
    <w:rsid w:val="00B30A30"/>
    <w:rsid w:val="00B30BE1"/>
    <w:rsid w:val="00B30DDB"/>
    <w:rsid w:val="00B30E34"/>
    <w:rsid w:val="00B30E64"/>
    <w:rsid w:val="00B30E6C"/>
    <w:rsid w:val="00B3102F"/>
    <w:rsid w:val="00B314A6"/>
    <w:rsid w:val="00B31621"/>
    <w:rsid w:val="00B317B5"/>
    <w:rsid w:val="00B317EA"/>
    <w:rsid w:val="00B31997"/>
    <w:rsid w:val="00B31A79"/>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432"/>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835"/>
    <w:rsid w:val="00B44939"/>
    <w:rsid w:val="00B44EC0"/>
    <w:rsid w:val="00B44ED9"/>
    <w:rsid w:val="00B4533B"/>
    <w:rsid w:val="00B4556F"/>
    <w:rsid w:val="00B45932"/>
    <w:rsid w:val="00B45FD3"/>
    <w:rsid w:val="00B462E9"/>
    <w:rsid w:val="00B46BBE"/>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4B2"/>
    <w:rsid w:val="00B5554A"/>
    <w:rsid w:val="00B555BD"/>
    <w:rsid w:val="00B556BD"/>
    <w:rsid w:val="00B55808"/>
    <w:rsid w:val="00B55A8F"/>
    <w:rsid w:val="00B566B9"/>
    <w:rsid w:val="00B5699D"/>
    <w:rsid w:val="00B56B4C"/>
    <w:rsid w:val="00B56D2F"/>
    <w:rsid w:val="00B57462"/>
    <w:rsid w:val="00B57594"/>
    <w:rsid w:val="00B575A8"/>
    <w:rsid w:val="00B57CE5"/>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D1B"/>
    <w:rsid w:val="00B71E8C"/>
    <w:rsid w:val="00B72143"/>
    <w:rsid w:val="00B7229A"/>
    <w:rsid w:val="00B72331"/>
    <w:rsid w:val="00B7236D"/>
    <w:rsid w:val="00B7245B"/>
    <w:rsid w:val="00B72693"/>
    <w:rsid w:val="00B7270A"/>
    <w:rsid w:val="00B72E03"/>
    <w:rsid w:val="00B73551"/>
    <w:rsid w:val="00B735B8"/>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3CB"/>
    <w:rsid w:val="00B7648A"/>
    <w:rsid w:val="00B76502"/>
    <w:rsid w:val="00B769B6"/>
    <w:rsid w:val="00B77588"/>
    <w:rsid w:val="00B7763E"/>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1BC6"/>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326"/>
    <w:rsid w:val="00B8652E"/>
    <w:rsid w:val="00B86608"/>
    <w:rsid w:val="00B86A31"/>
    <w:rsid w:val="00B86AC5"/>
    <w:rsid w:val="00B86CD0"/>
    <w:rsid w:val="00B86F3A"/>
    <w:rsid w:val="00B86FDC"/>
    <w:rsid w:val="00B876B9"/>
    <w:rsid w:val="00B876F0"/>
    <w:rsid w:val="00B877BB"/>
    <w:rsid w:val="00B87847"/>
    <w:rsid w:val="00B87A8F"/>
    <w:rsid w:val="00B87AE9"/>
    <w:rsid w:val="00B87B29"/>
    <w:rsid w:val="00B87B9A"/>
    <w:rsid w:val="00B87CB5"/>
    <w:rsid w:val="00B87D9B"/>
    <w:rsid w:val="00B9016A"/>
    <w:rsid w:val="00B90477"/>
    <w:rsid w:val="00B90BDE"/>
    <w:rsid w:val="00B90BF6"/>
    <w:rsid w:val="00B91AA3"/>
    <w:rsid w:val="00B91B34"/>
    <w:rsid w:val="00B91D63"/>
    <w:rsid w:val="00B91E23"/>
    <w:rsid w:val="00B923ED"/>
    <w:rsid w:val="00B92734"/>
    <w:rsid w:val="00B9277A"/>
    <w:rsid w:val="00B92811"/>
    <w:rsid w:val="00B92A6F"/>
    <w:rsid w:val="00B92AA5"/>
    <w:rsid w:val="00B92B74"/>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0CB"/>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4F3"/>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4D1"/>
    <w:rsid w:val="00BA6550"/>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83D"/>
    <w:rsid w:val="00BB0E89"/>
    <w:rsid w:val="00BB0FC5"/>
    <w:rsid w:val="00BB1098"/>
    <w:rsid w:val="00BB1826"/>
    <w:rsid w:val="00BB211F"/>
    <w:rsid w:val="00BB22D8"/>
    <w:rsid w:val="00BB255C"/>
    <w:rsid w:val="00BB2575"/>
    <w:rsid w:val="00BB259D"/>
    <w:rsid w:val="00BB265F"/>
    <w:rsid w:val="00BB2663"/>
    <w:rsid w:val="00BB28FE"/>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87"/>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74"/>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124"/>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51C6"/>
    <w:rsid w:val="00BD51EC"/>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694"/>
    <w:rsid w:val="00BE2776"/>
    <w:rsid w:val="00BE2841"/>
    <w:rsid w:val="00BE2AE5"/>
    <w:rsid w:val="00BE2D2B"/>
    <w:rsid w:val="00BE2D65"/>
    <w:rsid w:val="00BE2F0A"/>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6F1E"/>
    <w:rsid w:val="00BE73E5"/>
    <w:rsid w:val="00BE7621"/>
    <w:rsid w:val="00BE777A"/>
    <w:rsid w:val="00BE7920"/>
    <w:rsid w:val="00BE7D02"/>
    <w:rsid w:val="00BF00AF"/>
    <w:rsid w:val="00BF00F2"/>
    <w:rsid w:val="00BF01BD"/>
    <w:rsid w:val="00BF04BA"/>
    <w:rsid w:val="00BF04D7"/>
    <w:rsid w:val="00BF0738"/>
    <w:rsid w:val="00BF08AF"/>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5FB4"/>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11A"/>
    <w:rsid w:val="00C00312"/>
    <w:rsid w:val="00C003DF"/>
    <w:rsid w:val="00C00421"/>
    <w:rsid w:val="00C00439"/>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5ED2"/>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5A9"/>
    <w:rsid w:val="00C127A1"/>
    <w:rsid w:val="00C128C2"/>
    <w:rsid w:val="00C12D8E"/>
    <w:rsid w:val="00C12E27"/>
    <w:rsid w:val="00C132A0"/>
    <w:rsid w:val="00C132FC"/>
    <w:rsid w:val="00C13734"/>
    <w:rsid w:val="00C138C5"/>
    <w:rsid w:val="00C139AF"/>
    <w:rsid w:val="00C13AEE"/>
    <w:rsid w:val="00C13BA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18"/>
    <w:rsid w:val="00C212D3"/>
    <w:rsid w:val="00C21452"/>
    <w:rsid w:val="00C216F4"/>
    <w:rsid w:val="00C2179C"/>
    <w:rsid w:val="00C219F1"/>
    <w:rsid w:val="00C21AD6"/>
    <w:rsid w:val="00C2246C"/>
    <w:rsid w:val="00C226F9"/>
    <w:rsid w:val="00C22A98"/>
    <w:rsid w:val="00C22AE0"/>
    <w:rsid w:val="00C22BE1"/>
    <w:rsid w:val="00C22CA3"/>
    <w:rsid w:val="00C23398"/>
    <w:rsid w:val="00C234F0"/>
    <w:rsid w:val="00C234F6"/>
    <w:rsid w:val="00C235B0"/>
    <w:rsid w:val="00C237FC"/>
    <w:rsid w:val="00C238FB"/>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1B98"/>
    <w:rsid w:val="00C320E2"/>
    <w:rsid w:val="00C3237C"/>
    <w:rsid w:val="00C3251F"/>
    <w:rsid w:val="00C32959"/>
    <w:rsid w:val="00C32E52"/>
    <w:rsid w:val="00C33487"/>
    <w:rsid w:val="00C334A0"/>
    <w:rsid w:val="00C334D2"/>
    <w:rsid w:val="00C334FA"/>
    <w:rsid w:val="00C3378A"/>
    <w:rsid w:val="00C337FB"/>
    <w:rsid w:val="00C338B3"/>
    <w:rsid w:val="00C339F9"/>
    <w:rsid w:val="00C33A76"/>
    <w:rsid w:val="00C33AC1"/>
    <w:rsid w:val="00C33B3B"/>
    <w:rsid w:val="00C3404A"/>
    <w:rsid w:val="00C348C2"/>
    <w:rsid w:val="00C34A72"/>
    <w:rsid w:val="00C34B40"/>
    <w:rsid w:val="00C34BA5"/>
    <w:rsid w:val="00C34C28"/>
    <w:rsid w:val="00C34CC8"/>
    <w:rsid w:val="00C3545B"/>
    <w:rsid w:val="00C356C2"/>
    <w:rsid w:val="00C35836"/>
    <w:rsid w:val="00C35970"/>
    <w:rsid w:val="00C359B0"/>
    <w:rsid w:val="00C36500"/>
    <w:rsid w:val="00C36512"/>
    <w:rsid w:val="00C36D76"/>
    <w:rsid w:val="00C375F5"/>
    <w:rsid w:val="00C37613"/>
    <w:rsid w:val="00C376CD"/>
    <w:rsid w:val="00C379B8"/>
    <w:rsid w:val="00C37A3D"/>
    <w:rsid w:val="00C37A6D"/>
    <w:rsid w:val="00C37BFC"/>
    <w:rsid w:val="00C37DC3"/>
    <w:rsid w:val="00C405F6"/>
    <w:rsid w:val="00C40B4B"/>
    <w:rsid w:val="00C40DEF"/>
    <w:rsid w:val="00C41098"/>
    <w:rsid w:val="00C41627"/>
    <w:rsid w:val="00C41739"/>
    <w:rsid w:val="00C41C3D"/>
    <w:rsid w:val="00C41CD3"/>
    <w:rsid w:val="00C41EF2"/>
    <w:rsid w:val="00C42155"/>
    <w:rsid w:val="00C42315"/>
    <w:rsid w:val="00C4234D"/>
    <w:rsid w:val="00C42409"/>
    <w:rsid w:val="00C428E2"/>
    <w:rsid w:val="00C42BDC"/>
    <w:rsid w:val="00C42D0F"/>
    <w:rsid w:val="00C42F0B"/>
    <w:rsid w:val="00C431EC"/>
    <w:rsid w:val="00C433B5"/>
    <w:rsid w:val="00C43438"/>
    <w:rsid w:val="00C4394F"/>
    <w:rsid w:val="00C43EA6"/>
    <w:rsid w:val="00C44094"/>
    <w:rsid w:val="00C44264"/>
    <w:rsid w:val="00C4436F"/>
    <w:rsid w:val="00C44372"/>
    <w:rsid w:val="00C44455"/>
    <w:rsid w:val="00C4451B"/>
    <w:rsid w:val="00C445A3"/>
    <w:rsid w:val="00C4467F"/>
    <w:rsid w:val="00C44882"/>
    <w:rsid w:val="00C4488C"/>
    <w:rsid w:val="00C449A8"/>
    <w:rsid w:val="00C44D50"/>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130"/>
    <w:rsid w:val="00C60350"/>
    <w:rsid w:val="00C6056D"/>
    <w:rsid w:val="00C6074F"/>
    <w:rsid w:val="00C60F14"/>
    <w:rsid w:val="00C61601"/>
    <w:rsid w:val="00C6176D"/>
    <w:rsid w:val="00C6189A"/>
    <w:rsid w:val="00C6199D"/>
    <w:rsid w:val="00C619C8"/>
    <w:rsid w:val="00C619F0"/>
    <w:rsid w:val="00C61CF5"/>
    <w:rsid w:val="00C61FDF"/>
    <w:rsid w:val="00C62034"/>
    <w:rsid w:val="00C6251A"/>
    <w:rsid w:val="00C62568"/>
    <w:rsid w:val="00C625B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BCC"/>
    <w:rsid w:val="00C67F41"/>
    <w:rsid w:val="00C7030F"/>
    <w:rsid w:val="00C703DD"/>
    <w:rsid w:val="00C70633"/>
    <w:rsid w:val="00C70962"/>
    <w:rsid w:val="00C70D8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8F5"/>
    <w:rsid w:val="00C849A9"/>
    <w:rsid w:val="00C84A1B"/>
    <w:rsid w:val="00C84CAE"/>
    <w:rsid w:val="00C85000"/>
    <w:rsid w:val="00C85059"/>
    <w:rsid w:val="00C8509B"/>
    <w:rsid w:val="00C85196"/>
    <w:rsid w:val="00C854A8"/>
    <w:rsid w:val="00C85521"/>
    <w:rsid w:val="00C855C1"/>
    <w:rsid w:val="00C856C0"/>
    <w:rsid w:val="00C86376"/>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1E"/>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74C"/>
    <w:rsid w:val="00C94896"/>
    <w:rsid w:val="00C948E5"/>
    <w:rsid w:val="00C9493D"/>
    <w:rsid w:val="00C949B8"/>
    <w:rsid w:val="00C94A84"/>
    <w:rsid w:val="00C94DF2"/>
    <w:rsid w:val="00C94E86"/>
    <w:rsid w:val="00C94F68"/>
    <w:rsid w:val="00C94F96"/>
    <w:rsid w:val="00C94FB6"/>
    <w:rsid w:val="00C9500D"/>
    <w:rsid w:val="00C95189"/>
    <w:rsid w:val="00C95448"/>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7"/>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B88"/>
    <w:rsid w:val="00CA6D8F"/>
    <w:rsid w:val="00CA6DD8"/>
    <w:rsid w:val="00CA6E87"/>
    <w:rsid w:val="00CA719B"/>
    <w:rsid w:val="00CA7377"/>
    <w:rsid w:val="00CA75AC"/>
    <w:rsid w:val="00CA7C03"/>
    <w:rsid w:val="00CB0327"/>
    <w:rsid w:val="00CB06F0"/>
    <w:rsid w:val="00CB0B1B"/>
    <w:rsid w:val="00CB0BDA"/>
    <w:rsid w:val="00CB0C00"/>
    <w:rsid w:val="00CB0C01"/>
    <w:rsid w:val="00CB0D12"/>
    <w:rsid w:val="00CB1041"/>
    <w:rsid w:val="00CB1582"/>
    <w:rsid w:val="00CB16EF"/>
    <w:rsid w:val="00CB1787"/>
    <w:rsid w:val="00CB189A"/>
    <w:rsid w:val="00CB1AFC"/>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AAE"/>
    <w:rsid w:val="00CB6C1A"/>
    <w:rsid w:val="00CB6EA6"/>
    <w:rsid w:val="00CB6F7C"/>
    <w:rsid w:val="00CB70C3"/>
    <w:rsid w:val="00CB70FC"/>
    <w:rsid w:val="00CB713E"/>
    <w:rsid w:val="00CB739E"/>
    <w:rsid w:val="00CB7561"/>
    <w:rsid w:val="00CB77D8"/>
    <w:rsid w:val="00CB7CA0"/>
    <w:rsid w:val="00CB7DF6"/>
    <w:rsid w:val="00CC051F"/>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A60"/>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A78"/>
    <w:rsid w:val="00CC6A82"/>
    <w:rsid w:val="00CC6AEF"/>
    <w:rsid w:val="00CC6BE0"/>
    <w:rsid w:val="00CC6D99"/>
    <w:rsid w:val="00CC71B7"/>
    <w:rsid w:val="00CC7B86"/>
    <w:rsid w:val="00CD0086"/>
    <w:rsid w:val="00CD0601"/>
    <w:rsid w:val="00CD0678"/>
    <w:rsid w:val="00CD077C"/>
    <w:rsid w:val="00CD0F11"/>
    <w:rsid w:val="00CD120A"/>
    <w:rsid w:val="00CD137B"/>
    <w:rsid w:val="00CD1397"/>
    <w:rsid w:val="00CD169C"/>
    <w:rsid w:val="00CD1CF7"/>
    <w:rsid w:val="00CD1D85"/>
    <w:rsid w:val="00CD1D9E"/>
    <w:rsid w:val="00CD1E73"/>
    <w:rsid w:val="00CD1FC3"/>
    <w:rsid w:val="00CD2016"/>
    <w:rsid w:val="00CD22B2"/>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AD9"/>
    <w:rsid w:val="00CD4E6A"/>
    <w:rsid w:val="00CD4F35"/>
    <w:rsid w:val="00CD50E9"/>
    <w:rsid w:val="00CD5C6B"/>
    <w:rsid w:val="00CD62AA"/>
    <w:rsid w:val="00CD662A"/>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0BD"/>
    <w:rsid w:val="00CE2568"/>
    <w:rsid w:val="00CE28BE"/>
    <w:rsid w:val="00CE2B9B"/>
    <w:rsid w:val="00CE2DD6"/>
    <w:rsid w:val="00CE2F14"/>
    <w:rsid w:val="00CE33B0"/>
    <w:rsid w:val="00CE388F"/>
    <w:rsid w:val="00CE3DB6"/>
    <w:rsid w:val="00CE3EC8"/>
    <w:rsid w:val="00CE4257"/>
    <w:rsid w:val="00CE4486"/>
    <w:rsid w:val="00CE449D"/>
    <w:rsid w:val="00CE483D"/>
    <w:rsid w:val="00CE49FB"/>
    <w:rsid w:val="00CE4A5D"/>
    <w:rsid w:val="00CE4AF3"/>
    <w:rsid w:val="00CE4C91"/>
    <w:rsid w:val="00CE5102"/>
    <w:rsid w:val="00CE5218"/>
    <w:rsid w:val="00CE52B8"/>
    <w:rsid w:val="00CE5517"/>
    <w:rsid w:val="00CE5694"/>
    <w:rsid w:val="00CE5798"/>
    <w:rsid w:val="00CE5820"/>
    <w:rsid w:val="00CE6A0B"/>
    <w:rsid w:val="00CE707A"/>
    <w:rsid w:val="00CE7195"/>
    <w:rsid w:val="00CE7467"/>
    <w:rsid w:val="00CE7693"/>
    <w:rsid w:val="00CE7BF6"/>
    <w:rsid w:val="00CE7E28"/>
    <w:rsid w:val="00CE7FB6"/>
    <w:rsid w:val="00CF00E8"/>
    <w:rsid w:val="00CF0593"/>
    <w:rsid w:val="00CF0950"/>
    <w:rsid w:val="00CF0AC9"/>
    <w:rsid w:val="00CF0B08"/>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D49"/>
    <w:rsid w:val="00CF3D8E"/>
    <w:rsid w:val="00CF3E0B"/>
    <w:rsid w:val="00CF3EC8"/>
    <w:rsid w:val="00CF4294"/>
    <w:rsid w:val="00CF4440"/>
    <w:rsid w:val="00CF4468"/>
    <w:rsid w:val="00CF4C05"/>
    <w:rsid w:val="00CF4C13"/>
    <w:rsid w:val="00CF5555"/>
    <w:rsid w:val="00CF5ADC"/>
    <w:rsid w:val="00CF60E6"/>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61C"/>
    <w:rsid w:val="00D058E0"/>
    <w:rsid w:val="00D059E9"/>
    <w:rsid w:val="00D06158"/>
    <w:rsid w:val="00D0639C"/>
    <w:rsid w:val="00D0642B"/>
    <w:rsid w:val="00D06450"/>
    <w:rsid w:val="00D06607"/>
    <w:rsid w:val="00D0674E"/>
    <w:rsid w:val="00D06894"/>
    <w:rsid w:val="00D06AA1"/>
    <w:rsid w:val="00D06BB1"/>
    <w:rsid w:val="00D06E88"/>
    <w:rsid w:val="00D073A3"/>
    <w:rsid w:val="00D073DD"/>
    <w:rsid w:val="00D074DE"/>
    <w:rsid w:val="00D07712"/>
    <w:rsid w:val="00D077CB"/>
    <w:rsid w:val="00D0792F"/>
    <w:rsid w:val="00D07AF5"/>
    <w:rsid w:val="00D07E4E"/>
    <w:rsid w:val="00D100AA"/>
    <w:rsid w:val="00D105C4"/>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0F3"/>
    <w:rsid w:val="00D132E9"/>
    <w:rsid w:val="00D13300"/>
    <w:rsid w:val="00D13527"/>
    <w:rsid w:val="00D1354D"/>
    <w:rsid w:val="00D137C2"/>
    <w:rsid w:val="00D13835"/>
    <w:rsid w:val="00D1383D"/>
    <w:rsid w:val="00D1389C"/>
    <w:rsid w:val="00D13B08"/>
    <w:rsid w:val="00D13B79"/>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D93"/>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88"/>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B0"/>
    <w:rsid w:val="00D308C8"/>
    <w:rsid w:val="00D30E80"/>
    <w:rsid w:val="00D3119A"/>
    <w:rsid w:val="00D31328"/>
    <w:rsid w:val="00D31406"/>
    <w:rsid w:val="00D317F8"/>
    <w:rsid w:val="00D318B2"/>
    <w:rsid w:val="00D31B55"/>
    <w:rsid w:val="00D31BA6"/>
    <w:rsid w:val="00D31EE6"/>
    <w:rsid w:val="00D3221F"/>
    <w:rsid w:val="00D3255F"/>
    <w:rsid w:val="00D32C93"/>
    <w:rsid w:val="00D33231"/>
    <w:rsid w:val="00D332C5"/>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BE6"/>
    <w:rsid w:val="00D41D9B"/>
    <w:rsid w:val="00D41EBB"/>
    <w:rsid w:val="00D41F58"/>
    <w:rsid w:val="00D422C1"/>
    <w:rsid w:val="00D423AC"/>
    <w:rsid w:val="00D42896"/>
    <w:rsid w:val="00D42CEB"/>
    <w:rsid w:val="00D43962"/>
    <w:rsid w:val="00D43BF7"/>
    <w:rsid w:val="00D43E07"/>
    <w:rsid w:val="00D441A4"/>
    <w:rsid w:val="00D4426A"/>
    <w:rsid w:val="00D44648"/>
    <w:rsid w:val="00D4473F"/>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21"/>
    <w:rsid w:val="00D46A7B"/>
    <w:rsid w:val="00D4719E"/>
    <w:rsid w:val="00D471D8"/>
    <w:rsid w:val="00D476EA"/>
    <w:rsid w:val="00D4787D"/>
    <w:rsid w:val="00D479BF"/>
    <w:rsid w:val="00D47A4C"/>
    <w:rsid w:val="00D47AC5"/>
    <w:rsid w:val="00D47D5D"/>
    <w:rsid w:val="00D47EE1"/>
    <w:rsid w:val="00D50B09"/>
    <w:rsid w:val="00D5148B"/>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89"/>
    <w:rsid w:val="00D539D5"/>
    <w:rsid w:val="00D53C08"/>
    <w:rsid w:val="00D53CED"/>
    <w:rsid w:val="00D53E7F"/>
    <w:rsid w:val="00D53EE5"/>
    <w:rsid w:val="00D541B7"/>
    <w:rsid w:val="00D544D5"/>
    <w:rsid w:val="00D54628"/>
    <w:rsid w:val="00D54AED"/>
    <w:rsid w:val="00D54C12"/>
    <w:rsid w:val="00D54E08"/>
    <w:rsid w:val="00D54ECD"/>
    <w:rsid w:val="00D54F25"/>
    <w:rsid w:val="00D55048"/>
    <w:rsid w:val="00D55053"/>
    <w:rsid w:val="00D550D5"/>
    <w:rsid w:val="00D55826"/>
    <w:rsid w:val="00D55A29"/>
    <w:rsid w:val="00D55AE3"/>
    <w:rsid w:val="00D55EDA"/>
    <w:rsid w:val="00D5624E"/>
    <w:rsid w:val="00D56515"/>
    <w:rsid w:val="00D565B0"/>
    <w:rsid w:val="00D567B2"/>
    <w:rsid w:val="00D56B97"/>
    <w:rsid w:val="00D56BC6"/>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A96"/>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00"/>
    <w:rsid w:val="00D72378"/>
    <w:rsid w:val="00D729A7"/>
    <w:rsid w:val="00D729BA"/>
    <w:rsid w:val="00D72A8D"/>
    <w:rsid w:val="00D72B77"/>
    <w:rsid w:val="00D730D4"/>
    <w:rsid w:val="00D730FD"/>
    <w:rsid w:val="00D73135"/>
    <w:rsid w:val="00D732AF"/>
    <w:rsid w:val="00D735BD"/>
    <w:rsid w:val="00D7390A"/>
    <w:rsid w:val="00D739A7"/>
    <w:rsid w:val="00D73B08"/>
    <w:rsid w:val="00D73FCC"/>
    <w:rsid w:val="00D741DA"/>
    <w:rsid w:val="00D74261"/>
    <w:rsid w:val="00D742A6"/>
    <w:rsid w:val="00D744DB"/>
    <w:rsid w:val="00D745E3"/>
    <w:rsid w:val="00D74A2D"/>
    <w:rsid w:val="00D74E03"/>
    <w:rsid w:val="00D74E52"/>
    <w:rsid w:val="00D7519A"/>
    <w:rsid w:val="00D756FB"/>
    <w:rsid w:val="00D75868"/>
    <w:rsid w:val="00D768A7"/>
    <w:rsid w:val="00D76CD9"/>
    <w:rsid w:val="00D76EF4"/>
    <w:rsid w:val="00D772FA"/>
    <w:rsid w:val="00D77807"/>
    <w:rsid w:val="00D80063"/>
    <w:rsid w:val="00D80127"/>
    <w:rsid w:val="00D8023C"/>
    <w:rsid w:val="00D804E2"/>
    <w:rsid w:val="00D805D1"/>
    <w:rsid w:val="00D808CB"/>
    <w:rsid w:val="00D80D90"/>
    <w:rsid w:val="00D8119C"/>
    <w:rsid w:val="00D81253"/>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310"/>
    <w:rsid w:val="00D87BDA"/>
    <w:rsid w:val="00D87C29"/>
    <w:rsid w:val="00D87DBB"/>
    <w:rsid w:val="00D87E88"/>
    <w:rsid w:val="00D90008"/>
    <w:rsid w:val="00D90433"/>
    <w:rsid w:val="00D90451"/>
    <w:rsid w:val="00D90785"/>
    <w:rsid w:val="00D90EA2"/>
    <w:rsid w:val="00D90FAB"/>
    <w:rsid w:val="00D911F7"/>
    <w:rsid w:val="00D91331"/>
    <w:rsid w:val="00D9152F"/>
    <w:rsid w:val="00D91959"/>
    <w:rsid w:val="00D91BFB"/>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0"/>
    <w:rsid w:val="00D97786"/>
    <w:rsid w:val="00D978B4"/>
    <w:rsid w:val="00D97A7B"/>
    <w:rsid w:val="00D97E73"/>
    <w:rsid w:val="00D97E9B"/>
    <w:rsid w:val="00D97FB1"/>
    <w:rsid w:val="00DA05CA"/>
    <w:rsid w:val="00DA06B0"/>
    <w:rsid w:val="00DA0A6E"/>
    <w:rsid w:val="00DA0D3C"/>
    <w:rsid w:val="00DA0E6E"/>
    <w:rsid w:val="00DA0EA0"/>
    <w:rsid w:val="00DA1060"/>
    <w:rsid w:val="00DA1067"/>
    <w:rsid w:val="00DA1149"/>
    <w:rsid w:val="00DA1259"/>
    <w:rsid w:val="00DA1AAD"/>
    <w:rsid w:val="00DA1CC8"/>
    <w:rsid w:val="00DA1E08"/>
    <w:rsid w:val="00DA1F49"/>
    <w:rsid w:val="00DA2420"/>
    <w:rsid w:val="00DA255B"/>
    <w:rsid w:val="00DA2661"/>
    <w:rsid w:val="00DA2A4A"/>
    <w:rsid w:val="00DA2A67"/>
    <w:rsid w:val="00DA2AE9"/>
    <w:rsid w:val="00DA2D90"/>
    <w:rsid w:val="00DA2DD3"/>
    <w:rsid w:val="00DA318F"/>
    <w:rsid w:val="00DA324F"/>
    <w:rsid w:val="00DA36A8"/>
    <w:rsid w:val="00DA370E"/>
    <w:rsid w:val="00DA3CC7"/>
    <w:rsid w:val="00DA3CE7"/>
    <w:rsid w:val="00DA400F"/>
    <w:rsid w:val="00DA4095"/>
    <w:rsid w:val="00DA40DD"/>
    <w:rsid w:val="00DA40E3"/>
    <w:rsid w:val="00DA4173"/>
    <w:rsid w:val="00DA4A47"/>
    <w:rsid w:val="00DA4A52"/>
    <w:rsid w:val="00DA4BAB"/>
    <w:rsid w:val="00DA4BDB"/>
    <w:rsid w:val="00DA4E59"/>
    <w:rsid w:val="00DA4E77"/>
    <w:rsid w:val="00DA4F06"/>
    <w:rsid w:val="00DA4FA5"/>
    <w:rsid w:val="00DA4FBC"/>
    <w:rsid w:val="00DA4FF0"/>
    <w:rsid w:val="00DA52F8"/>
    <w:rsid w:val="00DA533C"/>
    <w:rsid w:val="00DA54FD"/>
    <w:rsid w:val="00DA58D9"/>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BEC"/>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D03"/>
    <w:rsid w:val="00DB6F76"/>
    <w:rsid w:val="00DB714F"/>
    <w:rsid w:val="00DB7B0D"/>
    <w:rsid w:val="00DB7D8D"/>
    <w:rsid w:val="00DB7DBB"/>
    <w:rsid w:val="00DC0146"/>
    <w:rsid w:val="00DC03EE"/>
    <w:rsid w:val="00DC0543"/>
    <w:rsid w:val="00DC06EC"/>
    <w:rsid w:val="00DC09E2"/>
    <w:rsid w:val="00DC10C9"/>
    <w:rsid w:val="00DC1853"/>
    <w:rsid w:val="00DC19FB"/>
    <w:rsid w:val="00DC1D37"/>
    <w:rsid w:val="00DC1D3F"/>
    <w:rsid w:val="00DC20F3"/>
    <w:rsid w:val="00DC2610"/>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BF0"/>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AF3"/>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1EB0"/>
    <w:rsid w:val="00DE2011"/>
    <w:rsid w:val="00DE253C"/>
    <w:rsid w:val="00DE2994"/>
    <w:rsid w:val="00DE3087"/>
    <w:rsid w:val="00DE30DA"/>
    <w:rsid w:val="00DE3588"/>
    <w:rsid w:val="00DE3DEF"/>
    <w:rsid w:val="00DE3E2A"/>
    <w:rsid w:val="00DE3EE3"/>
    <w:rsid w:val="00DE44F6"/>
    <w:rsid w:val="00DE4B9F"/>
    <w:rsid w:val="00DE4D64"/>
    <w:rsid w:val="00DE4F99"/>
    <w:rsid w:val="00DE525E"/>
    <w:rsid w:val="00DE530A"/>
    <w:rsid w:val="00DE5477"/>
    <w:rsid w:val="00DE58F6"/>
    <w:rsid w:val="00DE5A92"/>
    <w:rsid w:val="00DE5B0F"/>
    <w:rsid w:val="00DE5CB9"/>
    <w:rsid w:val="00DE63A9"/>
    <w:rsid w:val="00DE6C64"/>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A46"/>
    <w:rsid w:val="00DF5D5A"/>
    <w:rsid w:val="00DF5F08"/>
    <w:rsid w:val="00DF6529"/>
    <w:rsid w:val="00DF66FA"/>
    <w:rsid w:val="00DF67D7"/>
    <w:rsid w:val="00DF69F9"/>
    <w:rsid w:val="00DF6C82"/>
    <w:rsid w:val="00DF6EAD"/>
    <w:rsid w:val="00DF717D"/>
    <w:rsid w:val="00DF7360"/>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805"/>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5DF"/>
    <w:rsid w:val="00E10604"/>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852"/>
    <w:rsid w:val="00E139B0"/>
    <w:rsid w:val="00E13E04"/>
    <w:rsid w:val="00E1417A"/>
    <w:rsid w:val="00E14562"/>
    <w:rsid w:val="00E145F6"/>
    <w:rsid w:val="00E147D5"/>
    <w:rsid w:val="00E149FA"/>
    <w:rsid w:val="00E14A4C"/>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49E"/>
    <w:rsid w:val="00E2279F"/>
    <w:rsid w:val="00E22B76"/>
    <w:rsid w:val="00E2341A"/>
    <w:rsid w:val="00E234F1"/>
    <w:rsid w:val="00E2397D"/>
    <w:rsid w:val="00E23AE2"/>
    <w:rsid w:val="00E23C3A"/>
    <w:rsid w:val="00E2419D"/>
    <w:rsid w:val="00E241ED"/>
    <w:rsid w:val="00E24395"/>
    <w:rsid w:val="00E243DE"/>
    <w:rsid w:val="00E2458E"/>
    <w:rsid w:val="00E246A4"/>
    <w:rsid w:val="00E2480C"/>
    <w:rsid w:val="00E24824"/>
    <w:rsid w:val="00E249C0"/>
    <w:rsid w:val="00E24BAE"/>
    <w:rsid w:val="00E24E3A"/>
    <w:rsid w:val="00E25167"/>
    <w:rsid w:val="00E256CF"/>
    <w:rsid w:val="00E256FF"/>
    <w:rsid w:val="00E25AF8"/>
    <w:rsid w:val="00E26457"/>
    <w:rsid w:val="00E26804"/>
    <w:rsid w:val="00E26C55"/>
    <w:rsid w:val="00E26DA4"/>
    <w:rsid w:val="00E26F6C"/>
    <w:rsid w:val="00E275D0"/>
    <w:rsid w:val="00E2765A"/>
    <w:rsid w:val="00E27A24"/>
    <w:rsid w:val="00E27B31"/>
    <w:rsid w:val="00E27BD5"/>
    <w:rsid w:val="00E27D64"/>
    <w:rsid w:val="00E27D99"/>
    <w:rsid w:val="00E30059"/>
    <w:rsid w:val="00E30136"/>
    <w:rsid w:val="00E30158"/>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BF5"/>
    <w:rsid w:val="00E33CA4"/>
    <w:rsid w:val="00E33CEA"/>
    <w:rsid w:val="00E33E3B"/>
    <w:rsid w:val="00E34348"/>
    <w:rsid w:val="00E3466E"/>
    <w:rsid w:val="00E34CA3"/>
    <w:rsid w:val="00E35B1B"/>
    <w:rsid w:val="00E35C4A"/>
    <w:rsid w:val="00E35F00"/>
    <w:rsid w:val="00E366C8"/>
    <w:rsid w:val="00E36C44"/>
    <w:rsid w:val="00E36CF0"/>
    <w:rsid w:val="00E36D1D"/>
    <w:rsid w:val="00E36FAB"/>
    <w:rsid w:val="00E36FF5"/>
    <w:rsid w:val="00E37009"/>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DDB"/>
    <w:rsid w:val="00E42FB8"/>
    <w:rsid w:val="00E430A4"/>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556"/>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511"/>
    <w:rsid w:val="00E649F8"/>
    <w:rsid w:val="00E64DEF"/>
    <w:rsid w:val="00E64E72"/>
    <w:rsid w:val="00E6517C"/>
    <w:rsid w:val="00E6520D"/>
    <w:rsid w:val="00E65555"/>
    <w:rsid w:val="00E65B07"/>
    <w:rsid w:val="00E65B53"/>
    <w:rsid w:val="00E65B6C"/>
    <w:rsid w:val="00E65C7A"/>
    <w:rsid w:val="00E65DA9"/>
    <w:rsid w:val="00E6623B"/>
    <w:rsid w:val="00E662BC"/>
    <w:rsid w:val="00E665C4"/>
    <w:rsid w:val="00E665D2"/>
    <w:rsid w:val="00E6661F"/>
    <w:rsid w:val="00E6667A"/>
    <w:rsid w:val="00E6681A"/>
    <w:rsid w:val="00E669D8"/>
    <w:rsid w:val="00E66B74"/>
    <w:rsid w:val="00E66D28"/>
    <w:rsid w:val="00E67180"/>
    <w:rsid w:val="00E672C7"/>
    <w:rsid w:val="00E673FF"/>
    <w:rsid w:val="00E67556"/>
    <w:rsid w:val="00E675E3"/>
    <w:rsid w:val="00E6762B"/>
    <w:rsid w:val="00E6764E"/>
    <w:rsid w:val="00E676E2"/>
    <w:rsid w:val="00E6786A"/>
    <w:rsid w:val="00E678B4"/>
    <w:rsid w:val="00E678EA"/>
    <w:rsid w:val="00E67B20"/>
    <w:rsid w:val="00E67D16"/>
    <w:rsid w:val="00E67E5F"/>
    <w:rsid w:val="00E701A9"/>
    <w:rsid w:val="00E70433"/>
    <w:rsid w:val="00E704CC"/>
    <w:rsid w:val="00E7085B"/>
    <w:rsid w:val="00E708ED"/>
    <w:rsid w:val="00E70E65"/>
    <w:rsid w:val="00E7162C"/>
    <w:rsid w:val="00E71658"/>
    <w:rsid w:val="00E719E3"/>
    <w:rsid w:val="00E71AA5"/>
    <w:rsid w:val="00E71B2E"/>
    <w:rsid w:val="00E7229D"/>
    <w:rsid w:val="00E72505"/>
    <w:rsid w:val="00E725CD"/>
    <w:rsid w:val="00E72BCD"/>
    <w:rsid w:val="00E72D8A"/>
    <w:rsid w:val="00E72F48"/>
    <w:rsid w:val="00E72F63"/>
    <w:rsid w:val="00E73484"/>
    <w:rsid w:val="00E734A8"/>
    <w:rsid w:val="00E7387E"/>
    <w:rsid w:val="00E738CE"/>
    <w:rsid w:val="00E73A5F"/>
    <w:rsid w:val="00E73B9C"/>
    <w:rsid w:val="00E73DFD"/>
    <w:rsid w:val="00E7425F"/>
    <w:rsid w:val="00E744E8"/>
    <w:rsid w:val="00E7469E"/>
    <w:rsid w:val="00E74A5E"/>
    <w:rsid w:val="00E74A65"/>
    <w:rsid w:val="00E74E55"/>
    <w:rsid w:val="00E74FA5"/>
    <w:rsid w:val="00E756A8"/>
    <w:rsid w:val="00E757C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62D"/>
    <w:rsid w:val="00E77795"/>
    <w:rsid w:val="00E77B0C"/>
    <w:rsid w:val="00E77E9E"/>
    <w:rsid w:val="00E8007A"/>
    <w:rsid w:val="00E800B5"/>
    <w:rsid w:val="00E80195"/>
    <w:rsid w:val="00E80468"/>
    <w:rsid w:val="00E81385"/>
    <w:rsid w:val="00E81646"/>
    <w:rsid w:val="00E81875"/>
    <w:rsid w:val="00E818EC"/>
    <w:rsid w:val="00E81916"/>
    <w:rsid w:val="00E81B78"/>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688"/>
    <w:rsid w:val="00E86928"/>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0C6"/>
    <w:rsid w:val="00E941A7"/>
    <w:rsid w:val="00E94239"/>
    <w:rsid w:val="00E9485C"/>
    <w:rsid w:val="00E94B57"/>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0D7B"/>
    <w:rsid w:val="00EA1104"/>
    <w:rsid w:val="00EA1915"/>
    <w:rsid w:val="00EA1C04"/>
    <w:rsid w:val="00EA1C47"/>
    <w:rsid w:val="00EA1DA8"/>
    <w:rsid w:val="00EA212F"/>
    <w:rsid w:val="00EA216A"/>
    <w:rsid w:val="00EA232D"/>
    <w:rsid w:val="00EA24F4"/>
    <w:rsid w:val="00EA2637"/>
    <w:rsid w:val="00EA26C4"/>
    <w:rsid w:val="00EA2728"/>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A69"/>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E8"/>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AB"/>
    <w:rsid w:val="00EB5F48"/>
    <w:rsid w:val="00EB61AF"/>
    <w:rsid w:val="00EB61E0"/>
    <w:rsid w:val="00EB6509"/>
    <w:rsid w:val="00EB6812"/>
    <w:rsid w:val="00EB6AE5"/>
    <w:rsid w:val="00EB6C1C"/>
    <w:rsid w:val="00EB7259"/>
    <w:rsid w:val="00EB73BF"/>
    <w:rsid w:val="00EB7A0E"/>
    <w:rsid w:val="00EB7C2E"/>
    <w:rsid w:val="00EB7C5E"/>
    <w:rsid w:val="00EB7ED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3EE"/>
    <w:rsid w:val="00EC55BF"/>
    <w:rsid w:val="00EC5AC5"/>
    <w:rsid w:val="00EC6015"/>
    <w:rsid w:val="00EC60B0"/>
    <w:rsid w:val="00EC632F"/>
    <w:rsid w:val="00EC645B"/>
    <w:rsid w:val="00EC661C"/>
    <w:rsid w:val="00EC68D9"/>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406"/>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D63"/>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6CC"/>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4D52"/>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172"/>
    <w:rsid w:val="00F01269"/>
    <w:rsid w:val="00F01478"/>
    <w:rsid w:val="00F017C0"/>
    <w:rsid w:val="00F0186C"/>
    <w:rsid w:val="00F01999"/>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22"/>
    <w:rsid w:val="00F054F1"/>
    <w:rsid w:val="00F05B66"/>
    <w:rsid w:val="00F05F92"/>
    <w:rsid w:val="00F0601C"/>
    <w:rsid w:val="00F063DC"/>
    <w:rsid w:val="00F0640B"/>
    <w:rsid w:val="00F066F7"/>
    <w:rsid w:val="00F06746"/>
    <w:rsid w:val="00F068CF"/>
    <w:rsid w:val="00F068DB"/>
    <w:rsid w:val="00F06B2D"/>
    <w:rsid w:val="00F06D56"/>
    <w:rsid w:val="00F06D77"/>
    <w:rsid w:val="00F06E7B"/>
    <w:rsid w:val="00F0707E"/>
    <w:rsid w:val="00F0754B"/>
    <w:rsid w:val="00F07604"/>
    <w:rsid w:val="00F0789E"/>
    <w:rsid w:val="00F07F66"/>
    <w:rsid w:val="00F1030E"/>
    <w:rsid w:val="00F104A7"/>
    <w:rsid w:val="00F106FA"/>
    <w:rsid w:val="00F10892"/>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0C4"/>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4E0"/>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775"/>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4B91"/>
    <w:rsid w:val="00F453EC"/>
    <w:rsid w:val="00F4553C"/>
    <w:rsid w:val="00F45985"/>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ED6"/>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484"/>
    <w:rsid w:val="00F515F1"/>
    <w:rsid w:val="00F51A12"/>
    <w:rsid w:val="00F51A93"/>
    <w:rsid w:val="00F521B1"/>
    <w:rsid w:val="00F52713"/>
    <w:rsid w:val="00F5273A"/>
    <w:rsid w:val="00F52765"/>
    <w:rsid w:val="00F52873"/>
    <w:rsid w:val="00F52B28"/>
    <w:rsid w:val="00F52D6B"/>
    <w:rsid w:val="00F52DAA"/>
    <w:rsid w:val="00F52E18"/>
    <w:rsid w:val="00F5302B"/>
    <w:rsid w:val="00F53582"/>
    <w:rsid w:val="00F535E2"/>
    <w:rsid w:val="00F536E9"/>
    <w:rsid w:val="00F538D4"/>
    <w:rsid w:val="00F53DCD"/>
    <w:rsid w:val="00F53DD6"/>
    <w:rsid w:val="00F53E53"/>
    <w:rsid w:val="00F542A5"/>
    <w:rsid w:val="00F542F9"/>
    <w:rsid w:val="00F543EE"/>
    <w:rsid w:val="00F54516"/>
    <w:rsid w:val="00F5461C"/>
    <w:rsid w:val="00F546FB"/>
    <w:rsid w:val="00F54BCE"/>
    <w:rsid w:val="00F55335"/>
    <w:rsid w:val="00F553A4"/>
    <w:rsid w:val="00F55B40"/>
    <w:rsid w:val="00F55CF7"/>
    <w:rsid w:val="00F55DBF"/>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19F"/>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0FE"/>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3D"/>
    <w:rsid w:val="00F802D2"/>
    <w:rsid w:val="00F80602"/>
    <w:rsid w:val="00F80A16"/>
    <w:rsid w:val="00F80E9B"/>
    <w:rsid w:val="00F810D2"/>
    <w:rsid w:val="00F81765"/>
    <w:rsid w:val="00F81936"/>
    <w:rsid w:val="00F81BF8"/>
    <w:rsid w:val="00F81E47"/>
    <w:rsid w:val="00F820E2"/>
    <w:rsid w:val="00F8222E"/>
    <w:rsid w:val="00F824EF"/>
    <w:rsid w:val="00F825F5"/>
    <w:rsid w:val="00F827F4"/>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1AF"/>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3"/>
    <w:rsid w:val="00F9418A"/>
    <w:rsid w:val="00F94255"/>
    <w:rsid w:val="00F9434C"/>
    <w:rsid w:val="00F948FB"/>
    <w:rsid w:val="00F94B16"/>
    <w:rsid w:val="00F94D7D"/>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EBB"/>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50F"/>
    <w:rsid w:val="00FA4A1D"/>
    <w:rsid w:val="00FA4E45"/>
    <w:rsid w:val="00FA4FAD"/>
    <w:rsid w:val="00FA4FFE"/>
    <w:rsid w:val="00FA55D5"/>
    <w:rsid w:val="00FA6175"/>
    <w:rsid w:val="00FA68C4"/>
    <w:rsid w:val="00FA6B3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1D3"/>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3D6"/>
    <w:rsid w:val="00FB38A3"/>
    <w:rsid w:val="00FB3F2B"/>
    <w:rsid w:val="00FB3F7F"/>
    <w:rsid w:val="00FB3FD7"/>
    <w:rsid w:val="00FB416A"/>
    <w:rsid w:val="00FB41A6"/>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60B"/>
    <w:rsid w:val="00FC1994"/>
    <w:rsid w:val="00FC1B4B"/>
    <w:rsid w:val="00FC1F03"/>
    <w:rsid w:val="00FC1F8D"/>
    <w:rsid w:val="00FC215F"/>
    <w:rsid w:val="00FC2360"/>
    <w:rsid w:val="00FC243A"/>
    <w:rsid w:val="00FC26DD"/>
    <w:rsid w:val="00FC2711"/>
    <w:rsid w:val="00FC2950"/>
    <w:rsid w:val="00FC2B00"/>
    <w:rsid w:val="00FC2B10"/>
    <w:rsid w:val="00FC2B37"/>
    <w:rsid w:val="00FC2C51"/>
    <w:rsid w:val="00FC2F98"/>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0F2F"/>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0B11"/>
    <w:rsid w:val="00FE0C01"/>
    <w:rsid w:val="00FE14AF"/>
    <w:rsid w:val="00FE14EA"/>
    <w:rsid w:val="00FE185C"/>
    <w:rsid w:val="00FE1BD0"/>
    <w:rsid w:val="00FE1C6C"/>
    <w:rsid w:val="00FE1FB5"/>
    <w:rsid w:val="00FE206D"/>
    <w:rsid w:val="00FE2663"/>
    <w:rsid w:val="00FE29E7"/>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0ED"/>
    <w:rsid w:val="00FE52DD"/>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E7BBE"/>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3A3"/>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4BDBD"/>
  <w15:docId w15:val="{69691CAC-FC66-4562-BB22-6456C01F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BB6674"/>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fr-FR"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r-FR" w:eastAsia="en-GB"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fr-FR"/>
    </w:rPr>
  </w:style>
  <w:style w:type="character" w:customStyle="1" w:styleId="Heading1Char">
    <w:name w:val="Heading 1 Char"/>
    <w:link w:val="Heading1"/>
    <w:rsid w:val="00BB6674"/>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fr-FR"/>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fr-FR"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fr-FR"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styleId="UnresolvedMention">
    <w:name w:val="Unresolved Mention"/>
    <w:basedOn w:val="DefaultParagraphFont"/>
    <w:uiPriority w:val="99"/>
    <w:unhideWhenUsed/>
    <w:rsid w:val="00F2658C"/>
    <w:rPr>
      <w:color w:val="605E5C"/>
      <w:shd w:val="clear" w:color="auto" w:fill="E1DFDD"/>
    </w:rPr>
  </w:style>
  <w:style w:type="character" w:styleId="Mention">
    <w:name w:val="Mention"/>
    <w:basedOn w:val="DefaultParagraphFont"/>
    <w:uiPriority w:val="99"/>
    <w:unhideWhenUsed/>
    <w:rsid w:val="00F2658C"/>
    <w:rPr>
      <w:color w:val="2B579A"/>
      <w:shd w:val="clear" w:color="auto" w:fill="E1DFDD"/>
    </w:rPr>
  </w:style>
  <w:style w:type="paragraph" w:customStyle="1" w:styleId="No-numheading3Agency">
    <w:name w:val="No-num heading 3 (Agency)"/>
    <w:basedOn w:val="Normal"/>
    <w:next w:val="BodytextAgency"/>
    <w:link w:val="No-numheading3AgencyChar"/>
    <w:rsid w:val="003E5580"/>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3E5580"/>
    <w:rPr>
      <w:rFonts w:ascii="Verdana" w:eastAsia="Verdana" w:hAnsi="Verdana"/>
      <w:b/>
      <w:bCs/>
      <w:kern w:val="32"/>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EMADOC-1700519818-2434306</_dlc_DocId>
    <_dlc_DocIdUrl xmlns="a034c160-bfb7-45f5-8632-2eb7e0508071">
      <Url>https://euema.sharepoint.com/sites/CRM/_layouts/15/DocIdRedir.aspx?ID=EMADOC-1700519818-2434306</Url>
      <Description>EMADOC-1700519818-2434306</Description>
    </_dlc_DocIdUrl>
  </documentManagement>
</p:properties>
</file>

<file path=customXml/itemProps1.xml><?xml version="1.0" encoding="utf-8"?>
<ds:datastoreItem xmlns:ds="http://schemas.openxmlformats.org/officeDocument/2006/customXml" ds:itemID="{B27DCE3A-61F7-4F07-A519-65AB0DB3A963}">
  <ds:schemaRefs>
    <ds:schemaRef ds:uri="http://schemas.openxmlformats.org/officeDocument/2006/bibliography"/>
  </ds:schemaRefs>
</ds:datastoreItem>
</file>

<file path=customXml/itemProps2.xml><?xml version="1.0" encoding="utf-8"?>
<ds:datastoreItem xmlns:ds="http://schemas.openxmlformats.org/officeDocument/2006/customXml" ds:itemID="{FFF23596-17BE-498A-AD11-AC0E33745EAE}"/>
</file>

<file path=customXml/itemProps3.xml><?xml version="1.0" encoding="utf-8"?>
<ds:datastoreItem xmlns:ds="http://schemas.openxmlformats.org/officeDocument/2006/customXml" ds:itemID="{60A86EC6-623A-4F1D-AD91-3754F96C3F34}"/>
</file>

<file path=customXml/itemProps4.xml><?xml version="1.0" encoding="utf-8"?>
<ds:datastoreItem xmlns:ds="http://schemas.openxmlformats.org/officeDocument/2006/customXml" ds:itemID="{25BB43DE-0A7C-4D42-8B99-F9BBA2E75DD6}"/>
</file>

<file path=customXml/itemProps5.xml><?xml version="1.0" encoding="utf-8"?>
<ds:datastoreItem xmlns:ds="http://schemas.openxmlformats.org/officeDocument/2006/customXml" ds:itemID="{A6587070-CEE4-4984-8DBD-E08A8D37B508}"/>
</file>

<file path=docProps/app.xml><?xml version="1.0" encoding="utf-8"?>
<Properties xmlns="http://schemas.openxmlformats.org/officeDocument/2006/extended-properties" xmlns:vt="http://schemas.openxmlformats.org/officeDocument/2006/docPropsVTypes">
  <Template>Normal.dotm</Template>
  <TotalTime>6</TotalTime>
  <Pages>42</Pages>
  <Words>13034</Words>
  <Characters>74294</Characters>
  <Application>Microsoft Office Word</Application>
  <DocSecurity>0</DocSecurity>
  <Lines>619</Lines>
  <Paragraphs>174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87154</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7</cp:revision>
  <dcterms:created xsi:type="dcterms:W3CDTF">2025-06-23T09:18:00Z</dcterms:created>
  <dcterms:modified xsi:type="dcterms:W3CDTF">2025-07-28T09:22:00Z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2023-09-15T15:01:30Z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2f3c9634-c8cb-4709-95cc-990fc4737fb6</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5e5f65c4-6b37-4788-99a6-0427dc2d7daf</vt:lpwstr>
  </property>
</Properties>
</file>